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524" w:rsidR="00B9703D" w:rsidP="00B9703D" w:rsidRDefault="00392EBC" w14:paraId="78BB6673" w14:textId="1C7DD5D3">
      <w:pPr>
        <w:rPr>
          <w:rFonts w:eastAsia="Times New Roman" w:cs="Times New Roman"/>
          <w:color w:val="auto"/>
          <w:szCs w:val="24"/>
        </w:rPr>
      </w:pPr>
      <w:r w:rsidRPr="00D92524">
        <w:t xml:space="preserve">Hierbij ontvangt uw Kamer </w:t>
      </w:r>
      <w:r w:rsidRPr="00D92524" w:rsidR="00641C17">
        <w:t xml:space="preserve">de </w:t>
      </w:r>
      <w:r w:rsidRPr="00D92524" w:rsidR="00C8362B">
        <w:t>rapport</w:t>
      </w:r>
      <w:r w:rsidRPr="00D92524" w:rsidR="00641C17">
        <w:t>en</w:t>
      </w:r>
      <w:r w:rsidRPr="00D92524" w:rsidR="00C8362B">
        <w:t xml:space="preserve"> </w:t>
      </w:r>
      <w:r w:rsidRPr="00D92524" w:rsidR="00641C17">
        <w:t xml:space="preserve">‘Vinkjes in het strafrecht? Een kwantitatieve analyse van sociaaleconomische positie en verschillen in afdoeningsuitkomsten’ en </w:t>
      </w:r>
      <w:r w:rsidRPr="00D92524" w:rsidR="00C8362B">
        <w:t>‘Scherp op selectiviteit</w:t>
      </w:r>
      <w:r w:rsidRPr="00D92524" w:rsidR="00585838">
        <w:t>. M</w:t>
      </w:r>
      <w:r w:rsidRPr="00D92524" w:rsidR="00CF05D0">
        <w:t>echanismen en handelingsperspectieven bij etnische en sociaaleconomische selectiviteit in het strafrechtsysteem’</w:t>
      </w:r>
      <w:r w:rsidRPr="00D92524" w:rsidR="00641C17">
        <w:t xml:space="preserve"> </w:t>
      </w:r>
      <w:r w:rsidRPr="00D92524" w:rsidR="00833111">
        <w:t xml:space="preserve">van het Wetenschappelijk </w:t>
      </w:r>
      <w:r w:rsidRPr="00D92524" w:rsidR="006E50F8">
        <w:t>O</w:t>
      </w:r>
      <w:r w:rsidRPr="00D92524" w:rsidR="00833111">
        <w:t xml:space="preserve">nderzoek- en </w:t>
      </w:r>
      <w:r w:rsidRPr="00D92524" w:rsidR="006E50F8">
        <w:t>Data</w:t>
      </w:r>
      <w:r w:rsidRPr="00D92524" w:rsidR="00833111">
        <w:t>centrum (WODC)</w:t>
      </w:r>
      <w:r w:rsidRPr="00D92524" w:rsidR="00641C17">
        <w:t xml:space="preserve">. </w:t>
      </w:r>
      <w:r w:rsidRPr="00D92524" w:rsidR="007C64DD">
        <w:t>Ook</w:t>
      </w:r>
      <w:r w:rsidRPr="00D92524" w:rsidR="00641C17">
        <w:t xml:space="preserve"> bied</w:t>
      </w:r>
      <w:r w:rsidRPr="00D92524" w:rsidR="007F5280">
        <w:t>en wij</w:t>
      </w:r>
      <w:r w:rsidRPr="00D92524" w:rsidR="00641C17">
        <w:t xml:space="preserve"> het rapport ‘Verdachte gronden? Een juridisch onderzoek naar selectiviteit op grond van sociaaleconomische positie en herkomst in de strafrechtspleging’ aan, dat </w:t>
      </w:r>
      <w:r w:rsidRPr="00D92524" w:rsidR="00117237">
        <w:t xml:space="preserve">in opdracht van het WODC opgesteld is door de Universiteit Leiden. </w:t>
      </w:r>
      <w:r w:rsidRPr="00D92524" w:rsidR="007F5280">
        <w:rPr>
          <w:rFonts w:eastAsia="Times New Roman" w:cs="Times New Roman"/>
          <w:color w:val="auto"/>
          <w:szCs w:val="24"/>
        </w:rPr>
        <w:t>Deze onderzoeken zijn uitgevoerd naar aanleiding van het</w:t>
      </w:r>
      <w:r w:rsidRPr="00D92524" w:rsidR="00117237">
        <w:rPr>
          <w:rFonts w:eastAsia="Times New Roman" w:cs="Times New Roman"/>
          <w:color w:val="auto"/>
          <w:szCs w:val="24"/>
        </w:rPr>
        <w:t xml:space="preserve"> rapport </w:t>
      </w:r>
      <w:r w:rsidRPr="00D92524" w:rsidR="00117237">
        <w:t>‘</w:t>
      </w:r>
      <w:r w:rsidRPr="00D92524" w:rsidR="00117237">
        <w:rPr>
          <w:rFonts w:eastAsia="Times New Roman" w:cs="Times New Roman"/>
          <w:color w:val="auto"/>
          <w:szCs w:val="24"/>
        </w:rPr>
        <w:t>Van verdenking tot vrijheidsstraf. Een statistisch onderzoek naar de invloed van migratieachtergrond op uitkomsten in de strafrechtketen</w:t>
      </w:r>
      <w:r w:rsidRPr="00D92524" w:rsidR="00117237">
        <w:rPr>
          <w:rFonts w:eastAsia="Calibri" w:cs="Arial"/>
          <w:color w:val="auto"/>
          <w:szCs w:val="22"/>
          <w:lang w:eastAsia="en-US"/>
        </w:rPr>
        <w:t>’.</w:t>
      </w:r>
      <w:r w:rsidRPr="00D92524" w:rsidR="006E50F8">
        <w:rPr>
          <w:rStyle w:val="Voetnootmarkering"/>
          <w:rFonts w:eastAsia="Calibri" w:cs="Arial"/>
          <w:color w:val="auto"/>
          <w:szCs w:val="22"/>
          <w:lang w:eastAsia="en-US"/>
        </w:rPr>
        <w:footnoteReference w:id="1"/>
      </w:r>
      <w:r w:rsidRPr="00D92524" w:rsidR="006E50F8">
        <w:rPr>
          <w:rFonts w:eastAsia="Calibri" w:cs="Arial"/>
          <w:color w:val="auto"/>
          <w:szCs w:val="22"/>
          <w:lang w:eastAsia="en-US"/>
        </w:rPr>
        <w:t xml:space="preserve"> </w:t>
      </w:r>
      <w:r w:rsidRPr="00D92524" w:rsidR="00B77A79">
        <w:rPr>
          <w:rFonts w:eastAsia="Calibri" w:cs="Arial"/>
          <w:color w:val="auto"/>
          <w:szCs w:val="22"/>
          <w:lang w:eastAsia="en-US"/>
        </w:rPr>
        <w:t xml:space="preserve">Omdat er </w:t>
      </w:r>
      <w:r w:rsidRPr="00D92524" w:rsidR="00861386">
        <w:rPr>
          <w:rFonts w:eastAsia="Calibri" w:cs="Arial"/>
          <w:color w:val="auto"/>
          <w:szCs w:val="22"/>
          <w:lang w:eastAsia="en-US"/>
        </w:rPr>
        <w:t>op dat moment</w:t>
      </w:r>
      <w:r w:rsidRPr="00D92524" w:rsidR="00B77A79">
        <w:rPr>
          <w:rFonts w:eastAsia="Calibri" w:cs="Arial"/>
          <w:color w:val="auto"/>
          <w:szCs w:val="22"/>
          <w:lang w:eastAsia="en-US"/>
        </w:rPr>
        <w:t xml:space="preserve"> nog </w:t>
      </w:r>
      <w:r w:rsidRPr="00D92524" w:rsidR="00B77A79">
        <w:rPr>
          <w:rFonts w:eastAsia="Times New Roman" w:cs="Times New Roman"/>
          <w:color w:val="auto"/>
          <w:szCs w:val="24"/>
        </w:rPr>
        <w:t xml:space="preserve">weinig zicht was op de onderliggende mechanismen die de ongelijke uitkomsten kunnen verklaren, </w:t>
      </w:r>
      <w:r w:rsidRPr="00D92524" w:rsidR="00156134">
        <w:rPr>
          <w:rFonts w:eastAsia="Times New Roman" w:cs="Times New Roman"/>
          <w:color w:val="auto"/>
          <w:szCs w:val="24"/>
        </w:rPr>
        <w:t>is aanvullend kwalitatief onderzoek verricht.</w:t>
      </w:r>
      <w:r w:rsidRPr="00D92524" w:rsidR="00C94321">
        <w:rPr>
          <w:rFonts w:eastAsia="Times New Roman" w:cs="Times New Roman"/>
          <w:color w:val="auto"/>
          <w:szCs w:val="24"/>
        </w:rPr>
        <w:t xml:space="preserve"> Onderhavige rapporten betreffen een vervolg op dat kwantitatieve onderzoek.</w:t>
      </w:r>
    </w:p>
    <w:p w:rsidRPr="00D92524" w:rsidR="00CF05D0" w:rsidP="00B9703D" w:rsidRDefault="00CF05D0" w14:paraId="7E31535E" w14:textId="77777777">
      <w:pPr>
        <w:rPr>
          <w:rFonts w:eastAsia="Times New Roman" w:cs="Times New Roman"/>
          <w:color w:val="auto"/>
          <w:szCs w:val="24"/>
        </w:rPr>
      </w:pPr>
    </w:p>
    <w:p w:rsidRPr="00D92524" w:rsidR="00A90BFB" w:rsidP="00B9703D" w:rsidRDefault="00A90BFB" w14:paraId="62B0CC42" w14:textId="295E60FB">
      <w:pPr>
        <w:rPr>
          <w:rFonts w:eastAsia="Times New Roman" w:cs="Times New Roman"/>
          <w:b/>
          <w:bCs/>
          <w:color w:val="auto"/>
          <w:szCs w:val="24"/>
        </w:rPr>
      </w:pPr>
      <w:r w:rsidRPr="00D92524">
        <w:rPr>
          <w:rFonts w:eastAsia="Times New Roman" w:cs="Times New Roman"/>
          <w:b/>
          <w:bCs/>
          <w:color w:val="auto"/>
          <w:szCs w:val="24"/>
        </w:rPr>
        <w:t>Aanleiding voor de onderzoeken</w:t>
      </w:r>
    </w:p>
    <w:p w:rsidRPr="00D92524" w:rsidR="00E32EB2" w:rsidP="00CB5F00" w:rsidRDefault="00A90BFB" w14:paraId="5A4D3B78" w14:textId="55F979DB">
      <w:pPr>
        <w:rPr>
          <w:rFonts w:eastAsia="Calibri" w:cs="Arial"/>
          <w:color w:val="auto"/>
          <w:szCs w:val="22"/>
          <w:lang w:eastAsia="en-US"/>
        </w:rPr>
      </w:pPr>
      <w:r w:rsidRPr="00D92524">
        <w:rPr>
          <w:rFonts w:eastAsia="Times New Roman" w:cs="Times New Roman"/>
          <w:color w:val="auto"/>
          <w:szCs w:val="24"/>
        </w:rPr>
        <w:t xml:space="preserve">De </w:t>
      </w:r>
      <w:r w:rsidRPr="00D92524" w:rsidR="00CB5F00">
        <w:rPr>
          <w:rFonts w:eastAsia="Times New Roman" w:cs="Times New Roman"/>
          <w:color w:val="auto"/>
          <w:szCs w:val="24"/>
        </w:rPr>
        <w:t>onderzoek</w:t>
      </w:r>
      <w:r w:rsidRPr="00D92524">
        <w:rPr>
          <w:rFonts w:eastAsia="Times New Roman" w:cs="Times New Roman"/>
          <w:color w:val="auto"/>
          <w:szCs w:val="24"/>
        </w:rPr>
        <w:t xml:space="preserve">en zijn </w:t>
      </w:r>
      <w:r w:rsidRPr="00D92524" w:rsidR="00E97D19">
        <w:rPr>
          <w:rFonts w:eastAsia="Times New Roman" w:cs="Times New Roman"/>
          <w:color w:val="auto"/>
          <w:szCs w:val="24"/>
        </w:rPr>
        <w:t>uitgevoerd naar a</w:t>
      </w:r>
      <w:r w:rsidRPr="00D92524" w:rsidR="00271082">
        <w:rPr>
          <w:rFonts w:eastAsia="Times New Roman" w:cs="Times New Roman"/>
          <w:color w:val="auto"/>
          <w:szCs w:val="24"/>
        </w:rPr>
        <w:t xml:space="preserve">anleiding van </w:t>
      </w:r>
      <w:r w:rsidRPr="00D92524" w:rsidR="00CB5F00">
        <w:rPr>
          <w:rFonts w:eastAsia="Times New Roman" w:cs="Times New Roman"/>
          <w:color w:val="auto"/>
          <w:szCs w:val="24"/>
        </w:rPr>
        <w:t xml:space="preserve">twee moties </w:t>
      </w:r>
      <w:r w:rsidRPr="00D92524">
        <w:rPr>
          <w:rFonts w:eastAsia="Times New Roman" w:cs="Times New Roman"/>
          <w:color w:val="auto"/>
          <w:szCs w:val="24"/>
        </w:rPr>
        <w:t xml:space="preserve">van </w:t>
      </w:r>
      <w:r w:rsidRPr="00D92524" w:rsidR="00CB5F00">
        <w:rPr>
          <w:rFonts w:eastAsia="Times New Roman" w:cs="Times New Roman"/>
          <w:color w:val="auto"/>
          <w:szCs w:val="24"/>
        </w:rPr>
        <w:t xml:space="preserve">de Tweede Kamer, waarin werd verzocht om nader onderzoek te doen naar </w:t>
      </w:r>
      <w:r w:rsidRPr="00D92524" w:rsidR="00271082">
        <w:rPr>
          <w:rFonts w:eastAsia="Times New Roman" w:cs="Times New Roman"/>
          <w:color w:val="auto"/>
          <w:szCs w:val="24"/>
        </w:rPr>
        <w:t xml:space="preserve">mogelijke discriminatie en het bestaan van klassenjustitie in het Nederlandse strafrecht. </w:t>
      </w:r>
      <w:r w:rsidRPr="00D92524" w:rsidR="00CB5F00">
        <w:rPr>
          <w:rFonts w:eastAsia="Times New Roman" w:cs="Times New Roman"/>
          <w:color w:val="auto"/>
          <w:szCs w:val="24"/>
        </w:rPr>
        <w:t xml:space="preserve">De eerste motie </w:t>
      </w:r>
      <w:r w:rsidRPr="00D92524" w:rsidR="00C273C9">
        <w:rPr>
          <w:rFonts w:eastAsia="Times New Roman" w:cs="Times New Roman"/>
          <w:color w:val="auto"/>
          <w:szCs w:val="24"/>
        </w:rPr>
        <w:t xml:space="preserve">betreft een motie van het lid Van der Staaij en </w:t>
      </w:r>
      <w:r w:rsidRPr="00D92524" w:rsidR="00CB5F00">
        <w:rPr>
          <w:rFonts w:eastAsia="Times New Roman" w:cs="Times New Roman"/>
          <w:color w:val="auto"/>
          <w:szCs w:val="24"/>
        </w:rPr>
        <w:t>had betrekking op de oververtegenwoordiging van mensen met een niet-westerse migratieachtergrond in cijfers over criminaliteit.</w:t>
      </w:r>
      <w:r w:rsidRPr="00D92524" w:rsidR="00CB5F00">
        <w:rPr>
          <w:rFonts w:eastAsia="Times New Roman" w:cs="Times New Roman"/>
          <w:color w:val="auto"/>
          <w:szCs w:val="24"/>
          <w:vertAlign w:val="superscript"/>
        </w:rPr>
        <w:footnoteReference w:id="2"/>
      </w:r>
      <w:r w:rsidRPr="00D92524">
        <w:rPr>
          <w:rFonts w:eastAsia="Times New Roman" w:cs="Times New Roman"/>
          <w:color w:val="auto"/>
          <w:szCs w:val="24"/>
        </w:rPr>
        <w:t xml:space="preserve"> </w:t>
      </w:r>
      <w:r w:rsidRPr="00D92524" w:rsidR="00E96C8E">
        <w:rPr>
          <w:rFonts w:eastAsia="Times New Roman" w:cs="Times New Roman"/>
          <w:color w:val="auto"/>
          <w:szCs w:val="24"/>
        </w:rPr>
        <w:t xml:space="preserve">In reactie op deze motie is een </w:t>
      </w:r>
      <w:r w:rsidRPr="00D92524" w:rsidR="000150D7">
        <w:rPr>
          <w:rFonts w:eastAsia="Times New Roman" w:cs="Times New Roman"/>
          <w:color w:val="auto"/>
          <w:szCs w:val="24"/>
        </w:rPr>
        <w:t xml:space="preserve">synthese van de beschikbare cijfers </w:t>
      </w:r>
      <w:r w:rsidRPr="00D92524" w:rsidR="00E96C8E">
        <w:rPr>
          <w:rFonts w:eastAsia="Times New Roman" w:cs="Times New Roman"/>
          <w:color w:val="auto"/>
          <w:szCs w:val="24"/>
        </w:rPr>
        <w:t xml:space="preserve">opgesteld, waaruit </w:t>
      </w:r>
      <w:r w:rsidRPr="00D92524" w:rsidR="000150D7">
        <w:rPr>
          <w:rFonts w:eastAsia="Times New Roman" w:cs="Times New Roman"/>
          <w:color w:val="auto"/>
          <w:szCs w:val="24"/>
        </w:rPr>
        <w:t>onder meer</w:t>
      </w:r>
      <w:r w:rsidRPr="00D92524" w:rsidR="00E96C8E">
        <w:rPr>
          <w:rFonts w:eastAsia="Times New Roman" w:cs="Times New Roman"/>
          <w:color w:val="auto"/>
          <w:szCs w:val="24"/>
        </w:rPr>
        <w:t xml:space="preserve"> bleek</w:t>
      </w:r>
      <w:r w:rsidRPr="00D92524" w:rsidR="000150D7">
        <w:rPr>
          <w:rFonts w:eastAsia="Times New Roman" w:cs="Times New Roman"/>
          <w:color w:val="auto"/>
          <w:szCs w:val="24"/>
        </w:rPr>
        <w:t xml:space="preserve"> dat de oververtegenwoordiging toeneemt bij het doorlopen van de verschillende fasen in de strafrechtketen. Toegezegd werd hier via het WODC nader onderzoek naar te doen.</w:t>
      </w:r>
      <w:r w:rsidRPr="00D92524" w:rsidR="000150D7">
        <w:rPr>
          <w:rStyle w:val="Voetnootmarkering"/>
          <w:rFonts w:eastAsia="Times New Roman" w:cs="Times New Roman"/>
          <w:color w:val="auto"/>
          <w:szCs w:val="24"/>
        </w:rPr>
        <w:footnoteReference w:id="3"/>
      </w:r>
      <w:r w:rsidRPr="00D92524" w:rsidR="000150D7">
        <w:rPr>
          <w:rFonts w:eastAsia="Times New Roman" w:cs="Times New Roman"/>
          <w:color w:val="auto"/>
          <w:szCs w:val="24"/>
        </w:rPr>
        <w:t xml:space="preserve"> </w:t>
      </w:r>
      <w:r w:rsidRPr="00D92524" w:rsidR="00E96C8E">
        <w:rPr>
          <w:rFonts w:eastAsia="Times New Roman" w:cs="Times New Roman"/>
          <w:color w:val="auto"/>
          <w:szCs w:val="24"/>
        </w:rPr>
        <w:t>De</w:t>
      </w:r>
      <w:r w:rsidRPr="00D92524" w:rsidR="00CB5F00">
        <w:rPr>
          <w:rFonts w:eastAsia="Times New Roman" w:cs="Times New Roman"/>
          <w:color w:val="auto"/>
          <w:szCs w:val="24"/>
        </w:rPr>
        <w:t xml:space="preserve"> tweede motie</w:t>
      </w:r>
      <w:r w:rsidRPr="00D92524" w:rsidR="00C273C9">
        <w:rPr>
          <w:rFonts w:eastAsia="Times New Roman" w:cs="Times New Roman"/>
          <w:color w:val="auto"/>
          <w:szCs w:val="24"/>
        </w:rPr>
        <w:t xml:space="preserve"> betreft een motie van het lid Van Nispen en</w:t>
      </w:r>
      <w:r w:rsidRPr="00D92524" w:rsidR="00CB5F00">
        <w:rPr>
          <w:rFonts w:eastAsia="Times New Roman" w:cs="Times New Roman"/>
          <w:color w:val="auto"/>
          <w:szCs w:val="24"/>
        </w:rPr>
        <w:t xml:space="preserve"> had betrekking op mogelijke vormen van ‘klassenjustitie’ in Nederland, een term die in de context van dit onderzoek is vertaald als selectiviteit langs de lijnen van sociaaleconomische positie.</w:t>
      </w:r>
      <w:r w:rsidRPr="00D92524" w:rsidR="00CB5F00">
        <w:rPr>
          <w:rFonts w:eastAsia="Times New Roman" w:cs="Times New Roman"/>
          <w:color w:val="auto"/>
          <w:szCs w:val="24"/>
          <w:vertAlign w:val="superscript"/>
        </w:rPr>
        <w:footnoteReference w:id="4"/>
      </w:r>
      <w:r w:rsidRPr="00D92524" w:rsidR="00CB5F00">
        <w:rPr>
          <w:rFonts w:eastAsia="Times New Roman" w:cs="Times New Roman"/>
          <w:color w:val="auto"/>
          <w:szCs w:val="24"/>
        </w:rPr>
        <w:t xml:space="preserve"> </w:t>
      </w:r>
      <w:r w:rsidRPr="00D92524" w:rsidR="007630EC">
        <w:rPr>
          <w:rFonts w:eastAsia="Times New Roman" w:cs="Times New Roman"/>
          <w:color w:val="auto"/>
          <w:szCs w:val="24"/>
        </w:rPr>
        <w:t>H</w:t>
      </w:r>
      <w:r w:rsidRPr="00D92524" w:rsidR="00CB5F00">
        <w:rPr>
          <w:rFonts w:eastAsia="Times New Roman" w:cs="Times New Roman"/>
          <w:color w:val="auto"/>
          <w:szCs w:val="24"/>
        </w:rPr>
        <w:t xml:space="preserve">et WODC </w:t>
      </w:r>
      <w:r w:rsidRPr="00D92524" w:rsidR="007630EC">
        <w:rPr>
          <w:rFonts w:eastAsia="Times New Roman" w:cs="Times New Roman"/>
          <w:color w:val="auto"/>
          <w:szCs w:val="24"/>
        </w:rPr>
        <w:t xml:space="preserve">heeft </w:t>
      </w:r>
      <w:r w:rsidRPr="00D92524" w:rsidR="00CB5F00">
        <w:rPr>
          <w:rFonts w:eastAsia="Times New Roman" w:cs="Times New Roman"/>
          <w:color w:val="auto"/>
          <w:szCs w:val="24"/>
        </w:rPr>
        <w:t>zowel kwa</w:t>
      </w:r>
      <w:r w:rsidRPr="00D92524" w:rsidR="00E96C8E">
        <w:rPr>
          <w:rFonts w:eastAsia="Times New Roman" w:cs="Times New Roman"/>
          <w:color w:val="auto"/>
          <w:szCs w:val="24"/>
        </w:rPr>
        <w:t>nt</w:t>
      </w:r>
      <w:r w:rsidRPr="00D92524" w:rsidR="00CB5F00">
        <w:rPr>
          <w:rFonts w:eastAsia="Times New Roman" w:cs="Times New Roman"/>
          <w:color w:val="auto"/>
          <w:szCs w:val="24"/>
        </w:rPr>
        <w:t xml:space="preserve">itatief als </w:t>
      </w:r>
      <w:r w:rsidRPr="00D92524" w:rsidR="00EA55C0">
        <w:rPr>
          <w:rFonts w:eastAsia="Times New Roman" w:cs="Times New Roman"/>
          <w:color w:val="auto"/>
          <w:szCs w:val="24"/>
        </w:rPr>
        <w:t xml:space="preserve">voor beide </w:t>
      </w:r>
      <w:r w:rsidRPr="00D92524" w:rsidR="007630EC">
        <w:rPr>
          <w:rFonts w:eastAsia="Times New Roman" w:cs="Times New Roman"/>
          <w:color w:val="auto"/>
          <w:szCs w:val="24"/>
        </w:rPr>
        <w:t>thema’s</w:t>
      </w:r>
      <w:r w:rsidRPr="00D92524" w:rsidR="00EA55C0">
        <w:rPr>
          <w:rFonts w:eastAsia="Times New Roman" w:cs="Times New Roman"/>
          <w:color w:val="auto"/>
          <w:szCs w:val="24"/>
        </w:rPr>
        <w:t xml:space="preserve"> overkoepelend </w:t>
      </w:r>
      <w:r w:rsidRPr="00D92524" w:rsidR="00CB5F00">
        <w:rPr>
          <w:rFonts w:eastAsia="Times New Roman" w:cs="Times New Roman"/>
          <w:color w:val="auto"/>
          <w:szCs w:val="24"/>
        </w:rPr>
        <w:t>kwa</w:t>
      </w:r>
      <w:r w:rsidRPr="00D92524" w:rsidR="00E96C8E">
        <w:rPr>
          <w:rFonts w:eastAsia="Times New Roman" w:cs="Times New Roman"/>
          <w:color w:val="auto"/>
          <w:szCs w:val="24"/>
        </w:rPr>
        <w:t>l</w:t>
      </w:r>
      <w:r w:rsidRPr="00D92524" w:rsidR="00CB5F00">
        <w:rPr>
          <w:rFonts w:eastAsia="Times New Roman" w:cs="Times New Roman"/>
          <w:color w:val="auto"/>
          <w:szCs w:val="24"/>
        </w:rPr>
        <w:t>itatief onderzoek uitgevoerd.</w:t>
      </w:r>
      <w:r w:rsidRPr="00D92524" w:rsidR="007630EC">
        <w:rPr>
          <w:rFonts w:eastAsia="Times New Roman" w:cs="Times New Roman"/>
          <w:color w:val="auto"/>
          <w:szCs w:val="24"/>
        </w:rPr>
        <w:t xml:space="preserve"> In aanvulling hierop heeft d</w:t>
      </w:r>
      <w:r w:rsidRPr="00D92524" w:rsidR="00EA55C0">
        <w:rPr>
          <w:rFonts w:eastAsia="Times New Roman" w:cs="Times New Roman"/>
          <w:color w:val="auto"/>
          <w:szCs w:val="24"/>
        </w:rPr>
        <w:t xml:space="preserve">e Universiteit </w:t>
      </w:r>
      <w:r w:rsidRPr="00D92524" w:rsidR="007630EC">
        <w:rPr>
          <w:rFonts w:eastAsia="Times New Roman" w:cs="Times New Roman"/>
          <w:color w:val="auto"/>
          <w:szCs w:val="24"/>
        </w:rPr>
        <w:t>leiden</w:t>
      </w:r>
      <w:r w:rsidRPr="00D92524" w:rsidR="009162FD">
        <w:rPr>
          <w:rFonts w:eastAsia="Times New Roman" w:cs="Times New Roman"/>
          <w:color w:val="auto"/>
          <w:szCs w:val="24"/>
        </w:rPr>
        <w:t xml:space="preserve"> in opdracht van het WODC</w:t>
      </w:r>
      <w:r w:rsidRPr="00D92524" w:rsidR="00E96C8E">
        <w:rPr>
          <w:rFonts w:eastAsia="Times New Roman" w:cs="Times New Roman"/>
          <w:color w:val="auto"/>
          <w:szCs w:val="24"/>
        </w:rPr>
        <w:t xml:space="preserve"> </w:t>
      </w:r>
      <w:r w:rsidRPr="00D92524" w:rsidR="007C64DD">
        <w:rPr>
          <w:rFonts w:eastAsia="Times New Roman" w:cs="Times New Roman"/>
          <w:color w:val="auto"/>
          <w:szCs w:val="24"/>
        </w:rPr>
        <w:t xml:space="preserve">in een juridische analyse de vraag </w:t>
      </w:r>
      <w:r w:rsidRPr="00D92524" w:rsidR="00C92C30">
        <w:rPr>
          <w:rFonts w:eastAsia="Times New Roman" w:cs="Times New Roman"/>
          <w:color w:val="auto"/>
          <w:szCs w:val="24"/>
        </w:rPr>
        <w:t xml:space="preserve">onderzocht </w:t>
      </w:r>
      <w:r w:rsidRPr="00D92524" w:rsidR="007C64DD">
        <w:rPr>
          <w:rFonts w:eastAsia="Times New Roman" w:cs="Times New Roman"/>
          <w:color w:val="auto"/>
          <w:szCs w:val="24"/>
        </w:rPr>
        <w:t>wanneer er sprake is</w:t>
      </w:r>
      <w:r w:rsidRPr="00D92524" w:rsidR="00E96C8E">
        <w:rPr>
          <w:rFonts w:eastAsia="Times New Roman" w:cs="Times New Roman"/>
          <w:color w:val="auto"/>
          <w:szCs w:val="24"/>
        </w:rPr>
        <w:t xml:space="preserve"> van </w:t>
      </w:r>
      <w:r w:rsidRPr="00D92524" w:rsidR="002A339C">
        <w:rPr>
          <w:rFonts w:eastAsia="Times New Roman" w:cs="Times New Roman"/>
          <w:color w:val="auto"/>
          <w:szCs w:val="24"/>
        </w:rPr>
        <w:t>il</w:t>
      </w:r>
      <w:r w:rsidRPr="00D92524" w:rsidR="00E96C8E">
        <w:rPr>
          <w:rFonts w:eastAsia="Times New Roman" w:cs="Times New Roman"/>
          <w:color w:val="auto"/>
          <w:szCs w:val="24"/>
        </w:rPr>
        <w:t>legiti</w:t>
      </w:r>
      <w:r w:rsidRPr="00D92524" w:rsidR="002A339C">
        <w:rPr>
          <w:rFonts w:eastAsia="Times New Roman" w:cs="Times New Roman"/>
          <w:color w:val="auto"/>
          <w:szCs w:val="24"/>
        </w:rPr>
        <w:t xml:space="preserve">eme selectiviteit in de </w:t>
      </w:r>
      <w:proofErr w:type="gramStart"/>
      <w:r w:rsidRPr="00D92524" w:rsidR="002A339C">
        <w:rPr>
          <w:rFonts w:eastAsia="Times New Roman" w:cs="Times New Roman"/>
          <w:color w:val="auto"/>
          <w:szCs w:val="24"/>
        </w:rPr>
        <w:lastRenderedPageBreak/>
        <w:t>strafrechtketen</w:t>
      </w:r>
      <w:proofErr w:type="gramEnd"/>
      <w:r w:rsidRPr="00D92524" w:rsidR="002A339C">
        <w:rPr>
          <w:rFonts w:eastAsia="Times New Roman" w:cs="Times New Roman"/>
          <w:color w:val="auto"/>
          <w:szCs w:val="24"/>
        </w:rPr>
        <w:t xml:space="preserve"> </w:t>
      </w:r>
      <w:r w:rsidRPr="00D92524" w:rsidR="00E96C8E">
        <w:rPr>
          <w:rFonts w:eastAsia="Times New Roman" w:cs="Times New Roman"/>
          <w:color w:val="auto"/>
          <w:szCs w:val="24"/>
        </w:rPr>
        <w:t xml:space="preserve">op basis van </w:t>
      </w:r>
      <w:r w:rsidRPr="00D92524" w:rsidR="007C64DD">
        <w:rPr>
          <w:rFonts w:eastAsia="Times New Roman" w:cs="Times New Roman"/>
          <w:color w:val="auto"/>
          <w:szCs w:val="24"/>
        </w:rPr>
        <w:t xml:space="preserve">sociaaleconomische positie of </w:t>
      </w:r>
      <w:r w:rsidRPr="00D92524" w:rsidR="002A339C">
        <w:rPr>
          <w:rFonts w:eastAsia="Times New Roman" w:cs="Times New Roman"/>
          <w:color w:val="auto"/>
          <w:szCs w:val="24"/>
        </w:rPr>
        <w:t>etniciteit</w:t>
      </w:r>
      <w:r w:rsidRPr="00D92524" w:rsidR="007C64DD">
        <w:rPr>
          <w:rFonts w:eastAsia="Times New Roman" w:cs="Times New Roman"/>
          <w:color w:val="auto"/>
          <w:szCs w:val="24"/>
        </w:rPr>
        <w:t xml:space="preserve"> en</w:t>
      </w:r>
      <w:r w:rsidRPr="00D92524" w:rsidR="002A339C">
        <w:rPr>
          <w:rFonts w:eastAsia="Times New Roman" w:cs="Times New Roman"/>
          <w:color w:val="auto"/>
          <w:szCs w:val="24"/>
        </w:rPr>
        <w:t xml:space="preserve"> nationaliteit</w:t>
      </w:r>
      <w:r w:rsidRPr="00D92524" w:rsidR="00E96C8E">
        <w:rPr>
          <w:rFonts w:eastAsia="Times New Roman" w:cs="Times New Roman"/>
          <w:color w:val="auto"/>
          <w:szCs w:val="24"/>
        </w:rPr>
        <w:t>.</w:t>
      </w:r>
      <w:r w:rsidRPr="00D92524" w:rsidR="00B77A79">
        <w:rPr>
          <w:rFonts w:eastAsia="Calibri" w:cs="Arial"/>
          <w:color w:val="auto"/>
          <w:szCs w:val="22"/>
          <w:lang w:eastAsia="en-US"/>
        </w:rPr>
        <w:t xml:space="preserve"> </w:t>
      </w:r>
    </w:p>
    <w:p w:rsidRPr="00D92524" w:rsidR="00350870" w:rsidP="00CB5F00" w:rsidRDefault="00350870" w14:paraId="30DBF304" w14:textId="77777777">
      <w:pPr>
        <w:rPr>
          <w:rFonts w:eastAsia="Calibri" w:cs="Arial"/>
          <w:color w:val="auto"/>
          <w:szCs w:val="22"/>
          <w:lang w:eastAsia="en-US"/>
        </w:rPr>
      </w:pPr>
    </w:p>
    <w:p w:rsidRPr="00D92524" w:rsidR="000C1950" w:rsidP="00E32EB2" w:rsidRDefault="000C1950" w14:paraId="33BE0581" w14:textId="057717A2">
      <w:pPr>
        <w:rPr>
          <w:rFonts w:eastAsia="Calibri" w:cs="Arial"/>
          <w:b/>
          <w:bCs/>
          <w:color w:val="auto"/>
          <w:szCs w:val="22"/>
          <w:lang w:eastAsia="en-US"/>
        </w:rPr>
      </w:pPr>
      <w:r w:rsidRPr="00D92524">
        <w:rPr>
          <w:rFonts w:eastAsia="Calibri" w:cs="Arial"/>
          <w:b/>
          <w:bCs/>
          <w:color w:val="auto"/>
          <w:szCs w:val="22"/>
          <w:lang w:eastAsia="en-US"/>
        </w:rPr>
        <w:t>Samenvatting bevindingen</w:t>
      </w:r>
    </w:p>
    <w:p w:rsidRPr="00D92524" w:rsidR="000C1950" w:rsidP="000C1950" w:rsidRDefault="000C1950" w14:paraId="0632083D" w14:textId="0B08F418">
      <w:pPr>
        <w:rPr>
          <w:rFonts w:eastAsia="Calibri" w:cs="Arial"/>
          <w:color w:val="auto"/>
          <w:szCs w:val="22"/>
          <w:lang w:eastAsia="en-US"/>
        </w:rPr>
      </w:pPr>
      <w:r w:rsidRPr="00D92524">
        <w:rPr>
          <w:rFonts w:eastAsia="Calibri" w:cs="Arial"/>
          <w:color w:val="auto"/>
          <w:szCs w:val="22"/>
          <w:lang w:eastAsia="en-US"/>
        </w:rPr>
        <w:t xml:space="preserve">Uit de kwantitatieve analyses in het onderzoek ‘Vinkjes in het strafrecht’ komt naar voren dat verdachten met een </w:t>
      </w:r>
      <w:r w:rsidRPr="00D92524" w:rsidR="00806502">
        <w:rPr>
          <w:rFonts w:eastAsia="Calibri" w:cs="Arial"/>
          <w:color w:val="auto"/>
          <w:szCs w:val="22"/>
          <w:lang w:eastAsia="en-US"/>
        </w:rPr>
        <w:t>zwakke</w:t>
      </w:r>
      <w:r w:rsidRPr="00D92524">
        <w:rPr>
          <w:rFonts w:eastAsia="Calibri" w:cs="Arial"/>
          <w:color w:val="auto"/>
          <w:szCs w:val="22"/>
          <w:lang w:eastAsia="en-US"/>
        </w:rPr>
        <w:t xml:space="preserve"> sociaaleconomische positie niet </w:t>
      </w:r>
      <w:proofErr w:type="gramStart"/>
      <w:r w:rsidRPr="00D92524" w:rsidR="00806502">
        <w:rPr>
          <w:rFonts w:eastAsia="Calibri" w:cs="Arial"/>
          <w:color w:val="auto"/>
          <w:szCs w:val="22"/>
          <w:lang w:eastAsia="en-US"/>
        </w:rPr>
        <w:t xml:space="preserve">vaker </w:t>
      </w:r>
      <w:r w:rsidRPr="00D92524">
        <w:rPr>
          <w:rFonts w:eastAsia="Calibri" w:cs="Arial"/>
          <w:color w:val="auto"/>
          <w:szCs w:val="22"/>
          <w:lang w:eastAsia="en-US"/>
        </w:rPr>
        <w:t xml:space="preserve"> worden</w:t>
      </w:r>
      <w:proofErr w:type="gramEnd"/>
      <w:r w:rsidRPr="00D92524">
        <w:rPr>
          <w:rFonts w:eastAsia="Calibri" w:cs="Arial"/>
          <w:color w:val="auto"/>
          <w:szCs w:val="22"/>
          <w:lang w:eastAsia="en-US"/>
        </w:rPr>
        <w:t xml:space="preserve"> gestraft dan verdachten met een </w:t>
      </w:r>
      <w:r w:rsidRPr="00D92524" w:rsidR="00806502">
        <w:rPr>
          <w:rFonts w:eastAsia="Calibri" w:cs="Arial"/>
          <w:color w:val="auto"/>
          <w:szCs w:val="22"/>
          <w:lang w:eastAsia="en-US"/>
        </w:rPr>
        <w:t>sterke</w:t>
      </w:r>
      <w:r w:rsidRPr="00D92524">
        <w:rPr>
          <w:rFonts w:eastAsia="Calibri" w:cs="Arial"/>
          <w:color w:val="auto"/>
          <w:szCs w:val="22"/>
          <w:lang w:eastAsia="en-US"/>
        </w:rPr>
        <w:t xml:space="preserve"> sociaaleconomische positie. </w:t>
      </w:r>
      <w:r w:rsidRPr="00D92524" w:rsidR="00806502">
        <w:rPr>
          <w:rFonts w:eastAsia="Calibri" w:cs="Arial"/>
          <w:color w:val="auto"/>
          <w:szCs w:val="22"/>
          <w:lang w:eastAsia="en-US"/>
        </w:rPr>
        <w:t>Verdachten met een sterkere sociaaleconomische positie</w:t>
      </w:r>
      <w:r w:rsidRPr="00D92524">
        <w:rPr>
          <w:rFonts w:eastAsia="Calibri" w:cs="Arial"/>
          <w:color w:val="auto"/>
          <w:szCs w:val="22"/>
          <w:lang w:eastAsia="en-US"/>
        </w:rPr>
        <w:t xml:space="preserve"> krijgen echter wel vaker een straf opgelegd door het Openbaar Ministerie in plaats van door de rechter. Deze vroege ‘sortering’ in de strafrechtketen resulteert mogelijk in een grotere maatschappelijke zichtbaarheid van straffen voor verdachten met een zwakkere sociaaleconomische positie. Alleen zaken die bij de rechter voorkomen zijn immers openbaar. Deze sortering in de afdoeningsfase kan er daarnaast aan bijdragen dat de opgelegde straffen gemiddeld lichter zijn, aangezien alleen de rechter een gevangenisstraf kan opleggen. </w:t>
      </w:r>
    </w:p>
    <w:p w:rsidRPr="00D92524" w:rsidR="007F5280" w:rsidP="000C1950" w:rsidRDefault="007F5280" w14:paraId="5D2F7C51" w14:textId="77777777">
      <w:pPr>
        <w:rPr>
          <w:rFonts w:eastAsia="Calibri" w:cs="Arial"/>
          <w:color w:val="auto"/>
          <w:szCs w:val="22"/>
          <w:lang w:eastAsia="en-US"/>
        </w:rPr>
      </w:pPr>
    </w:p>
    <w:p w:rsidRPr="00D92524" w:rsidR="000C1950" w:rsidP="000C1950" w:rsidRDefault="000C1950" w14:paraId="4872BB37" w14:textId="77777777">
      <w:pPr>
        <w:rPr>
          <w:rFonts w:eastAsia="Calibri" w:cs="Arial"/>
          <w:color w:val="auto"/>
          <w:szCs w:val="22"/>
          <w:lang w:eastAsia="en-US"/>
        </w:rPr>
      </w:pPr>
      <w:r w:rsidRPr="00D92524">
        <w:rPr>
          <w:rFonts w:eastAsia="Calibri" w:cs="Arial"/>
          <w:color w:val="auto"/>
          <w:szCs w:val="22"/>
          <w:lang w:eastAsia="en-US"/>
        </w:rPr>
        <w:t>Gemiddeld genomen zijn de afdoeningsuitkomsten gunstiger voor verdachten met een sterkere sociaaleconomische positie dan voor verdachten met een zwakkere positie. Daarbij spelen verschillende aspecten van sociaaleconomische positie een rol, zoals werk, een opleiding, opleidingsniveau en financieel vermogen (inkomen en woningbezit). Migratieachtergrond speelt bij volwassen verdachten een kleinere rol dan sociaaleconomische kenmerken. Wel hebben verdachten met een tweede generatiemigratieachtergrond gemiddeld een hogere kans op berechting door de rechter en op zwaardere straffen, ook wanneer rekening wordt gehouden met de sociaaleconomische positie. Voorts krijgen verdachten zonder bekend woonadres relatief vaak een straf opgelegd door de rechter, met name een gevangenisstraf. Hoewel de opgelegde straffen dan gemiddeld vrij kort zijn, wijzen de bevindingen erop dat ook een instabiele woonsituatie samenhangt met zwaardere strafrechtelijke uitkomsten.</w:t>
      </w:r>
    </w:p>
    <w:p w:rsidRPr="00D92524" w:rsidR="000C1950" w:rsidP="000C1950" w:rsidRDefault="000C1950" w14:paraId="74850984" w14:textId="77777777">
      <w:pPr>
        <w:rPr>
          <w:rFonts w:eastAsia="Calibri" w:cs="Arial"/>
          <w:color w:val="auto"/>
          <w:szCs w:val="22"/>
          <w:lang w:eastAsia="en-US"/>
        </w:rPr>
      </w:pPr>
    </w:p>
    <w:p w:rsidRPr="00D92524" w:rsidR="000C1950" w:rsidP="000C1950" w:rsidRDefault="000C1950" w14:paraId="05187B36" w14:textId="13BE6881">
      <w:pPr>
        <w:rPr>
          <w:rFonts w:eastAsia="Calibri" w:cs="Arial"/>
          <w:color w:val="auto"/>
          <w:szCs w:val="22"/>
          <w:lang w:eastAsia="en-US"/>
        </w:rPr>
      </w:pPr>
      <w:r w:rsidRPr="00D92524">
        <w:rPr>
          <w:rFonts w:eastAsia="Calibri" w:cs="Arial"/>
          <w:color w:val="auto"/>
          <w:szCs w:val="22"/>
          <w:lang w:eastAsia="en-US"/>
        </w:rPr>
        <w:t xml:space="preserve">In het kwalitatieve onderzoek ‘Scherp op selectiviteit’ dat is uitgevoerd naar de geconstateerde verschillen, worden hiervoor meerdere </w:t>
      </w:r>
      <w:r w:rsidRPr="00D92524" w:rsidR="00791DF0">
        <w:rPr>
          <w:rFonts w:eastAsia="Calibri" w:cs="Arial"/>
          <w:color w:val="auto"/>
          <w:szCs w:val="22"/>
          <w:lang w:eastAsia="en-US"/>
        </w:rPr>
        <w:t xml:space="preserve">mogelijke </w:t>
      </w:r>
      <w:r w:rsidRPr="00D92524">
        <w:rPr>
          <w:rFonts w:eastAsia="Calibri" w:cs="Arial"/>
          <w:color w:val="auto"/>
          <w:szCs w:val="22"/>
          <w:lang w:eastAsia="en-US"/>
        </w:rPr>
        <w:t>verklaringen gegeven.</w:t>
      </w:r>
      <w:r w:rsidRPr="00D92524" w:rsidR="00D92524">
        <w:rPr>
          <w:rFonts w:eastAsia="Calibri" w:cs="Arial"/>
          <w:color w:val="auto"/>
          <w:szCs w:val="22"/>
          <w:lang w:eastAsia="en-US"/>
        </w:rPr>
        <w:t xml:space="preserve"> </w:t>
      </w:r>
      <w:r w:rsidRPr="00D92524">
        <w:rPr>
          <w:rFonts w:eastAsia="Calibri" w:cs="Arial"/>
          <w:color w:val="auto"/>
          <w:szCs w:val="22"/>
          <w:lang w:eastAsia="en-US"/>
        </w:rPr>
        <w:t xml:space="preserve">Zo wordt gewezen op de </w:t>
      </w:r>
      <w:r w:rsidRPr="00D92524" w:rsidR="00791DF0">
        <w:rPr>
          <w:rFonts w:eastAsia="Calibri" w:cs="Arial"/>
          <w:color w:val="auto"/>
          <w:szCs w:val="22"/>
          <w:lang w:eastAsia="en-US"/>
        </w:rPr>
        <w:t xml:space="preserve">mogelijkheid dat de </w:t>
      </w:r>
      <w:r w:rsidRPr="00D92524">
        <w:rPr>
          <w:rFonts w:eastAsia="Calibri" w:cs="Arial"/>
          <w:color w:val="auto"/>
          <w:szCs w:val="22"/>
          <w:lang w:eastAsia="en-US"/>
        </w:rPr>
        <w:t>werkdruk in de strafrechtketen</w:t>
      </w:r>
      <w:r w:rsidRPr="00D92524" w:rsidR="00791DF0">
        <w:rPr>
          <w:rFonts w:eastAsia="Calibri" w:cs="Arial"/>
          <w:color w:val="auto"/>
          <w:szCs w:val="22"/>
          <w:lang w:eastAsia="en-US"/>
        </w:rPr>
        <w:t xml:space="preserve"> ertoe kan leiden dat </w:t>
      </w:r>
      <w:r w:rsidRPr="00D92524">
        <w:rPr>
          <w:rFonts w:eastAsia="Calibri" w:cs="Arial"/>
          <w:color w:val="auto"/>
          <w:szCs w:val="22"/>
          <w:lang w:eastAsia="en-US"/>
        </w:rPr>
        <w:t>bepaalde vooroordelen al dan niet bewust worden meegenomen in de uiteindelijke beslissing. Een bijvoorbeeld daarvan is de relatie die men ziet tussen recidive en sociaaleconomische positie. Ook als die relatie zich voor de groep als geheel aftekent, hoeft dit nog niet in een individuele casus het geval te zijn.</w:t>
      </w:r>
      <w:r w:rsidRPr="00D92524" w:rsidR="00D92524">
        <w:rPr>
          <w:rFonts w:eastAsia="Calibri" w:cs="Arial"/>
          <w:color w:val="auto"/>
          <w:szCs w:val="22"/>
          <w:lang w:eastAsia="en-US"/>
        </w:rPr>
        <w:t xml:space="preserve"> </w:t>
      </w:r>
      <w:r w:rsidRPr="00D92524">
        <w:rPr>
          <w:rFonts w:eastAsia="Calibri" w:cs="Arial"/>
          <w:color w:val="auto"/>
          <w:szCs w:val="22"/>
          <w:lang w:eastAsia="en-US"/>
        </w:rPr>
        <w:t>Ten tweede kunnen culturele verschillen van invloed zijn. Denk aan de proceshouding en wijze van communiceren door de verdachte. Verdachten met een Nederlandse herkomst of betere sociaaleconomische positie kunnen zich vaak beter uiten en voegen naar de verwachtingen van de instanties.</w:t>
      </w:r>
      <w:r w:rsidRPr="00D92524" w:rsidR="00D92524">
        <w:rPr>
          <w:rFonts w:eastAsia="Calibri" w:cs="Arial"/>
          <w:color w:val="auto"/>
          <w:szCs w:val="22"/>
          <w:lang w:eastAsia="en-US"/>
        </w:rPr>
        <w:t xml:space="preserve"> </w:t>
      </w:r>
      <w:r w:rsidRPr="00D92524">
        <w:rPr>
          <w:rFonts w:eastAsia="Calibri" w:cs="Arial"/>
          <w:color w:val="auto"/>
          <w:szCs w:val="22"/>
          <w:lang w:eastAsia="en-US"/>
        </w:rPr>
        <w:t xml:space="preserve">En ten derde kan de intentie om de schade van de justitiële inzet te beperken onbedoeld leiden tot ongelijke behandeling. Ongelijkheid ontstaat dan niet omdat men verdachten met een ongunstiger uitgangspositie wil benadelen, maar omdat men verdachten die een betere positie hebben qua werk, onderdak of opleiding, wil behoeden voor verlies van de status quo. </w:t>
      </w:r>
    </w:p>
    <w:p w:rsidRPr="00D92524" w:rsidR="000C1950" w:rsidP="00E32EB2" w:rsidRDefault="000C1950" w14:paraId="2B34046E" w14:textId="77777777">
      <w:pPr>
        <w:rPr>
          <w:rFonts w:eastAsia="Calibri" w:cs="Arial"/>
          <w:b/>
          <w:bCs/>
          <w:color w:val="auto"/>
          <w:szCs w:val="22"/>
          <w:lang w:eastAsia="en-US"/>
        </w:rPr>
      </w:pPr>
    </w:p>
    <w:p w:rsidRPr="00D92524" w:rsidR="000C1950" w:rsidP="00E32EB2" w:rsidRDefault="005F4126" w14:paraId="51CC8C42" w14:textId="7CB95393">
      <w:pPr>
        <w:rPr>
          <w:rFonts w:eastAsia="Calibri" w:cs="Arial"/>
          <w:color w:val="auto"/>
          <w:szCs w:val="22"/>
          <w:lang w:eastAsia="en-US"/>
        </w:rPr>
      </w:pPr>
      <w:r w:rsidRPr="00D92524">
        <w:rPr>
          <w:rFonts w:eastAsia="Calibri" w:cs="Arial"/>
          <w:b/>
          <w:bCs/>
          <w:color w:val="auto"/>
          <w:szCs w:val="22"/>
          <w:lang w:eastAsia="en-US"/>
        </w:rPr>
        <w:t>Eerste reactie en v</w:t>
      </w:r>
      <w:r w:rsidRPr="00D92524" w:rsidR="00113B62">
        <w:rPr>
          <w:rFonts w:eastAsia="Calibri" w:cs="Arial"/>
          <w:b/>
          <w:bCs/>
          <w:color w:val="auto"/>
          <w:szCs w:val="22"/>
          <w:lang w:eastAsia="en-US"/>
        </w:rPr>
        <w:t>ervolg</w:t>
      </w:r>
    </w:p>
    <w:p w:rsidRPr="00D92524" w:rsidR="007830EE" w:rsidP="000C1950" w:rsidRDefault="00363CF3" w14:paraId="1E1A4237" w14:textId="6FC94854">
      <w:pPr>
        <w:rPr>
          <w:rFonts w:eastAsia="Calibri" w:cs="Arial"/>
          <w:color w:val="auto"/>
          <w:szCs w:val="22"/>
          <w:lang w:eastAsia="en-US"/>
        </w:rPr>
      </w:pPr>
      <w:r w:rsidRPr="00D92524">
        <w:rPr>
          <w:rFonts w:eastAsia="Calibri" w:cs="Arial"/>
          <w:color w:val="auto"/>
          <w:szCs w:val="22"/>
          <w:lang w:eastAsia="en-US"/>
        </w:rPr>
        <w:t xml:space="preserve">Gelijke behandeling is een van de basisprincipes van onze rechtsstaat. Dit geldt </w:t>
      </w:r>
      <w:r w:rsidRPr="00D92524" w:rsidR="00806502">
        <w:rPr>
          <w:rFonts w:eastAsia="Calibri" w:cs="Arial"/>
          <w:color w:val="auto"/>
          <w:szCs w:val="22"/>
          <w:lang w:eastAsia="en-US"/>
        </w:rPr>
        <w:t>zeker in</w:t>
      </w:r>
      <w:r w:rsidRPr="00D92524">
        <w:rPr>
          <w:rFonts w:eastAsia="Calibri" w:cs="Arial"/>
          <w:color w:val="auto"/>
          <w:szCs w:val="22"/>
          <w:lang w:eastAsia="en-US"/>
        </w:rPr>
        <w:t xml:space="preserve"> het strafrecht. Daarom moet elke vorm van ongerechtvaardigde ongelijke behandeling worden tegengegaan. </w:t>
      </w:r>
      <w:r w:rsidRPr="00D92524" w:rsidR="007830EE">
        <w:rPr>
          <w:rFonts w:eastAsia="Calibri" w:cs="Arial"/>
          <w:color w:val="auto"/>
          <w:szCs w:val="22"/>
          <w:lang w:eastAsia="en-US"/>
        </w:rPr>
        <w:t xml:space="preserve">Hoewel uit de bevindingen van de WODC-onderzoeken geen aanknopingspunten naar voren komen die zouden duiden op </w:t>
      </w:r>
      <w:r w:rsidRPr="00D92524" w:rsidR="007830EE">
        <w:rPr>
          <w:rFonts w:eastAsia="Calibri" w:cs="Arial"/>
          <w:color w:val="auto"/>
          <w:szCs w:val="22"/>
          <w:lang w:eastAsia="en-US"/>
        </w:rPr>
        <w:lastRenderedPageBreak/>
        <w:t xml:space="preserve">het bewust discrimineren van groepen verdachten op grond van sociaaleconomische positie of etniciteit, </w:t>
      </w:r>
      <w:r w:rsidRPr="00D92524" w:rsidR="007F5280">
        <w:rPr>
          <w:rFonts w:eastAsia="Calibri" w:cs="Arial"/>
          <w:color w:val="auto"/>
          <w:szCs w:val="22"/>
          <w:lang w:eastAsia="en-US"/>
        </w:rPr>
        <w:t xml:space="preserve">nemen </w:t>
      </w:r>
      <w:r w:rsidRPr="00D92524" w:rsidR="007830EE">
        <w:rPr>
          <w:rFonts w:eastAsia="Calibri" w:cs="Arial"/>
          <w:color w:val="auto"/>
          <w:szCs w:val="22"/>
          <w:lang w:eastAsia="en-US"/>
        </w:rPr>
        <w:t xml:space="preserve">wij de geconstateerde verschillen </w:t>
      </w:r>
      <w:r w:rsidRPr="00D92524" w:rsidR="007F5280">
        <w:rPr>
          <w:rFonts w:eastAsia="Calibri" w:cs="Arial"/>
          <w:color w:val="auto"/>
          <w:szCs w:val="22"/>
          <w:lang w:eastAsia="en-US"/>
        </w:rPr>
        <w:t>serieus</w:t>
      </w:r>
      <w:r w:rsidRPr="00D92524" w:rsidR="007830EE">
        <w:rPr>
          <w:rFonts w:eastAsia="Calibri" w:cs="Arial"/>
          <w:color w:val="auto"/>
          <w:szCs w:val="22"/>
          <w:lang w:eastAsia="en-US"/>
        </w:rPr>
        <w:t>.</w:t>
      </w:r>
      <w:r w:rsidRPr="00D92524" w:rsidR="00087748">
        <w:rPr>
          <w:rFonts w:eastAsia="Calibri" w:cs="Arial"/>
          <w:color w:val="auto"/>
          <w:szCs w:val="22"/>
          <w:lang w:eastAsia="en-US"/>
        </w:rPr>
        <w:t xml:space="preserve"> </w:t>
      </w:r>
    </w:p>
    <w:p w:rsidRPr="00D92524" w:rsidR="007F5280" w:rsidP="000C1950" w:rsidRDefault="007F5280" w14:paraId="653FAADD" w14:textId="77777777">
      <w:pPr>
        <w:rPr>
          <w:rFonts w:eastAsia="Calibri" w:cs="Arial"/>
          <w:color w:val="auto"/>
          <w:szCs w:val="22"/>
          <w:lang w:eastAsia="en-US"/>
        </w:rPr>
      </w:pPr>
    </w:p>
    <w:p w:rsidRPr="00D92524" w:rsidR="002B38A0" w:rsidP="000C1950" w:rsidRDefault="007F5280" w14:paraId="76B00438" w14:textId="3127D6B7">
      <w:pPr>
        <w:rPr>
          <w:rFonts w:eastAsia="Calibri" w:cs="Arial"/>
          <w:color w:val="auto"/>
          <w:szCs w:val="22"/>
          <w:lang w:eastAsia="en-US"/>
        </w:rPr>
      </w:pPr>
      <w:r w:rsidRPr="00D92524">
        <w:rPr>
          <w:rFonts w:eastAsia="Calibri" w:cs="Arial"/>
          <w:color w:val="auto"/>
          <w:szCs w:val="22"/>
          <w:lang w:eastAsia="en-US"/>
        </w:rPr>
        <w:t>Uw Kamer is bij</w:t>
      </w:r>
      <w:r w:rsidRPr="00D92524" w:rsidR="00087748">
        <w:rPr>
          <w:rFonts w:eastAsia="Calibri" w:cs="Arial"/>
          <w:color w:val="auto"/>
          <w:szCs w:val="22"/>
          <w:lang w:eastAsia="en-US"/>
        </w:rPr>
        <w:t xml:space="preserve"> brief van 18 april 2025 naar aanleiding van de uitkomsten van het onder van </w:t>
      </w:r>
      <w:proofErr w:type="spellStart"/>
      <w:r w:rsidRPr="00D92524" w:rsidR="00087748">
        <w:rPr>
          <w:rFonts w:eastAsia="Calibri" w:cs="Arial"/>
          <w:color w:val="auto"/>
          <w:szCs w:val="22"/>
          <w:lang w:eastAsia="en-US"/>
        </w:rPr>
        <w:t>Investico</w:t>
      </w:r>
      <w:proofErr w:type="spellEnd"/>
      <w:r w:rsidRPr="00D92524" w:rsidR="00087748">
        <w:rPr>
          <w:rFonts w:eastAsia="Calibri" w:cs="Arial"/>
          <w:color w:val="auto"/>
          <w:szCs w:val="22"/>
          <w:lang w:eastAsia="en-US"/>
        </w:rPr>
        <w:t xml:space="preserve"> en NOSop3</w:t>
      </w:r>
      <w:r w:rsidRPr="00D92524" w:rsidR="00363CF3">
        <w:rPr>
          <w:rFonts w:eastAsia="Calibri" w:cs="Arial"/>
          <w:color w:val="auto"/>
          <w:szCs w:val="22"/>
          <w:lang w:eastAsia="en-US"/>
        </w:rPr>
        <w:t xml:space="preserve"> </w:t>
      </w:r>
      <w:r w:rsidRPr="00D92524" w:rsidR="00087748">
        <w:rPr>
          <w:rFonts w:eastAsia="Calibri" w:cs="Arial"/>
          <w:color w:val="auto"/>
          <w:szCs w:val="22"/>
          <w:lang w:eastAsia="en-US"/>
        </w:rPr>
        <w:t xml:space="preserve">geïnformeerd </w:t>
      </w:r>
      <w:r w:rsidRPr="00D92524">
        <w:rPr>
          <w:rFonts w:eastAsia="Calibri" w:cs="Arial"/>
          <w:color w:val="auto"/>
          <w:szCs w:val="22"/>
          <w:lang w:eastAsia="en-US"/>
        </w:rPr>
        <w:t xml:space="preserve">over </w:t>
      </w:r>
      <w:r w:rsidRPr="00D92524" w:rsidR="00087748">
        <w:rPr>
          <w:rFonts w:eastAsia="Calibri" w:cs="Arial"/>
          <w:color w:val="auto"/>
          <w:szCs w:val="22"/>
          <w:lang w:eastAsia="en-US"/>
        </w:rPr>
        <w:t>welke maatregelen het OM en de Rechtspraak hebben genomen om ongerechtvaardigde ongelijke behandeling tegen te gaan.</w:t>
      </w:r>
      <w:r w:rsidRPr="00D92524">
        <w:rPr>
          <w:rStyle w:val="Voetnootmarkering"/>
          <w:rFonts w:eastAsia="Calibri" w:cs="Arial"/>
          <w:color w:val="auto"/>
          <w:szCs w:val="22"/>
          <w:lang w:eastAsia="en-US"/>
        </w:rPr>
        <w:footnoteReference w:id="5"/>
      </w:r>
      <w:r w:rsidRPr="00D92524" w:rsidR="00087748">
        <w:rPr>
          <w:rFonts w:eastAsia="Calibri" w:cs="Arial"/>
          <w:color w:val="auto"/>
          <w:szCs w:val="22"/>
          <w:lang w:eastAsia="en-US"/>
        </w:rPr>
        <w:t xml:space="preserve"> Zo besteedt het OM niet alleen aandacht aan bewustwording over gelijke behandeling door middel van cursussen en opleidingen voor de officieren van justitie, maar hanteert het ook een landelijk uniform strafvorderingsbeleid, strafmaatoverleg in zware en gevoelige zaken en de Landelijke reflectiekamer voor bespreking van regio-overschrijdende zaken, landelijk gevoelige zaken en complexe juridisch-inhoudelijke vraagstukken. </w:t>
      </w:r>
    </w:p>
    <w:p w:rsidRPr="00D92524" w:rsidR="005F4126" w:rsidP="000C1950" w:rsidRDefault="005F4126" w14:paraId="5B98BE31" w14:textId="77777777">
      <w:pPr>
        <w:rPr>
          <w:rFonts w:eastAsia="Calibri" w:cs="Arial"/>
          <w:color w:val="auto"/>
          <w:szCs w:val="22"/>
          <w:lang w:eastAsia="en-US"/>
        </w:rPr>
      </w:pPr>
    </w:p>
    <w:p w:rsidRPr="00D92524" w:rsidR="002B38A0" w:rsidP="000C1950" w:rsidRDefault="002B38A0" w14:paraId="63E85F97" w14:textId="5BD07138">
      <w:pPr>
        <w:rPr>
          <w:rFonts w:eastAsia="Calibri" w:cs="Arial"/>
          <w:color w:val="auto"/>
          <w:szCs w:val="22"/>
          <w:lang w:eastAsia="en-US"/>
        </w:rPr>
      </w:pPr>
      <w:r w:rsidRPr="00D92524">
        <w:rPr>
          <w:rFonts w:eastAsia="Calibri" w:cs="Arial"/>
          <w:color w:val="auto"/>
          <w:szCs w:val="22"/>
          <w:lang w:eastAsia="en-US"/>
        </w:rPr>
        <w:t xml:space="preserve">Binnen de Rechtspraak zijn ook maatregelen genomen om de kans op ongerechtvaardigde ongelijke behandeling zoveel mogelijk te verkleinen. Naar aanleiding van het genoemde onderzoek van </w:t>
      </w:r>
      <w:proofErr w:type="spellStart"/>
      <w:r w:rsidRPr="00D92524">
        <w:rPr>
          <w:rFonts w:eastAsia="Calibri" w:cs="Arial"/>
          <w:color w:val="auto"/>
          <w:szCs w:val="22"/>
          <w:lang w:eastAsia="en-US"/>
        </w:rPr>
        <w:t>Investico</w:t>
      </w:r>
      <w:proofErr w:type="spellEnd"/>
      <w:r w:rsidRPr="00D92524">
        <w:rPr>
          <w:rFonts w:eastAsia="Calibri" w:cs="Arial"/>
          <w:color w:val="auto"/>
          <w:szCs w:val="22"/>
          <w:lang w:eastAsia="en-US"/>
        </w:rPr>
        <w:t xml:space="preserve"> en NOSop3 is er binnen de Rechtspraak een actieplan opgesteld. Grotere bewustwording is in dat plan een belangrijke pijler, maar dit actieplan bevat ook het stimuleren van gesprekken tussen rechters onderling over mogelijke patronen in de straftoemetingspraktijk die duiden op bevooroordeelde besluitvorming en een voorstel om binnen de gerechten met alle medewerkers door middel van workshops te reflecteren op vooroordelen. Ook omvat het plan een voorstel om het scholingsaanbod voor rechters op het onderwerp rechterlijke oordeelsvorming door te lichten, aan te passen en uit te breiden. Ten</w:t>
      </w:r>
      <w:r w:rsidRPr="00D92524" w:rsidR="005F4126">
        <w:rPr>
          <w:rFonts w:eastAsia="Calibri" w:cs="Arial"/>
          <w:color w:val="auto"/>
          <w:szCs w:val="22"/>
          <w:lang w:eastAsia="en-US"/>
        </w:rPr>
        <w:t xml:space="preserve"> </w:t>
      </w:r>
      <w:r w:rsidRPr="00D92524">
        <w:rPr>
          <w:rFonts w:eastAsia="Calibri" w:cs="Arial"/>
          <w:color w:val="auto"/>
          <w:szCs w:val="22"/>
          <w:lang w:eastAsia="en-US"/>
        </w:rPr>
        <w:t>slotte is er een breed besef dat aanzienlijk meer werk moet worden gemaakt van het werkelijk vergroten van de diversiteit binnen de Rechtspraak. In het actieplan is daarom opgenomen dat bekeken zal worden welke mogelijkheden er zijn om acties op dit onderwerp te versnellen en te prioriteren.</w:t>
      </w:r>
      <w:r w:rsidRPr="00D92524" w:rsidR="00087748">
        <w:rPr>
          <w:rFonts w:eastAsia="Calibri" w:cs="Arial"/>
          <w:color w:val="auto"/>
          <w:szCs w:val="22"/>
          <w:lang w:eastAsia="en-US"/>
        </w:rPr>
        <w:t xml:space="preserve"> </w:t>
      </w:r>
    </w:p>
    <w:p w:rsidRPr="00D92524" w:rsidR="005F4126" w:rsidP="000C1950" w:rsidRDefault="005F4126" w14:paraId="7B9FF37E" w14:textId="77777777">
      <w:pPr>
        <w:rPr>
          <w:rFonts w:eastAsia="Calibri" w:cs="Arial"/>
          <w:color w:val="auto"/>
          <w:szCs w:val="22"/>
          <w:lang w:eastAsia="en-US"/>
        </w:rPr>
      </w:pPr>
    </w:p>
    <w:p w:rsidRPr="00D92524" w:rsidR="007830EE" w:rsidP="000C1950" w:rsidRDefault="002B38A0" w14:paraId="1FBCEF50" w14:textId="6F830ED2">
      <w:pPr>
        <w:rPr>
          <w:rFonts w:eastAsia="Calibri" w:cs="Arial"/>
          <w:color w:val="auto"/>
          <w:szCs w:val="22"/>
          <w:lang w:eastAsia="en-US"/>
        </w:rPr>
      </w:pPr>
      <w:r w:rsidRPr="00D92524">
        <w:rPr>
          <w:rFonts w:eastAsia="Calibri" w:cs="Arial"/>
          <w:color w:val="auto"/>
          <w:szCs w:val="22"/>
          <w:lang w:eastAsia="en-US"/>
        </w:rPr>
        <w:t xml:space="preserve">In de genoemde brief van 18 april 2025 </w:t>
      </w:r>
      <w:r w:rsidRPr="00D92524" w:rsidR="00EE0B51">
        <w:rPr>
          <w:rFonts w:eastAsia="Calibri" w:cs="Arial"/>
          <w:color w:val="auto"/>
          <w:szCs w:val="22"/>
          <w:lang w:eastAsia="en-US"/>
        </w:rPr>
        <w:t>is</w:t>
      </w:r>
      <w:r w:rsidRPr="00D92524">
        <w:rPr>
          <w:rFonts w:eastAsia="Calibri" w:cs="Arial"/>
          <w:color w:val="auto"/>
          <w:szCs w:val="22"/>
          <w:lang w:eastAsia="en-US"/>
        </w:rPr>
        <w:t xml:space="preserve"> aangegeven dat het WODC bezig was met twee onderzoeken, waarvan wij de rapporten vandaag aan uw Kamer aanbieden.</w:t>
      </w:r>
      <w:r w:rsidRPr="00D92524" w:rsidR="00087748">
        <w:rPr>
          <w:rFonts w:eastAsia="Calibri" w:cs="Arial"/>
          <w:color w:val="auto"/>
          <w:szCs w:val="22"/>
          <w:lang w:eastAsia="en-US"/>
        </w:rPr>
        <w:t xml:space="preserve"> </w:t>
      </w:r>
      <w:r w:rsidRPr="00D92524" w:rsidR="002903F2">
        <w:rPr>
          <w:rFonts w:eastAsia="Calibri" w:cs="Arial"/>
          <w:color w:val="auto"/>
          <w:szCs w:val="22"/>
          <w:lang w:eastAsia="en-US"/>
        </w:rPr>
        <w:t xml:space="preserve">Wij gaan de rapporten grondig bestuderen en zullen de </w:t>
      </w:r>
      <w:r w:rsidRPr="00D92524" w:rsidR="000C1950">
        <w:rPr>
          <w:rFonts w:eastAsia="Calibri" w:cs="Arial"/>
          <w:color w:val="auto"/>
          <w:szCs w:val="22"/>
          <w:lang w:eastAsia="en-US"/>
        </w:rPr>
        <w:t>bevindingen</w:t>
      </w:r>
      <w:r w:rsidRPr="00D92524" w:rsidR="002903F2">
        <w:rPr>
          <w:rFonts w:eastAsia="Calibri" w:cs="Arial"/>
          <w:color w:val="auto"/>
          <w:szCs w:val="22"/>
          <w:lang w:eastAsia="en-US"/>
        </w:rPr>
        <w:t xml:space="preserve"> de komende tijd met de betrokken ketenorganisaties bespreken. </w:t>
      </w:r>
      <w:r w:rsidRPr="00D92524" w:rsidR="007830EE">
        <w:rPr>
          <w:rFonts w:eastAsia="Calibri" w:cs="Arial"/>
          <w:color w:val="auto"/>
          <w:szCs w:val="22"/>
          <w:lang w:eastAsia="en-US"/>
        </w:rPr>
        <w:t xml:space="preserve">Ook zullen wij met de ketenorganisaties bespreken </w:t>
      </w:r>
      <w:r w:rsidRPr="00D92524" w:rsidR="007F5280">
        <w:rPr>
          <w:rFonts w:eastAsia="Calibri" w:cs="Arial"/>
          <w:color w:val="auto"/>
          <w:szCs w:val="22"/>
          <w:lang w:eastAsia="en-US"/>
        </w:rPr>
        <w:t xml:space="preserve">of en </w:t>
      </w:r>
      <w:r w:rsidRPr="00D92524" w:rsidR="007830EE">
        <w:rPr>
          <w:rFonts w:eastAsia="Calibri" w:cs="Arial"/>
          <w:color w:val="auto"/>
          <w:szCs w:val="22"/>
          <w:lang w:eastAsia="en-US"/>
        </w:rPr>
        <w:t xml:space="preserve">welke </w:t>
      </w:r>
      <w:r w:rsidRPr="00D92524" w:rsidR="005F4126">
        <w:rPr>
          <w:rFonts w:eastAsia="Calibri" w:cs="Arial"/>
          <w:color w:val="auto"/>
          <w:szCs w:val="22"/>
          <w:lang w:eastAsia="en-US"/>
        </w:rPr>
        <w:t xml:space="preserve">eventuele </w:t>
      </w:r>
      <w:r w:rsidRPr="00D92524" w:rsidR="007830EE">
        <w:rPr>
          <w:rFonts w:eastAsia="Calibri" w:cs="Arial"/>
          <w:color w:val="auto"/>
          <w:szCs w:val="22"/>
          <w:lang w:eastAsia="en-US"/>
        </w:rPr>
        <w:t>aanvullende maatregelen naar aanleiding van de bevindingen van de WODC-onderzoeken noodzakelijk zijn.</w:t>
      </w:r>
    </w:p>
    <w:p w:rsidRPr="00D92524" w:rsidR="000C1950" w:rsidP="000C1950" w:rsidRDefault="000C1950" w14:paraId="01DFA8BF" w14:textId="08BF9671">
      <w:pPr>
        <w:rPr>
          <w:rFonts w:eastAsia="Calibri" w:cs="Arial"/>
          <w:color w:val="auto"/>
          <w:szCs w:val="22"/>
          <w:lang w:eastAsia="en-US"/>
        </w:rPr>
      </w:pPr>
      <w:r w:rsidRPr="00D92524">
        <w:rPr>
          <w:rFonts w:eastAsia="Calibri" w:cs="Arial"/>
          <w:color w:val="auto"/>
          <w:szCs w:val="22"/>
          <w:lang w:eastAsia="en-US"/>
        </w:rPr>
        <w:t xml:space="preserve">Daarnaast heeft het WODC het voornemen om in de tweede helft van dit jaar een congres te organiseren over de uitkomsten en de aanbevelingen uit de onderzoeken. Daarvoor zullen ook de betrokken ketenorganisaties worden uitgenodigd. </w:t>
      </w:r>
    </w:p>
    <w:p w:rsidRPr="00D92524" w:rsidR="007830EE" w:rsidP="00B11994" w:rsidRDefault="007830EE" w14:paraId="1EE31F9A" w14:textId="77777777"/>
    <w:p w:rsidRPr="00D92524" w:rsidR="00350870" w:rsidP="00B11994" w:rsidRDefault="00350870" w14:paraId="53BA79CE" w14:textId="77777777"/>
    <w:p w:rsidRPr="00D92524" w:rsidR="00350870" w:rsidP="00B11994" w:rsidRDefault="00350870" w14:paraId="258FA91C" w14:textId="77777777"/>
    <w:p w:rsidRPr="00D92524" w:rsidR="00350870" w:rsidP="00B11994" w:rsidRDefault="00350870" w14:paraId="1A472C68" w14:textId="77777777"/>
    <w:p w:rsidRPr="00D92524" w:rsidR="00350870" w:rsidP="00B11994" w:rsidRDefault="00350870" w14:paraId="293D3EE4" w14:textId="77777777"/>
    <w:p w:rsidRPr="00D92524" w:rsidR="00350870" w:rsidP="00B11994" w:rsidRDefault="00350870" w14:paraId="4D0DF20E" w14:textId="77777777"/>
    <w:p w:rsidRPr="00D92524" w:rsidR="00350870" w:rsidP="00B11994" w:rsidRDefault="00350870" w14:paraId="01DF397F" w14:textId="77777777"/>
    <w:p w:rsidRPr="00D92524" w:rsidR="00350870" w:rsidP="00B11994" w:rsidRDefault="00350870" w14:paraId="786CC135" w14:textId="77777777"/>
    <w:p w:rsidRPr="00D92524" w:rsidR="00350870" w:rsidP="00B11994" w:rsidRDefault="00350870" w14:paraId="60B19AAB" w14:textId="77777777"/>
    <w:p w:rsidRPr="00D92524" w:rsidR="00350870" w:rsidP="00B11994" w:rsidRDefault="00350870" w14:paraId="209B7324" w14:textId="77777777"/>
    <w:p w:rsidRPr="00D92524" w:rsidR="00287BB5" w:rsidP="00B11994" w:rsidRDefault="00113B62" w14:paraId="46651BA1" w14:textId="3DFBE3D3">
      <w:r w:rsidRPr="00D92524">
        <w:lastRenderedPageBreak/>
        <w:t xml:space="preserve">Wij streven ernaar voor het einde van het lopende jaar inhoudelijk op de bevindingen en conclusies van de rapporten te reageren, waarbij we uw Kamer </w:t>
      </w:r>
      <w:r w:rsidRPr="00D92524" w:rsidR="00D60FC4">
        <w:t xml:space="preserve">ook </w:t>
      </w:r>
      <w:r w:rsidRPr="00D92524">
        <w:t xml:space="preserve">zullen informeren over </w:t>
      </w:r>
      <w:r w:rsidRPr="00D92524" w:rsidR="00D60FC4">
        <w:t>de uitkomsten van onze gesprekken met de betrokken ketenorganisaties</w:t>
      </w:r>
      <w:r w:rsidRPr="00D92524" w:rsidR="00806502">
        <w:t xml:space="preserve">. Tevens zullen wij ingaan </w:t>
      </w:r>
      <w:proofErr w:type="gramStart"/>
      <w:r w:rsidRPr="00D92524" w:rsidR="00806502">
        <w:t xml:space="preserve">op </w:t>
      </w:r>
      <w:r w:rsidRPr="00D92524" w:rsidR="00D60FC4">
        <w:t xml:space="preserve"> </w:t>
      </w:r>
      <w:r w:rsidRPr="00D92524">
        <w:t>eventuele</w:t>
      </w:r>
      <w:proofErr w:type="gramEnd"/>
      <w:r w:rsidRPr="00D92524">
        <w:t xml:space="preserve"> maatregelen die wij </w:t>
      </w:r>
      <w:r w:rsidRPr="00D92524" w:rsidR="00D60FC4">
        <w:t xml:space="preserve">naar aanleiding van de bevindingen van de </w:t>
      </w:r>
      <w:r w:rsidRPr="00D92524" w:rsidR="007830EE">
        <w:t>WODC-</w:t>
      </w:r>
      <w:r w:rsidRPr="00D92524" w:rsidR="00D60FC4">
        <w:t xml:space="preserve">onderzoeken </w:t>
      </w:r>
      <w:r w:rsidRPr="00D92524">
        <w:t>treffen</w:t>
      </w:r>
      <w:r w:rsidRPr="00D92524" w:rsidR="00D60FC4">
        <w:t>.</w:t>
      </w:r>
      <w:r w:rsidRPr="00D92524">
        <w:t xml:space="preserve"> </w:t>
      </w:r>
      <w:r w:rsidRPr="00D92524" w:rsidR="00E32EB2">
        <w:t xml:space="preserve"> </w:t>
      </w:r>
      <w:r w:rsidRPr="00D92524" w:rsidR="009162FD">
        <w:t xml:space="preserve"> </w:t>
      </w:r>
    </w:p>
    <w:p w:rsidRPr="00D92524" w:rsidR="00287BB5" w:rsidP="00B11994" w:rsidRDefault="00287BB5" w14:paraId="03689387" w14:textId="77777777"/>
    <w:p w:rsidRPr="00D92524" w:rsidR="0098512B" w:rsidRDefault="0098512B" w14:paraId="1CECE40E" w14:textId="77777777">
      <w:pPr>
        <w:rPr>
          <w:b/>
          <w:bCs/>
          <w:u w:val="single"/>
        </w:rPr>
      </w:pPr>
    </w:p>
    <w:p w:rsidRPr="00D92524" w:rsidR="004E00F8" w:rsidRDefault="002D08B2" w14:paraId="7555FF54" w14:textId="0320B6EC">
      <w:r w:rsidRPr="00D92524">
        <w:t>De Minister van Justitie en Veiligheid,</w:t>
      </w:r>
    </w:p>
    <w:p w:rsidRPr="00D92524" w:rsidR="002D08B2" w:rsidRDefault="002D08B2" w14:paraId="03B095B3" w14:textId="77777777"/>
    <w:p w:rsidRPr="00D92524" w:rsidR="002D08B2" w:rsidRDefault="002D08B2" w14:paraId="45A6CA4B" w14:textId="77777777"/>
    <w:p w:rsidRPr="00D92524" w:rsidR="002D08B2" w:rsidRDefault="002D08B2" w14:paraId="0F28D47A" w14:textId="77777777"/>
    <w:p w:rsidRPr="00D92524" w:rsidR="002D08B2" w:rsidRDefault="002D08B2" w14:paraId="49156631" w14:textId="77777777"/>
    <w:p w:rsidRPr="00D92524" w:rsidR="002D08B2" w:rsidRDefault="002D08B2" w14:paraId="38638DAF" w14:textId="5291DF1B">
      <w:r w:rsidRPr="00D92524">
        <w:t>D.M. van Weel</w:t>
      </w:r>
    </w:p>
    <w:p w:rsidRPr="00D92524" w:rsidR="002D08B2" w:rsidRDefault="002D08B2" w14:paraId="5AB10B9F" w14:textId="77777777"/>
    <w:p w:rsidRPr="00D92524" w:rsidR="004330DF" w:rsidRDefault="004330DF" w14:paraId="7962B79E" w14:textId="77777777"/>
    <w:p w:rsidRPr="00D92524" w:rsidR="004E00F8" w:rsidRDefault="002D08B2" w14:paraId="2FD30860" w14:textId="3E3ACDAE">
      <w:r w:rsidRPr="00D92524">
        <w:t xml:space="preserve">De Staatssecretaris </w:t>
      </w:r>
      <w:r w:rsidRPr="00D92524" w:rsidR="00B448F4">
        <w:t>van Justitie en Veiligheid</w:t>
      </w:r>
      <w:r w:rsidRPr="00D92524">
        <w:t>,</w:t>
      </w:r>
    </w:p>
    <w:p w:rsidRPr="00D92524" w:rsidR="002D08B2" w:rsidRDefault="002D08B2" w14:paraId="7189B413" w14:textId="77777777"/>
    <w:p w:rsidRPr="00D92524" w:rsidR="002D08B2" w:rsidRDefault="002D08B2" w14:paraId="64CEA958" w14:textId="77777777"/>
    <w:p w:rsidRPr="00D92524" w:rsidR="00335462" w:rsidRDefault="00335462" w14:paraId="45945417" w14:textId="77777777"/>
    <w:p w:rsidRPr="00D92524" w:rsidR="00335462" w:rsidRDefault="00335462" w14:paraId="2815BE9E" w14:textId="77777777"/>
    <w:p w:rsidR="00FC5340" w:rsidP="00FC5340" w:rsidRDefault="00FC5340" w14:paraId="2EA8960A" w14:textId="77777777">
      <w:r>
        <w:t>Claudia van Bruggen</w:t>
      </w:r>
    </w:p>
    <w:p w:rsidR="002D08B2" w:rsidRDefault="002D08B2" w14:paraId="247CC4A7" w14:textId="77777777"/>
    <w:p w:rsidR="004E00F8" w:rsidRDefault="004E00F8" w14:paraId="6B6FCE56" w14:textId="45A67208"/>
    <w:sectPr w:rsidR="004E00F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D86E" w14:textId="77777777" w:rsidR="00BA4CEC" w:rsidRDefault="00BA4CEC">
      <w:pPr>
        <w:spacing w:line="240" w:lineRule="auto"/>
      </w:pPr>
      <w:r>
        <w:separator/>
      </w:r>
    </w:p>
  </w:endnote>
  <w:endnote w:type="continuationSeparator" w:id="0">
    <w:p w14:paraId="6909D67C" w14:textId="77777777" w:rsidR="00BA4CEC" w:rsidRDefault="00BA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9846" w14:textId="77777777" w:rsidR="004E00F8" w:rsidRDefault="004E00F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282D" w14:textId="77777777" w:rsidR="00BA4CEC" w:rsidRDefault="00BA4CEC">
      <w:pPr>
        <w:spacing w:line="240" w:lineRule="auto"/>
      </w:pPr>
      <w:r>
        <w:separator/>
      </w:r>
    </w:p>
  </w:footnote>
  <w:footnote w:type="continuationSeparator" w:id="0">
    <w:p w14:paraId="6312E458" w14:textId="77777777" w:rsidR="00BA4CEC" w:rsidRDefault="00BA4CEC">
      <w:pPr>
        <w:spacing w:line="240" w:lineRule="auto"/>
      </w:pPr>
      <w:r>
        <w:continuationSeparator/>
      </w:r>
    </w:p>
  </w:footnote>
  <w:footnote w:id="1">
    <w:p w14:paraId="6231CD6B" w14:textId="159A4BD8" w:rsidR="006E50F8" w:rsidRPr="007F5280" w:rsidRDefault="006E50F8">
      <w:pPr>
        <w:pStyle w:val="Voetnoottekst"/>
        <w:rPr>
          <w:sz w:val="16"/>
          <w:szCs w:val="16"/>
        </w:rPr>
      </w:pPr>
      <w:r w:rsidRPr="007F5280">
        <w:rPr>
          <w:rStyle w:val="Voetnootmarkering"/>
          <w:sz w:val="16"/>
          <w:szCs w:val="16"/>
        </w:rPr>
        <w:footnoteRef/>
      </w:r>
      <w:r w:rsidRPr="007F5280">
        <w:rPr>
          <w:sz w:val="16"/>
          <w:szCs w:val="16"/>
        </w:rPr>
        <w:t xml:space="preserve"> Kamerstukken II, 2024</w:t>
      </w:r>
      <w:r w:rsidR="00350870">
        <w:rPr>
          <w:sz w:val="16"/>
          <w:szCs w:val="16"/>
        </w:rPr>
        <w:t>/</w:t>
      </w:r>
      <w:r w:rsidRPr="007F5280">
        <w:rPr>
          <w:sz w:val="16"/>
          <w:szCs w:val="16"/>
        </w:rPr>
        <w:t>2025, 29 279, nr. 976.</w:t>
      </w:r>
    </w:p>
  </w:footnote>
  <w:footnote w:id="2">
    <w:p w14:paraId="31F55C0A" w14:textId="4F8E880D" w:rsidR="00CB5F00" w:rsidRPr="007F5280" w:rsidRDefault="00CB5F00" w:rsidP="00CB5F00">
      <w:pPr>
        <w:pStyle w:val="Voetnoottekst"/>
        <w:rPr>
          <w:rFonts w:asciiTheme="minorHAnsi" w:hAnsiTheme="minorHAnsi" w:cstheme="minorBidi"/>
          <w:color w:val="000000" w:themeColor="text1"/>
          <w:sz w:val="16"/>
          <w:szCs w:val="16"/>
          <w:lang w:eastAsia="en-US"/>
        </w:rPr>
      </w:pPr>
      <w:r w:rsidRPr="007F5280">
        <w:rPr>
          <w:rStyle w:val="Voetnootmarkering"/>
          <w:sz w:val="16"/>
          <w:szCs w:val="16"/>
        </w:rPr>
        <w:footnoteRef/>
      </w:r>
      <w:r w:rsidRPr="007F5280">
        <w:rPr>
          <w:sz w:val="16"/>
          <w:szCs w:val="16"/>
        </w:rPr>
        <w:t xml:space="preserve"> Kamerstukken II</w:t>
      </w:r>
      <w:r w:rsidR="00350870">
        <w:rPr>
          <w:sz w:val="16"/>
          <w:szCs w:val="16"/>
        </w:rPr>
        <w:t>,</w:t>
      </w:r>
      <w:r w:rsidRPr="007F5280">
        <w:rPr>
          <w:sz w:val="16"/>
          <w:szCs w:val="16"/>
        </w:rPr>
        <w:t xml:space="preserve"> 2021/</w:t>
      </w:r>
      <w:r w:rsidR="00350870">
        <w:rPr>
          <w:sz w:val="16"/>
          <w:szCs w:val="16"/>
        </w:rPr>
        <w:t>20</w:t>
      </w:r>
      <w:r w:rsidRPr="007F5280">
        <w:rPr>
          <w:sz w:val="16"/>
          <w:szCs w:val="16"/>
        </w:rPr>
        <w:t>22, 35</w:t>
      </w:r>
      <w:r w:rsidR="00A90BFB" w:rsidRPr="007F5280">
        <w:rPr>
          <w:sz w:val="16"/>
          <w:szCs w:val="16"/>
        </w:rPr>
        <w:t xml:space="preserve"> </w:t>
      </w:r>
      <w:r w:rsidRPr="007F5280">
        <w:rPr>
          <w:sz w:val="16"/>
          <w:szCs w:val="16"/>
        </w:rPr>
        <w:t>570, nr. 31</w:t>
      </w:r>
      <w:r w:rsidR="00A90BFB" w:rsidRPr="007F5280">
        <w:rPr>
          <w:sz w:val="16"/>
          <w:szCs w:val="16"/>
        </w:rPr>
        <w:t>.</w:t>
      </w:r>
    </w:p>
  </w:footnote>
  <w:footnote w:id="3">
    <w:p w14:paraId="7E3730F1" w14:textId="6FF9D202" w:rsidR="000150D7" w:rsidRPr="007F5280" w:rsidRDefault="000150D7">
      <w:pPr>
        <w:pStyle w:val="Voetnoottekst"/>
        <w:rPr>
          <w:sz w:val="16"/>
          <w:szCs w:val="16"/>
        </w:rPr>
      </w:pPr>
      <w:r w:rsidRPr="007F5280">
        <w:rPr>
          <w:rStyle w:val="Voetnootmarkering"/>
          <w:sz w:val="16"/>
          <w:szCs w:val="16"/>
        </w:rPr>
        <w:footnoteRef/>
      </w:r>
      <w:r w:rsidRPr="007F5280">
        <w:rPr>
          <w:sz w:val="16"/>
          <w:szCs w:val="16"/>
        </w:rPr>
        <w:t xml:space="preserve"> Kamerstukken II, 2020/2021,35 570, nr. 107. </w:t>
      </w:r>
    </w:p>
  </w:footnote>
  <w:footnote w:id="4">
    <w:p w14:paraId="2CD8C972" w14:textId="3DCF2A17" w:rsidR="00CB5F00" w:rsidRPr="007F5280" w:rsidRDefault="00CB5F00" w:rsidP="00CB5F00">
      <w:pPr>
        <w:pStyle w:val="Voetnoottekst"/>
        <w:rPr>
          <w:sz w:val="16"/>
          <w:szCs w:val="16"/>
        </w:rPr>
      </w:pPr>
      <w:r w:rsidRPr="007F5280">
        <w:rPr>
          <w:rStyle w:val="Voetnootmarkering"/>
          <w:sz w:val="16"/>
          <w:szCs w:val="16"/>
        </w:rPr>
        <w:footnoteRef/>
      </w:r>
      <w:r w:rsidRPr="007F5280">
        <w:rPr>
          <w:sz w:val="16"/>
          <w:szCs w:val="16"/>
        </w:rPr>
        <w:t xml:space="preserve"> Kamerstukken II</w:t>
      </w:r>
      <w:r w:rsidR="00350870">
        <w:rPr>
          <w:sz w:val="16"/>
          <w:szCs w:val="16"/>
        </w:rPr>
        <w:t>,</w:t>
      </w:r>
      <w:r w:rsidRPr="007F5280">
        <w:rPr>
          <w:i/>
          <w:iCs/>
          <w:sz w:val="16"/>
          <w:szCs w:val="16"/>
        </w:rPr>
        <w:t xml:space="preserve"> </w:t>
      </w:r>
      <w:r w:rsidRPr="007F5280">
        <w:rPr>
          <w:sz w:val="16"/>
          <w:szCs w:val="16"/>
        </w:rPr>
        <w:t>2018/2019, 35 000 VI, nr. 53</w:t>
      </w:r>
      <w:r w:rsidR="00A90BFB" w:rsidRPr="007F5280">
        <w:rPr>
          <w:sz w:val="16"/>
          <w:szCs w:val="16"/>
        </w:rPr>
        <w:t>.</w:t>
      </w:r>
    </w:p>
  </w:footnote>
  <w:footnote w:id="5">
    <w:p w14:paraId="5E438F0D" w14:textId="405F445F" w:rsidR="007F5280" w:rsidRPr="007F5280" w:rsidRDefault="007F5280" w:rsidP="007F5280">
      <w:pPr>
        <w:pStyle w:val="Voetnoottekst"/>
        <w:rPr>
          <w:sz w:val="16"/>
          <w:szCs w:val="16"/>
        </w:rPr>
      </w:pPr>
      <w:r w:rsidRPr="007F5280">
        <w:rPr>
          <w:rStyle w:val="Voetnootmarkering"/>
          <w:sz w:val="16"/>
          <w:szCs w:val="16"/>
        </w:rPr>
        <w:footnoteRef/>
      </w:r>
      <w:r w:rsidRPr="007F5280">
        <w:rPr>
          <w:sz w:val="16"/>
          <w:szCs w:val="16"/>
        </w:rPr>
        <w:t xml:space="preserve"> </w:t>
      </w:r>
      <w:r w:rsidR="00350870">
        <w:rPr>
          <w:sz w:val="16"/>
          <w:szCs w:val="16"/>
        </w:rPr>
        <w:t>Kamerstukken II</w:t>
      </w:r>
      <w:r w:rsidRPr="007F5280">
        <w:rPr>
          <w:sz w:val="16"/>
          <w:szCs w:val="16"/>
        </w:rPr>
        <w:t>, 2024</w:t>
      </w:r>
      <w:r w:rsidR="00350870">
        <w:rPr>
          <w:sz w:val="16"/>
          <w:szCs w:val="16"/>
        </w:rPr>
        <w:t>/</w:t>
      </w:r>
      <w:r w:rsidRPr="007F5280">
        <w:rPr>
          <w:sz w:val="16"/>
          <w:szCs w:val="16"/>
        </w:rPr>
        <w:t>2025, 30 950, nr. 452</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099B" w14:textId="77777777" w:rsidR="004E00F8" w:rsidRDefault="00922CF4">
    <w:r>
      <w:rPr>
        <w:noProof/>
      </w:rPr>
      <mc:AlternateContent>
        <mc:Choice Requires="wps">
          <w:drawing>
            <wp:anchor distT="0" distB="0" distL="0" distR="0" simplePos="0" relativeHeight="251652608" behindDoc="0" locked="1" layoutInCell="1" allowOverlap="1" wp14:anchorId="1F3F973C" wp14:editId="659994F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6D3B18" w14:textId="07798987" w:rsidR="00EC41FF" w:rsidRDefault="00EC41FF" w:rsidP="00EC41FF">
                          <w:pPr>
                            <w:pStyle w:val="Referentiegegevensbold"/>
                          </w:pPr>
                          <w:r>
                            <w:t xml:space="preserve">Directoraat-Generaal </w:t>
                          </w:r>
                          <w:r w:rsidR="00CB5F00">
                            <w:t>Rechtshandhaving en Rechtspleging</w:t>
                          </w:r>
                        </w:p>
                        <w:p w14:paraId="6880DE8F" w14:textId="1C5BD91E" w:rsidR="00EC41FF" w:rsidRPr="00904399" w:rsidRDefault="00EC41FF" w:rsidP="00EC41FF">
                          <w:pPr>
                            <w:pStyle w:val="Referentiegegevens"/>
                          </w:pPr>
                          <w:r>
                            <w:t xml:space="preserve">Directie </w:t>
                          </w:r>
                          <w:r w:rsidR="00CB5F00">
                            <w:t>Rechtsbestel</w:t>
                          </w:r>
                        </w:p>
                        <w:p w14:paraId="32E701CC" w14:textId="77777777" w:rsidR="00EC41FF" w:rsidRDefault="00EC41FF" w:rsidP="00EC41FF">
                          <w:pPr>
                            <w:pStyle w:val="WitregelW1"/>
                          </w:pPr>
                        </w:p>
                        <w:p w14:paraId="7461FC1F" w14:textId="77777777" w:rsidR="004E00F8" w:rsidRDefault="00922CF4">
                          <w:pPr>
                            <w:pStyle w:val="Referentiegegevensbold"/>
                          </w:pPr>
                          <w:r>
                            <w:t>Datum</w:t>
                          </w:r>
                        </w:p>
                        <w:p w14:paraId="6E122F97" w14:textId="3ECEEC39" w:rsidR="004E00F8" w:rsidRDefault="00242AB0">
                          <w:pPr>
                            <w:pStyle w:val="Referentiegegevens"/>
                          </w:pPr>
                          <w:sdt>
                            <w:sdtPr>
                              <w:id w:val="1725182436"/>
                              <w:date w:fullDate="2026-06-16T00:00:00Z">
                                <w:dateFormat w:val="d MMMM yyyy"/>
                                <w:lid w:val="nl"/>
                                <w:storeMappedDataAs w:val="dateTime"/>
                                <w:calendar w:val="gregorian"/>
                              </w:date>
                            </w:sdtPr>
                            <w:sdtEndPr/>
                            <w:sdtContent>
                              <w:r w:rsidR="00922CF4">
                                <w:t>1</w:t>
                              </w:r>
                              <w:r w:rsidR="00806502">
                                <w:t>6</w:t>
                              </w:r>
                              <w:r w:rsidR="00922CF4">
                                <w:t xml:space="preserve"> juni 202</w:t>
                              </w:r>
                              <w:r w:rsidR="00CB5F00">
                                <w:t>6</w:t>
                              </w:r>
                            </w:sdtContent>
                          </w:sdt>
                        </w:p>
                        <w:p w14:paraId="4AB89749" w14:textId="77777777" w:rsidR="004E00F8" w:rsidRDefault="004E00F8">
                          <w:pPr>
                            <w:pStyle w:val="WitregelW1"/>
                          </w:pPr>
                        </w:p>
                        <w:p w14:paraId="2690A6DC" w14:textId="77777777" w:rsidR="004E00F8" w:rsidRDefault="00922CF4">
                          <w:pPr>
                            <w:pStyle w:val="Referentiegegevensbold"/>
                          </w:pPr>
                          <w:r>
                            <w:t>Onze referentie</w:t>
                          </w:r>
                        </w:p>
                        <w:p w14:paraId="165E0983" w14:textId="6A6DEA9A" w:rsidR="004E00F8" w:rsidRDefault="007A6072">
                          <w:pPr>
                            <w:pStyle w:val="Referentiegegevens"/>
                          </w:pPr>
                          <w:r>
                            <w:t>7670513</w:t>
                          </w:r>
                        </w:p>
                      </w:txbxContent>
                    </wps:txbx>
                    <wps:bodyPr vert="horz" wrap="square" lIns="0" tIns="0" rIns="0" bIns="0" anchor="t" anchorCtr="0"/>
                  </wps:wsp>
                </a:graphicData>
              </a:graphic>
            </wp:anchor>
          </w:drawing>
        </mc:Choice>
        <mc:Fallback>
          <w:pict>
            <v:shapetype w14:anchorId="1F3F973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6D3B18" w14:textId="07798987" w:rsidR="00EC41FF" w:rsidRDefault="00EC41FF" w:rsidP="00EC41FF">
                    <w:pPr>
                      <w:pStyle w:val="Referentiegegevensbold"/>
                    </w:pPr>
                    <w:r>
                      <w:t xml:space="preserve">Directoraat-Generaal </w:t>
                    </w:r>
                    <w:r w:rsidR="00CB5F00">
                      <w:t>Rechtshandhaving en Rechtspleging</w:t>
                    </w:r>
                  </w:p>
                  <w:p w14:paraId="6880DE8F" w14:textId="1C5BD91E" w:rsidR="00EC41FF" w:rsidRPr="00904399" w:rsidRDefault="00EC41FF" w:rsidP="00EC41FF">
                    <w:pPr>
                      <w:pStyle w:val="Referentiegegevens"/>
                    </w:pPr>
                    <w:r>
                      <w:t xml:space="preserve">Directie </w:t>
                    </w:r>
                    <w:r w:rsidR="00CB5F00">
                      <w:t>Rechtsbestel</w:t>
                    </w:r>
                  </w:p>
                  <w:p w14:paraId="32E701CC" w14:textId="77777777" w:rsidR="00EC41FF" w:rsidRDefault="00EC41FF" w:rsidP="00EC41FF">
                    <w:pPr>
                      <w:pStyle w:val="WitregelW1"/>
                    </w:pPr>
                  </w:p>
                  <w:p w14:paraId="7461FC1F" w14:textId="77777777" w:rsidR="004E00F8" w:rsidRDefault="00922CF4">
                    <w:pPr>
                      <w:pStyle w:val="Referentiegegevensbold"/>
                    </w:pPr>
                    <w:r>
                      <w:t>Datum</w:t>
                    </w:r>
                  </w:p>
                  <w:p w14:paraId="6E122F97" w14:textId="3ECEEC39" w:rsidR="004E00F8" w:rsidRDefault="00242AB0">
                    <w:pPr>
                      <w:pStyle w:val="Referentiegegevens"/>
                    </w:pPr>
                    <w:sdt>
                      <w:sdtPr>
                        <w:id w:val="1725182436"/>
                        <w:date w:fullDate="2026-06-16T00:00:00Z">
                          <w:dateFormat w:val="d MMMM yyyy"/>
                          <w:lid w:val="nl"/>
                          <w:storeMappedDataAs w:val="dateTime"/>
                          <w:calendar w:val="gregorian"/>
                        </w:date>
                      </w:sdtPr>
                      <w:sdtEndPr/>
                      <w:sdtContent>
                        <w:r w:rsidR="00922CF4">
                          <w:t>1</w:t>
                        </w:r>
                        <w:r w:rsidR="00806502">
                          <w:t>6</w:t>
                        </w:r>
                        <w:r w:rsidR="00922CF4">
                          <w:t xml:space="preserve"> juni 202</w:t>
                        </w:r>
                        <w:r w:rsidR="00CB5F00">
                          <w:t>6</w:t>
                        </w:r>
                      </w:sdtContent>
                    </w:sdt>
                  </w:p>
                  <w:p w14:paraId="4AB89749" w14:textId="77777777" w:rsidR="004E00F8" w:rsidRDefault="004E00F8">
                    <w:pPr>
                      <w:pStyle w:val="WitregelW1"/>
                    </w:pPr>
                  </w:p>
                  <w:p w14:paraId="2690A6DC" w14:textId="77777777" w:rsidR="004E00F8" w:rsidRDefault="00922CF4">
                    <w:pPr>
                      <w:pStyle w:val="Referentiegegevensbold"/>
                    </w:pPr>
                    <w:r>
                      <w:t>Onze referentie</w:t>
                    </w:r>
                  </w:p>
                  <w:p w14:paraId="165E0983" w14:textId="6A6DEA9A" w:rsidR="004E00F8" w:rsidRDefault="007A6072">
                    <w:pPr>
                      <w:pStyle w:val="Referentiegegevens"/>
                    </w:pPr>
                    <w:r>
                      <w:t>7670513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F49C19" wp14:editId="7615592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FA9A73" w14:textId="77777777" w:rsidR="00922CF4" w:rsidRDefault="00922CF4"/>
                      </w:txbxContent>
                    </wps:txbx>
                    <wps:bodyPr vert="horz" wrap="square" lIns="0" tIns="0" rIns="0" bIns="0" anchor="t" anchorCtr="0"/>
                  </wps:wsp>
                </a:graphicData>
              </a:graphic>
            </wp:anchor>
          </w:drawing>
        </mc:Choice>
        <mc:Fallback>
          <w:pict>
            <v:shape w14:anchorId="4FF49C1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FA9A73" w14:textId="77777777" w:rsidR="00922CF4" w:rsidRDefault="00922CF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C0A007D" wp14:editId="16C194A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39D562" w14:textId="7C00B819" w:rsidR="004E00F8" w:rsidRDefault="00922CF4">
                          <w:pPr>
                            <w:pStyle w:val="Referentiegegevens"/>
                          </w:pPr>
                          <w:r>
                            <w:t xml:space="preserve">Pagina </w:t>
                          </w:r>
                          <w:r>
                            <w:fldChar w:fldCharType="begin"/>
                          </w:r>
                          <w:r>
                            <w:instrText>PAGE</w:instrText>
                          </w:r>
                          <w:r>
                            <w:fldChar w:fldCharType="separate"/>
                          </w:r>
                          <w:r w:rsidR="009577C9">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C0A007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339D562" w14:textId="7C00B819" w:rsidR="004E00F8" w:rsidRDefault="00922CF4">
                    <w:pPr>
                      <w:pStyle w:val="Referentiegegevens"/>
                    </w:pPr>
                    <w:r>
                      <w:t xml:space="preserve">Pagina </w:t>
                    </w:r>
                    <w:r>
                      <w:fldChar w:fldCharType="begin"/>
                    </w:r>
                    <w:r>
                      <w:instrText>PAGE</w:instrText>
                    </w:r>
                    <w:r>
                      <w:fldChar w:fldCharType="separate"/>
                    </w:r>
                    <w:r w:rsidR="009577C9">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ABD5" w14:textId="5734E6E6" w:rsidR="004E00F8" w:rsidRDefault="00922CF4">
    <w:pPr>
      <w:spacing w:after="6377" w:line="14" w:lineRule="exact"/>
    </w:pPr>
    <w:r>
      <w:rPr>
        <w:noProof/>
      </w:rPr>
      <mc:AlternateContent>
        <mc:Choice Requires="wps">
          <w:drawing>
            <wp:anchor distT="0" distB="0" distL="0" distR="0" simplePos="0" relativeHeight="251655680" behindDoc="0" locked="1" layoutInCell="1" allowOverlap="1" wp14:anchorId="1B708AF6" wp14:editId="478FAD0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6F24D7" w14:textId="77777777" w:rsidR="00922CF4" w:rsidRDefault="00922CF4">
                          <w:r>
                            <w:t xml:space="preserve">Aan de Voorzitter van de Tweede Kamer </w:t>
                          </w:r>
                        </w:p>
                        <w:p w14:paraId="5C550E4E" w14:textId="6F1B1E87" w:rsidR="004E00F8" w:rsidRDefault="00922CF4">
                          <w:proofErr w:type="gramStart"/>
                          <w:r>
                            <w:t>der</w:t>
                          </w:r>
                          <w:proofErr w:type="gramEnd"/>
                          <w:r>
                            <w:t xml:space="preserve"> Staten-Generaal</w:t>
                          </w:r>
                        </w:p>
                        <w:p w14:paraId="4612A771" w14:textId="77777777" w:rsidR="004E00F8" w:rsidRDefault="00922CF4">
                          <w:r>
                            <w:t xml:space="preserve">Postbus 20018 </w:t>
                          </w:r>
                        </w:p>
                        <w:p w14:paraId="54AE8379" w14:textId="77777777" w:rsidR="004E00F8" w:rsidRDefault="00922CF4">
                          <w:r>
                            <w:t>2500 EA  DEN HAAG</w:t>
                          </w:r>
                        </w:p>
                      </w:txbxContent>
                    </wps:txbx>
                    <wps:bodyPr vert="horz" wrap="square" lIns="0" tIns="0" rIns="0" bIns="0" anchor="t" anchorCtr="0"/>
                  </wps:wsp>
                </a:graphicData>
              </a:graphic>
            </wp:anchor>
          </w:drawing>
        </mc:Choice>
        <mc:Fallback>
          <w:pict>
            <v:shapetype w14:anchorId="1B708AF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6F24D7" w14:textId="77777777" w:rsidR="00922CF4" w:rsidRDefault="00922CF4">
                    <w:r>
                      <w:t xml:space="preserve">Aan de Voorzitter van de Tweede Kamer </w:t>
                    </w:r>
                  </w:p>
                  <w:p w14:paraId="5C550E4E" w14:textId="6F1B1E87" w:rsidR="004E00F8" w:rsidRDefault="00922CF4">
                    <w:proofErr w:type="gramStart"/>
                    <w:r>
                      <w:t>der</w:t>
                    </w:r>
                    <w:proofErr w:type="gramEnd"/>
                    <w:r>
                      <w:t xml:space="preserve"> Staten-Generaal</w:t>
                    </w:r>
                  </w:p>
                  <w:p w14:paraId="4612A771" w14:textId="77777777" w:rsidR="004E00F8" w:rsidRDefault="00922CF4">
                    <w:r>
                      <w:t xml:space="preserve">Postbus 20018 </w:t>
                    </w:r>
                  </w:p>
                  <w:p w14:paraId="54AE8379" w14:textId="77777777" w:rsidR="004E00F8" w:rsidRDefault="00922CF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DECA43A" wp14:editId="5D86A779">
              <wp:simplePos x="0" y="0"/>
              <wp:positionH relativeFrom="margin">
                <wp:align>right</wp:align>
              </wp:positionH>
              <wp:positionV relativeFrom="page">
                <wp:posOffset>3352800</wp:posOffset>
              </wp:positionV>
              <wp:extent cx="4794250" cy="520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4250" cy="520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E00F8" w14:paraId="2490A497" w14:textId="77777777">
                            <w:trPr>
                              <w:trHeight w:val="240"/>
                            </w:trPr>
                            <w:tc>
                              <w:tcPr>
                                <w:tcW w:w="1140" w:type="dxa"/>
                              </w:tcPr>
                              <w:p w14:paraId="22AEE826" w14:textId="77777777" w:rsidR="004E00F8" w:rsidRDefault="00922CF4">
                                <w:r>
                                  <w:t>Datum</w:t>
                                </w:r>
                              </w:p>
                            </w:tc>
                            <w:tc>
                              <w:tcPr>
                                <w:tcW w:w="5918" w:type="dxa"/>
                              </w:tcPr>
                              <w:p w14:paraId="2B0CC93B" w14:textId="177105D8" w:rsidR="004E00F8" w:rsidRDefault="00242AB0">
                                <w:sdt>
                                  <w:sdtPr>
                                    <w:id w:val="-219371827"/>
                                    <w:date w:fullDate="2026-06-16T00:00:00Z">
                                      <w:dateFormat w:val="d MMMM yyyy"/>
                                      <w:lid w:val="nl"/>
                                      <w:storeMappedDataAs w:val="dateTime"/>
                                      <w:calendar w:val="gregorian"/>
                                    </w:date>
                                  </w:sdtPr>
                                  <w:sdtEndPr/>
                                  <w:sdtContent>
                                    <w:r w:rsidR="0088523B">
                                      <w:rPr>
                                        <w:lang w:val="nl"/>
                                      </w:rPr>
                                      <w:t>1</w:t>
                                    </w:r>
                                    <w:r w:rsidR="00806502">
                                      <w:rPr>
                                        <w:lang w:val="nl"/>
                                      </w:rPr>
                                      <w:t>6</w:t>
                                    </w:r>
                                    <w:r w:rsidR="0088523B">
                                      <w:rPr>
                                        <w:lang w:val="nl"/>
                                      </w:rPr>
                                      <w:t xml:space="preserve"> juni 2026</w:t>
                                    </w:r>
                                  </w:sdtContent>
                                </w:sdt>
                              </w:p>
                            </w:tc>
                          </w:tr>
                          <w:tr w:rsidR="004E00F8" w14:paraId="14BF8B1E" w14:textId="77777777">
                            <w:trPr>
                              <w:trHeight w:val="240"/>
                            </w:trPr>
                            <w:tc>
                              <w:tcPr>
                                <w:tcW w:w="1140" w:type="dxa"/>
                              </w:tcPr>
                              <w:p w14:paraId="5C070B9F" w14:textId="77777777" w:rsidR="004E00F8" w:rsidRDefault="00922CF4">
                                <w:r>
                                  <w:t>Betreft</w:t>
                                </w:r>
                              </w:p>
                            </w:tc>
                            <w:tc>
                              <w:tcPr>
                                <w:tcW w:w="5918" w:type="dxa"/>
                              </w:tcPr>
                              <w:p w14:paraId="1555B9A4" w14:textId="08DBD6C6" w:rsidR="004E00F8" w:rsidRDefault="00FE50BC">
                                <w:r>
                                  <w:t>Aanbieding</w:t>
                                </w:r>
                                <w:r w:rsidR="00641C17">
                                  <w:t xml:space="preserve"> </w:t>
                                </w:r>
                                <w:r w:rsidR="00922CF4">
                                  <w:t>WODC-rapport</w:t>
                                </w:r>
                                <w:r w:rsidR="00940EBB">
                                  <w:t xml:space="preserve">en </w:t>
                                </w:r>
                                <w:r w:rsidR="00641C17">
                                  <w:t>selectiviteit in de strafrechtketen</w:t>
                                </w:r>
                                <w:r w:rsidR="00940EBB">
                                  <w:t xml:space="preserve">  </w:t>
                                </w:r>
                              </w:p>
                            </w:tc>
                          </w:tr>
                        </w:tbl>
                        <w:p w14:paraId="1348BCC4" w14:textId="77777777" w:rsidR="00922CF4" w:rsidRDefault="00922CF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A43A" id="46feebd0-aa3c-11ea-a756-beb5f67e67be" o:spid="_x0000_s1030" type="#_x0000_t202" style="position:absolute;margin-left:326.3pt;margin-top:264pt;width:377.5pt;height:41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E00F8" w14:paraId="2490A497" w14:textId="77777777">
                      <w:trPr>
                        <w:trHeight w:val="240"/>
                      </w:trPr>
                      <w:tc>
                        <w:tcPr>
                          <w:tcW w:w="1140" w:type="dxa"/>
                        </w:tcPr>
                        <w:p w14:paraId="22AEE826" w14:textId="77777777" w:rsidR="004E00F8" w:rsidRDefault="00922CF4">
                          <w:r>
                            <w:t>Datum</w:t>
                          </w:r>
                        </w:p>
                      </w:tc>
                      <w:tc>
                        <w:tcPr>
                          <w:tcW w:w="5918" w:type="dxa"/>
                        </w:tcPr>
                        <w:p w14:paraId="2B0CC93B" w14:textId="177105D8" w:rsidR="004E00F8" w:rsidRDefault="00242AB0">
                          <w:sdt>
                            <w:sdtPr>
                              <w:id w:val="-219371827"/>
                              <w:date w:fullDate="2026-06-16T00:00:00Z">
                                <w:dateFormat w:val="d MMMM yyyy"/>
                                <w:lid w:val="nl"/>
                                <w:storeMappedDataAs w:val="dateTime"/>
                                <w:calendar w:val="gregorian"/>
                              </w:date>
                            </w:sdtPr>
                            <w:sdtEndPr/>
                            <w:sdtContent>
                              <w:r w:rsidR="0088523B">
                                <w:rPr>
                                  <w:lang w:val="nl"/>
                                </w:rPr>
                                <w:t>1</w:t>
                              </w:r>
                              <w:r w:rsidR="00806502">
                                <w:rPr>
                                  <w:lang w:val="nl"/>
                                </w:rPr>
                                <w:t>6</w:t>
                              </w:r>
                              <w:r w:rsidR="0088523B">
                                <w:rPr>
                                  <w:lang w:val="nl"/>
                                </w:rPr>
                                <w:t xml:space="preserve"> juni 2026</w:t>
                              </w:r>
                            </w:sdtContent>
                          </w:sdt>
                        </w:p>
                      </w:tc>
                    </w:tr>
                    <w:tr w:rsidR="004E00F8" w14:paraId="14BF8B1E" w14:textId="77777777">
                      <w:trPr>
                        <w:trHeight w:val="240"/>
                      </w:trPr>
                      <w:tc>
                        <w:tcPr>
                          <w:tcW w:w="1140" w:type="dxa"/>
                        </w:tcPr>
                        <w:p w14:paraId="5C070B9F" w14:textId="77777777" w:rsidR="004E00F8" w:rsidRDefault="00922CF4">
                          <w:r>
                            <w:t>Betreft</w:t>
                          </w:r>
                        </w:p>
                      </w:tc>
                      <w:tc>
                        <w:tcPr>
                          <w:tcW w:w="5918" w:type="dxa"/>
                        </w:tcPr>
                        <w:p w14:paraId="1555B9A4" w14:textId="08DBD6C6" w:rsidR="004E00F8" w:rsidRDefault="00FE50BC">
                          <w:r>
                            <w:t>Aanbieding</w:t>
                          </w:r>
                          <w:r w:rsidR="00641C17">
                            <w:t xml:space="preserve"> </w:t>
                          </w:r>
                          <w:r w:rsidR="00922CF4">
                            <w:t>WODC-rapport</w:t>
                          </w:r>
                          <w:r w:rsidR="00940EBB">
                            <w:t xml:space="preserve">en </w:t>
                          </w:r>
                          <w:r w:rsidR="00641C17">
                            <w:t>selectiviteit in de strafrechtketen</w:t>
                          </w:r>
                          <w:r w:rsidR="00940EBB">
                            <w:t xml:space="preserve">  </w:t>
                          </w:r>
                        </w:p>
                      </w:tc>
                    </w:tr>
                  </w:tbl>
                  <w:p w14:paraId="1348BCC4" w14:textId="77777777" w:rsidR="00922CF4" w:rsidRDefault="00922CF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67C0A15" wp14:editId="5F9B7A2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5E224E" w14:textId="37F0AEB0" w:rsidR="00151C79" w:rsidRPr="00151C79" w:rsidRDefault="00151C79" w:rsidP="00151C79">
                          <w:pPr>
                            <w:pStyle w:val="Referentiegegevensbold"/>
                            <w:rPr>
                              <w:spacing w:val="-4"/>
                            </w:rPr>
                          </w:pPr>
                          <w:r w:rsidRPr="00151C79">
                            <w:rPr>
                              <w:spacing w:val="-4"/>
                            </w:rPr>
                            <w:t>Directoraat-Generaal Rechtspleging en Rechtshandhaving</w:t>
                          </w:r>
                        </w:p>
                        <w:p w14:paraId="3456CCF3" w14:textId="77777777" w:rsidR="00151C79" w:rsidRPr="00940EBB" w:rsidRDefault="00151C79" w:rsidP="00940EBB">
                          <w:pPr>
                            <w:pStyle w:val="Referentiegegevensbold"/>
                            <w:rPr>
                              <w:b w:val="0"/>
                              <w:bCs/>
                              <w:spacing w:val="-4"/>
                            </w:rPr>
                          </w:pPr>
                          <w:r w:rsidRPr="00940EBB">
                            <w:rPr>
                              <w:b w:val="0"/>
                              <w:bCs/>
                              <w:spacing w:val="-4"/>
                            </w:rPr>
                            <w:t>Directie Rechtsbestel</w:t>
                          </w:r>
                        </w:p>
                        <w:p w14:paraId="41A4F597" w14:textId="01014C1D" w:rsidR="00922CF4" w:rsidRPr="00904399" w:rsidRDefault="00922CF4" w:rsidP="00940EBB">
                          <w:pPr>
                            <w:pStyle w:val="Referentiegegevensbold"/>
                          </w:pPr>
                        </w:p>
                        <w:p w14:paraId="706E8462" w14:textId="77777777" w:rsidR="00922CF4" w:rsidRDefault="00922CF4" w:rsidP="00922CF4">
                          <w:pPr>
                            <w:pStyle w:val="WitregelW1"/>
                          </w:pPr>
                        </w:p>
                        <w:p w14:paraId="5AD99E55" w14:textId="77777777" w:rsidR="00922CF4" w:rsidRPr="00E318F4" w:rsidRDefault="00922CF4" w:rsidP="00922CF4">
                          <w:pPr>
                            <w:pStyle w:val="Referentiegegevens"/>
                            <w:rPr>
                              <w:lang w:val="de-DE"/>
                            </w:rPr>
                          </w:pPr>
                          <w:r w:rsidRPr="00E318F4">
                            <w:rPr>
                              <w:lang w:val="de-DE"/>
                            </w:rPr>
                            <w:t>Turfmarkt 147</w:t>
                          </w:r>
                        </w:p>
                        <w:p w14:paraId="699C1119" w14:textId="77777777" w:rsidR="00922CF4" w:rsidRPr="00E318F4" w:rsidRDefault="00922CF4" w:rsidP="00922CF4">
                          <w:pPr>
                            <w:pStyle w:val="Referentiegegevens"/>
                            <w:rPr>
                              <w:lang w:val="de-DE"/>
                            </w:rPr>
                          </w:pPr>
                          <w:r w:rsidRPr="00E318F4">
                            <w:rPr>
                              <w:lang w:val="de-DE"/>
                            </w:rPr>
                            <w:t>2511 DP   Den Haag</w:t>
                          </w:r>
                        </w:p>
                        <w:p w14:paraId="2348CD57" w14:textId="77777777" w:rsidR="00922CF4" w:rsidRPr="00E318F4" w:rsidRDefault="00922CF4" w:rsidP="00922CF4">
                          <w:pPr>
                            <w:pStyle w:val="Referentiegegevens"/>
                            <w:rPr>
                              <w:lang w:val="de-DE"/>
                            </w:rPr>
                          </w:pPr>
                          <w:r w:rsidRPr="00E318F4">
                            <w:rPr>
                              <w:lang w:val="de-DE"/>
                            </w:rPr>
                            <w:t>Postbus 20301</w:t>
                          </w:r>
                        </w:p>
                        <w:p w14:paraId="3AFA539B" w14:textId="77777777" w:rsidR="00922CF4" w:rsidRPr="00E318F4" w:rsidRDefault="00922CF4" w:rsidP="00922CF4">
                          <w:pPr>
                            <w:pStyle w:val="Referentiegegevens"/>
                            <w:rPr>
                              <w:lang w:val="de-DE"/>
                            </w:rPr>
                          </w:pPr>
                          <w:r w:rsidRPr="00E318F4">
                            <w:rPr>
                              <w:lang w:val="de-DE"/>
                            </w:rPr>
                            <w:t>2500 EH   Den Haag</w:t>
                          </w:r>
                        </w:p>
                        <w:p w14:paraId="30662259" w14:textId="77777777" w:rsidR="00922CF4" w:rsidRPr="00E318F4" w:rsidRDefault="00922CF4" w:rsidP="00922CF4">
                          <w:pPr>
                            <w:pStyle w:val="Referentiegegevens"/>
                            <w:rPr>
                              <w:lang w:val="de-DE"/>
                            </w:rPr>
                          </w:pPr>
                          <w:r w:rsidRPr="00E318F4">
                            <w:rPr>
                              <w:lang w:val="de-DE"/>
                            </w:rPr>
                            <w:t>www.rijksoverheid.nl/jenv</w:t>
                          </w:r>
                        </w:p>
                        <w:p w14:paraId="7EF20697" w14:textId="77777777" w:rsidR="004E00F8" w:rsidRPr="006629F1" w:rsidRDefault="004E00F8">
                          <w:pPr>
                            <w:pStyle w:val="WitregelW2"/>
                            <w:rPr>
                              <w:lang w:val="de-DE"/>
                            </w:rPr>
                          </w:pPr>
                        </w:p>
                        <w:p w14:paraId="25F3C312" w14:textId="77777777" w:rsidR="004E00F8" w:rsidRDefault="00922CF4">
                          <w:pPr>
                            <w:pStyle w:val="Referentiegegevensbold"/>
                          </w:pPr>
                          <w:r>
                            <w:t>Onze referentie</w:t>
                          </w:r>
                        </w:p>
                        <w:p w14:paraId="19F5F25D" w14:textId="77777777" w:rsidR="007A6072" w:rsidRDefault="007A6072" w:rsidP="007A6072">
                          <w:pPr>
                            <w:pStyle w:val="Referentiegegevens"/>
                          </w:pPr>
                          <w:r>
                            <w:t>7670513</w:t>
                          </w:r>
                        </w:p>
                        <w:p w14:paraId="64D5182E" w14:textId="13B96864" w:rsidR="004E00F8" w:rsidRDefault="004E00F8">
                          <w:pPr>
                            <w:pStyle w:val="Referentiegegevens"/>
                          </w:pPr>
                        </w:p>
                      </w:txbxContent>
                    </wps:txbx>
                    <wps:bodyPr vert="horz" wrap="square" lIns="0" tIns="0" rIns="0" bIns="0" anchor="t" anchorCtr="0"/>
                  </wps:wsp>
                </a:graphicData>
              </a:graphic>
            </wp:anchor>
          </w:drawing>
        </mc:Choice>
        <mc:Fallback>
          <w:pict>
            <v:shape w14:anchorId="067C0A1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65E224E" w14:textId="37F0AEB0" w:rsidR="00151C79" w:rsidRPr="00151C79" w:rsidRDefault="00151C79" w:rsidP="00151C79">
                    <w:pPr>
                      <w:pStyle w:val="Referentiegegevensbold"/>
                      <w:rPr>
                        <w:spacing w:val="-4"/>
                      </w:rPr>
                    </w:pPr>
                    <w:r w:rsidRPr="00151C79">
                      <w:rPr>
                        <w:spacing w:val="-4"/>
                      </w:rPr>
                      <w:t>Directoraat-Generaal Rechtspleging en Rechtshandhaving</w:t>
                    </w:r>
                  </w:p>
                  <w:p w14:paraId="3456CCF3" w14:textId="77777777" w:rsidR="00151C79" w:rsidRPr="00940EBB" w:rsidRDefault="00151C79" w:rsidP="00940EBB">
                    <w:pPr>
                      <w:pStyle w:val="Referentiegegevensbold"/>
                      <w:rPr>
                        <w:b w:val="0"/>
                        <w:bCs/>
                        <w:spacing w:val="-4"/>
                      </w:rPr>
                    </w:pPr>
                    <w:r w:rsidRPr="00940EBB">
                      <w:rPr>
                        <w:b w:val="0"/>
                        <w:bCs/>
                        <w:spacing w:val="-4"/>
                      </w:rPr>
                      <w:t>Directie Rechtsbestel</w:t>
                    </w:r>
                  </w:p>
                  <w:p w14:paraId="41A4F597" w14:textId="01014C1D" w:rsidR="00922CF4" w:rsidRPr="00904399" w:rsidRDefault="00922CF4" w:rsidP="00940EBB">
                    <w:pPr>
                      <w:pStyle w:val="Referentiegegevensbold"/>
                    </w:pPr>
                  </w:p>
                  <w:p w14:paraId="706E8462" w14:textId="77777777" w:rsidR="00922CF4" w:rsidRDefault="00922CF4" w:rsidP="00922CF4">
                    <w:pPr>
                      <w:pStyle w:val="WitregelW1"/>
                    </w:pPr>
                  </w:p>
                  <w:p w14:paraId="5AD99E55" w14:textId="77777777" w:rsidR="00922CF4" w:rsidRPr="00E318F4" w:rsidRDefault="00922CF4" w:rsidP="00922CF4">
                    <w:pPr>
                      <w:pStyle w:val="Referentiegegevens"/>
                      <w:rPr>
                        <w:lang w:val="de-DE"/>
                      </w:rPr>
                    </w:pPr>
                    <w:r w:rsidRPr="00E318F4">
                      <w:rPr>
                        <w:lang w:val="de-DE"/>
                      </w:rPr>
                      <w:t>Turfmarkt 147</w:t>
                    </w:r>
                  </w:p>
                  <w:p w14:paraId="699C1119" w14:textId="77777777" w:rsidR="00922CF4" w:rsidRPr="00E318F4" w:rsidRDefault="00922CF4" w:rsidP="00922CF4">
                    <w:pPr>
                      <w:pStyle w:val="Referentiegegevens"/>
                      <w:rPr>
                        <w:lang w:val="de-DE"/>
                      </w:rPr>
                    </w:pPr>
                    <w:r w:rsidRPr="00E318F4">
                      <w:rPr>
                        <w:lang w:val="de-DE"/>
                      </w:rPr>
                      <w:t>2511 DP   Den Haag</w:t>
                    </w:r>
                  </w:p>
                  <w:p w14:paraId="2348CD57" w14:textId="77777777" w:rsidR="00922CF4" w:rsidRPr="00E318F4" w:rsidRDefault="00922CF4" w:rsidP="00922CF4">
                    <w:pPr>
                      <w:pStyle w:val="Referentiegegevens"/>
                      <w:rPr>
                        <w:lang w:val="de-DE"/>
                      </w:rPr>
                    </w:pPr>
                    <w:r w:rsidRPr="00E318F4">
                      <w:rPr>
                        <w:lang w:val="de-DE"/>
                      </w:rPr>
                      <w:t>Postbus 20301</w:t>
                    </w:r>
                  </w:p>
                  <w:p w14:paraId="3AFA539B" w14:textId="77777777" w:rsidR="00922CF4" w:rsidRPr="00E318F4" w:rsidRDefault="00922CF4" w:rsidP="00922CF4">
                    <w:pPr>
                      <w:pStyle w:val="Referentiegegevens"/>
                      <w:rPr>
                        <w:lang w:val="de-DE"/>
                      </w:rPr>
                    </w:pPr>
                    <w:r w:rsidRPr="00E318F4">
                      <w:rPr>
                        <w:lang w:val="de-DE"/>
                      </w:rPr>
                      <w:t>2500 EH   Den Haag</w:t>
                    </w:r>
                  </w:p>
                  <w:p w14:paraId="30662259" w14:textId="77777777" w:rsidR="00922CF4" w:rsidRPr="00E318F4" w:rsidRDefault="00922CF4" w:rsidP="00922CF4">
                    <w:pPr>
                      <w:pStyle w:val="Referentiegegevens"/>
                      <w:rPr>
                        <w:lang w:val="de-DE"/>
                      </w:rPr>
                    </w:pPr>
                    <w:r w:rsidRPr="00E318F4">
                      <w:rPr>
                        <w:lang w:val="de-DE"/>
                      </w:rPr>
                      <w:t>www.rijksoverheid.nl/jenv</w:t>
                    </w:r>
                  </w:p>
                  <w:p w14:paraId="7EF20697" w14:textId="77777777" w:rsidR="004E00F8" w:rsidRPr="006629F1" w:rsidRDefault="004E00F8">
                    <w:pPr>
                      <w:pStyle w:val="WitregelW2"/>
                      <w:rPr>
                        <w:lang w:val="de-DE"/>
                      </w:rPr>
                    </w:pPr>
                  </w:p>
                  <w:p w14:paraId="25F3C312" w14:textId="77777777" w:rsidR="004E00F8" w:rsidRDefault="00922CF4">
                    <w:pPr>
                      <w:pStyle w:val="Referentiegegevensbold"/>
                    </w:pPr>
                    <w:r>
                      <w:t>Onze referentie</w:t>
                    </w:r>
                  </w:p>
                  <w:p w14:paraId="19F5F25D" w14:textId="77777777" w:rsidR="007A6072" w:rsidRDefault="007A6072" w:rsidP="007A6072">
                    <w:pPr>
                      <w:pStyle w:val="Referentiegegevens"/>
                    </w:pPr>
                    <w:r>
                      <w:t>7670513</w:t>
                    </w:r>
                  </w:p>
                  <w:p w14:paraId="64D5182E" w14:textId="13B96864" w:rsidR="004E00F8" w:rsidRDefault="004E00F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A92E29" wp14:editId="775CC37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5E04CB" w14:textId="77777777" w:rsidR="00922CF4" w:rsidRDefault="00922CF4"/>
                      </w:txbxContent>
                    </wps:txbx>
                    <wps:bodyPr vert="horz" wrap="square" lIns="0" tIns="0" rIns="0" bIns="0" anchor="t" anchorCtr="0"/>
                  </wps:wsp>
                </a:graphicData>
              </a:graphic>
            </wp:anchor>
          </w:drawing>
        </mc:Choice>
        <mc:Fallback>
          <w:pict>
            <v:shape w14:anchorId="6AA92E2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95E04CB" w14:textId="77777777" w:rsidR="00922CF4" w:rsidRDefault="00922CF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C4A87E" wp14:editId="5F80BD0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EC897F" w14:textId="77777777" w:rsidR="004E00F8" w:rsidRDefault="00922CF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CC4A87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7EC897F" w14:textId="77777777" w:rsidR="004E00F8" w:rsidRDefault="00922CF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E03B16" wp14:editId="7D47A5C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EF60A3" w14:textId="77777777" w:rsidR="004E00F8" w:rsidRDefault="00922CF4">
                          <w:pPr>
                            <w:spacing w:line="240" w:lineRule="auto"/>
                          </w:pPr>
                          <w:r>
                            <w:rPr>
                              <w:noProof/>
                            </w:rPr>
                            <w:drawing>
                              <wp:inline distT="0" distB="0" distL="0" distR="0" wp14:anchorId="1CEC2BA4" wp14:editId="2B52F60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E03B1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3EF60A3" w14:textId="77777777" w:rsidR="004E00F8" w:rsidRDefault="00922CF4">
                    <w:pPr>
                      <w:spacing w:line="240" w:lineRule="auto"/>
                    </w:pPr>
                    <w:r>
                      <w:rPr>
                        <w:noProof/>
                      </w:rPr>
                      <w:drawing>
                        <wp:inline distT="0" distB="0" distL="0" distR="0" wp14:anchorId="1CEC2BA4" wp14:editId="2B52F60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0AF23D3" wp14:editId="19FE246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04A0A0" w14:textId="77777777" w:rsidR="004E00F8" w:rsidRDefault="00922CF4">
                          <w:pPr>
                            <w:spacing w:line="240" w:lineRule="auto"/>
                          </w:pPr>
                          <w:r>
                            <w:rPr>
                              <w:noProof/>
                            </w:rPr>
                            <w:drawing>
                              <wp:inline distT="0" distB="0" distL="0" distR="0" wp14:anchorId="28B4BD37" wp14:editId="38CB9E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AF23D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04A0A0" w14:textId="77777777" w:rsidR="004E00F8" w:rsidRDefault="00922CF4">
                    <w:pPr>
                      <w:spacing w:line="240" w:lineRule="auto"/>
                    </w:pPr>
                    <w:r>
                      <w:rPr>
                        <w:noProof/>
                      </w:rPr>
                      <w:drawing>
                        <wp:inline distT="0" distB="0" distL="0" distR="0" wp14:anchorId="28B4BD37" wp14:editId="38CB9E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C75996" wp14:editId="0BC4A4F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F79DD7" w14:textId="71007ACA" w:rsidR="004E00F8" w:rsidRDefault="00922CF4">
                          <w:pPr>
                            <w:pStyle w:val="Referentiegegevens"/>
                          </w:pPr>
                          <w:r>
                            <w:t xml:space="preserve">&gt; Retouradres   </w:t>
                          </w:r>
                          <w:r w:rsidR="00FC5340">
                            <w:br/>
                          </w:r>
                        </w:p>
                        <w:p w14:paraId="7B8BD547" w14:textId="77777777" w:rsidR="00FC5340" w:rsidRPr="00FC5340" w:rsidRDefault="00FC5340" w:rsidP="00FC5340"/>
                      </w:txbxContent>
                    </wps:txbx>
                    <wps:bodyPr vert="horz" wrap="square" lIns="0" tIns="0" rIns="0" bIns="0" anchor="t" anchorCtr="0"/>
                  </wps:wsp>
                </a:graphicData>
              </a:graphic>
            </wp:anchor>
          </w:drawing>
        </mc:Choice>
        <mc:Fallback>
          <w:pict>
            <v:shape w14:anchorId="45C7599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F79DD7" w14:textId="71007ACA" w:rsidR="004E00F8" w:rsidRDefault="00922CF4">
                    <w:pPr>
                      <w:pStyle w:val="Referentiegegevens"/>
                    </w:pPr>
                    <w:r>
                      <w:t xml:space="preserve">&gt; Retouradres   </w:t>
                    </w:r>
                    <w:r w:rsidR="00FC5340">
                      <w:br/>
                    </w:r>
                  </w:p>
                  <w:p w14:paraId="7B8BD547" w14:textId="77777777" w:rsidR="00FC5340" w:rsidRPr="00FC5340" w:rsidRDefault="00FC5340" w:rsidP="00FC534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68D4F"/>
    <w:multiLevelType w:val="multilevel"/>
    <w:tmpl w:val="343A38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F2DDAC"/>
    <w:multiLevelType w:val="multilevel"/>
    <w:tmpl w:val="115AAF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D18C2F"/>
    <w:multiLevelType w:val="multilevel"/>
    <w:tmpl w:val="1C94AB3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A633FE3"/>
    <w:multiLevelType w:val="multilevel"/>
    <w:tmpl w:val="72FE26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07963369"/>
    <w:multiLevelType w:val="multilevel"/>
    <w:tmpl w:val="9BD0F4AA"/>
    <w:styleLink w:val="LijstalineaWODC"/>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6" w15:restartNumberingAfterBreak="0">
    <w:nsid w:val="09261B25"/>
    <w:multiLevelType w:val="hybridMultilevel"/>
    <w:tmpl w:val="0336A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572606"/>
    <w:multiLevelType w:val="hybridMultilevel"/>
    <w:tmpl w:val="00D66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7D15E1"/>
    <w:multiLevelType w:val="multilevel"/>
    <w:tmpl w:val="310E7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E4910"/>
    <w:multiLevelType w:val="hybridMultilevel"/>
    <w:tmpl w:val="740A03D6"/>
    <w:lvl w:ilvl="0" w:tplc="2398CAB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0E66C9"/>
    <w:multiLevelType w:val="multilevel"/>
    <w:tmpl w:val="B3B1B9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A623416"/>
    <w:multiLevelType w:val="hybridMultilevel"/>
    <w:tmpl w:val="D2EC6714"/>
    <w:lvl w:ilvl="0" w:tplc="4378E7EE">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173B68"/>
    <w:multiLevelType w:val="multilevel"/>
    <w:tmpl w:val="66068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B1747"/>
    <w:multiLevelType w:val="multilevel"/>
    <w:tmpl w:val="0DCCA0B4"/>
    <w:styleLink w:val="LijstnummeringWODC"/>
    <w:lvl w:ilvl="0">
      <w:start w:val="1"/>
      <w:numFmt w:val="decimal"/>
      <w:pStyle w:val="Lijstnummering"/>
      <w:lvlText w:val="%1"/>
      <w:lvlJc w:val="left"/>
      <w:pPr>
        <w:ind w:left="46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6171894"/>
    <w:multiLevelType w:val="multilevel"/>
    <w:tmpl w:val="0DCCA0B4"/>
    <w:numStyleLink w:val="LijstnummeringWODC"/>
  </w:abstractNum>
  <w:abstractNum w:abstractNumId="15" w15:restartNumberingAfterBreak="0">
    <w:nsid w:val="48FF1650"/>
    <w:multiLevelType w:val="hybridMultilevel"/>
    <w:tmpl w:val="C30E6ED0"/>
    <w:lvl w:ilvl="0" w:tplc="666215E2">
      <w:start w:val="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755593D"/>
    <w:multiLevelType w:val="multilevel"/>
    <w:tmpl w:val="C8B0CE0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73E61AE1"/>
    <w:multiLevelType w:val="hybridMultilevel"/>
    <w:tmpl w:val="38662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63105F"/>
    <w:multiLevelType w:val="hybridMultilevel"/>
    <w:tmpl w:val="CB482CFE"/>
    <w:lvl w:ilvl="0" w:tplc="4378E7EE">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34207698">
    <w:abstractNumId w:val="2"/>
  </w:num>
  <w:num w:numId="2" w16cid:durableId="929703004">
    <w:abstractNumId w:val="16"/>
  </w:num>
  <w:num w:numId="3" w16cid:durableId="104859691">
    <w:abstractNumId w:val="3"/>
  </w:num>
  <w:num w:numId="4" w16cid:durableId="1997031419">
    <w:abstractNumId w:val="1"/>
  </w:num>
  <w:num w:numId="5" w16cid:durableId="431245135">
    <w:abstractNumId w:val="0"/>
  </w:num>
  <w:num w:numId="6" w16cid:durableId="1370766960">
    <w:abstractNumId w:val="10"/>
  </w:num>
  <w:num w:numId="7" w16cid:durableId="2053530717">
    <w:abstractNumId w:val="18"/>
  </w:num>
  <w:num w:numId="8" w16cid:durableId="1552572443">
    <w:abstractNumId w:val="11"/>
  </w:num>
  <w:num w:numId="9" w16cid:durableId="2004964998">
    <w:abstractNumId w:val="7"/>
  </w:num>
  <w:num w:numId="10" w16cid:durableId="946037413">
    <w:abstractNumId w:val="9"/>
  </w:num>
  <w:num w:numId="11" w16cid:durableId="2015495904">
    <w:abstractNumId w:val="4"/>
  </w:num>
  <w:num w:numId="12" w16cid:durableId="920335757">
    <w:abstractNumId w:val="15"/>
  </w:num>
  <w:num w:numId="13" w16cid:durableId="561983017">
    <w:abstractNumId w:val="17"/>
  </w:num>
  <w:num w:numId="14" w16cid:durableId="763573476">
    <w:abstractNumId w:val="5"/>
  </w:num>
  <w:num w:numId="15" w16cid:durableId="2038698283">
    <w:abstractNumId w:val="13"/>
  </w:num>
  <w:num w:numId="16" w16cid:durableId="110100634">
    <w:abstractNumId w:val="14"/>
  </w:num>
  <w:num w:numId="17" w16cid:durableId="659970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0670">
    <w:abstractNumId w:val="6"/>
  </w:num>
  <w:num w:numId="19" w16cid:durableId="1918781369">
    <w:abstractNumId w:val="12"/>
  </w:num>
  <w:num w:numId="20" w16cid:durableId="863716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F4"/>
    <w:rsid w:val="00000A12"/>
    <w:rsid w:val="0000140F"/>
    <w:rsid w:val="000131E0"/>
    <w:rsid w:val="000150D7"/>
    <w:rsid w:val="0002007E"/>
    <w:rsid w:val="00030661"/>
    <w:rsid w:val="00031478"/>
    <w:rsid w:val="00053566"/>
    <w:rsid w:val="00056281"/>
    <w:rsid w:val="00060E11"/>
    <w:rsid w:val="000655FF"/>
    <w:rsid w:val="0007399E"/>
    <w:rsid w:val="00073A2C"/>
    <w:rsid w:val="00080C82"/>
    <w:rsid w:val="0008683F"/>
    <w:rsid w:val="00087748"/>
    <w:rsid w:val="00090331"/>
    <w:rsid w:val="00095361"/>
    <w:rsid w:val="000A7F2A"/>
    <w:rsid w:val="000B2B9A"/>
    <w:rsid w:val="000B3694"/>
    <w:rsid w:val="000C1950"/>
    <w:rsid w:val="000C73F8"/>
    <w:rsid w:val="000D07AA"/>
    <w:rsid w:val="000D330D"/>
    <w:rsid w:val="000E76EC"/>
    <w:rsid w:val="001000DF"/>
    <w:rsid w:val="001021F3"/>
    <w:rsid w:val="00107515"/>
    <w:rsid w:val="00113B62"/>
    <w:rsid w:val="00117237"/>
    <w:rsid w:val="001255FE"/>
    <w:rsid w:val="0013153A"/>
    <w:rsid w:val="001357B4"/>
    <w:rsid w:val="00137D67"/>
    <w:rsid w:val="00140D3E"/>
    <w:rsid w:val="00146A40"/>
    <w:rsid w:val="00150ABA"/>
    <w:rsid w:val="00151C79"/>
    <w:rsid w:val="00156134"/>
    <w:rsid w:val="00163822"/>
    <w:rsid w:val="00180AC4"/>
    <w:rsid w:val="00184683"/>
    <w:rsid w:val="0019211B"/>
    <w:rsid w:val="001A4F22"/>
    <w:rsid w:val="001A64B9"/>
    <w:rsid w:val="002050CC"/>
    <w:rsid w:val="00207CF5"/>
    <w:rsid w:val="0021658E"/>
    <w:rsid w:val="00224E1C"/>
    <w:rsid w:val="00224F6B"/>
    <w:rsid w:val="00242AB0"/>
    <w:rsid w:val="00253B07"/>
    <w:rsid w:val="00271082"/>
    <w:rsid w:val="00274F2A"/>
    <w:rsid w:val="00282E3E"/>
    <w:rsid w:val="0028673A"/>
    <w:rsid w:val="00287BB5"/>
    <w:rsid w:val="002903F2"/>
    <w:rsid w:val="002A339C"/>
    <w:rsid w:val="002B34C9"/>
    <w:rsid w:val="002B38A0"/>
    <w:rsid w:val="002B4EE6"/>
    <w:rsid w:val="002D08B2"/>
    <w:rsid w:val="002E2E63"/>
    <w:rsid w:val="00304597"/>
    <w:rsid w:val="003138DB"/>
    <w:rsid w:val="00315A85"/>
    <w:rsid w:val="00320590"/>
    <w:rsid w:val="00323216"/>
    <w:rsid w:val="00331EB0"/>
    <w:rsid w:val="00335462"/>
    <w:rsid w:val="003357C3"/>
    <w:rsid w:val="00335F28"/>
    <w:rsid w:val="0034004F"/>
    <w:rsid w:val="003400C4"/>
    <w:rsid w:val="00344F68"/>
    <w:rsid w:val="00350870"/>
    <w:rsid w:val="00350F83"/>
    <w:rsid w:val="003512E4"/>
    <w:rsid w:val="003523A7"/>
    <w:rsid w:val="00355C83"/>
    <w:rsid w:val="00362E1E"/>
    <w:rsid w:val="00363CF3"/>
    <w:rsid w:val="00392EBC"/>
    <w:rsid w:val="003B0985"/>
    <w:rsid w:val="003B30B1"/>
    <w:rsid w:val="003B3A57"/>
    <w:rsid w:val="003B4B65"/>
    <w:rsid w:val="003C7F8E"/>
    <w:rsid w:val="003D2B0F"/>
    <w:rsid w:val="003E0A6E"/>
    <w:rsid w:val="003F5B21"/>
    <w:rsid w:val="003F6FF7"/>
    <w:rsid w:val="0041184B"/>
    <w:rsid w:val="00415581"/>
    <w:rsid w:val="00422BB5"/>
    <w:rsid w:val="00424ED0"/>
    <w:rsid w:val="004277CF"/>
    <w:rsid w:val="004330DF"/>
    <w:rsid w:val="00434015"/>
    <w:rsid w:val="00460F4E"/>
    <w:rsid w:val="004949D0"/>
    <w:rsid w:val="004A011C"/>
    <w:rsid w:val="004A4019"/>
    <w:rsid w:val="004B0310"/>
    <w:rsid w:val="004B4019"/>
    <w:rsid w:val="004B7EF2"/>
    <w:rsid w:val="004C1EBF"/>
    <w:rsid w:val="004C3A47"/>
    <w:rsid w:val="004E00F8"/>
    <w:rsid w:val="004E0D73"/>
    <w:rsid w:val="004E50C4"/>
    <w:rsid w:val="00506ECF"/>
    <w:rsid w:val="005147C1"/>
    <w:rsid w:val="00515810"/>
    <w:rsid w:val="00517D21"/>
    <w:rsid w:val="00527E3B"/>
    <w:rsid w:val="005379C0"/>
    <w:rsid w:val="00541EC1"/>
    <w:rsid w:val="005423EC"/>
    <w:rsid w:val="0055298B"/>
    <w:rsid w:val="00570335"/>
    <w:rsid w:val="00572263"/>
    <w:rsid w:val="00584E5F"/>
    <w:rsid w:val="00585838"/>
    <w:rsid w:val="005E72D4"/>
    <w:rsid w:val="005E7F11"/>
    <w:rsid w:val="005F4126"/>
    <w:rsid w:val="005F5388"/>
    <w:rsid w:val="006078FA"/>
    <w:rsid w:val="0062686A"/>
    <w:rsid w:val="00630721"/>
    <w:rsid w:val="006373C3"/>
    <w:rsid w:val="00641C17"/>
    <w:rsid w:val="0065568B"/>
    <w:rsid w:val="00660F11"/>
    <w:rsid w:val="006629F1"/>
    <w:rsid w:val="00683DBA"/>
    <w:rsid w:val="0068748A"/>
    <w:rsid w:val="0069161E"/>
    <w:rsid w:val="006A723B"/>
    <w:rsid w:val="006B3A88"/>
    <w:rsid w:val="006B687B"/>
    <w:rsid w:val="006B7E48"/>
    <w:rsid w:val="006C3E04"/>
    <w:rsid w:val="006C6165"/>
    <w:rsid w:val="006D1587"/>
    <w:rsid w:val="006D508C"/>
    <w:rsid w:val="006E50F8"/>
    <w:rsid w:val="006E67F2"/>
    <w:rsid w:val="00700C9A"/>
    <w:rsid w:val="00701431"/>
    <w:rsid w:val="007071B8"/>
    <w:rsid w:val="00727A6D"/>
    <w:rsid w:val="00737BBC"/>
    <w:rsid w:val="007630EC"/>
    <w:rsid w:val="00772798"/>
    <w:rsid w:val="0077612F"/>
    <w:rsid w:val="007830EE"/>
    <w:rsid w:val="0078531F"/>
    <w:rsid w:val="00791DF0"/>
    <w:rsid w:val="00792911"/>
    <w:rsid w:val="00795ED8"/>
    <w:rsid w:val="007A6072"/>
    <w:rsid w:val="007C3735"/>
    <w:rsid w:val="007C4319"/>
    <w:rsid w:val="007C64DD"/>
    <w:rsid w:val="007C7F2D"/>
    <w:rsid w:val="007D433F"/>
    <w:rsid w:val="007F5280"/>
    <w:rsid w:val="007F6426"/>
    <w:rsid w:val="0080211C"/>
    <w:rsid w:val="00806502"/>
    <w:rsid w:val="00814561"/>
    <w:rsid w:val="00816934"/>
    <w:rsid w:val="00823AC6"/>
    <w:rsid w:val="0082465B"/>
    <w:rsid w:val="00826181"/>
    <w:rsid w:val="00833111"/>
    <w:rsid w:val="008349D0"/>
    <w:rsid w:val="008527BB"/>
    <w:rsid w:val="00861386"/>
    <w:rsid w:val="00864795"/>
    <w:rsid w:val="00866C41"/>
    <w:rsid w:val="00875D62"/>
    <w:rsid w:val="00880068"/>
    <w:rsid w:val="0088523B"/>
    <w:rsid w:val="008A4C14"/>
    <w:rsid w:val="008A5DDE"/>
    <w:rsid w:val="008B0846"/>
    <w:rsid w:val="008B65BF"/>
    <w:rsid w:val="008C32E4"/>
    <w:rsid w:val="008D0E46"/>
    <w:rsid w:val="0090092E"/>
    <w:rsid w:val="009020B5"/>
    <w:rsid w:val="00905EAD"/>
    <w:rsid w:val="00913BB1"/>
    <w:rsid w:val="009162FD"/>
    <w:rsid w:val="00922CF4"/>
    <w:rsid w:val="00925DB9"/>
    <w:rsid w:val="00934E6B"/>
    <w:rsid w:val="00940EBB"/>
    <w:rsid w:val="009464E3"/>
    <w:rsid w:val="00947F0B"/>
    <w:rsid w:val="009577C9"/>
    <w:rsid w:val="00965BA5"/>
    <w:rsid w:val="00983B01"/>
    <w:rsid w:val="00983D9F"/>
    <w:rsid w:val="0098512B"/>
    <w:rsid w:val="00991ACD"/>
    <w:rsid w:val="00992D94"/>
    <w:rsid w:val="009A0746"/>
    <w:rsid w:val="009A7552"/>
    <w:rsid w:val="009B52D7"/>
    <w:rsid w:val="009B67A1"/>
    <w:rsid w:val="009C3ADF"/>
    <w:rsid w:val="009D7C91"/>
    <w:rsid w:val="009F5DEB"/>
    <w:rsid w:val="00A17A98"/>
    <w:rsid w:val="00A24CDB"/>
    <w:rsid w:val="00A34E6E"/>
    <w:rsid w:val="00A424EE"/>
    <w:rsid w:val="00A57CF5"/>
    <w:rsid w:val="00A861C5"/>
    <w:rsid w:val="00A90BFB"/>
    <w:rsid w:val="00A92F4C"/>
    <w:rsid w:val="00AA0532"/>
    <w:rsid w:val="00AA3593"/>
    <w:rsid w:val="00AB32BA"/>
    <w:rsid w:val="00AB3349"/>
    <w:rsid w:val="00AB468D"/>
    <w:rsid w:val="00AD03C1"/>
    <w:rsid w:val="00AD4A24"/>
    <w:rsid w:val="00AE252E"/>
    <w:rsid w:val="00B11994"/>
    <w:rsid w:val="00B3274D"/>
    <w:rsid w:val="00B41E90"/>
    <w:rsid w:val="00B448F4"/>
    <w:rsid w:val="00B66548"/>
    <w:rsid w:val="00B673CE"/>
    <w:rsid w:val="00B71FB8"/>
    <w:rsid w:val="00B77A79"/>
    <w:rsid w:val="00B86C75"/>
    <w:rsid w:val="00B90F85"/>
    <w:rsid w:val="00B9703D"/>
    <w:rsid w:val="00BA4CEC"/>
    <w:rsid w:val="00BC6E2D"/>
    <w:rsid w:val="00BC7F77"/>
    <w:rsid w:val="00BD434B"/>
    <w:rsid w:val="00BD5191"/>
    <w:rsid w:val="00BF01AA"/>
    <w:rsid w:val="00BF6DD4"/>
    <w:rsid w:val="00C07A40"/>
    <w:rsid w:val="00C2197E"/>
    <w:rsid w:val="00C25493"/>
    <w:rsid w:val="00C273C9"/>
    <w:rsid w:val="00C33276"/>
    <w:rsid w:val="00C41171"/>
    <w:rsid w:val="00C64477"/>
    <w:rsid w:val="00C8362B"/>
    <w:rsid w:val="00C92C30"/>
    <w:rsid w:val="00C94321"/>
    <w:rsid w:val="00CB3EC0"/>
    <w:rsid w:val="00CB5F00"/>
    <w:rsid w:val="00CC311E"/>
    <w:rsid w:val="00CD0FF6"/>
    <w:rsid w:val="00CE013D"/>
    <w:rsid w:val="00CE69E0"/>
    <w:rsid w:val="00CF05D0"/>
    <w:rsid w:val="00D22BD7"/>
    <w:rsid w:val="00D24063"/>
    <w:rsid w:val="00D33DF3"/>
    <w:rsid w:val="00D41771"/>
    <w:rsid w:val="00D47B09"/>
    <w:rsid w:val="00D60FC4"/>
    <w:rsid w:val="00D6507D"/>
    <w:rsid w:val="00D716D1"/>
    <w:rsid w:val="00D83C11"/>
    <w:rsid w:val="00D84CFB"/>
    <w:rsid w:val="00D918EA"/>
    <w:rsid w:val="00D92524"/>
    <w:rsid w:val="00D95F59"/>
    <w:rsid w:val="00DD07FF"/>
    <w:rsid w:val="00DD3A2F"/>
    <w:rsid w:val="00DE2060"/>
    <w:rsid w:val="00DE6EF4"/>
    <w:rsid w:val="00DE7476"/>
    <w:rsid w:val="00DF323A"/>
    <w:rsid w:val="00DF491E"/>
    <w:rsid w:val="00E15084"/>
    <w:rsid w:val="00E15B7D"/>
    <w:rsid w:val="00E31DA5"/>
    <w:rsid w:val="00E32EB2"/>
    <w:rsid w:val="00E40BF8"/>
    <w:rsid w:val="00E61D0C"/>
    <w:rsid w:val="00E81E16"/>
    <w:rsid w:val="00E81E27"/>
    <w:rsid w:val="00E860D0"/>
    <w:rsid w:val="00E963A5"/>
    <w:rsid w:val="00E96C8E"/>
    <w:rsid w:val="00E97D19"/>
    <w:rsid w:val="00EA55C0"/>
    <w:rsid w:val="00EC41FF"/>
    <w:rsid w:val="00EC494F"/>
    <w:rsid w:val="00ED28F3"/>
    <w:rsid w:val="00EE0B51"/>
    <w:rsid w:val="00F0596A"/>
    <w:rsid w:val="00F232AB"/>
    <w:rsid w:val="00F318AA"/>
    <w:rsid w:val="00F35E00"/>
    <w:rsid w:val="00F404B7"/>
    <w:rsid w:val="00F550F7"/>
    <w:rsid w:val="00FA23A2"/>
    <w:rsid w:val="00FA4E45"/>
    <w:rsid w:val="00FA6AD0"/>
    <w:rsid w:val="00FB47B7"/>
    <w:rsid w:val="00FB5138"/>
    <w:rsid w:val="00FB6105"/>
    <w:rsid w:val="00FB623D"/>
    <w:rsid w:val="00FC5340"/>
    <w:rsid w:val="00FC62C9"/>
    <w:rsid w:val="00FE50BC"/>
    <w:rsid w:val="00FF1412"/>
    <w:rsid w:val="00FF3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0E11"/>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pPr>
    <w:rPr>
      <w:b/>
    </w:rPr>
  </w:style>
  <w:style w:type="paragraph" w:customStyle="1" w:styleId="Artikelstreepje">
    <w:name w:val="Artikel streepje"/>
    <w:basedOn w:val="Standaard"/>
    <w:next w:val="Standaard"/>
    <w:pPr>
      <w:numPr>
        <w:ilvl w:val="3"/>
        <w:numId w:val="2"/>
      </w:numPr>
      <w:tabs>
        <w:tab w:val="num" w:pos="360"/>
      </w:tabs>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2C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2CF4"/>
    <w:rPr>
      <w:rFonts w:ascii="Verdana" w:hAnsi="Verdana"/>
      <w:color w:val="000000"/>
      <w:sz w:val="18"/>
      <w:szCs w:val="18"/>
    </w:rPr>
  </w:style>
  <w:style w:type="paragraph" w:customStyle="1" w:styleId="mnone">
    <w:name w:val="mnone"/>
    <w:basedOn w:val="Standaard"/>
    <w:rsid w:val="004277C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mtop">
    <w:name w:val="mtop"/>
    <w:basedOn w:val="Standaard"/>
    <w:rsid w:val="004277C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4277CF"/>
    <w:rPr>
      <w:i/>
      <w:iCs/>
    </w:rPr>
  </w:style>
  <w:style w:type="paragraph" w:styleId="Voetnoottekst">
    <w:name w:val="footnote text"/>
    <w:basedOn w:val="Standaard"/>
    <w:link w:val="VoetnoottekstChar"/>
    <w:uiPriority w:val="99"/>
    <w:semiHidden/>
    <w:unhideWhenUsed/>
    <w:rsid w:val="00140D3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40D3E"/>
    <w:rPr>
      <w:rFonts w:ascii="Verdana" w:hAnsi="Verdana"/>
      <w:color w:val="000000"/>
    </w:rPr>
  </w:style>
  <w:style w:type="character" w:styleId="Voetnootmarkering">
    <w:name w:val="footnote reference"/>
    <w:basedOn w:val="Standaardalinea-lettertype"/>
    <w:uiPriority w:val="99"/>
    <w:semiHidden/>
    <w:unhideWhenUsed/>
    <w:rsid w:val="00140D3E"/>
    <w:rPr>
      <w:vertAlign w:val="superscript"/>
    </w:rPr>
  </w:style>
  <w:style w:type="character" w:styleId="Verwijzingopmerking">
    <w:name w:val="annotation reference"/>
    <w:basedOn w:val="Standaardalinea-lettertype"/>
    <w:uiPriority w:val="99"/>
    <w:semiHidden/>
    <w:unhideWhenUsed/>
    <w:rsid w:val="006629F1"/>
    <w:rPr>
      <w:sz w:val="16"/>
      <w:szCs w:val="16"/>
    </w:rPr>
  </w:style>
  <w:style w:type="paragraph" w:styleId="Tekstopmerking">
    <w:name w:val="annotation text"/>
    <w:basedOn w:val="Standaard"/>
    <w:link w:val="TekstopmerkingChar"/>
    <w:uiPriority w:val="99"/>
    <w:unhideWhenUsed/>
    <w:rsid w:val="006629F1"/>
    <w:pPr>
      <w:spacing w:line="240" w:lineRule="auto"/>
    </w:pPr>
    <w:rPr>
      <w:sz w:val="20"/>
      <w:szCs w:val="20"/>
    </w:rPr>
  </w:style>
  <w:style w:type="character" w:customStyle="1" w:styleId="TekstopmerkingChar">
    <w:name w:val="Tekst opmerking Char"/>
    <w:basedOn w:val="Standaardalinea-lettertype"/>
    <w:link w:val="Tekstopmerking"/>
    <w:uiPriority w:val="99"/>
    <w:rsid w:val="006629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629F1"/>
    <w:rPr>
      <w:b/>
      <w:bCs/>
    </w:rPr>
  </w:style>
  <w:style w:type="character" w:customStyle="1" w:styleId="OnderwerpvanopmerkingChar">
    <w:name w:val="Onderwerp van opmerking Char"/>
    <w:basedOn w:val="TekstopmerkingChar"/>
    <w:link w:val="Onderwerpvanopmerking"/>
    <w:uiPriority w:val="99"/>
    <w:semiHidden/>
    <w:rsid w:val="006629F1"/>
    <w:rPr>
      <w:rFonts w:ascii="Verdana" w:hAnsi="Verdana"/>
      <w:b/>
      <w:bCs/>
      <w:color w:val="000000"/>
    </w:rPr>
  </w:style>
  <w:style w:type="paragraph" w:styleId="Revisie">
    <w:name w:val="Revision"/>
    <w:hidden/>
    <w:uiPriority w:val="99"/>
    <w:semiHidden/>
    <w:rsid w:val="006629F1"/>
    <w:pPr>
      <w:autoSpaceDN/>
      <w:textAlignment w:val="auto"/>
    </w:pPr>
    <w:rPr>
      <w:rFonts w:ascii="Verdana" w:hAnsi="Verdana"/>
      <w:color w:val="000000"/>
      <w:sz w:val="18"/>
      <w:szCs w:val="18"/>
    </w:rPr>
  </w:style>
  <w:style w:type="character" w:customStyle="1" w:styleId="cf01">
    <w:name w:val="cf01"/>
    <w:basedOn w:val="Standaardalinea-lettertype"/>
    <w:rsid w:val="00866C41"/>
    <w:rPr>
      <w:rFonts w:ascii="Segoe UI" w:hAnsi="Segoe UI" w:cs="Segoe UI" w:hint="default"/>
      <w:sz w:val="18"/>
      <w:szCs w:val="18"/>
    </w:rPr>
  </w:style>
  <w:style w:type="paragraph" w:styleId="Lijstalinea">
    <w:name w:val="List Paragraph"/>
    <w:basedOn w:val="Standaard"/>
    <w:uiPriority w:val="34"/>
    <w:qFormat/>
    <w:rsid w:val="00816934"/>
    <w:pPr>
      <w:ind w:left="720"/>
      <w:contextualSpacing/>
    </w:pPr>
  </w:style>
  <w:style w:type="character" w:styleId="Tekstvantijdelijkeaanduiding">
    <w:name w:val="Placeholder Text"/>
    <w:basedOn w:val="Standaardalinea-lettertype"/>
    <w:uiPriority w:val="99"/>
    <w:semiHidden/>
    <w:rsid w:val="00B9703D"/>
    <w:rPr>
      <w:color w:val="808080"/>
    </w:rPr>
  </w:style>
  <w:style w:type="numbering" w:customStyle="1" w:styleId="LijstalineaWODC">
    <w:name w:val="Lijstalinea WODC"/>
    <w:uiPriority w:val="99"/>
    <w:rsid w:val="002050CC"/>
    <w:pPr>
      <w:numPr>
        <w:numId w:val="14"/>
      </w:numPr>
    </w:pPr>
  </w:style>
  <w:style w:type="numbering" w:customStyle="1" w:styleId="LijstnummeringWODC">
    <w:name w:val="Lijstnummering WODC"/>
    <w:uiPriority w:val="99"/>
    <w:rsid w:val="003138DB"/>
    <w:pPr>
      <w:numPr>
        <w:numId w:val="15"/>
      </w:numPr>
    </w:pPr>
  </w:style>
  <w:style w:type="paragraph" w:styleId="Lijstnummering">
    <w:name w:val="List Number"/>
    <w:basedOn w:val="Standaard"/>
    <w:uiPriority w:val="99"/>
    <w:unhideWhenUsed/>
    <w:qFormat/>
    <w:rsid w:val="003138DB"/>
    <w:pPr>
      <w:numPr>
        <w:numId w:val="16"/>
      </w:numPr>
      <w:autoSpaceDN/>
      <w:ind w:left="0" w:firstLine="0"/>
      <w:contextualSpacing/>
      <w:textAlignment w:val="auto"/>
    </w:pPr>
    <w:rPr>
      <w:rFonts w:asciiTheme="minorHAnsi" w:eastAsiaTheme="minorHAnsi" w:hAnsiTheme="minorHAnsi" w:cstheme="minorBidi"/>
      <w:color w:val="000000" w:themeColor="text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784">
      <w:bodyDiv w:val="1"/>
      <w:marLeft w:val="0"/>
      <w:marRight w:val="0"/>
      <w:marTop w:val="0"/>
      <w:marBottom w:val="0"/>
      <w:divBdr>
        <w:top w:val="none" w:sz="0" w:space="0" w:color="auto"/>
        <w:left w:val="none" w:sz="0" w:space="0" w:color="auto"/>
        <w:bottom w:val="none" w:sz="0" w:space="0" w:color="auto"/>
        <w:right w:val="none" w:sz="0" w:space="0" w:color="auto"/>
      </w:divBdr>
    </w:div>
    <w:div w:id="558516867">
      <w:bodyDiv w:val="1"/>
      <w:marLeft w:val="0"/>
      <w:marRight w:val="0"/>
      <w:marTop w:val="0"/>
      <w:marBottom w:val="0"/>
      <w:divBdr>
        <w:top w:val="none" w:sz="0" w:space="0" w:color="auto"/>
        <w:left w:val="none" w:sz="0" w:space="0" w:color="auto"/>
        <w:bottom w:val="none" w:sz="0" w:space="0" w:color="auto"/>
        <w:right w:val="none" w:sz="0" w:space="0" w:color="auto"/>
      </w:divBdr>
    </w:div>
    <w:div w:id="562956440">
      <w:bodyDiv w:val="1"/>
      <w:marLeft w:val="0"/>
      <w:marRight w:val="0"/>
      <w:marTop w:val="0"/>
      <w:marBottom w:val="0"/>
      <w:divBdr>
        <w:top w:val="none" w:sz="0" w:space="0" w:color="auto"/>
        <w:left w:val="none" w:sz="0" w:space="0" w:color="auto"/>
        <w:bottom w:val="none" w:sz="0" w:space="0" w:color="auto"/>
        <w:right w:val="none" w:sz="0" w:space="0" w:color="auto"/>
      </w:divBdr>
    </w:div>
    <w:div w:id="693071043">
      <w:bodyDiv w:val="1"/>
      <w:marLeft w:val="0"/>
      <w:marRight w:val="0"/>
      <w:marTop w:val="0"/>
      <w:marBottom w:val="0"/>
      <w:divBdr>
        <w:top w:val="none" w:sz="0" w:space="0" w:color="auto"/>
        <w:left w:val="none" w:sz="0" w:space="0" w:color="auto"/>
        <w:bottom w:val="none" w:sz="0" w:space="0" w:color="auto"/>
        <w:right w:val="none" w:sz="0" w:space="0" w:color="auto"/>
      </w:divBdr>
    </w:div>
    <w:div w:id="846752744">
      <w:bodyDiv w:val="1"/>
      <w:marLeft w:val="0"/>
      <w:marRight w:val="0"/>
      <w:marTop w:val="0"/>
      <w:marBottom w:val="0"/>
      <w:divBdr>
        <w:top w:val="none" w:sz="0" w:space="0" w:color="auto"/>
        <w:left w:val="none" w:sz="0" w:space="0" w:color="auto"/>
        <w:bottom w:val="none" w:sz="0" w:space="0" w:color="auto"/>
        <w:right w:val="none" w:sz="0" w:space="0" w:color="auto"/>
      </w:divBdr>
    </w:div>
    <w:div w:id="1028992734">
      <w:bodyDiv w:val="1"/>
      <w:marLeft w:val="0"/>
      <w:marRight w:val="0"/>
      <w:marTop w:val="0"/>
      <w:marBottom w:val="0"/>
      <w:divBdr>
        <w:top w:val="none" w:sz="0" w:space="0" w:color="auto"/>
        <w:left w:val="none" w:sz="0" w:space="0" w:color="auto"/>
        <w:bottom w:val="none" w:sz="0" w:space="0" w:color="auto"/>
        <w:right w:val="none" w:sz="0" w:space="0" w:color="auto"/>
      </w:divBdr>
    </w:div>
    <w:div w:id="1318076590">
      <w:bodyDiv w:val="1"/>
      <w:marLeft w:val="0"/>
      <w:marRight w:val="0"/>
      <w:marTop w:val="0"/>
      <w:marBottom w:val="0"/>
      <w:divBdr>
        <w:top w:val="none" w:sz="0" w:space="0" w:color="auto"/>
        <w:left w:val="none" w:sz="0" w:space="0" w:color="auto"/>
        <w:bottom w:val="none" w:sz="0" w:space="0" w:color="auto"/>
        <w:right w:val="none" w:sz="0" w:space="0" w:color="auto"/>
      </w:divBdr>
    </w:div>
    <w:div w:id="1499887950">
      <w:bodyDiv w:val="1"/>
      <w:marLeft w:val="0"/>
      <w:marRight w:val="0"/>
      <w:marTop w:val="0"/>
      <w:marBottom w:val="0"/>
      <w:divBdr>
        <w:top w:val="none" w:sz="0" w:space="0" w:color="auto"/>
        <w:left w:val="none" w:sz="0" w:space="0" w:color="auto"/>
        <w:bottom w:val="none" w:sz="0" w:space="0" w:color="auto"/>
        <w:right w:val="none" w:sz="0" w:space="0" w:color="auto"/>
      </w:divBdr>
    </w:div>
    <w:div w:id="1510363868">
      <w:bodyDiv w:val="1"/>
      <w:marLeft w:val="0"/>
      <w:marRight w:val="0"/>
      <w:marTop w:val="0"/>
      <w:marBottom w:val="0"/>
      <w:divBdr>
        <w:top w:val="none" w:sz="0" w:space="0" w:color="auto"/>
        <w:left w:val="none" w:sz="0" w:space="0" w:color="auto"/>
        <w:bottom w:val="none" w:sz="0" w:space="0" w:color="auto"/>
        <w:right w:val="none" w:sz="0" w:space="0" w:color="auto"/>
      </w:divBdr>
    </w:div>
    <w:div w:id="1773672147">
      <w:bodyDiv w:val="1"/>
      <w:marLeft w:val="0"/>
      <w:marRight w:val="0"/>
      <w:marTop w:val="0"/>
      <w:marBottom w:val="0"/>
      <w:divBdr>
        <w:top w:val="none" w:sz="0" w:space="0" w:color="auto"/>
        <w:left w:val="none" w:sz="0" w:space="0" w:color="auto"/>
        <w:bottom w:val="none" w:sz="0" w:space="0" w:color="auto"/>
        <w:right w:val="none" w:sz="0" w:space="0" w:color="auto"/>
      </w:divBdr>
    </w:div>
    <w:div w:id="1872036345">
      <w:bodyDiv w:val="1"/>
      <w:marLeft w:val="0"/>
      <w:marRight w:val="0"/>
      <w:marTop w:val="0"/>
      <w:marBottom w:val="0"/>
      <w:divBdr>
        <w:top w:val="none" w:sz="0" w:space="0" w:color="auto"/>
        <w:left w:val="none" w:sz="0" w:space="0" w:color="auto"/>
        <w:bottom w:val="none" w:sz="0" w:space="0" w:color="auto"/>
        <w:right w:val="none" w:sz="0" w:space="0" w:color="auto"/>
      </w:divBdr>
    </w:div>
    <w:div w:id="1927953475">
      <w:bodyDiv w:val="1"/>
      <w:marLeft w:val="0"/>
      <w:marRight w:val="0"/>
      <w:marTop w:val="0"/>
      <w:marBottom w:val="0"/>
      <w:divBdr>
        <w:top w:val="none" w:sz="0" w:space="0" w:color="auto"/>
        <w:left w:val="none" w:sz="0" w:space="0" w:color="auto"/>
        <w:bottom w:val="none" w:sz="0" w:space="0" w:color="auto"/>
        <w:right w:val="none" w:sz="0" w:space="0" w:color="auto"/>
      </w:divBdr>
    </w:div>
    <w:div w:id="205149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1369</ap:Words>
  <ap:Characters>7534</ap:Characters>
  <ap:DocSecurity>0</ap:DocSecurity>
  <ap:Lines>62</ap:Lines>
  <ap:Paragraphs>17</ap:Paragraphs>
  <ap:ScaleCrop>false</ap:ScaleCrop>
  <ap:LinksUpToDate>false</ap:LinksUpToDate>
  <ap:CharactersWithSpaces>8886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2026-06-16T15:54:00.0000000Z</dcterms:created>
  <dcterms:modified xsi:type="dcterms:W3CDTF">2026-06-16T15:54:00.0000000Z</dcterms:modified>
  <dc:description>------------------------</dc:description>
  <dc:subject/>
  <keywords/>
  <version/>
  <category/>
</coreProperties>
</file>