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76826" w14:paraId="70E4EAFD" w14:textId="77777777"/>
    <w:p w:rsidR="005A13F0" w14:paraId="1917DA48" w14:textId="77777777"/>
    <w:p w:rsidR="002F0671" w:rsidP="00257CCE" w14:paraId="431DC510" w14:textId="77777777">
      <w:r>
        <w:t xml:space="preserve">In deze brief informeer ik de Tweede Kamer over </w:t>
      </w:r>
      <w:r w:rsidR="00B839C3">
        <w:t>de onderbouwing van een</w:t>
      </w:r>
      <w:r w:rsidR="00CC3848">
        <w:t xml:space="preserve"> beleids</w:t>
      </w:r>
      <w:r>
        <w:t xml:space="preserve">voorstel met financiële gevolgen (€ 20 mln. of meer in enig jaar) die </w:t>
      </w:r>
      <w:r w:rsidR="00CC3848">
        <w:t>is</w:t>
      </w:r>
      <w:r>
        <w:t xml:space="preserve"> opgenomen in </w:t>
      </w:r>
      <w:bookmarkStart w:name="_Hlk208560301" w:id="0"/>
      <w:r w:rsidR="00B050FC">
        <w:t>de</w:t>
      </w:r>
      <w:r w:rsidR="00CC3848">
        <w:t xml:space="preserve"> Nota van wijziging op de </w:t>
      </w:r>
      <w:r w:rsidRPr="00CC3848" w:rsidR="00CC3848">
        <w:t xml:space="preserve">1e suppletoire begroting 2026 van Begrotingshoofdstuk XXII (VRO) (Kamerstuk 36915-XXII, nr. 7). </w:t>
      </w:r>
      <w:r w:rsidR="00CC3848">
        <w:t xml:space="preserve"> </w:t>
      </w:r>
      <w:bookmarkEnd w:id="0"/>
    </w:p>
    <w:p w:rsidR="002F0671" w:rsidP="00B050FC" w14:paraId="681DC689" w14:textId="77777777"/>
    <w:p w:rsidR="00B050FC" w:rsidP="00B050FC" w14:paraId="595659CC" w14:textId="77777777">
      <w:r>
        <w:t xml:space="preserve">In deze brief </w:t>
      </w:r>
      <w:r>
        <w:t xml:space="preserve">wordt </w:t>
      </w:r>
      <w:r>
        <w:t>conform</w:t>
      </w:r>
      <w:r>
        <w:t xml:space="preserve"> wetsartikel 3.1 van de Comptabiliteitswet 2016 </w:t>
      </w:r>
      <w:r w:rsidR="00FC66B6">
        <w:t>voor dit</w:t>
      </w:r>
      <w:r>
        <w:t xml:space="preserve"> voorstel ingegaan op doelen, instrumenten, financiële gevolgen, verwachte doeltreffendhe</w:t>
      </w:r>
      <w:r w:rsidR="00B839C3">
        <w:t>i</w:t>
      </w:r>
      <w:r>
        <w:t>d en doelmatigheid en voorgenomen monitoring en evaluatie. Sinds eind 2021 gebeurt dit Rijksbreed via de werkwijze “Beleidskeuzes uitgelegd”, zie Kamerstuk 31865, nr. 198.</w:t>
      </w:r>
    </w:p>
    <w:p w:rsidR="00B050FC" w:rsidP="00B050FC" w14:paraId="60BFD3C1" w14:textId="77777777"/>
    <w:p w:rsidR="00B050FC" w:rsidP="00B050FC" w14:paraId="3A2B7B7D" w14:textId="77777777">
      <w:bookmarkStart w:name="_Hlk231559570" w:id="1"/>
      <w:r w:rsidRPr="00124AA4">
        <w:t>In deze Kamerbrief is een nadere onderbouwing opgenomen over het beleidsvoorstel “ondersteuning energiearmoede”. Op begrotingsartikel 2</w:t>
      </w:r>
      <w:r w:rsidR="006872BE">
        <w:t>,</w:t>
      </w:r>
      <w:r w:rsidRPr="00124AA4">
        <w:t xml:space="preserve"> energietransitie gebouwde omgeving en bouwkwaliteit</w:t>
      </w:r>
      <w:r w:rsidR="006872BE">
        <w:t>,</w:t>
      </w:r>
      <w:r w:rsidRPr="00124AA4">
        <w:t xml:space="preserve"> wordt</w:t>
      </w:r>
      <w:r>
        <w:t xml:space="preserve"> hiervoor</w:t>
      </w:r>
      <w:r w:rsidRPr="00124AA4">
        <w:t xml:space="preserve"> € 40 mln. toegevoegd in 2026 en € 40 mln. in 2027</w:t>
      </w:r>
      <w:bookmarkEnd w:id="1"/>
      <w:r w:rsidR="00D16C61">
        <w:t>.</w:t>
      </w:r>
    </w:p>
    <w:p w:rsidR="00A83518" w:rsidP="00A83518" w14:paraId="312D4539" w14:textId="77777777"/>
    <w:p w:rsidRPr="00D9565F" w:rsidR="00FC66B6" w:rsidP="00FC66B6" w14:paraId="30C57B3E" w14:textId="77777777">
      <w:r w:rsidRPr="006872BE">
        <w:t>De Nota van wijziging op de 1e suppletoire begroting 2026 bevat ook een ophoging van het Nationaal Warmtefonds (€ 180 mln.</w:t>
      </w:r>
      <w:r>
        <w:t xml:space="preserve"> in 2026</w:t>
      </w:r>
      <w:r w:rsidRPr="006872BE">
        <w:t>) en aanvullende middelen in het kader van de subsidieregeling Verenigingen van Eigenaren (SVVE) (25 mln.</w:t>
      </w:r>
      <w:r>
        <w:t xml:space="preserve"> in 2027</w:t>
      </w:r>
      <w:r w:rsidRPr="006872BE">
        <w:t xml:space="preserve">). </w:t>
      </w:r>
      <w:r w:rsidRPr="00D9565F" w:rsidR="00D9565F">
        <w:t xml:space="preserve">Voor de ophoging van het Nationaal Warmtefonds wordt nu geen kader “Beleidskeuzes uitgelegd” opgesteld omdat dit is ondervangen met de onderbouwing van eerdere ophogingen van het Nationaal Warmtefonds die </w:t>
      </w:r>
      <w:r w:rsidRPr="00D9565F" w:rsidR="00D9565F">
        <w:t>reeds</w:t>
      </w:r>
      <w:r w:rsidRPr="00D9565F" w:rsidR="00D9565F">
        <w:t xml:space="preserve"> met uw Kamer zijn gedeeld (Kamerstuk 32813, nr. 1374 en Kamerbrief 33043, nr. 119).</w:t>
      </w:r>
      <w:r w:rsidR="00D9565F">
        <w:t xml:space="preserve"> </w:t>
      </w:r>
      <w:r w:rsidRPr="006872BE">
        <w:t xml:space="preserve">De middelen over de SVVE hebben betrekking op begrotingsjaar 2027. </w:t>
      </w:r>
      <w:r w:rsidR="00E239EA">
        <w:t>Uw</w:t>
      </w:r>
      <w:r w:rsidRPr="006872BE">
        <w:t xml:space="preserve"> Kamer zal de onderbouwing </w:t>
      </w:r>
      <w:r w:rsidRPr="006872BE">
        <w:t>conform</w:t>
      </w:r>
      <w:r w:rsidRPr="006872BE">
        <w:t xml:space="preserve"> “Beleidskeuzes </w:t>
      </w:r>
      <w:r w:rsidR="00D16C61">
        <w:t>u</w:t>
      </w:r>
      <w:r w:rsidRPr="006872BE">
        <w:t>itgelegd” ontvangen voor de behandeling van de begroting 2027 in de Tweede Kamer.</w:t>
      </w:r>
    </w:p>
    <w:p w:rsidRPr="00FC66B6" w:rsidR="00FC66B6" w:rsidP="00FC66B6" w14:paraId="2315C3B4" w14:textId="77777777">
      <w:pPr>
        <w:rPr>
          <w:i/>
          <w:iCs/>
        </w:rPr>
      </w:pPr>
    </w:p>
    <w:p w:rsidRPr="00853FF2" w:rsidR="00853FF2" w:rsidP="00B050FC" w14:paraId="1501A37D" w14:textId="77777777">
      <w:pPr>
        <w:rPr>
          <w:u w:val="single"/>
        </w:rPr>
      </w:pPr>
    </w:p>
    <w:p w:rsidR="00A83518" w:rsidP="00A83518" w14:paraId="7AE9B6BE" w14:textId="77777777"/>
    <w:p w:rsidR="00CC3848" w:rsidP="00A83518" w14:paraId="73148A09" w14:textId="77777777"/>
    <w:p w:rsidR="00CC3848" w:rsidP="00A83518" w14:paraId="76007493" w14:textId="77777777"/>
    <w:p w:rsidR="00E1569C" w:rsidP="00B050FC" w14:paraId="0A852E9B" w14:textId="77777777"/>
    <w:p w:rsidR="00643AB6" w:rsidP="00B050FC" w14:paraId="3259A5E2" w14:textId="77777777"/>
    <w:p w:rsidR="00D16C61" w:rsidP="00B050FC" w14:paraId="343DA412" w14:textId="77777777"/>
    <w:p w:rsidR="00D16C61" w:rsidP="00B050FC" w14:paraId="3BCC1FA1" w14:textId="77777777"/>
    <w:p w:rsidR="00E1569C" w:rsidP="00B050FC" w14:paraId="20E63C35" w14:textId="77777777"/>
    <w:p w:rsidR="00562C04" w:rsidP="00B050FC" w14:paraId="3BA07321" w14:textId="77777777"/>
    <w:p w:rsidRPr="00C63A1E" w:rsidR="00CC3848" w:rsidP="00CC3848" w14:paraId="156D8378" w14:textId="77777777">
      <w:pPr>
        <w:pStyle w:val="ListParagraph"/>
        <w:numPr>
          <w:ilvl w:val="0"/>
          <w:numId w:val="21"/>
        </w:numPr>
        <w:rPr>
          <w:b/>
          <w:bCs/>
        </w:rPr>
      </w:pPr>
      <w:r>
        <w:rPr>
          <w:b/>
          <w:bCs/>
        </w:rPr>
        <w:t>On</w:t>
      </w:r>
      <w:r w:rsidR="00D16C61">
        <w:rPr>
          <w:b/>
          <w:bCs/>
        </w:rPr>
        <w:t>d</w:t>
      </w:r>
      <w:r>
        <w:rPr>
          <w:b/>
          <w:bCs/>
        </w:rPr>
        <w:t>ersteuning Energiearmoede</w:t>
      </w:r>
    </w:p>
    <w:p w:rsidRPr="00B050FC" w:rsidR="00CC3848" w:rsidP="00CC3848" w14:paraId="25595B34" w14:textId="77777777">
      <w:pPr>
        <w:pStyle w:val="ListParagraph"/>
        <w:ind w:left="1080"/>
      </w:pPr>
    </w:p>
    <w:p w:rsidR="00562C04" w:rsidP="00B050FC" w14:paraId="700C8DBD" w14:textId="77777777"/>
    <w:tbl>
      <w:tblPr>
        <w:tblW w:w="5111"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472"/>
        <w:gridCol w:w="5231"/>
      </w:tblGrid>
      <w:tr w:rsidTr="00CC3848" w14:paraId="51D7DF52" w14:textId="77777777">
        <w:tblPrEx>
          <w:tblW w:w="5111"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vAlign w:val="center"/>
            <w:hideMark/>
          </w:tcPr>
          <w:p w:rsidRPr="00CC3848" w:rsidR="00CC3848" w:rsidP="00CC3848" w14:paraId="2CA6802D" w14:textId="77777777">
            <w:pPr>
              <w:rPr>
                <w:b/>
              </w:rPr>
            </w:pPr>
            <w:r w:rsidRPr="00CC3848">
              <w:rPr>
                <w:b/>
              </w:rPr>
              <w:t xml:space="preserve">Beleidskeuzes uitgelegd </w:t>
            </w:r>
          </w:p>
          <w:p w:rsidRPr="00CC3848" w:rsidR="00CC3848" w:rsidP="00CC3848" w14:paraId="0A900336" w14:textId="77777777">
            <w:pPr>
              <w:rPr>
                <w:b/>
              </w:rPr>
            </w:pPr>
          </w:p>
        </w:tc>
      </w:tr>
      <w:tr w:rsidTr="009B7DA5" w14:paraId="6B89482F" w14:textId="77777777">
        <w:tblPrEx>
          <w:tblW w:w="5111" w:type="pct"/>
          <w:tblInd w:w="-5" w:type="dxa"/>
          <w:shd w:val="clear" w:color="auto" w:fill="DEEAF6"/>
          <w:tblLook w:val="01E0"/>
        </w:tblPrEx>
        <w:trPr>
          <w:trHeight w:val="741"/>
        </w:trPr>
        <w:tc>
          <w:tcPr>
            <w:tcW w:w="1603" w:type="pct"/>
            <w:tcBorders>
              <w:top w:val="single" w:color="FFFFFF" w:sz="4" w:space="0"/>
              <w:left w:val="nil"/>
              <w:bottom w:val="single" w:color="FFFFFF" w:sz="4" w:space="0"/>
              <w:right w:val="single" w:color="FFFFFF" w:sz="4" w:space="0"/>
            </w:tcBorders>
            <w:shd w:val="clear" w:color="auto" w:fill="DEEAF6"/>
          </w:tcPr>
          <w:p w:rsidRPr="00CC3848" w:rsidR="00CC3848" w:rsidP="00CC3848" w14:paraId="619F292D" w14:textId="77777777">
            <w:pPr>
              <w:rPr>
                <w:b/>
              </w:rPr>
            </w:pPr>
          </w:p>
          <w:p w:rsidRPr="00CC3848" w:rsidR="00CC3848" w:rsidP="00CC3848" w14:paraId="31FB7BC4" w14:textId="77777777">
            <w:pPr>
              <w:numPr>
                <w:ilvl w:val="0"/>
                <w:numId w:val="16"/>
              </w:numPr>
              <w:rPr>
                <w:b/>
              </w:rPr>
            </w:pPr>
            <w:r w:rsidRPr="00CC3848">
              <w:rPr>
                <w:b/>
              </w:rPr>
              <w:t xml:space="preserve">Doel(en) </w:t>
            </w:r>
          </w:p>
        </w:tc>
        <w:tc>
          <w:tcPr>
            <w:tcW w:w="3397" w:type="pct"/>
            <w:tcBorders>
              <w:top w:val="single" w:color="FFFFFF" w:sz="4" w:space="0"/>
              <w:left w:val="single" w:color="FFFFFF" w:sz="4" w:space="0"/>
              <w:bottom w:val="single" w:color="FFFFFF" w:sz="4" w:space="0"/>
              <w:right w:val="nil"/>
            </w:tcBorders>
            <w:shd w:val="clear" w:color="auto" w:fill="DEEAF6"/>
            <w:vAlign w:val="center"/>
          </w:tcPr>
          <w:p w:rsidRPr="00CC3848" w:rsidR="00CC3848" w:rsidP="00CC3848" w14:paraId="17C7CE92" w14:textId="77777777">
            <w:pPr>
              <w:rPr>
                <w:bCs/>
              </w:rPr>
            </w:pPr>
            <w:r w:rsidRPr="00CC3848">
              <w:t xml:space="preserve">Het kabinet heeft de Kamer in april geïnformeerd over het maatregelenpakket Acties Weerbaarheid Energieschok (Kamerstuk 36933, nr. 1). Een van de genoemde maatregelen betreft (het continueren) de inzet op energiefixers. </w:t>
            </w:r>
          </w:p>
          <w:p w:rsidRPr="00CC3848" w:rsidR="00CC3848" w:rsidP="00CC3848" w14:paraId="674C6BA3" w14:textId="77777777">
            <w:pPr>
              <w:rPr>
                <w:bCs/>
              </w:rPr>
            </w:pPr>
          </w:p>
          <w:p w:rsidRPr="00CC3848" w:rsidR="00CC3848" w:rsidP="00CC3848" w14:paraId="79CA39AF" w14:textId="77777777">
            <w:pPr>
              <w:rPr>
                <w:bCs/>
              </w:rPr>
            </w:pPr>
            <w:r w:rsidRPr="00CC3848">
              <w:rPr>
                <w:bCs/>
              </w:rPr>
              <w:t>Het doel van deze beleidsmaatregel is het verlagen van de energierekening door middel van energiebesparende maatregelen en efficiënter gedrag. Daarnaast heeft energiehulp een positief effect op onder meer het wooncomfort (met name bij onderconsumptie van energie), de gezondheid van bewoners, sociaal welzijn, klimaat, en begeleiding door de energietransitie.</w:t>
            </w:r>
            <w:r>
              <w:rPr>
                <w:bCs/>
                <w:vertAlign w:val="superscript"/>
              </w:rPr>
              <w:footnoteReference w:id="2"/>
            </w:r>
          </w:p>
          <w:p w:rsidRPr="00CC3848" w:rsidR="00CC3848" w:rsidP="00CC3848" w14:paraId="5E13D6DF" w14:textId="77777777">
            <w:pPr>
              <w:rPr>
                <w:bCs/>
              </w:rPr>
            </w:pPr>
          </w:p>
          <w:p w:rsidRPr="00CC3848" w:rsidR="00CC3848" w:rsidP="00CC3848" w14:paraId="3A272338" w14:textId="77777777">
            <w:pPr>
              <w:rPr>
                <w:bCs/>
              </w:rPr>
            </w:pPr>
            <w:r w:rsidRPr="00CC3848">
              <w:rPr>
                <w:bCs/>
              </w:rPr>
              <w:t>De doelgroep van deze beleidsmaatregel betreft huishoudens die kwetsbaar zijn voor hoge energieprijzen. CBS en TNO laten in hun energiearmoedemonitor zien dat in 2024 ongeveer 510 duizend huishoudens te maken hebben met </w:t>
            </w:r>
            <w:hyperlink w:history="1" r:id="rId7">
              <w:r w:rsidRPr="00CC3848">
                <w:rPr>
                  <w:bCs/>
                  <w:color w:val="467886"/>
                  <w:u w:val="single"/>
                </w:rPr>
                <w:t>energiearmoede</w:t>
              </w:r>
            </w:hyperlink>
            <w:r w:rsidRPr="00CC3848">
              <w:rPr>
                <w:bCs/>
              </w:rPr>
              <w:t xml:space="preserve">, dat is 6,1% van alle huishoudens in Nederland. Het aantal risicohuishoudens wordt op </w:t>
            </w:r>
            <w:r w:rsidRPr="00CC3848">
              <w:rPr>
                <w:bCs/>
              </w:rPr>
              <w:t>circa</w:t>
            </w:r>
            <w:r w:rsidRPr="00CC3848">
              <w:rPr>
                <w:bCs/>
              </w:rPr>
              <w:t xml:space="preserve"> 1 miljoen geschat, dit is 12,9%. Deze huishoudens zijn niet energiearm, maar hebben een laag middeninkomen in combinatie met hoge energiekosten en/of een woning van lage energetische kwaliteit. Zij zijn daardoor ook kwetsbaar bij hoge energieprijzen. </w:t>
            </w:r>
            <w:r w:rsidRPr="00CC3848">
              <w:rPr>
                <w:bCs/>
              </w:rPr>
              <w:t>Samen gaat</w:t>
            </w:r>
            <w:r w:rsidRPr="00CC3848">
              <w:rPr>
                <w:bCs/>
              </w:rPr>
              <w:t xml:space="preserve"> het om 1,5 miljoen huishoudens. </w:t>
            </w:r>
          </w:p>
          <w:p w:rsidRPr="00CC3848" w:rsidR="00CC3848" w:rsidP="00CC3848" w14:paraId="0A7EFF01" w14:textId="77777777">
            <w:pPr>
              <w:rPr>
                <w:bCs/>
              </w:rPr>
            </w:pPr>
          </w:p>
          <w:p w:rsidRPr="00CC3848" w:rsidR="00CC3848" w:rsidP="00CC3848" w14:paraId="45096CCE" w14:textId="77777777">
            <w:pPr>
              <w:rPr>
                <w:bCs/>
              </w:rPr>
            </w:pPr>
            <w:r w:rsidRPr="00CC3848">
              <w:rPr>
                <w:bCs/>
              </w:rPr>
              <w:t>Het budget van € 80 mln. heeft als doel dat gemeenten praktische energiehulp kunnen bieden aan deze huishoudens met (risico op) energiearmoede. Met deze aanvullende € 80 mln. zouden daarmee naar schatting 300.000 huishoudens ondersteund kunnen worden.</w:t>
            </w:r>
          </w:p>
          <w:p w:rsidRPr="00CC3848" w:rsidR="00CC3848" w:rsidP="00CC3848" w14:paraId="159FF175" w14:textId="77777777">
            <w:pPr>
              <w:rPr>
                <w:bCs/>
              </w:rPr>
            </w:pPr>
            <w:r w:rsidRPr="00CC3848">
              <w:rPr>
                <w:bCs/>
              </w:rPr>
              <w:t>Dat is gebaseerd op</w:t>
            </w:r>
            <w:r w:rsidR="00124AA4">
              <w:rPr>
                <w:bCs/>
              </w:rPr>
              <w:t xml:space="preserve"> het gegeven</w:t>
            </w:r>
            <w:r w:rsidRPr="00CC3848">
              <w:rPr>
                <w:bCs/>
              </w:rPr>
              <w:t xml:space="preserve"> dat</w:t>
            </w:r>
            <w:r w:rsidR="00124AA4">
              <w:rPr>
                <w:bCs/>
              </w:rPr>
              <w:t xml:space="preserve"> er</w:t>
            </w:r>
            <w:r w:rsidRPr="00CC3848">
              <w:rPr>
                <w:bCs/>
              </w:rPr>
              <w:t xml:space="preserve"> de afgelopen </w:t>
            </w:r>
            <w:r w:rsidRPr="00CC3848">
              <w:rPr>
                <w:bCs/>
              </w:rPr>
              <w:t>jaren  per</w:t>
            </w:r>
            <w:r w:rsidRPr="00CC3848">
              <w:rPr>
                <w:bCs/>
              </w:rPr>
              <w:t xml:space="preserve"> energiehulptraject gemiddeld € 266 euro is uitgegeven.</w:t>
            </w:r>
          </w:p>
          <w:p w:rsidRPr="00CC3848" w:rsidR="00CC3848" w:rsidP="00CC3848" w14:paraId="33FEC815" w14:textId="77777777">
            <w:pPr>
              <w:rPr>
                <w:bCs/>
              </w:rPr>
            </w:pPr>
            <w:r w:rsidRPr="00CC3848">
              <w:rPr>
                <w:bCs/>
              </w:rPr>
              <w:t xml:space="preserve">Wel verwachten we dat de mogelijkheid bestaat dat dit getal lager is omdat er na veel gerealiseerde kleinere oplossingen (zoals tochtstrips, radiatorfolie en LED-lampen), er nu een beweging is naar grondigere/duurdere maatregelen zoals waterzijdig inregelen en meer langdurige coaching en begeleiding. </w:t>
            </w:r>
          </w:p>
          <w:p w:rsidRPr="00CC3848" w:rsidR="00CC3848" w:rsidP="00CC3848" w14:paraId="504E9868" w14:textId="77777777">
            <w:pPr>
              <w:rPr>
                <w:bCs/>
              </w:rPr>
            </w:pPr>
          </w:p>
          <w:p w:rsidRPr="00CC3848" w:rsidR="00CC3848" w:rsidP="00CC3848" w14:paraId="7239B242" w14:textId="77777777">
            <w:pPr>
              <w:rPr>
                <w:bCs/>
              </w:rPr>
            </w:pPr>
            <w:r w:rsidRPr="00CC3848">
              <w:rPr>
                <w:bCs/>
              </w:rPr>
              <w:t xml:space="preserve">Het CBS becijfert de gemiddelde energiequote – het percentage van het inkomen dat een huishouden uitgeeft aan energiekosten - van huishoudens met energiearmoede in 2024 op bijna 12%. Ter vergelijking: Voor alle huishoudens bedroeg de energiequote bijna 5%. De groep met risico op energiearmoede heeft een energiequote van bijna 7,7%. </w:t>
            </w:r>
            <w:r>
              <w:rPr>
                <w:bCs/>
                <w:vertAlign w:val="superscript"/>
              </w:rPr>
              <w:footnoteReference w:id="3"/>
            </w:r>
            <w:r w:rsidRPr="00CC3848">
              <w:rPr>
                <w:bCs/>
              </w:rPr>
              <w:t xml:space="preserve"> Energiehulp draagt bij aan armoedepreventie en aan het weerbaar maken van deze huishoudens voor prijsschokken.</w:t>
            </w:r>
          </w:p>
          <w:p w:rsidRPr="00CC3848" w:rsidR="00CC3848" w:rsidP="00CC3848" w14:paraId="2A787E12" w14:textId="77777777">
            <w:pPr>
              <w:rPr>
                <w:b/>
              </w:rPr>
            </w:pPr>
          </w:p>
        </w:tc>
      </w:tr>
      <w:tr w:rsidTr="009B7DA5" w14:paraId="5CE6B47D" w14:textId="77777777">
        <w:tblPrEx>
          <w:tblW w:w="5111" w:type="pct"/>
          <w:tblInd w:w="-5" w:type="dxa"/>
          <w:shd w:val="clear" w:color="auto" w:fill="DEEAF6"/>
          <w:tblLook w:val="01E0"/>
        </w:tblPrEx>
        <w:trPr>
          <w:trHeight w:val="565"/>
        </w:trPr>
        <w:tc>
          <w:tcPr>
            <w:tcW w:w="1603" w:type="pct"/>
            <w:tcBorders>
              <w:top w:val="single" w:color="FFFFFF" w:sz="4" w:space="0"/>
              <w:left w:val="nil"/>
              <w:bottom w:val="single" w:color="FFFFFF" w:sz="4" w:space="0"/>
              <w:right w:val="single" w:color="FFFFFF" w:sz="4" w:space="0"/>
            </w:tcBorders>
            <w:shd w:val="clear" w:color="auto" w:fill="DEEAF6"/>
          </w:tcPr>
          <w:p w:rsidRPr="00CC3848" w:rsidR="00CC3848" w:rsidP="00CC3848" w14:paraId="0CA33680" w14:textId="77777777">
            <w:pPr>
              <w:rPr>
                <w:b/>
              </w:rPr>
            </w:pPr>
          </w:p>
          <w:p w:rsidRPr="00CC3848" w:rsidR="00CC3848" w:rsidP="00CC3848" w14:paraId="6C6E970D" w14:textId="77777777">
            <w:pPr>
              <w:numPr>
                <w:ilvl w:val="0"/>
                <w:numId w:val="16"/>
              </w:numPr>
              <w:rPr>
                <w:b/>
              </w:rPr>
            </w:pPr>
            <w:r w:rsidRPr="00CC3848">
              <w:rPr>
                <w:b/>
              </w:rPr>
              <w:t>Beleidsinstrument(en)</w:t>
            </w:r>
          </w:p>
        </w:tc>
        <w:tc>
          <w:tcPr>
            <w:tcW w:w="3397" w:type="pct"/>
            <w:tcBorders>
              <w:top w:val="single" w:color="FFFFFF" w:sz="4" w:space="0"/>
              <w:left w:val="single" w:color="FFFFFF" w:sz="4" w:space="0"/>
              <w:bottom w:val="single" w:color="FFFFFF" w:sz="4" w:space="0"/>
              <w:right w:val="nil"/>
            </w:tcBorders>
            <w:shd w:val="clear" w:color="auto" w:fill="DEEAF6"/>
            <w:vAlign w:val="center"/>
          </w:tcPr>
          <w:p w:rsidRPr="00CC3848" w:rsidR="00CC3848" w:rsidP="00CC3848" w14:paraId="69A5C3A8" w14:textId="77777777">
            <w:pPr>
              <w:rPr>
                <w:bCs/>
              </w:rPr>
            </w:pPr>
            <w:r w:rsidRPr="00CC3848">
              <w:rPr>
                <w:bCs/>
              </w:rPr>
              <w:t>Het is op dit moment de inzet om in 2026 € 40 mln. in te zetten via verhoging en verlenging</w:t>
            </w:r>
            <w:r w:rsidR="00124AA4">
              <w:rPr>
                <w:bCs/>
              </w:rPr>
              <w:t xml:space="preserve"> van</w:t>
            </w:r>
            <w:r w:rsidRPr="00CC3848">
              <w:rPr>
                <w:bCs/>
              </w:rPr>
              <w:t xml:space="preserve"> de bestaande SPUK Aanpak Energiearmoede. Dat kan namelijk snel, en geeft gemeenten ruimte voor komend stookseizoen.</w:t>
            </w:r>
          </w:p>
          <w:p w:rsidRPr="00CC3848" w:rsidR="00CC3848" w:rsidP="00CC3848" w14:paraId="175000A4" w14:textId="77777777">
            <w:pPr>
              <w:rPr>
                <w:bCs/>
              </w:rPr>
            </w:pPr>
          </w:p>
          <w:p w:rsidR="00273908" w:rsidP="00CC3848" w14:paraId="733549AC" w14:textId="77777777">
            <w:pPr>
              <w:rPr>
                <w:bCs/>
              </w:rPr>
            </w:pPr>
            <w:r>
              <w:rPr>
                <w:bCs/>
              </w:rPr>
              <w:t>Voor de jaren daarna</w:t>
            </w:r>
            <w:r w:rsidRPr="00CC3848" w:rsidR="00CC3848">
              <w:rPr>
                <w:bCs/>
              </w:rPr>
              <w:t xml:space="preserve"> is</w:t>
            </w:r>
            <w:r>
              <w:rPr>
                <w:bCs/>
              </w:rPr>
              <w:t xml:space="preserve"> het</w:t>
            </w:r>
            <w:r w:rsidRPr="00CC3848" w:rsidR="00CC3848">
              <w:rPr>
                <w:bCs/>
              </w:rPr>
              <w:t xml:space="preserve"> de bedoeling </w:t>
            </w:r>
            <w:r w:rsidR="004861EE">
              <w:rPr>
                <w:bCs/>
              </w:rPr>
              <w:t>dat er budget beschikbaar wordt gesteld</w:t>
            </w:r>
            <w:r w:rsidRPr="00CC3848" w:rsidR="00CC3848">
              <w:rPr>
                <w:bCs/>
              </w:rPr>
              <w:t xml:space="preserve"> uit het Sociaal Klimaatfonds</w:t>
            </w:r>
            <w:r w:rsidR="00413DDD">
              <w:rPr>
                <w:bCs/>
              </w:rPr>
              <w:t xml:space="preserve"> waarvoor een nieuwe regeling wordt opgesteld richting gemeenten</w:t>
            </w:r>
            <w:r>
              <w:rPr>
                <w:bCs/>
              </w:rPr>
              <w:t>.</w:t>
            </w:r>
          </w:p>
          <w:p w:rsidR="00273908" w:rsidP="00CC3848" w14:paraId="5E58513B" w14:textId="77777777">
            <w:pPr>
              <w:rPr>
                <w:bCs/>
              </w:rPr>
            </w:pPr>
            <w:r w:rsidRPr="00273908">
              <w:rPr>
                <w:bCs/>
              </w:rPr>
              <w:t>Het Sociaal Klimaatfonds is een Europees fonds dat de sociale en economische gevolgen van de energietransitie verzacht. Nederland heeft een conceptplan voor het Sociaal Klimaatplan ingediend bij de Europese Commissie om invulling te geven aan het Sociaal Klimaatfonds en werkt nu de definitieve aanvraag uit. Het energiehuis is als maatregel beschreven binnen dit Sociaal Klimaatplan. Binnen het energiehuis valt de energiehulp door middel van energiefixers.</w:t>
            </w:r>
            <w:r>
              <w:rPr>
                <w:bCs/>
                <w:vertAlign w:val="superscript"/>
              </w:rPr>
              <w:footnoteReference w:id="4"/>
            </w:r>
            <w:r w:rsidRPr="00CC3848" w:rsidR="00CC3848">
              <w:rPr>
                <w:bCs/>
              </w:rPr>
              <w:t xml:space="preserve">. </w:t>
            </w:r>
          </w:p>
          <w:p w:rsidR="00273908" w:rsidP="00CC3848" w14:paraId="7D31271C" w14:textId="77777777">
            <w:pPr>
              <w:rPr>
                <w:bCs/>
              </w:rPr>
            </w:pPr>
          </w:p>
          <w:p w:rsidRPr="00CC3848" w:rsidR="00CC3848" w:rsidP="00CC3848" w14:paraId="61B665D7" w14:textId="77777777">
            <w:pPr>
              <w:rPr>
                <w:bCs/>
              </w:rPr>
            </w:pPr>
            <w:r w:rsidRPr="00CC3848">
              <w:rPr>
                <w:bCs/>
              </w:rPr>
              <w:t>Het Rijk</w:t>
            </w:r>
            <w:r w:rsidR="000939D5">
              <w:rPr>
                <w:bCs/>
              </w:rPr>
              <w:t>,</w:t>
            </w:r>
            <w:r w:rsidR="00DF68B5">
              <w:rPr>
                <w:bCs/>
              </w:rPr>
              <w:t xml:space="preserve"> </w:t>
            </w:r>
            <w:r w:rsidR="000939D5">
              <w:rPr>
                <w:bCs/>
              </w:rPr>
              <w:t>zijnde het beleidsverantwoordelijke departement,</w:t>
            </w:r>
            <w:r w:rsidRPr="00CC3848">
              <w:rPr>
                <w:bCs/>
              </w:rPr>
              <w:t xml:space="preserve"> schiet dit geld voor en maakt het over aan de gemeenten, en de Europese Commissie maakt de middelen aan het Rijk over aan het einde van de termijn als de prestaties zijn geleverd. </w:t>
            </w:r>
          </w:p>
          <w:p w:rsidRPr="00CC3848" w:rsidR="00CC3848" w:rsidP="00CC3848" w14:paraId="2D6DCEEF" w14:textId="77777777">
            <w:pPr>
              <w:contextualSpacing/>
              <w:rPr>
                <w:bCs/>
              </w:rPr>
            </w:pPr>
          </w:p>
          <w:p w:rsidRPr="00CC3848" w:rsidR="00CC3848" w:rsidP="00CC3848" w14:paraId="68A87AE4" w14:textId="77777777">
            <w:pPr>
              <w:contextualSpacing/>
              <w:rPr>
                <w:bCs/>
              </w:rPr>
            </w:pPr>
            <w:r w:rsidRPr="00CC3848">
              <w:rPr>
                <w:bCs/>
              </w:rPr>
              <w:t xml:space="preserve">Voor 2026 worden de middelen via de SPUK beschikt aan gemeenten, verdeeld </w:t>
            </w:r>
            <w:r w:rsidR="003F4591">
              <w:rPr>
                <w:bCs/>
              </w:rPr>
              <w:t>op basis</w:t>
            </w:r>
            <w:r w:rsidRPr="00CC3848">
              <w:rPr>
                <w:bCs/>
              </w:rPr>
              <w:t xml:space="preserve"> van de hoeveelheid energiearmoede in de gemeente. Voor 2027 verwacht</w:t>
            </w:r>
            <w:r w:rsidR="00E1569C">
              <w:rPr>
                <w:bCs/>
              </w:rPr>
              <w:t xml:space="preserve"> </w:t>
            </w:r>
            <w:r w:rsidR="00124AA4">
              <w:rPr>
                <w:bCs/>
              </w:rPr>
              <w:t>ik</w:t>
            </w:r>
            <w:r w:rsidRPr="00CC3848" w:rsidR="00124AA4">
              <w:rPr>
                <w:bCs/>
              </w:rPr>
              <w:t xml:space="preserve"> </w:t>
            </w:r>
            <w:r w:rsidRPr="00CC3848">
              <w:rPr>
                <w:bCs/>
              </w:rPr>
              <w:t xml:space="preserve">in het kader van het Sociaal Klimaatplan, een aparte aanvraagprocedure op te zetten, waar eveneens alle </w:t>
            </w:r>
            <w:r w:rsidRPr="00CC3848">
              <w:rPr>
                <w:bCs/>
              </w:rPr>
              <w:t>gemeenten middelen</w:t>
            </w:r>
            <w:r w:rsidRPr="00CC3848">
              <w:rPr>
                <w:bCs/>
              </w:rPr>
              <w:t xml:space="preserve"> uit kunnen ontvangen.</w:t>
            </w:r>
          </w:p>
          <w:p w:rsidRPr="00CC3848" w:rsidR="00CC3848" w:rsidP="00CC3848" w14:paraId="227F7564" w14:textId="77777777">
            <w:pPr>
              <w:contextualSpacing/>
              <w:rPr>
                <w:bCs/>
              </w:rPr>
            </w:pPr>
          </w:p>
          <w:p w:rsidR="00CC3848" w:rsidP="00CC3848" w14:paraId="0EC73AC6" w14:textId="77777777">
            <w:pPr>
              <w:contextualSpacing/>
              <w:rPr>
                <w:bCs/>
              </w:rPr>
            </w:pPr>
            <w:r w:rsidRPr="00CC3848">
              <w:rPr>
                <w:bCs/>
              </w:rPr>
              <w:t xml:space="preserve">Wanneer de aanvraag en het goedkeuringsproces van het Sociaal Klimaatplan vertraging oploopt bestaat de terugvaloptie om voor 2027 opnieuw de bestaande SPUK Aanpak Energiearmoede te verhogen. </w:t>
            </w:r>
          </w:p>
          <w:p w:rsidR="00D16C61" w:rsidP="00CC3848" w14:paraId="0C266F50" w14:textId="77777777">
            <w:pPr>
              <w:contextualSpacing/>
              <w:rPr>
                <w:bCs/>
              </w:rPr>
            </w:pPr>
          </w:p>
          <w:p w:rsidR="00D16C61" w:rsidP="00CC3848" w14:paraId="3988F813" w14:textId="77777777">
            <w:pPr>
              <w:contextualSpacing/>
              <w:rPr>
                <w:bCs/>
              </w:rPr>
            </w:pPr>
          </w:p>
          <w:p w:rsidR="00D16C61" w:rsidP="00CC3848" w14:paraId="56A1CA97" w14:textId="77777777">
            <w:pPr>
              <w:contextualSpacing/>
              <w:rPr>
                <w:bCs/>
              </w:rPr>
            </w:pPr>
          </w:p>
          <w:p w:rsidR="00D16C61" w:rsidP="00CC3848" w14:paraId="17E5ECF5" w14:textId="77777777">
            <w:pPr>
              <w:contextualSpacing/>
              <w:rPr>
                <w:bCs/>
              </w:rPr>
            </w:pPr>
          </w:p>
          <w:p w:rsidR="00D16C61" w:rsidP="00CC3848" w14:paraId="6AC02E45" w14:textId="77777777">
            <w:pPr>
              <w:contextualSpacing/>
              <w:rPr>
                <w:bCs/>
              </w:rPr>
            </w:pPr>
          </w:p>
          <w:p w:rsidR="00D16C61" w:rsidP="00CC3848" w14:paraId="69BC00E7" w14:textId="77777777">
            <w:pPr>
              <w:contextualSpacing/>
              <w:rPr>
                <w:bCs/>
              </w:rPr>
            </w:pPr>
          </w:p>
          <w:p w:rsidRPr="00CC3848" w:rsidR="00D16C61" w:rsidP="00CC3848" w14:paraId="6C7B9713" w14:textId="77777777">
            <w:pPr>
              <w:contextualSpacing/>
              <w:rPr>
                <w:bCs/>
              </w:rPr>
            </w:pPr>
          </w:p>
          <w:p w:rsidRPr="00CC3848" w:rsidR="00CC3848" w:rsidP="00CC3848" w14:paraId="5C5FA917" w14:textId="77777777">
            <w:pPr>
              <w:rPr>
                <w:bCs/>
              </w:rPr>
            </w:pPr>
          </w:p>
        </w:tc>
      </w:tr>
      <w:tr w:rsidTr="009B7DA5" w14:paraId="23660431" w14:textId="77777777">
        <w:tblPrEx>
          <w:tblW w:w="5111" w:type="pct"/>
          <w:tblInd w:w="-5" w:type="dxa"/>
          <w:shd w:val="clear" w:color="auto" w:fill="DEEAF6"/>
          <w:tblLook w:val="01E0"/>
        </w:tblPrEx>
        <w:trPr>
          <w:trHeight w:val="655"/>
        </w:trPr>
        <w:tc>
          <w:tcPr>
            <w:tcW w:w="1603" w:type="pct"/>
            <w:tcBorders>
              <w:top w:val="single" w:color="FFFFFF" w:sz="4" w:space="0"/>
              <w:left w:val="nil"/>
              <w:bottom w:val="single" w:color="FFFFFF" w:sz="4" w:space="0"/>
              <w:right w:val="single" w:color="FFFFFF" w:sz="4" w:space="0"/>
            </w:tcBorders>
            <w:shd w:val="clear" w:color="auto" w:fill="DEEAF6"/>
          </w:tcPr>
          <w:p w:rsidRPr="00CC3848" w:rsidR="00CC3848" w:rsidP="00CC3848" w14:paraId="19A71726" w14:textId="77777777">
            <w:pPr>
              <w:rPr>
                <w:bCs/>
              </w:rPr>
            </w:pPr>
          </w:p>
          <w:p w:rsidRPr="00CC3848" w:rsidR="00CC3848" w:rsidP="00CC3848" w14:paraId="3A2FCA52" w14:textId="77777777">
            <w:pPr>
              <w:numPr>
                <w:ilvl w:val="0"/>
                <w:numId w:val="16"/>
              </w:numPr>
              <w:rPr>
                <w:b/>
              </w:rPr>
            </w:pPr>
            <w:r w:rsidRPr="00CC3848">
              <w:rPr>
                <w:b/>
              </w:rPr>
              <w:t>Financiële gevolgen</w:t>
            </w:r>
          </w:p>
          <w:p w:rsidRPr="00CC3848" w:rsidR="00CC3848" w:rsidP="00CC3848" w14:paraId="56718A7F" w14:textId="77777777">
            <w:pPr>
              <w:rPr>
                <w:b/>
              </w:rPr>
            </w:pPr>
          </w:p>
          <w:p w:rsidRPr="00CC3848" w:rsidR="00CC3848" w:rsidP="00CC3848" w14:paraId="5CDB1AC1" w14:textId="77777777">
            <w:pPr>
              <w:rPr>
                <w:b/>
              </w:rPr>
            </w:pPr>
            <w:r w:rsidRPr="00CC3848">
              <w:rPr>
                <w:b/>
              </w:rPr>
              <w:t>A. voor het Rijk</w:t>
            </w:r>
          </w:p>
          <w:p w:rsidRPr="00CC3848" w:rsidR="00CC3848" w:rsidP="00CC3848" w14:paraId="5C9E382D" w14:textId="77777777">
            <w:pPr>
              <w:rPr>
                <w:b/>
              </w:rPr>
            </w:pPr>
          </w:p>
        </w:tc>
        <w:tc>
          <w:tcPr>
            <w:tcW w:w="3397" w:type="pct"/>
            <w:tcBorders>
              <w:top w:val="single" w:color="FFFFFF" w:sz="4" w:space="0"/>
              <w:left w:val="single" w:color="FFFFFF" w:sz="4" w:space="0"/>
              <w:bottom w:val="single" w:color="FFFFFF" w:sz="4" w:space="0"/>
              <w:right w:val="nil"/>
            </w:tcBorders>
            <w:shd w:val="clear" w:color="auto" w:fill="DEEAF6"/>
            <w:vAlign w:val="center"/>
          </w:tcPr>
          <w:p w:rsidRPr="00CC3848" w:rsidR="00CC3848" w:rsidP="00CC3848" w14:paraId="3CDDFCED" w14:textId="77777777">
            <w:pPr>
              <w:rPr>
                <w:bCs/>
              </w:rPr>
            </w:pPr>
            <w:r w:rsidRPr="00CC3848">
              <w:rPr>
                <w:bCs/>
              </w:rPr>
              <w:t xml:space="preserve">Via het Energieschokpakket wordt € 80 mln. beschikbaar </w:t>
            </w:r>
            <w:r w:rsidRPr="00CC3848" w:rsidR="004861EE">
              <w:rPr>
                <w:bCs/>
              </w:rPr>
              <w:t>ge</w:t>
            </w:r>
            <w:r w:rsidR="004861EE">
              <w:rPr>
                <w:bCs/>
              </w:rPr>
              <w:t>steld</w:t>
            </w:r>
            <w:r w:rsidRPr="00CC3848" w:rsidR="004861EE">
              <w:rPr>
                <w:bCs/>
              </w:rPr>
              <w:t xml:space="preserve"> </w:t>
            </w:r>
            <w:r w:rsidRPr="00CC3848">
              <w:rPr>
                <w:bCs/>
              </w:rPr>
              <w:t>voor ‘Energiefixers’ en deze</w:t>
            </w:r>
            <w:r w:rsidR="004861EE">
              <w:rPr>
                <w:bCs/>
              </w:rPr>
              <w:t xml:space="preserve"> middelen</w:t>
            </w:r>
            <w:r w:rsidRPr="00CC3848">
              <w:rPr>
                <w:bCs/>
              </w:rPr>
              <w:t xml:space="preserve"> </w:t>
            </w:r>
            <w:r w:rsidR="004861EE">
              <w:rPr>
                <w:bCs/>
              </w:rPr>
              <w:t>worden toegevoegd aan</w:t>
            </w:r>
            <w:r w:rsidRPr="00CC3848">
              <w:rPr>
                <w:bCs/>
              </w:rPr>
              <w:t xml:space="preserve"> </w:t>
            </w:r>
            <w:r w:rsidR="004861EE">
              <w:rPr>
                <w:bCs/>
              </w:rPr>
              <w:t>a</w:t>
            </w:r>
            <w:r w:rsidRPr="00CC3848">
              <w:rPr>
                <w:bCs/>
              </w:rPr>
              <w:t xml:space="preserve">rtikel 2 van de VRO-begroting onder ‘Ondersteuning Energiearmoede’. </w:t>
            </w:r>
          </w:p>
          <w:p w:rsidRPr="00CC3848" w:rsidR="00CC3848" w:rsidP="00CC3848" w14:paraId="2B3CDD20" w14:textId="77777777">
            <w:pPr>
              <w:rPr>
                <w:bCs/>
              </w:rPr>
            </w:pPr>
          </w:p>
          <w:p w:rsidRPr="00CC3848" w:rsidR="00CC3848" w:rsidP="00CC3848" w14:paraId="58FBE3F9" w14:textId="77777777">
            <w:pPr>
              <w:rPr>
                <w:bCs/>
              </w:rPr>
            </w:pPr>
            <w:r w:rsidRPr="00CC3848">
              <w:rPr>
                <w:bCs/>
              </w:rPr>
              <w:t>De eerste € 40 mln. wordt in 2026 ingezet om de bestaande SPUK Aanpak Energiearmoede te verhogen. Over de tweede € 40 mln. in 2027 volgt nog nadere besluitvorming</w:t>
            </w:r>
            <w:r>
              <w:rPr>
                <w:bCs/>
                <w:vertAlign w:val="superscript"/>
              </w:rPr>
              <w:footnoteReference w:id="5"/>
            </w:r>
            <w:r w:rsidRPr="00CC3848">
              <w:rPr>
                <w:bCs/>
              </w:rPr>
              <w:t xml:space="preserve">. </w:t>
            </w:r>
          </w:p>
          <w:p w:rsidRPr="00CC3848" w:rsidR="00CC3848" w:rsidP="00CC3848" w14:paraId="5265AF02" w14:textId="77777777">
            <w:pPr>
              <w:rPr>
                <w:bCs/>
              </w:rPr>
            </w:pPr>
          </w:p>
          <w:p w:rsidRPr="00CC3848" w:rsidR="00CC3848" w:rsidP="00CC3848" w14:paraId="21F7BA9E" w14:textId="77777777">
            <w:pPr>
              <w:rPr>
                <w:bCs/>
                <w:i/>
                <w:iCs/>
              </w:rPr>
            </w:pPr>
            <w:r w:rsidRPr="00CC3848">
              <w:rPr>
                <w:bCs/>
                <w:i/>
                <w:iCs/>
              </w:rPr>
              <w:t xml:space="preserve">Totale </w:t>
            </w:r>
            <w:r w:rsidRPr="00CC3848">
              <w:rPr>
                <w:bCs/>
                <w:i/>
                <w:iCs/>
              </w:rPr>
              <w:t>SPUK middelen</w:t>
            </w:r>
            <w:r w:rsidRPr="00CC3848">
              <w:rPr>
                <w:bCs/>
                <w:i/>
                <w:iCs/>
              </w:rPr>
              <w:t xml:space="preserve"> tot op heden</w:t>
            </w:r>
          </w:p>
          <w:p w:rsidRPr="00CC3848" w:rsidR="00CC3848" w:rsidP="00CC3848" w14:paraId="37BEFF8A" w14:textId="77777777">
            <w:pPr>
              <w:rPr>
                <w:bCs/>
              </w:rPr>
            </w:pPr>
            <w:r>
              <w:rPr>
                <w:bCs/>
              </w:rPr>
              <w:t>Van</w:t>
            </w:r>
            <w:r w:rsidR="00EB3D95">
              <w:rPr>
                <w:bCs/>
              </w:rPr>
              <w:t xml:space="preserve"> 2022</w:t>
            </w:r>
            <w:r>
              <w:rPr>
                <w:bCs/>
              </w:rPr>
              <w:t xml:space="preserve"> tot 2024 er</w:t>
            </w:r>
            <w:r w:rsidR="004861EE">
              <w:rPr>
                <w:bCs/>
              </w:rPr>
              <w:t xml:space="preserve"> via </w:t>
            </w:r>
            <w:r w:rsidRPr="00CC3848">
              <w:rPr>
                <w:bCs/>
              </w:rPr>
              <w:t xml:space="preserve">de bestaande SPUK Aanpak Energiearmoede € 553 mln. </w:t>
            </w:r>
            <w:r w:rsidR="004861EE">
              <w:rPr>
                <w:bCs/>
              </w:rPr>
              <w:t xml:space="preserve">verstrekt. </w:t>
            </w:r>
          </w:p>
          <w:p w:rsidR="00CC3848" w:rsidP="00CC3848" w14:paraId="355E1731" w14:textId="77777777">
            <w:pPr>
              <w:rPr>
                <w:bCs/>
              </w:rPr>
            </w:pPr>
          </w:p>
          <w:p w:rsidRPr="008E424B" w:rsidR="00124AA4" w:rsidP="00CC3848" w14:paraId="75AC8645" w14:textId="77777777">
            <w:pPr>
              <w:rPr>
                <w:bCs/>
                <w:i/>
                <w:iCs/>
              </w:rPr>
            </w:pPr>
            <w:r w:rsidRPr="008E424B">
              <w:rPr>
                <w:bCs/>
                <w:i/>
                <w:iCs/>
              </w:rPr>
              <w:t xml:space="preserve">Bedragen in mln. euro’s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
            <w:tblGrid>
              <w:gridCol w:w="1402"/>
              <w:gridCol w:w="548"/>
              <w:gridCol w:w="666"/>
              <w:gridCol w:w="577"/>
              <w:gridCol w:w="614"/>
              <w:gridCol w:w="659"/>
              <w:gridCol w:w="539"/>
            </w:tblGrid>
            <w:tr w:rsidTr="009B7DA5" w14:paraId="73E04DCF" w14:textId="77777777">
              <w:tblPrEx>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tblPrEx>
              <w:trPr>
                <w:trHeight w:val="267"/>
              </w:trPr>
              <w:tc>
                <w:tcPr>
                  <w:tcW w:w="1698" w:type="dxa"/>
                  <w:shd w:val="clear" w:color="auto" w:fill="auto"/>
                  <w:noWrap/>
                  <w:vAlign w:val="bottom"/>
                  <w:hideMark/>
                </w:tcPr>
                <w:p w:rsidRPr="00CC3848" w:rsidR="00CC3848" w:rsidP="00CC3848" w14:paraId="76A7EC3D" w14:textId="77777777">
                  <w:pPr>
                    <w:autoSpaceDN/>
                    <w:spacing w:line="240" w:lineRule="auto"/>
                    <w:textAlignment w:val="auto"/>
                    <w:rPr>
                      <w:b/>
                    </w:rPr>
                  </w:pPr>
                  <w:r w:rsidRPr="00CC3848">
                    <w:rPr>
                      <w:b/>
                    </w:rPr>
                    <w:t>Subsidies aan gemeenten</w:t>
                  </w:r>
                </w:p>
              </w:tc>
              <w:tc>
                <w:tcPr>
                  <w:tcW w:w="663" w:type="dxa"/>
                  <w:shd w:val="clear" w:color="auto" w:fill="auto"/>
                  <w:noWrap/>
                  <w:vAlign w:val="bottom"/>
                  <w:hideMark/>
                </w:tcPr>
                <w:p w:rsidRPr="00CC3848" w:rsidR="00CC3848" w:rsidP="00CC3848" w14:paraId="231EE503" w14:textId="77777777">
                  <w:pPr>
                    <w:autoSpaceDN/>
                    <w:spacing w:line="240" w:lineRule="auto"/>
                    <w:jc w:val="right"/>
                    <w:textAlignment w:val="auto"/>
                    <w:rPr>
                      <w:b/>
                    </w:rPr>
                  </w:pPr>
                  <w:r w:rsidRPr="00CC3848">
                    <w:rPr>
                      <w:b/>
                    </w:rPr>
                    <w:t>2022</w:t>
                  </w:r>
                </w:p>
              </w:tc>
              <w:tc>
                <w:tcPr>
                  <w:tcW w:w="806" w:type="dxa"/>
                  <w:shd w:val="clear" w:color="auto" w:fill="auto"/>
                  <w:noWrap/>
                  <w:vAlign w:val="bottom"/>
                  <w:hideMark/>
                </w:tcPr>
                <w:p w:rsidRPr="00CC3848" w:rsidR="00CC3848" w:rsidP="00CC3848" w14:paraId="73445983" w14:textId="77777777">
                  <w:pPr>
                    <w:autoSpaceDN/>
                    <w:spacing w:line="240" w:lineRule="auto"/>
                    <w:jc w:val="right"/>
                    <w:textAlignment w:val="auto"/>
                    <w:rPr>
                      <w:b/>
                    </w:rPr>
                  </w:pPr>
                  <w:r w:rsidRPr="00CC3848">
                    <w:rPr>
                      <w:b/>
                    </w:rPr>
                    <w:t>2023</w:t>
                  </w:r>
                </w:p>
              </w:tc>
              <w:tc>
                <w:tcPr>
                  <w:tcW w:w="699" w:type="dxa"/>
                  <w:shd w:val="clear" w:color="auto" w:fill="auto"/>
                  <w:noWrap/>
                  <w:vAlign w:val="bottom"/>
                  <w:hideMark/>
                </w:tcPr>
                <w:p w:rsidRPr="00CC3848" w:rsidR="00CC3848" w:rsidP="00CC3848" w14:paraId="202AE3FD" w14:textId="77777777">
                  <w:pPr>
                    <w:autoSpaceDN/>
                    <w:spacing w:line="240" w:lineRule="auto"/>
                    <w:jc w:val="right"/>
                    <w:textAlignment w:val="auto"/>
                    <w:rPr>
                      <w:b/>
                    </w:rPr>
                  </w:pPr>
                  <w:r w:rsidRPr="00CC3848">
                    <w:rPr>
                      <w:b/>
                    </w:rPr>
                    <w:t>2024</w:t>
                  </w:r>
                </w:p>
              </w:tc>
              <w:tc>
                <w:tcPr>
                  <w:tcW w:w="744" w:type="dxa"/>
                  <w:shd w:val="clear" w:color="auto" w:fill="auto"/>
                  <w:noWrap/>
                  <w:vAlign w:val="bottom"/>
                  <w:hideMark/>
                </w:tcPr>
                <w:p w:rsidRPr="00CC3848" w:rsidR="00CC3848" w:rsidP="00CC3848" w14:paraId="28791BE1" w14:textId="77777777">
                  <w:pPr>
                    <w:autoSpaceDN/>
                    <w:spacing w:line="240" w:lineRule="auto"/>
                    <w:jc w:val="right"/>
                    <w:textAlignment w:val="auto"/>
                    <w:rPr>
                      <w:b/>
                    </w:rPr>
                  </w:pPr>
                  <w:r w:rsidRPr="00CC3848">
                    <w:rPr>
                      <w:b/>
                    </w:rPr>
                    <w:t>2025</w:t>
                  </w:r>
                </w:p>
              </w:tc>
              <w:tc>
                <w:tcPr>
                  <w:tcW w:w="798" w:type="dxa"/>
                  <w:shd w:val="clear" w:color="auto" w:fill="auto"/>
                  <w:noWrap/>
                  <w:vAlign w:val="bottom"/>
                  <w:hideMark/>
                </w:tcPr>
                <w:p w:rsidRPr="00CC3848" w:rsidR="00CC3848" w:rsidP="00CC3848" w14:paraId="492F5EB4" w14:textId="77777777">
                  <w:pPr>
                    <w:autoSpaceDN/>
                    <w:spacing w:line="240" w:lineRule="auto"/>
                    <w:jc w:val="right"/>
                    <w:textAlignment w:val="auto"/>
                    <w:rPr>
                      <w:b/>
                    </w:rPr>
                  </w:pPr>
                  <w:r w:rsidRPr="00CC3848">
                    <w:rPr>
                      <w:b/>
                    </w:rPr>
                    <w:t>2026</w:t>
                  </w:r>
                </w:p>
              </w:tc>
              <w:tc>
                <w:tcPr>
                  <w:tcW w:w="0" w:type="auto"/>
                  <w:shd w:val="clear" w:color="auto" w:fill="auto"/>
                  <w:noWrap/>
                  <w:vAlign w:val="bottom"/>
                  <w:hideMark/>
                </w:tcPr>
                <w:p w:rsidRPr="00CC3848" w:rsidR="00CC3848" w:rsidP="00CC3848" w14:paraId="395102AC" w14:textId="77777777">
                  <w:pPr>
                    <w:autoSpaceDN/>
                    <w:spacing w:line="240" w:lineRule="auto"/>
                    <w:jc w:val="right"/>
                    <w:textAlignment w:val="auto"/>
                    <w:rPr>
                      <w:b/>
                    </w:rPr>
                  </w:pPr>
                  <w:r w:rsidRPr="00CC3848">
                    <w:rPr>
                      <w:b/>
                    </w:rPr>
                    <w:t>2027</w:t>
                  </w:r>
                </w:p>
              </w:tc>
            </w:tr>
            <w:tr w:rsidTr="009B7DA5" w14:paraId="6D15B572" w14:textId="77777777">
              <w:tblPrEx>
                <w:tblW w:w="0" w:type="auto"/>
                <w:tblCellMar>
                  <w:left w:w="70" w:type="dxa"/>
                  <w:right w:w="70" w:type="dxa"/>
                </w:tblCellMar>
                <w:tblLook w:val="04A0"/>
              </w:tblPrEx>
              <w:trPr>
                <w:trHeight w:val="267"/>
              </w:trPr>
              <w:tc>
                <w:tcPr>
                  <w:tcW w:w="1698" w:type="dxa"/>
                  <w:shd w:val="clear" w:color="auto" w:fill="auto"/>
                  <w:noWrap/>
                  <w:vAlign w:val="bottom"/>
                  <w:hideMark/>
                </w:tcPr>
                <w:p w:rsidRPr="00CC3848" w:rsidR="00CC3848" w:rsidP="00CC3848" w14:paraId="7F15E96B" w14:textId="77777777">
                  <w:pPr>
                    <w:autoSpaceDN/>
                    <w:spacing w:line="240" w:lineRule="auto"/>
                    <w:textAlignment w:val="auto"/>
                    <w:rPr>
                      <w:bCs/>
                    </w:rPr>
                  </w:pPr>
                  <w:r w:rsidRPr="00CC3848">
                    <w:rPr>
                      <w:bCs/>
                    </w:rPr>
                    <w:t>SPUK tranche</w:t>
                  </w:r>
                  <w:r w:rsidRPr="00CC3848">
                    <w:rPr>
                      <w:bCs/>
                    </w:rPr>
                    <w:t xml:space="preserve"> 1</w:t>
                  </w:r>
                </w:p>
              </w:tc>
              <w:tc>
                <w:tcPr>
                  <w:tcW w:w="663" w:type="dxa"/>
                  <w:shd w:val="clear" w:color="auto" w:fill="auto"/>
                  <w:noWrap/>
                  <w:vAlign w:val="bottom"/>
                  <w:hideMark/>
                </w:tcPr>
                <w:p w:rsidRPr="00CC3848" w:rsidR="00CC3848" w:rsidP="00CC3848" w14:paraId="06A8AB61" w14:textId="77777777">
                  <w:pPr>
                    <w:autoSpaceDN/>
                    <w:spacing w:line="240" w:lineRule="auto"/>
                    <w:jc w:val="right"/>
                    <w:textAlignment w:val="auto"/>
                    <w:rPr>
                      <w:bCs/>
                    </w:rPr>
                  </w:pPr>
                  <w:r w:rsidRPr="00CC3848">
                    <w:rPr>
                      <w:bCs/>
                    </w:rPr>
                    <w:t>150</w:t>
                  </w:r>
                </w:p>
              </w:tc>
              <w:tc>
                <w:tcPr>
                  <w:tcW w:w="806" w:type="dxa"/>
                  <w:shd w:val="clear" w:color="auto" w:fill="auto"/>
                  <w:noWrap/>
                  <w:vAlign w:val="bottom"/>
                  <w:hideMark/>
                </w:tcPr>
                <w:p w:rsidRPr="00CC3848" w:rsidR="00CC3848" w:rsidP="00CC3848" w14:paraId="0FC3654F" w14:textId="77777777">
                  <w:pPr>
                    <w:autoSpaceDN/>
                    <w:spacing w:line="240" w:lineRule="auto"/>
                    <w:jc w:val="right"/>
                    <w:textAlignment w:val="auto"/>
                    <w:rPr>
                      <w:bCs/>
                    </w:rPr>
                  </w:pPr>
                </w:p>
              </w:tc>
              <w:tc>
                <w:tcPr>
                  <w:tcW w:w="699" w:type="dxa"/>
                  <w:shd w:val="clear" w:color="auto" w:fill="auto"/>
                  <w:noWrap/>
                  <w:vAlign w:val="bottom"/>
                  <w:hideMark/>
                </w:tcPr>
                <w:p w:rsidRPr="00CC3848" w:rsidR="00CC3848" w:rsidP="00CC3848" w14:paraId="56123C99" w14:textId="77777777">
                  <w:pPr>
                    <w:autoSpaceDN/>
                    <w:spacing w:line="240" w:lineRule="auto"/>
                    <w:textAlignment w:val="auto"/>
                    <w:rPr>
                      <w:bCs/>
                    </w:rPr>
                  </w:pPr>
                </w:p>
              </w:tc>
              <w:tc>
                <w:tcPr>
                  <w:tcW w:w="744" w:type="dxa"/>
                  <w:shd w:val="clear" w:color="auto" w:fill="auto"/>
                  <w:noWrap/>
                  <w:vAlign w:val="bottom"/>
                  <w:hideMark/>
                </w:tcPr>
                <w:p w:rsidRPr="00CC3848" w:rsidR="00CC3848" w:rsidP="00CC3848" w14:paraId="14AB9C91" w14:textId="77777777">
                  <w:pPr>
                    <w:autoSpaceDN/>
                    <w:spacing w:line="240" w:lineRule="auto"/>
                    <w:textAlignment w:val="auto"/>
                    <w:rPr>
                      <w:bCs/>
                    </w:rPr>
                  </w:pPr>
                </w:p>
              </w:tc>
              <w:tc>
                <w:tcPr>
                  <w:tcW w:w="798" w:type="dxa"/>
                  <w:shd w:val="clear" w:color="auto" w:fill="auto"/>
                  <w:noWrap/>
                  <w:vAlign w:val="bottom"/>
                  <w:hideMark/>
                </w:tcPr>
                <w:p w:rsidRPr="00CC3848" w:rsidR="00CC3848" w:rsidP="00CC3848" w14:paraId="16A21822" w14:textId="77777777">
                  <w:pPr>
                    <w:autoSpaceDN/>
                    <w:spacing w:line="240" w:lineRule="auto"/>
                    <w:textAlignment w:val="auto"/>
                    <w:rPr>
                      <w:bCs/>
                    </w:rPr>
                  </w:pPr>
                </w:p>
              </w:tc>
              <w:tc>
                <w:tcPr>
                  <w:tcW w:w="0" w:type="auto"/>
                  <w:shd w:val="clear" w:color="auto" w:fill="auto"/>
                  <w:noWrap/>
                  <w:vAlign w:val="bottom"/>
                  <w:hideMark/>
                </w:tcPr>
                <w:p w:rsidRPr="00CC3848" w:rsidR="00CC3848" w:rsidP="00CC3848" w14:paraId="63847F54" w14:textId="77777777">
                  <w:pPr>
                    <w:autoSpaceDN/>
                    <w:spacing w:line="240" w:lineRule="auto"/>
                    <w:textAlignment w:val="auto"/>
                    <w:rPr>
                      <w:bCs/>
                    </w:rPr>
                  </w:pPr>
                </w:p>
              </w:tc>
            </w:tr>
            <w:tr w:rsidTr="009B7DA5" w14:paraId="0D2BA9BB" w14:textId="77777777">
              <w:tblPrEx>
                <w:tblW w:w="0" w:type="auto"/>
                <w:tblCellMar>
                  <w:left w:w="70" w:type="dxa"/>
                  <w:right w:w="70" w:type="dxa"/>
                </w:tblCellMar>
                <w:tblLook w:val="04A0"/>
              </w:tblPrEx>
              <w:trPr>
                <w:trHeight w:val="267"/>
              </w:trPr>
              <w:tc>
                <w:tcPr>
                  <w:tcW w:w="1698" w:type="dxa"/>
                  <w:shd w:val="clear" w:color="auto" w:fill="auto"/>
                  <w:noWrap/>
                  <w:vAlign w:val="bottom"/>
                  <w:hideMark/>
                </w:tcPr>
                <w:p w:rsidRPr="00CC3848" w:rsidR="00CC3848" w:rsidP="00CC3848" w14:paraId="74DEC0E2" w14:textId="77777777">
                  <w:pPr>
                    <w:autoSpaceDN/>
                    <w:spacing w:line="240" w:lineRule="auto"/>
                    <w:textAlignment w:val="auto"/>
                    <w:rPr>
                      <w:bCs/>
                    </w:rPr>
                  </w:pPr>
                  <w:r w:rsidRPr="00CC3848">
                    <w:rPr>
                      <w:bCs/>
                    </w:rPr>
                    <w:t>SPUK tranche</w:t>
                  </w:r>
                  <w:r w:rsidRPr="00CC3848">
                    <w:rPr>
                      <w:bCs/>
                    </w:rPr>
                    <w:t xml:space="preserve"> 2</w:t>
                  </w:r>
                </w:p>
              </w:tc>
              <w:tc>
                <w:tcPr>
                  <w:tcW w:w="663" w:type="dxa"/>
                  <w:shd w:val="clear" w:color="auto" w:fill="auto"/>
                  <w:noWrap/>
                  <w:vAlign w:val="bottom"/>
                  <w:hideMark/>
                </w:tcPr>
                <w:p w:rsidRPr="00CC3848" w:rsidR="00CC3848" w:rsidP="00CC3848" w14:paraId="209AA2A7" w14:textId="77777777">
                  <w:pPr>
                    <w:autoSpaceDN/>
                    <w:spacing w:line="240" w:lineRule="auto"/>
                    <w:textAlignment w:val="auto"/>
                    <w:rPr>
                      <w:bCs/>
                    </w:rPr>
                  </w:pPr>
                </w:p>
              </w:tc>
              <w:tc>
                <w:tcPr>
                  <w:tcW w:w="806" w:type="dxa"/>
                  <w:shd w:val="clear" w:color="auto" w:fill="auto"/>
                  <w:noWrap/>
                  <w:vAlign w:val="bottom"/>
                  <w:hideMark/>
                </w:tcPr>
                <w:p w:rsidRPr="00CC3848" w:rsidR="00CC3848" w:rsidP="00CC3848" w14:paraId="675EA094" w14:textId="77777777">
                  <w:pPr>
                    <w:autoSpaceDN/>
                    <w:spacing w:line="240" w:lineRule="auto"/>
                    <w:jc w:val="right"/>
                    <w:textAlignment w:val="auto"/>
                    <w:rPr>
                      <w:bCs/>
                    </w:rPr>
                  </w:pPr>
                  <w:r w:rsidRPr="00CC3848">
                    <w:rPr>
                      <w:bCs/>
                    </w:rPr>
                    <w:t>218,5</w:t>
                  </w:r>
                </w:p>
              </w:tc>
              <w:tc>
                <w:tcPr>
                  <w:tcW w:w="699" w:type="dxa"/>
                  <w:shd w:val="clear" w:color="auto" w:fill="auto"/>
                  <w:noWrap/>
                  <w:vAlign w:val="bottom"/>
                  <w:hideMark/>
                </w:tcPr>
                <w:p w:rsidRPr="00CC3848" w:rsidR="00CC3848" w:rsidP="00CC3848" w14:paraId="34434BA5" w14:textId="77777777">
                  <w:pPr>
                    <w:autoSpaceDN/>
                    <w:spacing w:line="240" w:lineRule="auto"/>
                    <w:jc w:val="right"/>
                    <w:textAlignment w:val="auto"/>
                    <w:rPr>
                      <w:bCs/>
                    </w:rPr>
                  </w:pPr>
                </w:p>
              </w:tc>
              <w:tc>
                <w:tcPr>
                  <w:tcW w:w="744" w:type="dxa"/>
                  <w:shd w:val="clear" w:color="auto" w:fill="auto"/>
                  <w:noWrap/>
                  <w:vAlign w:val="bottom"/>
                  <w:hideMark/>
                </w:tcPr>
                <w:p w:rsidRPr="00CC3848" w:rsidR="00CC3848" w:rsidP="00CC3848" w14:paraId="14B9D8C7" w14:textId="77777777">
                  <w:pPr>
                    <w:autoSpaceDN/>
                    <w:spacing w:line="240" w:lineRule="auto"/>
                    <w:textAlignment w:val="auto"/>
                    <w:rPr>
                      <w:bCs/>
                    </w:rPr>
                  </w:pPr>
                </w:p>
              </w:tc>
              <w:tc>
                <w:tcPr>
                  <w:tcW w:w="798" w:type="dxa"/>
                  <w:shd w:val="clear" w:color="auto" w:fill="auto"/>
                  <w:noWrap/>
                  <w:vAlign w:val="bottom"/>
                  <w:hideMark/>
                </w:tcPr>
                <w:p w:rsidRPr="00CC3848" w:rsidR="00CC3848" w:rsidP="00CC3848" w14:paraId="38BE09FC" w14:textId="77777777">
                  <w:pPr>
                    <w:autoSpaceDN/>
                    <w:spacing w:line="240" w:lineRule="auto"/>
                    <w:textAlignment w:val="auto"/>
                    <w:rPr>
                      <w:bCs/>
                    </w:rPr>
                  </w:pPr>
                </w:p>
              </w:tc>
              <w:tc>
                <w:tcPr>
                  <w:tcW w:w="0" w:type="auto"/>
                  <w:shd w:val="clear" w:color="auto" w:fill="auto"/>
                  <w:noWrap/>
                  <w:vAlign w:val="bottom"/>
                  <w:hideMark/>
                </w:tcPr>
                <w:p w:rsidRPr="00CC3848" w:rsidR="00CC3848" w:rsidP="00CC3848" w14:paraId="6D91CB28" w14:textId="77777777">
                  <w:pPr>
                    <w:autoSpaceDN/>
                    <w:spacing w:line="240" w:lineRule="auto"/>
                    <w:textAlignment w:val="auto"/>
                    <w:rPr>
                      <w:bCs/>
                    </w:rPr>
                  </w:pPr>
                </w:p>
              </w:tc>
            </w:tr>
            <w:tr w:rsidTr="009B7DA5" w14:paraId="701C0BA3" w14:textId="77777777">
              <w:tblPrEx>
                <w:tblW w:w="0" w:type="auto"/>
                <w:tblCellMar>
                  <w:left w:w="70" w:type="dxa"/>
                  <w:right w:w="70" w:type="dxa"/>
                </w:tblCellMar>
                <w:tblLook w:val="04A0"/>
              </w:tblPrEx>
              <w:trPr>
                <w:trHeight w:val="267"/>
              </w:trPr>
              <w:tc>
                <w:tcPr>
                  <w:tcW w:w="1698" w:type="dxa"/>
                  <w:shd w:val="clear" w:color="auto" w:fill="auto"/>
                  <w:noWrap/>
                  <w:vAlign w:val="bottom"/>
                  <w:hideMark/>
                </w:tcPr>
                <w:p w:rsidRPr="00CC3848" w:rsidR="00CC3848" w:rsidP="00CC3848" w14:paraId="5F1B297F" w14:textId="77777777">
                  <w:pPr>
                    <w:autoSpaceDN/>
                    <w:spacing w:line="240" w:lineRule="auto"/>
                    <w:textAlignment w:val="auto"/>
                    <w:rPr>
                      <w:bCs/>
                    </w:rPr>
                  </w:pPr>
                  <w:r w:rsidRPr="00CC3848">
                    <w:rPr>
                      <w:bCs/>
                    </w:rPr>
                    <w:t>SPUK tranche</w:t>
                  </w:r>
                  <w:r w:rsidRPr="00CC3848">
                    <w:rPr>
                      <w:bCs/>
                    </w:rPr>
                    <w:t xml:space="preserve"> 3</w:t>
                  </w:r>
                </w:p>
              </w:tc>
              <w:tc>
                <w:tcPr>
                  <w:tcW w:w="663" w:type="dxa"/>
                  <w:shd w:val="clear" w:color="auto" w:fill="auto"/>
                  <w:noWrap/>
                  <w:vAlign w:val="bottom"/>
                  <w:hideMark/>
                </w:tcPr>
                <w:p w:rsidRPr="00CC3848" w:rsidR="00CC3848" w:rsidP="00CC3848" w14:paraId="3013E0AD" w14:textId="77777777">
                  <w:pPr>
                    <w:autoSpaceDN/>
                    <w:spacing w:line="240" w:lineRule="auto"/>
                    <w:textAlignment w:val="auto"/>
                    <w:rPr>
                      <w:bCs/>
                    </w:rPr>
                  </w:pPr>
                </w:p>
              </w:tc>
              <w:tc>
                <w:tcPr>
                  <w:tcW w:w="806" w:type="dxa"/>
                  <w:shd w:val="clear" w:color="auto" w:fill="auto"/>
                  <w:noWrap/>
                  <w:vAlign w:val="bottom"/>
                  <w:hideMark/>
                </w:tcPr>
                <w:p w:rsidRPr="00CC3848" w:rsidR="00CC3848" w:rsidP="00CC3848" w14:paraId="059F2A23" w14:textId="77777777">
                  <w:pPr>
                    <w:autoSpaceDN/>
                    <w:spacing w:line="240" w:lineRule="auto"/>
                    <w:jc w:val="right"/>
                    <w:textAlignment w:val="auto"/>
                    <w:rPr>
                      <w:bCs/>
                    </w:rPr>
                  </w:pPr>
                  <w:r w:rsidRPr="00CC3848">
                    <w:rPr>
                      <w:bCs/>
                    </w:rPr>
                    <w:t>185</w:t>
                  </w:r>
                </w:p>
              </w:tc>
              <w:tc>
                <w:tcPr>
                  <w:tcW w:w="699" w:type="dxa"/>
                  <w:shd w:val="clear" w:color="auto" w:fill="auto"/>
                  <w:noWrap/>
                  <w:vAlign w:val="bottom"/>
                  <w:hideMark/>
                </w:tcPr>
                <w:p w:rsidRPr="00CC3848" w:rsidR="00CC3848" w:rsidP="00CC3848" w14:paraId="462039A9" w14:textId="77777777">
                  <w:pPr>
                    <w:autoSpaceDN/>
                    <w:spacing w:line="240" w:lineRule="auto"/>
                    <w:jc w:val="right"/>
                    <w:textAlignment w:val="auto"/>
                    <w:rPr>
                      <w:bCs/>
                    </w:rPr>
                  </w:pPr>
                </w:p>
              </w:tc>
              <w:tc>
                <w:tcPr>
                  <w:tcW w:w="744" w:type="dxa"/>
                  <w:shd w:val="clear" w:color="auto" w:fill="auto"/>
                  <w:noWrap/>
                  <w:vAlign w:val="bottom"/>
                  <w:hideMark/>
                </w:tcPr>
                <w:p w:rsidRPr="00CC3848" w:rsidR="00CC3848" w:rsidP="00CC3848" w14:paraId="5D50E408" w14:textId="77777777">
                  <w:pPr>
                    <w:autoSpaceDN/>
                    <w:spacing w:line="240" w:lineRule="auto"/>
                    <w:textAlignment w:val="auto"/>
                    <w:rPr>
                      <w:bCs/>
                    </w:rPr>
                  </w:pPr>
                </w:p>
              </w:tc>
              <w:tc>
                <w:tcPr>
                  <w:tcW w:w="798" w:type="dxa"/>
                  <w:shd w:val="clear" w:color="auto" w:fill="auto"/>
                  <w:noWrap/>
                  <w:vAlign w:val="bottom"/>
                  <w:hideMark/>
                </w:tcPr>
                <w:p w:rsidRPr="00CC3848" w:rsidR="00CC3848" w:rsidP="00CC3848" w14:paraId="0348E65E" w14:textId="77777777">
                  <w:pPr>
                    <w:autoSpaceDN/>
                    <w:spacing w:line="240" w:lineRule="auto"/>
                    <w:textAlignment w:val="auto"/>
                    <w:rPr>
                      <w:bCs/>
                    </w:rPr>
                  </w:pPr>
                </w:p>
              </w:tc>
              <w:tc>
                <w:tcPr>
                  <w:tcW w:w="0" w:type="auto"/>
                  <w:shd w:val="clear" w:color="auto" w:fill="auto"/>
                  <w:noWrap/>
                  <w:vAlign w:val="bottom"/>
                  <w:hideMark/>
                </w:tcPr>
                <w:p w:rsidRPr="00CC3848" w:rsidR="00CC3848" w:rsidP="00CC3848" w14:paraId="1EBA675D" w14:textId="77777777">
                  <w:pPr>
                    <w:autoSpaceDN/>
                    <w:spacing w:line="240" w:lineRule="auto"/>
                    <w:textAlignment w:val="auto"/>
                    <w:rPr>
                      <w:bCs/>
                    </w:rPr>
                  </w:pPr>
                </w:p>
              </w:tc>
            </w:tr>
            <w:tr w:rsidTr="009B7DA5" w14:paraId="224FB37D" w14:textId="77777777">
              <w:tblPrEx>
                <w:tblW w:w="0" w:type="auto"/>
                <w:tblCellMar>
                  <w:left w:w="70" w:type="dxa"/>
                  <w:right w:w="70" w:type="dxa"/>
                </w:tblCellMar>
                <w:tblLook w:val="04A0"/>
              </w:tblPrEx>
              <w:trPr>
                <w:trHeight w:val="267"/>
              </w:trPr>
              <w:tc>
                <w:tcPr>
                  <w:tcW w:w="1698" w:type="dxa"/>
                  <w:shd w:val="clear" w:color="auto" w:fill="auto"/>
                  <w:noWrap/>
                  <w:vAlign w:val="bottom"/>
                  <w:hideMark/>
                </w:tcPr>
                <w:p w:rsidRPr="00CC3848" w:rsidR="00CC3848" w:rsidP="00CC3848" w14:paraId="7EF76D8A" w14:textId="77777777">
                  <w:pPr>
                    <w:autoSpaceDN/>
                    <w:spacing w:line="240" w:lineRule="auto"/>
                    <w:textAlignment w:val="auto"/>
                    <w:rPr>
                      <w:bCs/>
                    </w:rPr>
                  </w:pPr>
                  <w:r w:rsidRPr="00CC3848">
                    <w:rPr>
                      <w:bCs/>
                    </w:rPr>
                    <w:t>SPUK n.a.v.  Iran-pakket</w:t>
                  </w:r>
                </w:p>
              </w:tc>
              <w:tc>
                <w:tcPr>
                  <w:tcW w:w="663" w:type="dxa"/>
                  <w:shd w:val="clear" w:color="auto" w:fill="auto"/>
                  <w:noWrap/>
                  <w:vAlign w:val="bottom"/>
                  <w:hideMark/>
                </w:tcPr>
                <w:p w:rsidRPr="00CC3848" w:rsidR="00CC3848" w:rsidP="00CC3848" w14:paraId="753234C0" w14:textId="77777777">
                  <w:pPr>
                    <w:autoSpaceDN/>
                    <w:spacing w:line="240" w:lineRule="auto"/>
                    <w:textAlignment w:val="auto"/>
                    <w:rPr>
                      <w:bCs/>
                    </w:rPr>
                  </w:pPr>
                </w:p>
              </w:tc>
              <w:tc>
                <w:tcPr>
                  <w:tcW w:w="806" w:type="dxa"/>
                  <w:shd w:val="clear" w:color="auto" w:fill="auto"/>
                  <w:noWrap/>
                  <w:vAlign w:val="bottom"/>
                  <w:hideMark/>
                </w:tcPr>
                <w:p w:rsidRPr="00CC3848" w:rsidR="00CC3848" w:rsidP="00CC3848" w14:paraId="221EA010" w14:textId="77777777">
                  <w:pPr>
                    <w:autoSpaceDN/>
                    <w:spacing w:line="240" w:lineRule="auto"/>
                    <w:textAlignment w:val="auto"/>
                    <w:rPr>
                      <w:bCs/>
                    </w:rPr>
                  </w:pPr>
                </w:p>
              </w:tc>
              <w:tc>
                <w:tcPr>
                  <w:tcW w:w="699" w:type="dxa"/>
                  <w:shd w:val="clear" w:color="auto" w:fill="auto"/>
                  <w:noWrap/>
                  <w:vAlign w:val="bottom"/>
                  <w:hideMark/>
                </w:tcPr>
                <w:p w:rsidRPr="00CC3848" w:rsidR="00CC3848" w:rsidP="00CC3848" w14:paraId="0BEF5876" w14:textId="77777777">
                  <w:pPr>
                    <w:autoSpaceDN/>
                    <w:spacing w:line="240" w:lineRule="auto"/>
                    <w:textAlignment w:val="auto"/>
                    <w:rPr>
                      <w:bCs/>
                    </w:rPr>
                  </w:pPr>
                </w:p>
              </w:tc>
              <w:tc>
                <w:tcPr>
                  <w:tcW w:w="744" w:type="dxa"/>
                  <w:shd w:val="clear" w:color="auto" w:fill="auto"/>
                  <w:noWrap/>
                  <w:vAlign w:val="bottom"/>
                  <w:hideMark/>
                </w:tcPr>
                <w:p w:rsidRPr="00CC3848" w:rsidR="00CC3848" w:rsidP="00CC3848" w14:paraId="782167C1" w14:textId="77777777">
                  <w:pPr>
                    <w:autoSpaceDN/>
                    <w:spacing w:line="240" w:lineRule="auto"/>
                    <w:textAlignment w:val="auto"/>
                    <w:rPr>
                      <w:bCs/>
                    </w:rPr>
                  </w:pPr>
                </w:p>
              </w:tc>
              <w:tc>
                <w:tcPr>
                  <w:tcW w:w="798" w:type="dxa"/>
                  <w:shd w:val="clear" w:color="auto" w:fill="auto"/>
                  <w:noWrap/>
                  <w:vAlign w:val="bottom"/>
                  <w:hideMark/>
                </w:tcPr>
                <w:p w:rsidRPr="00CC3848" w:rsidR="00CC3848" w:rsidP="00CC3848" w14:paraId="34963C7E" w14:textId="77777777">
                  <w:pPr>
                    <w:autoSpaceDN/>
                    <w:spacing w:line="240" w:lineRule="auto"/>
                    <w:jc w:val="right"/>
                    <w:textAlignment w:val="auto"/>
                    <w:rPr>
                      <w:bCs/>
                    </w:rPr>
                  </w:pPr>
                  <w:r w:rsidRPr="00CC3848">
                    <w:rPr>
                      <w:bCs/>
                    </w:rPr>
                    <w:t>40</w:t>
                  </w:r>
                </w:p>
              </w:tc>
              <w:tc>
                <w:tcPr>
                  <w:tcW w:w="0" w:type="auto"/>
                  <w:shd w:val="clear" w:color="auto" w:fill="auto"/>
                  <w:noWrap/>
                  <w:vAlign w:val="bottom"/>
                  <w:hideMark/>
                </w:tcPr>
                <w:p w:rsidRPr="00CC3848" w:rsidR="00CC3848" w:rsidP="00CC3848" w14:paraId="029B7E7A" w14:textId="77777777">
                  <w:pPr>
                    <w:autoSpaceDN/>
                    <w:spacing w:line="240" w:lineRule="auto"/>
                    <w:jc w:val="right"/>
                    <w:textAlignment w:val="auto"/>
                    <w:rPr>
                      <w:bCs/>
                    </w:rPr>
                  </w:pPr>
                </w:p>
              </w:tc>
            </w:tr>
            <w:tr w:rsidTr="009B7DA5" w14:paraId="25B3E5E0" w14:textId="77777777">
              <w:tblPrEx>
                <w:tblW w:w="0" w:type="auto"/>
                <w:tblCellMar>
                  <w:left w:w="70" w:type="dxa"/>
                  <w:right w:w="70" w:type="dxa"/>
                </w:tblCellMar>
                <w:tblLook w:val="04A0"/>
              </w:tblPrEx>
              <w:trPr>
                <w:trHeight w:val="267"/>
              </w:trPr>
              <w:tc>
                <w:tcPr>
                  <w:tcW w:w="1698" w:type="dxa"/>
                  <w:shd w:val="clear" w:color="auto" w:fill="auto"/>
                  <w:noWrap/>
                  <w:vAlign w:val="bottom"/>
                  <w:hideMark/>
                </w:tcPr>
                <w:p w:rsidRPr="00CC3848" w:rsidR="00CC3848" w:rsidP="00CC3848" w14:paraId="66A5797C" w14:textId="77777777">
                  <w:pPr>
                    <w:autoSpaceDN/>
                    <w:spacing w:line="240" w:lineRule="auto"/>
                    <w:textAlignment w:val="auto"/>
                    <w:rPr>
                      <w:bCs/>
                    </w:rPr>
                  </w:pPr>
                  <w:r w:rsidRPr="00CC3848">
                    <w:rPr>
                      <w:bCs/>
                    </w:rPr>
                    <w:t>SKP cofinanciering</w:t>
                  </w:r>
                </w:p>
                <w:p w:rsidRPr="00CC3848" w:rsidR="00CC3848" w:rsidP="00CC3848" w14:paraId="753267EE" w14:textId="77777777">
                  <w:pPr>
                    <w:autoSpaceDN/>
                    <w:spacing w:line="240" w:lineRule="auto"/>
                    <w:textAlignment w:val="auto"/>
                    <w:rPr>
                      <w:bCs/>
                    </w:rPr>
                  </w:pPr>
                  <w:r w:rsidRPr="00CC3848">
                    <w:rPr>
                      <w:bCs/>
                    </w:rPr>
                    <w:t>n.a.v. Iranpakket (voorzien, nog niet definitief)</w:t>
                  </w:r>
                </w:p>
              </w:tc>
              <w:tc>
                <w:tcPr>
                  <w:tcW w:w="663" w:type="dxa"/>
                  <w:shd w:val="clear" w:color="auto" w:fill="auto"/>
                  <w:vAlign w:val="bottom"/>
                </w:tcPr>
                <w:p w:rsidRPr="00CC3848" w:rsidR="00CC3848" w:rsidP="00CC3848" w14:paraId="29CA0628" w14:textId="77777777">
                  <w:pPr>
                    <w:autoSpaceDN/>
                    <w:spacing w:line="240" w:lineRule="auto"/>
                    <w:textAlignment w:val="auto"/>
                    <w:rPr>
                      <w:bCs/>
                    </w:rPr>
                  </w:pPr>
                </w:p>
              </w:tc>
              <w:tc>
                <w:tcPr>
                  <w:tcW w:w="806" w:type="dxa"/>
                  <w:shd w:val="clear" w:color="auto" w:fill="auto"/>
                  <w:noWrap/>
                  <w:vAlign w:val="bottom"/>
                  <w:hideMark/>
                </w:tcPr>
                <w:p w:rsidRPr="00CC3848" w:rsidR="00CC3848" w:rsidP="00CC3848" w14:paraId="465AE733" w14:textId="77777777">
                  <w:pPr>
                    <w:autoSpaceDN/>
                    <w:spacing w:line="240" w:lineRule="auto"/>
                    <w:textAlignment w:val="auto"/>
                    <w:rPr>
                      <w:bCs/>
                    </w:rPr>
                  </w:pPr>
                </w:p>
              </w:tc>
              <w:tc>
                <w:tcPr>
                  <w:tcW w:w="699" w:type="dxa"/>
                  <w:shd w:val="clear" w:color="auto" w:fill="auto"/>
                  <w:noWrap/>
                  <w:vAlign w:val="bottom"/>
                  <w:hideMark/>
                </w:tcPr>
                <w:p w:rsidRPr="00CC3848" w:rsidR="00CC3848" w:rsidP="00CC3848" w14:paraId="286471FC" w14:textId="77777777">
                  <w:pPr>
                    <w:autoSpaceDN/>
                    <w:spacing w:line="240" w:lineRule="auto"/>
                    <w:textAlignment w:val="auto"/>
                    <w:rPr>
                      <w:bCs/>
                    </w:rPr>
                  </w:pPr>
                </w:p>
              </w:tc>
              <w:tc>
                <w:tcPr>
                  <w:tcW w:w="744" w:type="dxa"/>
                  <w:shd w:val="clear" w:color="auto" w:fill="auto"/>
                  <w:noWrap/>
                  <w:vAlign w:val="bottom"/>
                  <w:hideMark/>
                </w:tcPr>
                <w:p w:rsidRPr="00CC3848" w:rsidR="00CC3848" w:rsidP="00CC3848" w14:paraId="30759DF3" w14:textId="77777777">
                  <w:pPr>
                    <w:autoSpaceDN/>
                    <w:spacing w:line="240" w:lineRule="auto"/>
                    <w:textAlignment w:val="auto"/>
                    <w:rPr>
                      <w:bCs/>
                    </w:rPr>
                  </w:pPr>
                </w:p>
              </w:tc>
              <w:tc>
                <w:tcPr>
                  <w:tcW w:w="798" w:type="dxa"/>
                  <w:shd w:val="clear" w:color="auto" w:fill="auto"/>
                  <w:noWrap/>
                  <w:vAlign w:val="bottom"/>
                  <w:hideMark/>
                </w:tcPr>
                <w:p w:rsidRPr="00CC3848" w:rsidR="00CC3848" w:rsidP="00CC3848" w14:paraId="2B393F1B" w14:textId="77777777">
                  <w:pPr>
                    <w:autoSpaceDN/>
                    <w:spacing w:line="240" w:lineRule="auto"/>
                    <w:textAlignment w:val="auto"/>
                    <w:rPr>
                      <w:bCs/>
                    </w:rPr>
                  </w:pPr>
                </w:p>
              </w:tc>
              <w:tc>
                <w:tcPr>
                  <w:tcW w:w="0" w:type="auto"/>
                  <w:shd w:val="clear" w:color="auto" w:fill="auto"/>
                  <w:noWrap/>
                  <w:vAlign w:val="bottom"/>
                  <w:hideMark/>
                </w:tcPr>
                <w:p w:rsidRPr="00CC3848" w:rsidR="00CC3848" w:rsidP="00CC3848" w14:paraId="4E36C1C1" w14:textId="77777777">
                  <w:pPr>
                    <w:autoSpaceDN/>
                    <w:spacing w:line="240" w:lineRule="auto"/>
                    <w:jc w:val="right"/>
                    <w:textAlignment w:val="auto"/>
                    <w:rPr>
                      <w:bCs/>
                    </w:rPr>
                  </w:pPr>
                  <w:r w:rsidRPr="00CC3848">
                    <w:rPr>
                      <w:bCs/>
                    </w:rPr>
                    <w:t>40</w:t>
                  </w:r>
                </w:p>
              </w:tc>
            </w:tr>
          </w:tbl>
          <w:p w:rsidRPr="00CC3848" w:rsidR="00CC3848" w:rsidP="00CC3848" w14:paraId="01869746" w14:textId="77777777">
            <w:pPr>
              <w:rPr>
                <w:b/>
              </w:rPr>
            </w:pPr>
          </w:p>
        </w:tc>
      </w:tr>
      <w:tr w:rsidTr="009B7DA5" w14:paraId="10FFBA6F" w14:textId="77777777">
        <w:tblPrEx>
          <w:tblW w:w="5111" w:type="pct"/>
          <w:tblInd w:w="-5" w:type="dxa"/>
          <w:shd w:val="clear" w:color="auto" w:fill="DEEAF6"/>
          <w:tblLook w:val="01E0"/>
        </w:tblPrEx>
        <w:trPr>
          <w:trHeight w:val="725"/>
        </w:trPr>
        <w:tc>
          <w:tcPr>
            <w:tcW w:w="1603" w:type="pct"/>
            <w:tcBorders>
              <w:top w:val="single" w:color="FFFFFF" w:sz="4" w:space="0"/>
              <w:left w:val="nil"/>
              <w:bottom w:val="single" w:color="FFFFFF" w:sz="4" w:space="0"/>
              <w:right w:val="single" w:color="FFFFFF" w:sz="4" w:space="0"/>
            </w:tcBorders>
            <w:shd w:val="clear" w:color="auto" w:fill="DEEAF6"/>
          </w:tcPr>
          <w:p w:rsidRPr="00CC3848" w:rsidR="00CC3848" w:rsidP="00CC3848" w14:paraId="1BBB8247" w14:textId="77777777">
            <w:pPr>
              <w:rPr>
                <w:bCs/>
              </w:rPr>
            </w:pPr>
          </w:p>
          <w:p w:rsidRPr="00CC3848" w:rsidR="00CC3848" w:rsidP="00CC3848" w14:paraId="03819ECC" w14:textId="77777777">
            <w:pPr>
              <w:rPr>
                <w:b/>
              </w:rPr>
            </w:pPr>
            <w:r w:rsidRPr="00CC3848">
              <w:rPr>
                <w:b/>
              </w:rPr>
              <w:t>B. voor maatschappelijke   sectoren</w:t>
            </w:r>
          </w:p>
        </w:tc>
        <w:tc>
          <w:tcPr>
            <w:tcW w:w="3397" w:type="pct"/>
            <w:tcBorders>
              <w:top w:val="single" w:color="FFFFFF" w:sz="4" w:space="0"/>
              <w:left w:val="single" w:color="FFFFFF" w:sz="4" w:space="0"/>
              <w:bottom w:val="single" w:color="FFFFFF" w:sz="4" w:space="0"/>
              <w:right w:val="nil"/>
            </w:tcBorders>
            <w:shd w:val="clear" w:color="auto" w:fill="DEEAF6"/>
            <w:vAlign w:val="center"/>
          </w:tcPr>
          <w:p w:rsidR="00FE0B71" w:rsidP="00CC3848" w14:paraId="1EB5AE66" w14:textId="77777777">
            <w:pPr>
              <w:rPr>
                <w:bCs/>
              </w:rPr>
            </w:pPr>
          </w:p>
          <w:p w:rsidRPr="00CC3848" w:rsidR="00CC3848" w:rsidP="00CC3848" w14:paraId="3AF03651" w14:textId="77777777">
            <w:pPr>
              <w:rPr>
                <w:bCs/>
              </w:rPr>
            </w:pPr>
            <w:r w:rsidRPr="00CC3848">
              <w:rPr>
                <w:bCs/>
              </w:rPr>
              <w:t>N.v.t.</w:t>
            </w:r>
          </w:p>
          <w:p w:rsidRPr="00CC3848" w:rsidR="00CC3848" w:rsidP="00CC3848" w14:paraId="2C60868C" w14:textId="77777777">
            <w:pPr>
              <w:rPr>
                <w:bCs/>
              </w:rPr>
            </w:pPr>
          </w:p>
          <w:p w:rsidRPr="00CC3848" w:rsidR="00CC3848" w:rsidP="00CC3848" w14:paraId="0E16852D" w14:textId="77777777">
            <w:pPr>
              <w:rPr>
                <w:bCs/>
              </w:rPr>
            </w:pPr>
          </w:p>
        </w:tc>
      </w:tr>
      <w:tr w:rsidTr="009B7DA5" w14:paraId="6684746E" w14:textId="77777777">
        <w:tblPrEx>
          <w:tblW w:w="5111" w:type="pct"/>
          <w:tblInd w:w="-5" w:type="dxa"/>
          <w:shd w:val="clear" w:color="auto" w:fill="DEEAF6"/>
          <w:tblLook w:val="01E0"/>
        </w:tblPrEx>
        <w:trPr>
          <w:trHeight w:val="778"/>
        </w:trPr>
        <w:tc>
          <w:tcPr>
            <w:tcW w:w="1603" w:type="pct"/>
            <w:tcBorders>
              <w:top w:val="single" w:color="FFFFFF" w:sz="4" w:space="0"/>
              <w:left w:val="nil"/>
              <w:bottom w:val="single" w:color="FFFFFF" w:sz="4" w:space="0"/>
              <w:right w:val="single" w:color="FFFFFF" w:sz="4" w:space="0"/>
            </w:tcBorders>
            <w:shd w:val="clear" w:color="auto" w:fill="DEEAF6"/>
          </w:tcPr>
          <w:p w:rsidRPr="00CC3848" w:rsidR="00CC3848" w:rsidP="00CC3848" w14:paraId="3D9FF8CF" w14:textId="77777777">
            <w:pPr>
              <w:rPr>
                <w:b/>
              </w:rPr>
            </w:pPr>
          </w:p>
          <w:p w:rsidRPr="00CC3848" w:rsidR="00CC3848" w:rsidP="00CC3848" w14:paraId="3D18F7CA" w14:textId="77777777">
            <w:pPr>
              <w:numPr>
                <w:ilvl w:val="0"/>
                <w:numId w:val="16"/>
              </w:numPr>
              <w:rPr>
                <w:b/>
              </w:rPr>
            </w:pPr>
            <w:r w:rsidRPr="00CC3848">
              <w:rPr>
                <w:b/>
              </w:rPr>
              <w:t>Nagestreefde doeltreffendheid</w:t>
            </w:r>
          </w:p>
        </w:tc>
        <w:tc>
          <w:tcPr>
            <w:tcW w:w="3397" w:type="pct"/>
            <w:tcBorders>
              <w:top w:val="single" w:color="FFFFFF" w:sz="4" w:space="0"/>
              <w:left w:val="single" w:color="FFFFFF" w:sz="4" w:space="0"/>
              <w:bottom w:val="single" w:color="FFFFFF" w:sz="4" w:space="0"/>
              <w:right w:val="nil"/>
            </w:tcBorders>
            <w:shd w:val="clear" w:color="auto" w:fill="DEEAF6"/>
            <w:vAlign w:val="center"/>
          </w:tcPr>
          <w:p w:rsidRPr="00CC3848" w:rsidR="00CC3848" w:rsidP="00CC3848" w14:paraId="01E6CB04" w14:textId="77777777">
            <w:pPr>
              <w:rPr>
                <w:bCs/>
              </w:rPr>
            </w:pPr>
            <w:r w:rsidRPr="00CC3848">
              <w:rPr>
                <w:bCs/>
              </w:rPr>
              <w:t>TNO heeft onderzoek gedaan naar het effect van energiehulp</w:t>
            </w:r>
            <w:r>
              <w:rPr>
                <w:bCs/>
                <w:vertAlign w:val="superscript"/>
              </w:rPr>
              <w:footnoteReference w:id="6"/>
            </w:r>
            <w:r w:rsidRPr="00CC3848">
              <w:rPr>
                <w:bCs/>
              </w:rPr>
              <w:t>. TNO berekende dat het bezoek van energiefixers kan leiden tot ongeveer 12% energiebesparing per huishouden. TNO beoordeelt energiehulp als zeer effectief bij huishoudens in energiearmoede. Ook worden</w:t>
            </w:r>
            <w:r w:rsidR="00413DDD">
              <w:rPr>
                <w:bCs/>
              </w:rPr>
              <w:t xml:space="preserve"> positieve</w:t>
            </w:r>
            <w:r w:rsidRPr="00CC3848">
              <w:rPr>
                <w:bCs/>
              </w:rPr>
              <w:t xml:space="preserve"> effecten gemeten </w:t>
            </w:r>
            <w:r w:rsidR="004861EE">
              <w:rPr>
                <w:bCs/>
              </w:rPr>
              <w:t>wat betreft</w:t>
            </w:r>
            <w:r w:rsidRPr="00CC3848" w:rsidR="004861EE">
              <w:rPr>
                <w:bCs/>
              </w:rPr>
              <w:t xml:space="preserve"> </w:t>
            </w:r>
            <w:r w:rsidRPr="00CC3848">
              <w:rPr>
                <w:bCs/>
              </w:rPr>
              <w:t>verlaging van</w:t>
            </w:r>
            <w:r w:rsidR="00413DDD">
              <w:rPr>
                <w:bCs/>
              </w:rPr>
              <w:t xml:space="preserve"> het</w:t>
            </w:r>
            <w:r w:rsidRPr="00CC3848">
              <w:rPr>
                <w:bCs/>
              </w:rPr>
              <w:t xml:space="preserve"> medicijngebruik</w:t>
            </w:r>
            <w:r w:rsidR="00413DDD">
              <w:rPr>
                <w:bCs/>
              </w:rPr>
              <w:t xml:space="preserve"> (astma, reuma)</w:t>
            </w:r>
            <w:r w:rsidRPr="00CC3848">
              <w:rPr>
                <w:bCs/>
              </w:rPr>
              <w:t xml:space="preserve"> en</w:t>
            </w:r>
            <w:r w:rsidR="00413DDD">
              <w:rPr>
                <w:bCs/>
              </w:rPr>
              <w:t xml:space="preserve"> verbetering van het</w:t>
            </w:r>
            <w:r w:rsidRPr="00CC3848">
              <w:rPr>
                <w:bCs/>
              </w:rPr>
              <w:t xml:space="preserve"> sociaal welzijn.</w:t>
            </w:r>
            <w:r w:rsidRPr="00CC3848">
              <w:rPr>
                <w:bCs/>
                <w:vertAlign w:val="superscript"/>
              </w:rPr>
              <w:t xml:space="preserve"> </w:t>
            </w:r>
            <w:r>
              <w:rPr>
                <w:bCs/>
                <w:vertAlign w:val="superscript"/>
              </w:rPr>
              <w:footnoteReference w:id="7"/>
            </w:r>
            <w:r w:rsidRPr="00CC3848">
              <w:rPr>
                <w:bCs/>
              </w:rPr>
              <w:t xml:space="preserve"> Gemeenten zien de energiehulp als transitiebegeleider in de energietransitie.</w:t>
            </w:r>
            <w:r>
              <w:rPr>
                <w:bCs/>
                <w:vertAlign w:val="superscript"/>
              </w:rPr>
              <w:footnoteReference w:id="8"/>
            </w:r>
          </w:p>
          <w:p w:rsidRPr="00CC3848" w:rsidR="00CC3848" w:rsidP="00CC3848" w14:paraId="0E0708A3" w14:textId="77777777">
            <w:pPr>
              <w:rPr>
                <w:bCs/>
              </w:rPr>
            </w:pPr>
          </w:p>
          <w:p w:rsidRPr="00CC3848" w:rsidR="00CC3848" w:rsidP="00CC3848" w14:paraId="3EE300D3" w14:textId="77777777">
            <w:pPr>
              <w:rPr>
                <w:bCs/>
              </w:rPr>
            </w:pPr>
            <w:r w:rsidRPr="00CC3848">
              <w:rPr>
                <w:bCs/>
              </w:rPr>
              <w:t>Via diverse wegen worden gemeenten ondersteund om de middelen zo effectief mogelijk in te zetten. Het gaat onder andere om de volgende initiatieven:</w:t>
            </w:r>
          </w:p>
          <w:p w:rsidRPr="00CC3848" w:rsidR="00CC3848" w:rsidP="00FE0B71" w14:paraId="25A3848F" w14:textId="77777777">
            <w:pPr>
              <w:rPr>
                <w:bCs/>
              </w:rPr>
            </w:pPr>
          </w:p>
          <w:p w:rsidRPr="00CC3848" w:rsidR="00CC3848" w:rsidP="00FE0B71" w14:paraId="0D2116A1" w14:textId="77777777">
            <w:pPr>
              <w:numPr>
                <w:ilvl w:val="0"/>
                <w:numId w:val="26"/>
              </w:numPr>
              <w:contextualSpacing/>
              <w:rPr>
                <w:bCs/>
              </w:rPr>
            </w:pPr>
            <w:r w:rsidRPr="00CC3848">
              <w:rPr>
                <w:bCs/>
              </w:rPr>
              <w:t xml:space="preserve">In de energiehulpsector zijn veel lokale initiatieven actief, waarvan TNO oordeelt dat dat heel effectief kan zijn. Om deze organisaties te laten groeien in professionaliteit en effectiviteit hebben de Energiebank en Fixbrigade het Actienetwerk Energiearmoede opgericht, en deze wordt gesubsidieerd door het Rijk. </w:t>
            </w:r>
          </w:p>
          <w:p w:rsidRPr="00CC3848" w:rsidR="00CC3848" w:rsidP="00FE0B71" w14:paraId="496DC633" w14:textId="77777777">
            <w:pPr>
              <w:numPr>
                <w:ilvl w:val="0"/>
                <w:numId w:val="26"/>
              </w:numPr>
              <w:contextualSpacing/>
              <w:rPr>
                <w:bCs/>
              </w:rPr>
            </w:pPr>
            <w:r w:rsidRPr="00CC3848">
              <w:rPr>
                <w:bCs/>
              </w:rPr>
              <w:t>Milieu Centraal heeft het Energiehulpnetwerk opgericht om kennis en kunde te creëren hoe zo goed mogelijk met diverse doelgroepen in contact te komen en op maat te ondersteunen. Deze kennis wordt breed verspreid aan alle relevante organisaties.</w:t>
            </w:r>
          </w:p>
          <w:p w:rsidRPr="00CC3848" w:rsidR="00CC3848" w:rsidP="00FE0B71" w14:paraId="135976B6" w14:textId="77777777">
            <w:pPr>
              <w:numPr>
                <w:ilvl w:val="0"/>
                <w:numId w:val="26"/>
              </w:numPr>
              <w:contextualSpacing/>
              <w:rPr>
                <w:bCs/>
              </w:rPr>
            </w:pPr>
            <w:r w:rsidRPr="00CC3848">
              <w:rPr>
                <w:bCs/>
              </w:rPr>
              <w:t>Een uitdaging voor gemeenten is het vinden van de doelgroep. Hiervoor zijn de belangrijke initiatieven de pilot in het kader van het Energienoodfonds, waarin ontvangers van het Noodfonds toestemming geven om benaderd te worden door gemeenten voor energiehulp, en het klimaatwerk van het Instituut voor Publieke Waarden (IPW) is actief om binnen de ruimte van de Algemene Verordening Gegevensbescherming (AVG) onderzoek te doen naar hoe gemeenten de doelgroep doelgericht kunnen benaderen.</w:t>
            </w:r>
          </w:p>
          <w:p w:rsidRPr="00CC3848" w:rsidR="00CC3848" w:rsidP="00CC3848" w14:paraId="6A2BD1F9" w14:textId="77777777">
            <w:pPr>
              <w:rPr>
                <w:bCs/>
              </w:rPr>
            </w:pPr>
          </w:p>
          <w:p w:rsidRPr="00CC3848" w:rsidR="00CC3848" w:rsidP="00CC3848" w14:paraId="2E231D97" w14:textId="77777777">
            <w:pPr>
              <w:rPr>
                <w:bCs/>
              </w:rPr>
            </w:pPr>
            <w:r w:rsidRPr="00CC3848">
              <w:rPr>
                <w:bCs/>
              </w:rPr>
              <w:t>Er is vanuit de SISA-verantwoording van gemeenten op de SPUK Aanpak Energiearmoede gezien hoeveel middelen in 2024 zijn uitgegeven (€ 129 mln.). Daarvan hebben in 2024:</w:t>
            </w:r>
          </w:p>
          <w:p w:rsidRPr="00CC3848" w:rsidR="00CC3848" w:rsidP="00FE0B71" w14:paraId="1433056C" w14:textId="77777777">
            <w:pPr>
              <w:ind w:left="708"/>
              <w:rPr>
                <w:bCs/>
              </w:rPr>
            </w:pPr>
            <w:r w:rsidRPr="00CC3848">
              <w:rPr>
                <w:bCs/>
              </w:rPr>
              <w:t>- 210.000 huurwoningen en 130.000 koopwoningen fysieke maatregelen ontvangen</w:t>
            </w:r>
            <w:r w:rsidR="00FE0B71">
              <w:rPr>
                <w:bCs/>
              </w:rPr>
              <w:t>.</w:t>
            </w:r>
          </w:p>
          <w:p w:rsidRPr="00CC3848" w:rsidR="00CC3848" w:rsidP="00FE0B71" w14:paraId="0463B25E" w14:textId="77777777">
            <w:pPr>
              <w:ind w:left="708"/>
              <w:rPr>
                <w:bCs/>
              </w:rPr>
            </w:pPr>
            <w:r w:rsidRPr="00CC3848">
              <w:rPr>
                <w:bCs/>
              </w:rPr>
              <w:t xml:space="preserve">- 225.000 huishoudens advies gekregen. </w:t>
            </w:r>
          </w:p>
          <w:p w:rsidRPr="00CC3848" w:rsidR="00CC3848" w:rsidP="00CC3848" w14:paraId="7FBE611D" w14:textId="77777777">
            <w:pPr>
              <w:rPr>
                <w:bCs/>
              </w:rPr>
            </w:pPr>
          </w:p>
          <w:p w:rsidRPr="00CC3848" w:rsidR="00CC3848" w:rsidP="00CC3848" w14:paraId="45A092BE" w14:textId="77777777">
            <w:pPr>
              <w:rPr>
                <w:bCs/>
              </w:rPr>
            </w:pPr>
            <w:r w:rsidRPr="00CC3848">
              <w:rPr>
                <w:bCs/>
              </w:rPr>
              <w:t>2024 is een jaar waarin de gemeenten op volle toeren draaiden en de aanloopeffecten zo goed als voorbij waren. Om de uitgaven in 2025 en verder in te schatten hebben we aangenomen dat in 2025 de uitvoering nog op volle kracht draait, en afbouwt in 2026 en 2027 omdat de budgetten opraken. Deze inschatting doen we ook op basis van gesprekken met gemeenten en partijen in de sector en blijkt tevens uit de meegeleverde flitspeiling van gemeenten.</w:t>
            </w:r>
          </w:p>
          <w:p w:rsidRPr="00CC3848" w:rsidR="00CC3848" w:rsidP="00CC3848" w14:paraId="3C2A4A95" w14:textId="77777777">
            <w:pPr>
              <w:rPr>
                <w:bCs/>
              </w:rPr>
            </w:pPr>
          </w:p>
          <w:p w:rsidRPr="00CC3848" w:rsidR="00CC3848" w:rsidP="00CC3848" w14:paraId="3D7BFB83" w14:textId="77777777">
            <w:pPr>
              <w:rPr>
                <w:bCs/>
              </w:rPr>
            </w:pPr>
            <w:r w:rsidRPr="00CC3848">
              <w:rPr>
                <w:bCs/>
              </w:rPr>
              <w:t>Vorig jaar is door TNO via enquête gepeild hoe gemeenten in de middelen stonden, en dat bevestigt dat beeld.</w:t>
            </w:r>
            <w:r>
              <w:rPr>
                <w:bCs/>
                <w:vertAlign w:val="superscript"/>
              </w:rPr>
              <w:footnoteReference w:id="9"/>
            </w:r>
            <w:r w:rsidRPr="00CC3848">
              <w:rPr>
                <w:bCs/>
              </w:rPr>
              <w:t xml:space="preserve"> </w:t>
            </w:r>
          </w:p>
          <w:p w:rsidRPr="00CC3848" w:rsidR="00CC3848" w:rsidP="00CC3848" w14:paraId="586CB212" w14:textId="77777777">
            <w:pPr>
              <w:rPr>
                <w:bCs/>
              </w:rPr>
            </w:pPr>
          </w:p>
          <w:p w:rsidRPr="00CC3848" w:rsidR="00CC3848" w:rsidP="00CC3848" w14:paraId="5CF84271" w14:textId="77777777">
            <w:pPr>
              <w:rPr>
                <w:bCs/>
              </w:rPr>
            </w:pPr>
            <w:r w:rsidRPr="00CC3848">
              <w:rPr>
                <w:bCs/>
              </w:rPr>
              <w:t xml:space="preserve">De effectiviteit van de inzet wordt onderzocht door onder meer TNO en het Nationaal Energiearmoede Observatorium (NEO) en dit ondersteunt gemeenten en gemeenteraden om doelmatig met de middelen om te gaan. Uiteindelijk is het aan gemeenten om de middelen zo effectief mogelijk te besteden. </w:t>
            </w:r>
          </w:p>
          <w:p w:rsidRPr="00CC3848" w:rsidR="00CC3848" w:rsidP="00CC3848" w14:paraId="3B19C417" w14:textId="77777777">
            <w:pPr>
              <w:rPr>
                <w:bCs/>
              </w:rPr>
            </w:pPr>
          </w:p>
        </w:tc>
      </w:tr>
      <w:tr w:rsidTr="009B7DA5" w14:paraId="7587352D" w14:textId="77777777">
        <w:tblPrEx>
          <w:tblW w:w="5111" w:type="pct"/>
          <w:tblInd w:w="-5" w:type="dxa"/>
          <w:shd w:val="clear" w:color="auto" w:fill="DEEAF6"/>
          <w:tblLook w:val="01E0"/>
        </w:tblPrEx>
        <w:trPr>
          <w:trHeight w:val="801"/>
        </w:trPr>
        <w:tc>
          <w:tcPr>
            <w:tcW w:w="1603" w:type="pct"/>
            <w:tcBorders>
              <w:top w:val="single" w:color="FFFFFF" w:sz="4" w:space="0"/>
              <w:left w:val="nil"/>
              <w:bottom w:val="single" w:color="FFFFFF" w:sz="4" w:space="0"/>
              <w:right w:val="single" w:color="FFFFFF" w:sz="4" w:space="0"/>
            </w:tcBorders>
            <w:shd w:val="clear" w:color="auto" w:fill="DEEAF6"/>
          </w:tcPr>
          <w:p w:rsidRPr="00CC3848" w:rsidR="00CC3848" w:rsidP="00CC3848" w14:paraId="02738425" w14:textId="77777777">
            <w:pPr>
              <w:rPr>
                <w:b/>
              </w:rPr>
            </w:pPr>
          </w:p>
          <w:p w:rsidRPr="00CC3848" w:rsidR="00CC3848" w:rsidP="00CC3848" w14:paraId="24A12D4D" w14:textId="77777777">
            <w:pPr>
              <w:numPr>
                <w:ilvl w:val="0"/>
                <w:numId w:val="16"/>
              </w:numPr>
              <w:rPr>
                <w:b/>
              </w:rPr>
            </w:pPr>
            <w:r w:rsidRPr="00CC3848">
              <w:rPr>
                <w:b/>
              </w:rPr>
              <w:t>Nagestreefde doelmatigheid</w:t>
            </w:r>
          </w:p>
        </w:tc>
        <w:tc>
          <w:tcPr>
            <w:tcW w:w="3397" w:type="pct"/>
            <w:tcBorders>
              <w:top w:val="single" w:color="FFFFFF" w:sz="4" w:space="0"/>
              <w:left w:val="single" w:color="FFFFFF" w:sz="4" w:space="0"/>
              <w:bottom w:val="single" w:color="FFFFFF" w:sz="4" w:space="0"/>
              <w:right w:val="nil"/>
            </w:tcBorders>
            <w:shd w:val="clear" w:color="auto" w:fill="DEEAF6"/>
            <w:vAlign w:val="center"/>
          </w:tcPr>
          <w:p w:rsidRPr="00CC3848" w:rsidR="00CC3848" w:rsidP="00CC3848" w14:paraId="56539CBE" w14:textId="77777777">
            <w:pPr>
              <w:rPr>
                <w:bCs/>
              </w:rPr>
            </w:pPr>
            <w:r w:rsidRPr="00CC3848">
              <w:rPr>
                <w:bCs/>
              </w:rPr>
              <w:t>De uitvoeringslast van de SPUK Aanpak Energiearmoede is laag. De gevraagde registratie van de uitgevoerde activiteiten is tot een minimum beperkt, zodat hier geen onnodige tijd aan wordt verspil</w:t>
            </w:r>
            <w:r w:rsidR="003531CF">
              <w:rPr>
                <w:bCs/>
              </w:rPr>
              <w:t>d</w:t>
            </w:r>
            <w:r w:rsidRPr="00CC3848">
              <w:rPr>
                <w:bCs/>
              </w:rPr>
              <w:t>. Gemeenten rapporteren via de SiSa-methodiek en daarmee loopt het</w:t>
            </w:r>
            <w:r w:rsidR="003531CF">
              <w:rPr>
                <w:bCs/>
              </w:rPr>
              <w:t xml:space="preserve"> mee</w:t>
            </w:r>
            <w:r w:rsidRPr="00CC3848">
              <w:rPr>
                <w:bCs/>
              </w:rPr>
              <w:t xml:space="preserve"> in de jaarlijkse accountantscontrole</w:t>
            </w:r>
            <w:r w:rsidR="003531CF">
              <w:rPr>
                <w:bCs/>
              </w:rPr>
              <w:t xml:space="preserve"> daarvan</w:t>
            </w:r>
            <w:r w:rsidRPr="00CC3848">
              <w:rPr>
                <w:bCs/>
              </w:rPr>
              <w:t>. De aandacht van de gemeentelijke ambtenaren zal daarmee vooral gefocust zijn op het maken van impact bij huishoudens.</w:t>
            </w:r>
          </w:p>
          <w:p w:rsidRPr="00CC3848" w:rsidR="00CC3848" w:rsidP="00CC3848" w14:paraId="60B11796" w14:textId="77777777">
            <w:pPr>
              <w:rPr>
                <w:bCs/>
              </w:rPr>
            </w:pPr>
          </w:p>
          <w:p w:rsidRPr="00CC3848" w:rsidR="00CC3848" w:rsidP="00CC3848" w14:paraId="04E2CB49" w14:textId="77777777">
            <w:pPr>
              <w:rPr>
                <w:bCs/>
              </w:rPr>
            </w:pPr>
            <w:r w:rsidRPr="00CC3848">
              <w:rPr>
                <w:bCs/>
              </w:rPr>
              <w:t xml:space="preserve">De middelen van de SPUK en het Sociaal Klimaatfonds worden via gemeenten ingezet. Het is een bewuste strategie om energiehulp niet via nationaal of provinciaal niveau te laten verlopen. De inzet van middelen via gemeenten is de meest effectieve inzet omdat lokale factoren heel belangrijk zijn voor de energiehulp. Dit gaat om: </w:t>
            </w:r>
            <w:r w:rsidR="003531CF">
              <w:rPr>
                <w:bCs/>
              </w:rPr>
              <w:t>g</w:t>
            </w:r>
            <w:r w:rsidRPr="00CC3848">
              <w:rPr>
                <w:bCs/>
              </w:rPr>
              <w:t xml:space="preserve">ebouwkenmerken, sociale factoren in de wijk (denk bijvoorbeeld aan vertrouwen van bewoners, armoede en culturele diversiteit), de verhuurders of woningcorporaties, het warmtetransitieplan en de lokaal actieve organisaties zoals energiehulpdiensten. Ook kan een gemeente synergie bereiken met bijvoorbeeld het Nationaal Isolatieprogramma, of andere lokale initiatieven. Een nationaal programma kan niet dit maatwerk leveren dat nodig is om goed aan te sluiten, en zou daarmee minder doelmatig zijn. </w:t>
            </w:r>
          </w:p>
          <w:p w:rsidRPr="00CC3848" w:rsidR="00CC3848" w:rsidP="00CC3848" w14:paraId="0B9D5151" w14:textId="77777777">
            <w:pPr>
              <w:rPr>
                <w:bCs/>
              </w:rPr>
            </w:pPr>
          </w:p>
          <w:p w:rsidRPr="00CC3848" w:rsidR="00CC3848" w:rsidP="00CC3848" w14:paraId="2D4540D5" w14:textId="77777777">
            <w:pPr>
              <w:rPr>
                <w:bCs/>
              </w:rPr>
            </w:pPr>
            <w:r w:rsidRPr="00CC3848">
              <w:rPr>
                <w:bCs/>
              </w:rPr>
              <w:t>Hetzelfde doel nastreven met minder middelen had minder effect opgeleverd. Gemeenten schalen hun maatregelenpakketten met de budgetten die er zijn. Dus kleinere budgetten betekent minder woningen, minder tijd per woning en/of minder maatregelen. 85% van de gemeenten geeft aan behoefte te hebben aan meer SPUK-middelen.</w:t>
            </w:r>
            <w:r>
              <w:rPr>
                <w:bCs/>
                <w:vertAlign w:val="superscript"/>
              </w:rPr>
              <w:footnoteReference w:id="10"/>
            </w:r>
            <w:r w:rsidRPr="00CC3848">
              <w:rPr>
                <w:bCs/>
              </w:rPr>
              <w:t xml:space="preserve">  Hetzelfde bereiken via bijvoorbeeld reclamecampagnes is niet goed mogelijk. Dit type campagnes wordt uiteraard ook ingezet, maar bereikt niet alle huishoudens, en levert geen maatwerk. Ook is het onwenselijk om bijvoorbeeld extra financiële prikkels te geven door bijvoorbeeld een hogere energiebelasting, om de prikkel tot verduurzaming te versterken. Dit zou energiearmoede juist versterken, en bewoners zonder veel handelingspersperspectief extra raken.</w:t>
            </w:r>
          </w:p>
          <w:p w:rsidRPr="00CC3848" w:rsidR="00CC3848" w:rsidP="00CC3848" w14:paraId="54D4EBE4" w14:textId="77777777">
            <w:pPr>
              <w:rPr>
                <w:bCs/>
              </w:rPr>
            </w:pPr>
          </w:p>
          <w:p w:rsidR="00CC3848" w:rsidP="00CC3848" w14:paraId="076A72BB" w14:textId="77777777">
            <w:pPr>
              <w:rPr>
                <w:bCs/>
              </w:rPr>
            </w:pPr>
            <w:r w:rsidRPr="00CC3848">
              <w:rPr>
                <w:bCs/>
              </w:rPr>
              <w:t xml:space="preserve">Een hogere doelmatigheid door het vereisen van bepaalde targets, of limiteren van doelgroepen is niet mogelijk. In de uitvoeringspraktijk is het onhaalbaar om van bewoners inkomensgegevens te vragen en de energierekening. Dit zou een hoge uitvoeringslast meenemen, daarmee een aanzienlijk deel van het budget in bureaucratie laten uitgeven en </w:t>
            </w:r>
            <w:r w:rsidRPr="00CC3848">
              <w:rPr>
                <w:bCs/>
              </w:rPr>
              <w:t>tevens</w:t>
            </w:r>
            <w:r w:rsidRPr="00CC3848">
              <w:rPr>
                <w:bCs/>
              </w:rPr>
              <w:t xml:space="preserve"> niet goed werken bij bewoners met een hoog wantrouwen richting overheden.</w:t>
            </w:r>
          </w:p>
          <w:p w:rsidR="00D16C61" w:rsidP="00CC3848" w14:paraId="19C02ECD" w14:textId="77777777">
            <w:pPr>
              <w:rPr>
                <w:bCs/>
              </w:rPr>
            </w:pPr>
          </w:p>
          <w:p w:rsidR="00D16C61" w:rsidP="00CC3848" w14:paraId="7CD03128" w14:textId="77777777">
            <w:pPr>
              <w:rPr>
                <w:bCs/>
              </w:rPr>
            </w:pPr>
          </w:p>
          <w:p w:rsidR="00D16C61" w:rsidP="00CC3848" w14:paraId="59FABEB2" w14:textId="77777777">
            <w:pPr>
              <w:rPr>
                <w:bCs/>
              </w:rPr>
            </w:pPr>
          </w:p>
          <w:p w:rsidR="00D16C61" w:rsidP="00CC3848" w14:paraId="0372938D" w14:textId="77777777">
            <w:pPr>
              <w:rPr>
                <w:bCs/>
              </w:rPr>
            </w:pPr>
          </w:p>
          <w:p w:rsidRPr="00CC3848" w:rsidR="00D16C61" w:rsidP="00CC3848" w14:paraId="5D933661" w14:textId="77777777">
            <w:pPr>
              <w:rPr>
                <w:bCs/>
              </w:rPr>
            </w:pPr>
          </w:p>
          <w:p w:rsidRPr="00CC3848" w:rsidR="00CC3848" w:rsidP="00CC3848" w14:paraId="7399FCE1" w14:textId="77777777">
            <w:pPr>
              <w:rPr>
                <w:bCs/>
              </w:rPr>
            </w:pPr>
          </w:p>
        </w:tc>
      </w:tr>
      <w:tr w:rsidTr="009B7DA5" w14:paraId="2105D6C5" w14:textId="77777777">
        <w:tblPrEx>
          <w:tblW w:w="5111" w:type="pct"/>
          <w:tblInd w:w="-5" w:type="dxa"/>
          <w:shd w:val="clear" w:color="auto" w:fill="DEEAF6"/>
          <w:tblLook w:val="01E0"/>
        </w:tblPrEx>
        <w:trPr>
          <w:trHeight w:val="801"/>
        </w:trPr>
        <w:tc>
          <w:tcPr>
            <w:tcW w:w="1603" w:type="pct"/>
            <w:tcBorders>
              <w:top w:val="single" w:color="FFFFFF" w:sz="4" w:space="0"/>
              <w:left w:val="nil"/>
              <w:bottom w:val="single" w:color="FFFFFF" w:sz="4" w:space="0"/>
              <w:right w:val="single" w:color="FFFFFF" w:sz="4" w:space="0"/>
            </w:tcBorders>
            <w:shd w:val="clear" w:color="auto" w:fill="DEEAF6"/>
          </w:tcPr>
          <w:p w:rsidRPr="00CC3848" w:rsidR="00CC3848" w:rsidP="00CC3848" w14:paraId="5F0FFFD9" w14:textId="77777777">
            <w:pPr>
              <w:rPr>
                <w:b/>
              </w:rPr>
            </w:pPr>
          </w:p>
          <w:p w:rsidRPr="00CC3848" w:rsidR="00CC3848" w:rsidP="00CC3848" w14:paraId="03D71575" w14:textId="77777777">
            <w:pPr>
              <w:numPr>
                <w:ilvl w:val="0"/>
                <w:numId w:val="16"/>
              </w:numPr>
              <w:rPr>
                <w:b/>
              </w:rPr>
            </w:pPr>
            <w:r w:rsidRPr="00CC3848">
              <w:rPr>
                <w:b/>
              </w:rPr>
              <w:t>Evaluatieparagraaf</w:t>
            </w:r>
          </w:p>
        </w:tc>
        <w:tc>
          <w:tcPr>
            <w:tcW w:w="3397" w:type="pct"/>
            <w:tcBorders>
              <w:top w:val="single" w:color="FFFFFF" w:sz="4" w:space="0"/>
              <w:left w:val="single" w:color="FFFFFF" w:sz="4" w:space="0"/>
              <w:bottom w:val="single" w:color="FFFFFF" w:sz="4" w:space="0"/>
              <w:right w:val="nil"/>
            </w:tcBorders>
            <w:shd w:val="clear" w:color="auto" w:fill="DEEAF6"/>
            <w:vAlign w:val="center"/>
          </w:tcPr>
          <w:p w:rsidRPr="00CC3848" w:rsidR="00CC3848" w:rsidP="00CC3848" w14:paraId="6D5ED303" w14:textId="77777777">
            <w:pPr>
              <w:rPr>
                <w:bCs/>
              </w:rPr>
            </w:pPr>
            <w:r w:rsidRPr="00CC3848">
              <w:rPr>
                <w:bCs/>
              </w:rPr>
              <w:t xml:space="preserve">Om zicht te houden op de besteding en effecten van de middelen van Ondersteuning Energiearmoede worden een aantal acties uitgevoerd. </w:t>
            </w:r>
          </w:p>
          <w:p w:rsidRPr="00CC3848" w:rsidR="00CC3848" w:rsidP="00CC3848" w14:paraId="69D20C0E" w14:textId="77777777">
            <w:pPr>
              <w:rPr>
                <w:bCs/>
              </w:rPr>
            </w:pPr>
          </w:p>
          <w:p w:rsidRPr="00CC3848" w:rsidR="00CC3848" w:rsidP="00CC3848" w14:paraId="3A255991" w14:textId="77777777">
            <w:pPr>
              <w:rPr>
                <w:bCs/>
              </w:rPr>
            </w:pPr>
            <w:r w:rsidRPr="00CC3848">
              <w:rPr>
                <w:bCs/>
              </w:rPr>
              <w:t>Jaarlijks rapporteren gemeenten via SiSa de bestedingen van de SPUK Aanpak Energiearmoede. Daarnaast voert TNO jaarlijks de monitor energiearmoede uit onder gemeenten via een enquête als verantwoordings- en leerinstrument.</w:t>
            </w:r>
            <w:r>
              <w:rPr>
                <w:bCs/>
                <w:vertAlign w:val="superscript"/>
              </w:rPr>
              <w:footnoteReference w:id="11"/>
            </w:r>
          </w:p>
          <w:p w:rsidRPr="00CC3848" w:rsidR="00CC3848" w:rsidP="00CC3848" w14:paraId="45E9D968" w14:textId="77777777">
            <w:pPr>
              <w:rPr>
                <w:bCs/>
              </w:rPr>
            </w:pPr>
          </w:p>
          <w:p w:rsidRPr="00CC3848" w:rsidR="00CC3848" w:rsidP="00CC3848" w14:paraId="37463A6E" w14:textId="77777777">
            <w:pPr>
              <w:rPr>
                <w:bCs/>
              </w:rPr>
            </w:pPr>
            <w:r w:rsidRPr="00CC3848">
              <w:rPr>
                <w:bCs/>
              </w:rPr>
              <w:t xml:space="preserve">Er liep tot en met 2025 een Landelijk Onderzoekprogramma Energiearmoede geleid door TNO. In dit onderzoeksprogramma is onderzoek verricht naar de stand van de energiearmoede in Nederland, hoe ondersteuning in de praktijk </w:t>
            </w:r>
            <w:r w:rsidRPr="00CC3848">
              <w:rPr>
                <w:bCs/>
              </w:rPr>
              <w:t>eruit</w:t>
            </w:r>
            <w:r w:rsidR="003531CF">
              <w:rPr>
                <w:bCs/>
              </w:rPr>
              <w:t xml:space="preserve"> </w:t>
            </w:r>
            <w:r w:rsidRPr="00CC3848">
              <w:rPr>
                <w:bCs/>
              </w:rPr>
              <w:t>ziet</w:t>
            </w:r>
            <w:r w:rsidRPr="00CC3848">
              <w:rPr>
                <w:bCs/>
              </w:rPr>
              <w:t>, en om te bepalen wat de effectieve elementen zijn van energiehulp.</w:t>
            </w:r>
            <w:r>
              <w:rPr>
                <w:bCs/>
                <w:vertAlign w:val="superscript"/>
              </w:rPr>
              <w:footnoteReference w:id="12"/>
            </w:r>
            <w:r w:rsidRPr="00CC3848">
              <w:rPr>
                <w:bCs/>
              </w:rPr>
              <w:t xml:space="preserve"> De resultaten worden zo goed mogelijk meegenomen in beleidsontwikkeling en worden bekend gemaakt bij gemeenten via onder meer het NPLV. </w:t>
            </w:r>
          </w:p>
          <w:p w:rsidRPr="00CC3848" w:rsidR="00CC3848" w:rsidP="00CC3848" w14:paraId="1C3C6B06" w14:textId="77777777">
            <w:pPr>
              <w:rPr>
                <w:bCs/>
              </w:rPr>
            </w:pPr>
            <w:r w:rsidRPr="00CC3848">
              <w:rPr>
                <w:bCs/>
              </w:rPr>
              <w:t>De op</w:t>
            </w:r>
            <w:r w:rsidR="00124AA4">
              <w:rPr>
                <w:bCs/>
              </w:rPr>
              <w:t>v</w:t>
            </w:r>
            <w:r w:rsidRPr="00CC3848">
              <w:rPr>
                <w:bCs/>
              </w:rPr>
              <w:t xml:space="preserve">olging van het Landelijk Onderzoeksprogramma Energiearmoede is het Nationaal Energiearmoede Observatorium, geleid door de RvO, ondersteund door TNO. Het NEO zal een kennis en expertisecentrum zijn voor alle relevante organisaties betrokken bij Energiearmoede, en ook dit zal informatie op blijven leveren over hoe middelen voor energiearmoede goed kunnen worden ingezet. Hieronder valt ook de </w:t>
            </w:r>
            <w:r w:rsidRPr="00CC3848">
              <w:rPr>
                <w:bCs/>
              </w:rPr>
              <w:t>eerder genoemde</w:t>
            </w:r>
            <w:r w:rsidRPr="00CC3848">
              <w:rPr>
                <w:bCs/>
              </w:rPr>
              <w:t xml:space="preserve"> jaarlijkse monitoring uitvoering energiearmoedebeleid onder gemeenten.</w:t>
            </w:r>
            <w:r>
              <w:rPr>
                <w:bCs/>
                <w:vertAlign w:val="superscript"/>
              </w:rPr>
              <w:footnoteReference w:id="13"/>
            </w:r>
          </w:p>
          <w:p w:rsidRPr="00CC3848" w:rsidR="00CC3848" w:rsidP="00CC3848" w14:paraId="54E28F95" w14:textId="77777777">
            <w:pPr>
              <w:rPr>
                <w:bCs/>
              </w:rPr>
            </w:pPr>
          </w:p>
          <w:p w:rsidRPr="00CC3848" w:rsidR="00CC3848" w:rsidP="00CC3848" w14:paraId="12AB2F22" w14:textId="77777777">
            <w:pPr>
              <w:rPr>
                <w:bCs/>
              </w:rPr>
            </w:pPr>
            <w:r w:rsidRPr="00CC3848">
              <w:rPr>
                <w:bCs/>
              </w:rPr>
              <w:t xml:space="preserve">Een evaluatie van de SPUK Aanpak Energiearmoede wordt op dit moment opgestart en </w:t>
            </w:r>
            <w:r w:rsidR="003531CF">
              <w:rPr>
                <w:bCs/>
              </w:rPr>
              <w:t>afgerond</w:t>
            </w:r>
            <w:r w:rsidRPr="00CC3848">
              <w:rPr>
                <w:bCs/>
              </w:rPr>
              <w:t xml:space="preserve"> in 2027. Deze evaluatie </w:t>
            </w:r>
            <w:r w:rsidR="003531CF">
              <w:rPr>
                <w:bCs/>
              </w:rPr>
              <w:t xml:space="preserve">wordt ook opgenomen </w:t>
            </w:r>
            <w:r w:rsidR="00E57151">
              <w:rPr>
                <w:bCs/>
              </w:rPr>
              <w:t>op</w:t>
            </w:r>
            <w:r w:rsidR="003531CF">
              <w:rPr>
                <w:bCs/>
              </w:rPr>
              <w:t xml:space="preserve"> </w:t>
            </w:r>
            <w:r w:rsidRPr="00CC3848">
              <w:rPr>
                <w:bCs/>
              </w:rPr>
              <w:t>de Strategische Evaluatie Agenda (SEA) van het thema Energietransitie en de gebouwde omgeving.</w:t>
            </w:r>
          </w:p>
          <w:p w:rsidRPr="00CC3848" w:rsidR="00CC3848" w:rsidP="00CC3848" w14:paraId="4C3BE353" w14:textId="77777777">
            <w:pPr>
              <w:rPr>
                <w:bCs/>
              </w:rPr>
            </w:pPr>
          </w:p>
          <w:p w:rsidRPr="00CC3848" w:rsidR="00CC3848" w:rsidP="00CC3848" w14:paraId="308CB4EE" w14:textId="77777777">
            <w:pPr>
              <w:rPr>
                <w:bCs/>
              </w:rPr>
            </w:pPr>
            <w:r w:rsidRPr="00CC3848">
              <w:rPr>
                <w:bCs/>
              </w:rPr>
              <w:t>De monitoring en evaluatiecyclus van het onderwerp Energiehuis van het Sociaal Klimaatplan wordt op dit moment ontworpen. Vanuit de verordening van de Europese Commissie wordt uitgewerkt aan welke eisen de monitoring en evaluatie moet voldoen, en dit moet een heldere auditeerbare monitoring zijn.</w:t>
            </w:r>
            <w:r>
              <w:rPr>
                <w:bCs/>
                <w:vertAlign w:val="superscript"/>
              </w:rPr>
              <w:footnoteReference w:id="14"/>
            </w:r>
          </w:p>
        </w:tc>
      </w:tr>
    </w:tbl>
    <w:p w:rsidR="00CC3848" w:rsidP="00B050FC" w14:paraId="780D01E7" w14:textId="77777777"/>
    <w:p w:rsidR="00B050FC" w:rsidP="00B050FC" w14:paraId="260EFFEB" w14:textId="77777777"/>
    <w:p w:rsidR="00CC3848" w:rsidP="00CC3848" w14:paraId="287C9DBC" w14:textId="77777777">
      <w:pPr>
        <w:spacing w:line="240" w:lineRule="auto"/>
      </w:pPr>
      <w:r>
        <w:t>De minister van Volkshuisvesting en Ruimtelijke Ordening,</w:t>
      </w:r>
    </w:p>
    <w:p w:rsidR="00CC3848" w:rsidP="00CC3848" w14:paraId="4FBBF416" w14:textId="77777777">
      <w:pPr>
        <w:spacing w:line="240" w:lineRule="auto"/>
      </w:pPr>
    </w:p>
    <w:p w:rsidR="00CC3848" w:rsidP="00CC3848" w14:paraId="788FD212" w14:textId="77777777">
      <w:pPr>
        <w:spacing w:line="240" w:lineRule="auto"/>
      </w:pPr>
    </w:p>
    <w:p w:rsidR="00CC3848" w:rsidP="00CC3848" w14:paraId="407AF3D3" w14:textId="77777777">
      <w:pPr>
        <w:spacing w:line="240" w:lineRule="auto"/>
      </w:pPr>
    </w:p>
    <w:p w:rsidR="00A83518" w:rsidP="00CC3848" w14:paraId="47E8C616" w14:textId="77777777">
      <w:pPr>
        <w:spacing w:line="240" w:lineRule="auto"/>
      </w:pPr>
      <w:r>
        <w:t>E</w:t>
      </w:r>
      <w:r w:rsidR="00E57151">
        <w:t>lanor</w:t>
      </w:r>
      <w:r>
        <w:t xml:space="preserve"> </w:t>
      </w:r>
      <w:r>
        <w:t>Boekholt-O’Sullivan</w:t>
      </w:r>
    </w:p>
    <w:p w:rsidRPr="00324B2F" w:rsidR="00A83518" w:rsidP="00324B2F" w14:paraId="48040B10" w14:textId="77777777">
      <w:pPr>
        <w:rPr>
          <w:b/>
          <w:bCs/>
        </w:rPr>
      </w:pPr>
      <w:bookmarkStart w:name="_Hlk205994692" w:id="2"/>
    </w:p>
    <w:bookmarkEnd w:id="2"/>
    <w:p w:rsidR="00046731" w:rsidP="00046731" w14:paraId="5E29532E" w14:textId="77777777">
      <w:pPr>
        <w:spacing w:line="240" w:lineRule="auto"/>
      </w:pPr>
    </w:p>
    <w:p w:rsidR="00046731" w:rsidP="00046731" w14:paraId="7268FAE7" w14:textId="77777777">
      <w:pPr>
        <w:spacing w:line="240" w:lineRule="auto"/>
      </w:pPr>
    </w:p>
    <w:p w:rsidR="00046731" w:rsidP="00046731" w14:paraId="406E5F09" w14:textId="77777777">
      <w:pPr>
        <w:spacing w:line="240" w:lineRule="auto"/>
      </w:pPr>
    </w:p>
    <w:p w:rsidR="005A13F0" w14:paraId="6540C47E"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0EC64EED"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1BFF" w14:paraId="4106D114" w14:textId="77777777">
      <w:pPr>
        <w:spacing w:line="240" w:lineRule="auto"/>
      </w:pPr>
      <w:r>
        <w:separator/>
      </w:r>
    </w:p>
  </w:footnote>
  <w:footnote w:type="continuationSeparator" w:id="1">
    <w:p w:rsidR="003E1BFF" w14:paraId="5173172D" w14:textId="77777777">
      <w:pPr>
        <w:spacing w:line="240" w:lineRule="auto"/>
      </w:pPr>
      <w:r>
        <w:continuationSeparator/>
      </w:r>
    </w:p>
  </w:footnote>
  <w:footnote w:id="2">
    <w:p w:rsidR="00CC3848" w:rsidRPr="00FE0B71" w:rsidP="00CC3848" w14:paraId="68D99F09" w14:textId="77777777">
      <w:pPr>
        <w:pStyle w:val="FootnoteText"/>
        <w:rPr>
          <w:rFonts w:ascii="Verdana" w:hAnsi="Verdana"/>
          <w:sz w:val="16"/>
          <w:szCs w:val="16"/>
        </w:rPr>
      </w:pPr>
      <w:r w:rsidRPr="00FE0B71">
        <w:rPr>
          <w:rStyle w:val="FootnoteReference"/>
          <w:rFonts w:ascii="Verdana" w:hAnsi="Verdana"/>
          <w:sz w:val="16"/>
          <w:szCs w:val="16"/>
        </w:rPr>
        <w:footnoteRef/>
      </w:r>
      <w:r w:rsidRPr="00FE0B71">
        <w:rPr>
          <w:rFonts w:ascii="Verdana" w:hAnsi="Verdana"/>
          <w:sz w:val="16"/>
          <w:szCs w:val="16"/>
        </w:rPr>
        <w:t xml:space="preserve"> </w:t>
      </w:r>
      <w:hyperlink r:id="rId1" w:history="1">
        <w:r w:rsidRPr="00FE0B71">
          <w:rPr>
            <w:rStyle w:val="Hyperlink"/>
            <w:rFonts w:ascii="Verdana" w:hAnsi="Verdana"/>
            <w:sz w:val="16"/>
            <w:szCs w:val="16"/>
          </w:rPr>
          <w:t>Effect energiehulp | TNO</w:t>
        </w:r>
      </w:hyperlink>
    </w:p>
  </w:footnote>
  <w:footnote w:id="3">
    <w:p w:rsidR="00CC3848" w:rsidP="00CC3848" w14:paraId="7FB71580" w14:textId="77777777">
      <w:pPr>
        <w:pStyle w:val="FootnoteText"/>
      </w:pPr>
      <w:r w:rsidRPr="00FE0B71">
        <w:rPr>
          <w:rStyle w:val="FootnoteReference"/>
          <w:rFonts w:ascii="Verdana" w:hAnsi="Verdana"/>
          <w:sz w:val="16"/>
          <w:szCs w:val="16"/>
        </w:rPr>
        <w:footnoteRef/>
      </w:r>
      <w:r w:rsidRPr="00FE0B71">
        <w:rPr>
          <w:rFonts w:ascii="Verdana" w:hAnsi="Verdana"/>
          <w:sz w:val="16"/>
          <w:szCs w:val="16"/>
        </w:rPr>
        <w:t xml:space="preserve"> </w:t>
      </w:r>
      <w:hyperlink r:id="rId2" w:history="1">
        <w:r w:rsidRPr="00FE0B71">
          <w:rPr>
            <w:rStyle w:val="Hyperlink"/>
            <w:rFonts w:ascii="Verdana" w:hAnsi="Verdana"/>
            <w:sz w:val="16"/>
            <w:szCs w:val="16"/>
          </w:rPr>
          <w:t>Energiearmoede in 2024 gestegen naar 6,1 procent | CBS</w:t>
        </w:r>
      </w:hyperlink>
    </w:p>
  </w:footnote>
  <w:footnote w:id="4">
    <w:p w:rsidR="00CC3848" w:rsidRPr="00FE0B71" w:rsidP="00CC3848" w14:paraId="2DC0CBA8" w14:textId="77777777">
      <w:pPr>
        <w:pStyle w:val="FootnoteText"/>
        <w:rPr>
          <w:rFonts w:ascii="Verdana" w:hAnsi="Verdana"/>
          <w:sz w:val="16"/>
          <w:szCs w:val="16"/>
        </w:rPr>
      </w:pPr>
      <w:r w:rsidRPr="00FE0B71">
        <w:rPr>
          <w:rStyle w:val="FootnoteReference"/>
          <w:rFonts w:ascii="Verdana" w:hAnsi="Verdana"/>
          <w:sz w:val="16"/>
          <w:szCs w:val="16"/>
        </w:rPr>
        <w:footnoteRef/>
      </w:r>
      <w:r w:rsidRPr="00FE0B71">
        <w:rPr>
          <w:rFonts w:ascii="Verdana" w:hAnsi="Verdana"/>
          <w:sz w:val="16"/>
          <w:szCs w:val="16"/>
        </w:rPr>
        <w:t xml:space="preserve"> Met het energiehuis geeft Nederland invulling aan de eisen uit artikel 18 van de EPBD IV voor een </w:t>
      </w:r>
      <w:r w:rsidRPr="00FE0B71">
        <w:rPr>
          <w:rFonts w:ascii="Verdana" w:hAnsi="Verdana"/>
          <w:sz w:val="16"/>
          <w:szCs w:val="16"/>
        </w:rPr>
        <w:t>one</w:t>
      </w:r>
      <w:r w:rsidRPr="00FE0B71">
        <w:rPr>
          <w:rFonts w:ascii="Verdana" w:hAnsi="Verdana"/>
          <w:sz w:val="16"/>
          <w:szCs w:val="16"/>
        </w:rPr>
        <w:t>-stop-shop-systeem. De wetgeving verplicht Europese lidstaten om dit in te richten voor de ondersteuning bij de verduurzaming van gebouwen. Centraal staat dat gebouweigenaren, bewoners en organisaties op één plek terecht moeten kunnen voor betrouwbare informatie, begeleiding, ondersteuning en ontzorging</w:t>
      </w:r>
      <w:r w:rsidR="00E239EA">
        <w:rPr>
          <w:rFonts w:ascii="Verdana" w:hAnsi="Verdana"/>
          <w:sz w:val="16"/>
          <w:szCs w:val="16"/>
        </w:rPr>
        <w:t>. Dit</w:t>
      </w:r>
      <w:r w:rsidR="004861EE">
        <w:rPr>
          <w:rFonts w:ascii="Verdana" w:hAnsi="Verdana"/>
          <w:sz w:val="16"/>
          <w:szCs w:val="16"/>
        </w:rPr>
        <w:t xml:space="preserve"> m</w:t>
      </w:r>
      <w:r w:rsidRPr="00FE0B71">
        <w:rPr>
          <w:rFonts w:ascii="Verdana" w:hAnsi="Verdana"/>
          <w:sz w:val="16"/>
          <w:szCs w:val="16"/>
        </w:rPr>
        <w:t>et als doel de verduurzaming van gebouwen te versnellen en ervoor te zorgen dat de gebouwde omgeving in 2050 CO₂-neutraal is.</w:t>
      </w:r>
    </w:p>
  </w:footnote>
  <w:footnote w:id="5">
    <w:p w:rsidR="00CC3848" w:rsidP="00CC3848" w14:paraId="5851C51F" w14:textId="77777777">
      <w:pPr>
        <w:pStyle w:val="FootnoteText"/>
      </w:pPr>
      <w:r w:rsidRPr="00FE0B71">
        <w:rPr>
          <w:rStyle w:val="FootnoteReference"/>
          <w:rFonts w:ascii="Verdana" w:hAnsi="Verdana"/>
          <w:sz w:val="16"/>
          <w:szCs w:val="16"/>
        </w:rPr>
        <w:footnoteRef/>
      </w:r>
      <w:r w:rsidRPr="00FE0B71">
        <w:rPr>
          <w:rFonts w:ascii="Verdana" w:hAnsi="Verdana"/>
          <w:sz w:val="16"/>
          <w:szCs w:val="16"/>
        </w:rPr>
        <w:t xml:space="preserve"> De huidige inzet is dat deze middelen in 2027 worden toegevoegd aan de middelen die beschikbaar komen vanuit het Sociaal Klimaat Fonds. Deze € 40 mln. maakt deel van de Nederlandse cofinanciering die nodig is om Europese middelen uit het Sociaal Klimaat Fonds te ontvangen.</w:t>
      </w:r>
    </w:p>
  </w:footnote>
  <w:footnote w:id="6">
    <w:p w:rsidR="00CC3848" w:rsidRPr="00FE0B71" w:rsidP="00CC3848" w14:paraId="54040EFA" w14:textId="77777777">
      <w:pPr>
        <w:pStyle w:val="FootnoteText"/>
        <w:rPr>
          <w:rFonts w:ascii="Verdana" w:hAnsi="Verdana"/>
          <w:sz w:val="16"/>
          <w:szCs w:val="16"/>
        </w:rPr>
      </w:pPr>
      <w:r w:rsidRPr="00FE0B71">
        <w:rPr>
          <w:rStyle w:val="FootnoteReference"/>
          <w:rFonts w:ascii="Verdana" w:hAnsi="Verdana"/>
          <w:sz w:val="16"/>
          <w:szCs w:val="16"/>
        </w:rPr>
        <w:footnoteRef/>
      </w:r>
      <w:r w:rsidRPr="00FE0B71">
        <w:rPr>
          <w:rFonts w:ascii="Verdana" w:hAnsi="Verdana"/>
          <w:sz w:val="16"/>
          <w:szCs w:val="16"/>
        </w:rPr>
        <w:t xml:space="preserve"> </w:t>
      </w:r>
      <w:hyperlink r:id="rId3" w:history="1">
        <w:r w:rsidRPr="00FE0B71">
          <w:rPr>
            <w:rStyle w:val="Hyperlink"/>
            <w:rFonts w:ascii="Verdana" w:hAnsi="Verdana"/>
            <w:sz w:val="16"/>
            <w:szCs w:val="16"/>
          </w:rPr>
          <w:t>Verkenning energiebesparing door energiefixers</w:t>
        </w:r>
      </w:hyperlink>
    </w:p>
  </w:footnote>
  <w:footnote w:id="7">
    <w:p w:rsidR="00CC3848" w:rsidRPr="00FE0B71" w:rsidP="00CC3848" w14:paraId="3ABF690F" w14:textId="77777777">
      <w:pPr>
        <w:pStyle w:val="FootnoteText"/>
        <w:rPr>
          <w:rFonts w:ascii="Verdana" w:hAnsi="Verdana"/>
          <w:sz w:val="16"/>
          <w:szCs w:val="16"/>
        </w:rPr>
      </w:pPr>
      <w:r w:rsidRPr="00FE0B71">
        <w:rPr>
          <w:rStyle w:val="FootnoteReference"/>
          <w:rFonts w:ascii="Verdana" w:hAnsi="Verdana"/>
          <w:sz w:val="16"/>
          <w:szCs w:val="16"/>
        </w:rPr>
        <w:footnoteRef/>
      </w:r>
      <w:r w:rsidRPr="00FE0B71">
        <w:rPr>
          <w:rFonts w:ascii="Verdana" w:hAnsi="Verdana"/>
          <w:sz w:val="16"/>
          <w:szCs w:val="16"/>
        </w:rPr>
        <w:t xml:space="preserve"> </w:t>
      </w:r>
      <w:hyperlink r:id="rId1" w:history="1">
        <w:r w:rsidRPr="00FE0B71">
          <w:rPr>
            <w:rStyle w:val="Hyperlink"/>
            <w:rFonts w:ascii="Verdana" w:hAnsi="Verdana"/>
            <w:sz w:val="16"/>
            <w:szCs w:val="16"/>
          </w:rPr>
          <w:t>Effect energiehulp | TNO</w:t>
        </w:r>
      </w:hyperlink>
    </w:p>
  </w:footnote>
  <w:footnote w:id="8">
    <w:p w:rsidR="00CC3848" w:rsidP="00CC3848" w14:paraId="5C2E2EED" w14:textId="77777777">
      <w:pPr>
        <w:pStyle w:val="FootnoteText"/>
      </w:pPr>
      <w:r w:rsidRPr="00FE0B71">
        <w:rPr>
          <w:rStyle w:val="FootnoteReference"/>
          <w:rFonts w:ascii="Verdana" w:hAnsi="Verdana"/>
          <w:sz w:val="16"/>
          <w:szCs w:val="16"/>
        </w:rPr>
        <w:footnoteRef/>
      </w:r>
      <w:r w:rsidRPr="00FE0B71">
        <w:rPr>
          <w:rFonts w:ascii="Verdana" w:hAnsi="Verdana"/>
          <w:sz w:val="16"/>
          <w:szCs w:val="16"/>
        </w:rPr>
        <w:t xml:space="preserve"> </w:t>
      </w:r>
      <w:hyperlink r:id="rId4" w:history="1">
        <w:r w:rsidRPr="00FE0B71">
          <w:rPr>
            <w:rStyle w:val="Hyperlink"/>
            <w:rFonts w:ascii="Verdana" w:hAnsi="Verdana"/>
            <w:sz w:val="16"/>
            <w:szCs w:val="16"/>
          </w:rPr>
          <w:t>Energiehulp als transitiebegeleider in aanpak energiearmoede</w:t>
        </w:r>
      </w:hyperlink>
    </w:p>
  </w:footnote>
  <w:footnote w:id="9">
    <w:p w:rsidR="00CC3848" w:rsidRPr="00FE0B71" w:rsidP="00CC3848" w14:paraId="72CB2910" w14:textId="77777777">
      <w:pPr>
        <w:pStyle w:val="FootnoteText"/>
        <w:rPr>
          <w:rFonts w:ascii="Verdana" w:hAnsi="Verdana"/>
          <w:sz w:val="16"/>
          <w:szCs w:val="16"/>
        </w:rPr>
      </w:pPr>
      <w:r w:rsidRPr="00FE0B71">
        <w:rPr>
          <w:rStyle w:val="FootnoteReference"/>
          <w:rFonts w:ascii="Verdana" w:hAnsi="Verdana"/>
          <w:sz w:val="16"/>
          <w:szCs w:val="16"/>
        </w:rPr>
        <w:footnoteRef/>
      </w:r>
      <w:r w:rsidRPr="00FE0B71">
        <w:rPr>
          <w:rFonts w:ascii="Verdana" w:hAnsi="Verdana"/>
          <w:sz w:val="16"/>
          <w:szCs w:val="16"/>
        </w:rPr>
        <w:t xml:space="preserve"> Jaarlijkse monitoring bij gemeenten over de uitvoering van energiearmoedebeleid </w:t>
      </w:r>
      <w:hyperlink r:id="rId5" w:history="1">
        <w:r w:rsidRPr="00FE0B71">
          <w:rPr>
            <w:rStyle w:val="Hyperlink"/>
            <w:rFonts w:ascii="Verdana" w:hAnsi="Verdana"/>
            <w:sz w:val="16"/>
            <w:szCs w:val="16"/>
          </w:rPr>
          <w:t>TNO-2026-16643.pdf</w:t>
        </w:r>
      </w:hyperlink>
      <w:r w:rsidRPr="00FE0B71">
        <w:rPr>
          <w:rFonts w:ascii="Verdana" w:hAnsi="Verdana"/>
          <w:sz w:val="16"/>
          <w:szCs w:val="16"/>
        </w:rPr>
        <w:t xml:space="preserve"> </w:t>
      </w:r>
    </w:p>
  </w:footnote>
  <w:footnote w:id="10">
    <w:p w:rsidR="00CC3848" w:rsidRPr="00FE0B71" w:rsidP="00CC3848" w14:paraId="76F34B63" w14:textId="77777777">
      <w:pPr>
        <w:pStyle w:val="FootnoteText"/>
        <w:rPr>
          <w:rFonts w:ascii="Verdana" w:hAnsi="Verdana"/>
          <w:sz w:val="16"/>
          <w:szCs w:val="16"/>
        </w:rPr>
      </w:pPr>
      <w:r w:rsidRPr="00FE0B71">
        <w:rPr>
          <w:rStyle w:val="FootnoteReference"/>
          <w:rFonts w:ascii="Verdana" w:hAnsi="Verdana"/>
          <w:sz w:val="16"/>
          <w:szCs w:val="16"/>
        </w:rPr>
        <w:footnoteRef/>
      </w:r>
      <w:r w:rsidRPr="00FE0B71">
        <w:rPr>
          <w:rFonts w:ascii="Verdana" w:hAnsi="Verdana"/>
          <w:sz w:val="16"/>
          <w:szCs w:val="16"/>
        </w:rPr>
        <w:t xml:space="preserve"> Jaarlijkse monitoring bij gemeenten over de uitvoering van energiearmoedebeleid </w:t>
      </w:r>
      <w:hyperlink r:id="rId5" w:history="1">
        <w:r w:rsidRPr="00FE0B71">
          <w:rPr>
            <w:rStyle w:val="Hyperlink"/>
            <w:rFonts w:ascii="Verdana" w:hAnsi="Verdana"/>
            <w:sz w:val="16"/>
            <w:szCs w:val="16"/>
          </w:rPr>
          <w:t>TNO-2026-16643.pdf</w:t>
        </w:r>
      </w:hyperlink>
    </w:p>
  </w:footnote>
  <w:footnote w:id="11">
    <w:p w:rsidR="00CC3848" w:rsidRPr="00FE0B71" w:rsidP="00CC3848" w14:paraId="6EA0097A" w14:textId="77777777">
      <w:pPr>
        <w:pStyle w:val="FootnoteText"/>
        <w:rPr>
          <w:rFonts w:ascii="Verdana" w:hAnsi="Verdana"/>
          <w:sz w:val="16"/>
          <w:szCs w:val="16"/>
        </w:rPr>
      </w:pPr>
      <w:r w:rsidRPr="00FE0B71">
        <w:rPr>
          <w:rStyle w:val="FootnoteReference"/>
          <w:rFonts w:ascii="Verdana" w:hAnsi="Verdana"/>
          <w:sz w:val="16"/>
          <w:szCs w:val="16"/>
        </w:rPr>
        <w:footnoteRef/>
      </w:r>
      <w:r w:rsidRPr="00FE0B71">
        <w:rPr>
          <w:rFonts w:ascii="Verdana" w:hAnsi="Verdana"/>
          <w:sz w:val="16"/>
          <w:szCs w:val="16"/>
        </w:rPr>
        <w:t xml:space="preserve"> </w:t>
      </w:r>
      <w:hyperlink r:id="rId4" w:history="1">
        <w:r w:rsidRPr="00FE0B71">
          <w:rPr>
            <w:rStyle w:val="Hyperlink"/>
            <w:rFonts w:ascii="Verdana" w:hAnsi="Verdana"/>
            <w:sz w:val="16"/>
            <w:szCs w:val="16"/>
          </w:rPr>
          <w:t>Energiehulp als transitiebegeleider in aanpak energiearmoede</w:t>
        </w:r>
      </w:hyperlink>
    </w:p>
  </w:footnote>
  <w:footnote w:id="12">
    <w:p w:rsidR="00CC3848" w:rsidP="00CC3848" w14:paraId="0C98788C" w14:textId="77777777">
      <w:pPr>
        <w:pStyle w:val="FootnoteText"/>
      </w:pPr>
      <w:r w:rsidRPr="00FE0B71">
        <w:rPr>
          <w:rStyle w:val="FootnoteReference"/>
          <w:rFonts w:ascii="Verdana" w:hAnsi="Verdana"/>
          <w:sz w:val="16"/>
          <w:szCs w:val="16"/>
        </w:rPr>
        <w:footnoteRef/>
      </w:r>
      <w:r w:rsidRPr="00FE0B71">
        <w:rPr>
          <w:rFonts w:ascii="Verdana" w:hAnsi="Verdana"/>
          <w:sz w:val="16"/>
          <w:szCs w:val="16"/>
        </w:rPr>
        <w:t xml:space="preserve"> Overzicht onderzoeken: </w:t>
      </w:r>
      <w:hyperlink r:id="rId6" w:history="1">
        <w:r w:rsidRPr="00FE0B71">
          <w:rPr>
            <w:rStyle w:val="Hyperlink"/>
            <w:rFonts w:ascii="Verdana" w:hAnsi="Verdana"/>
            <w:sz w:val="16"/>
            <w:szCs w:val="16"/>
          </w:rPr>
          <w:t>TNO-2025-R11107.pdf</w:t>
        </w:r>
      </w:hyperlink>
      <w:r>
        <w:t xml:space="preserve"> </w:t>
      </w:r>
    </w:p>
  </w:footnote>
  <w:footnote w:id="13">
    <w:p w:rsidR="00CC3848" w:rsidRPr="00FE0B71" w:rsidP="00CC3848" w14:paraId="505543A3" w14:textId="77777777">
      <w:pPr>
        <w:pStyle w:val="FootnoteText"/>
        <w:rPr>
          <w:rFonts w:ascii="Verdana" w:hAnsi="Verdana"/>
          <w:sz w:val="16"/>
          <w:szCs w:val="16"/>
        </w:rPr>
      </w:pPr>
      <w:r w:rsidRPr="00FE0B71">
        <w:rPr>
          <w:rStyle w:val="FootnoteReference"/>
          <w:rFonts w:ascii="Verdana" w:hAnsi="Verdana"/>
          <w:sz w:val="16"/>
          <w:szCs w:val="16"/>
        </w:rPr>
        <w:footnoteRef/>
      </w:r>
      <w:r w:rsidRPr="00FE0B71">
        <w:rPr>
          <w:rFonts w:ascii="Verdana" w:hAnsi="Verdana"/>
          <w:sz w:val="16"/>
          <w:szCs w:val="16"/>
        </w:rPr>
        <w:t xml:space="preserve"> Jaarlijkse monitoring bij gemeenten over de uitvoering van energiearmoedebeleid </w:t>
      </w:r>
      <w:hyperlink r:id="rId5" w:history="1">
        <w:r w:rsidRPr="00FE0B71">
          <w:rPr>
            <w:rStyle w:val="Hyperlink"/>
            <w:rFonts w:ascii="Verdana" w:hAnsi="Verdana"/>
            <w:sz w:val="16"/>
            <w:szCs w:val="16"/>
          </w:rPr>
          <w:t>TNO-2026-16643.pdf</w:t>
        </w:r>
      </w:hyperlink>
    </w:p>
  </w:footnote>
  <w:footnote w:id="14">
    <w:p w:rsidR="00CC3848" w:rsidP="00CC3848" w14:paraId="7210A791" w14:textId="77777777">
      <w:pPr>
        <w:pStyle w:val="FootnoteText"/>
      </w:pPr>
      <w:r w:rsidRPr="00FE0B71">
        <w:rPr>
          <w:rStyle w:val="FootnoteReference"/>
          <w:rFonts w:ascii="Verdana" w:hAnsi="Verdana"/>
          <w:sz w:val="16"/>
          <w:szCs w:val="16"/>
        </w:rPr>
        <w:footnoteRef/>
      </w:r>
      <w:r w:rsidRPr="00FE0B71">
        <w:rPr>
          <w:rFonts w:ascii="Verdana" w:hAnsi="Verdana"/>
          <w:sz w:val="16"/>
          <w:szCs w:val="16"/>
        </w:rPr>
        <w:t xml:space="preserve"> </w:t>
      </w:r>
      <w:hyperlink r:id="rId7" w:history="1">
        <w:r w:rsidRPr="00FE0B71">
          <w:rPr>
            <w:rStyle w:val="Hyperlink"/>
            <w:rFonts w:ascii="Verdana" w:hAnsi="Verdana"/>
            <w:sz w:val="16"/>
            <w:szCs w:val="16"/>
          </w:rPr>
          <w:t>Verordening - 2023/955 -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332A5E5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8351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6f-aa3c-11ea-a756-beb5f67e67be" o:spid="_x0000_s2049" type="#_x0000_t202" alt="Voettekst" style="width:377pt;height:12.7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A83518" w14:paraId="10F1840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725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1312" filled="f" stroked="f">
              <v:textbox inset="0,0,0,0">
                <w:txbxContent>
                  <w:p w:rsidR="00A72563" w14:paraId="404E3BE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5A0B3031" w14:textId="77777777">
    <w:pPr>
      <w:spacing w:after="6377" w:line="14" w:lineRule="exact"/>
    </w:pP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A13F0" w14:textId="77777777">
                          <w:r>
                            <w:t>Aan de Voorzitter van de Tweede Kamer der Staten-Generaal</w:t>
                          </w:r>
                        </w:p>
                        <w:p w:rsidR="005A13F0" w14:textId="77777777">
                          <w:r>
                            <w:t>Postbus 20018</w:t>
                          </w:r>
                        </w:p>
                        <w:p w:rsidR="005A13F0"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1" type="#_x0000_t202" alt="Adresvak" style="width:377pt;height:87.85pt;margin-top:153.9pt;margin-left:79.35pt;mso-position-horizontal-relative:page;mso-wrap-distance-bottom:0;mso-wrap-distance-left:0;mso-wrap-distance-right:0;mso-wrap-distance-top:0;mso-wrap-style:square;position:absolute;v-text-anchor:top;visibility:visible;z-index:251663360" filled="f" stroked="f">
              <v:textbox inset="0,0,0,0">
                <w:txbxContent>
                  <w:p w:rsidR="005A13F0" w14:paraId="2B100299" w14:textId="77777777">
                    <w:r>
                      <w:t>Aan de Voorzitter van de Tweede Kamer der Staten-Generaal</w:t>
                    </w:r>
                  </w:p>
                  <w:p w:rsidR="005A13F0" w14:paraId="204082B2" w14:textId="77777777">
                    <w:r>
                      <w:t>Postbus 20018</w:t>
                    </w:r>
                  </w:p>
                  <w:p w:rsidR="005A13F0" w14:paraId="65E2BBB5" w14:textId="77777777">
                    <w:r>
                      <w:t>2500 EA  Den Haag</w:t>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1009650</wp:posOffset>
              </wp:positionH>
              <wp:positionV relativeFrom="paragraph">
                <wp:posOffset>3352800</wp:posOffset>
              </wp:positionV>
              <wp:extent cx="4787900" cy="800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0100"/>
                      </a:xfrm>
                      <a:prstGeom prst="rect">
                        <a:avLst/>
                      </a:prstGeom>
                      <a:noFill/>
                    </wps:spPr>
                    <wps:txbx>
                      <w:txbxContent>
                        <w:tbl>
                          <w:tblPr>
                            <w:tblW w:w="0" w:type="auto"/>
                            <w:tblInd w:w="-120" w:type="dxa"/>
                            <w:tblLayout w:type="fixed"/>
                            <w:tblLook w:val="07E0"/>
                          </w:tblPr>
                          <w:tblGrid>
                            <w:gridCol w:w="1140"/>
                            <w:gridCol w:w="5918"/>
                          </w:tblGrid>
                          <w:tr w14:paraId="4A518767" w14:textId="77777777">
                            <w:tblPrEx>
                              <w:tblW w:w="0" w:type="auto"/>
                              <w:tblInd w:w="-120" w:type="dxa"/>
                              <w:tblLayout w:type="fixed"/>
                              <w:tblLook w:val="07E0"/>
                            </w:tblPrEx>
                            <w:trPr>
                              <w:trHeight w:val="240"/>
                            </w:trPr>
                            <w:tc>
                              <w:tcPr>
                                <w:tcW w:w="1140" w:type="dxa"/>
                              </w:tcPr>
                              <w:p w:rsidR="005A13F0" w14:textId="77777777">
                                <w:r>
                                  <w:t>Datum</w:t>
                                </w:r>
                              </w:p>
                            </w:tc>
                            <w:tc>
                              <w:tcPr>
                                <w:tcW w:w="5918" w:type="dxa"/>
                              </w:tcPr>
                              <w:p w:rsidR="005A13F0" w14:textId="3B702E35">
                                <w:r>
                                  <w:t>16 juni 2026</w:t>
                                </w:r>
                              </w:p>
                            </w:tc>
                          </w:tr>
                          <w:tr w14:paraId="48B23A7F" w14:textId="77777777">
                            <w:tblPrEx>
                              <w:tblW w:w="0" w:type="auto"/>
                              <w:tblInd w:w="-120" w:type="dxa"/>
                              <w:tblLayout w:type="fixed"/>
                              <w:tblLook w:val="07E0"/>
                            </w:tblPrEx>
                            <w:trPr>
                              <w:trHeight w:val="240"/>
                            </w:trPr>
                            <w:tc>
                              <w:tcPr>
                                <w:tcW w:w="1140" w:type="dxa"/>
                              </w:tcPr>
                              <w:p w:rsidR="005A13F0" w14:textId="77777777">
                                <w:r>
                                  <w:t>Betreft</w:t>
                                </w:r>
                              </w:p>
                            </w:tc>
                            <w:tc>
                              <w:tcPr>
                                <w:tcW w:w="5918" w:type="dxa"/>
                              </w:tcPr>
                              <w:p w:rsidR="005A13F0" w14:textId="77777777">
                                <w:r w:rsidRPr="00CC3848">
                                  <w:t>Beleidsvoorstellen uit de Nota van wijziging op de 1e suppletoire begroting 2026 van Begrotingshoofdstuk XXII met CW 3.1</w:t>
                                </w:r>
                                <w:r>
                                  <w:t xml:space="preserve"> kaders</w:t>
                                </w:r>
                              </w:p>
                              <w:p w:rsidR="00CC3848" w14:textId="77777777"/>
                            </w:tc>
                          </w:tr>
                        </w:tbl>
                        <w:p w:rsidR="00A8351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2" type="#_x0000_t202" style="width:377pt;height:63pt;margin-top:264pt;margin-left:79.5pt;mso-height-percent:0;mso-height-relative:margin;mso-position-horizontal-relative:page;mso-wrap-distance-bottom:0;mso-wrap-distance-left:0;mso-wrap-distance-right:0;mso-wrap-distance-top:0;mso-wrap-style:square;position:absolute;v-text-anchor:top;visibility:visible;z-index:251665408" filled="f" stroked="f">
              <v:textbox inset="0,0,0,0">
                <w:txbxContent>
                  <w:tbl>
                    <w:tblPr>
                      <w:tblW w:w="0" w:type="auto"/>
                      <w:tblInd w:w="-120" w:type="dxa"/>
                      <w:tblLayout w:type="fixed"/>
                      <w:tblLook w:val="07E0"/>
                    </w:tblPr>
                    <w:tblGrid>
                      <w:gridCol w:w="1140"/>
                      <w:gridCol w:w="5918"/>
                    </w:tblGrid>
                    <w:tr w14:paraId="4A518766" w14:textId="77777777">
                      <w:tblPrEx>
                        <w:tblW w:w="0" w:type="auto"/>
                        <w:tblInd w:w="-120" w:type="dxa"/>
                        <w:tblLayout w:type="fixed"/>
                        <w:tblLook w:val="07E0"/>
                      </w:tblPrEx>
                      <w:trPr>
                        <w:trHeight w:val="240"/>
                      </w:trPr>
                      <w:tc>
                        <w:tcPr>
                          <w:tcW w:w="1140" w:type="dxa"/>
                        </w:tcPr>
                        <w:p w:rsidR="005A13F0" w14:paraId="50A17628" w14:textId="77777777">
                          <w:r>
                            <w:t>Datum</w:t>
                          </w:r>
                        </w:p>
                      </w:tc>
                      <w:tc>
                        <w:tcPr>
                          <w:tcW w:w="5918" w:type="dxa"/>
                        </w:tcPr>
                        <w:p w:rsidR="005A13F0" w14:paraId="5D3EB924" w14:textId="3B702E35">
                          <w:r>
                            <w:t>16 juni 2026</w:t>
                          </w:r>
                        </w:p>
                      </w:tc>
                    </w:tr>
                    <w:tr w14:paraId="48B23A7E" w14:textId="77777777">
                      <w:tblPrEx>
                        <w:tblW w:w="0" w:type="auto"/>
                        <w:tblInd w:w="-120" w:type="dxa"/>
                        <w:tblLayout w:type="fixed"/>
                        <w:tblLook w:val="07E0"/>
                      </w:tblPrEx>
                      <w:trPr>
                        <w:trHeight w:val="240"/>
                      </w:trPr>
                      <w:tc>
                        <w:tcPr>
                          <w:tcW w:w="1140" w:type="dxa"/>
                        </w:tcPr>
                        <w:p w:rsidR="005A13F0" w14:paraId="34C42E6B" w14:textId="77777777">
                          <w:r>
                            <w:t>Betreft</w:t>
                          </w:r>
                        </w:p>
                      </w:tc>
                      <w:tc>
                        <w:tcPr>
                          <w:tcW w:w="5918" w:type="dxa"/>
                        </w:tcPr>
                        <w:p w:rsidR="005A13F0" w14:paraId="65359AF5" w14:textId="77777777">
                          <w:r w:rsidRPr="00CC3848">
                            <w:t>Beleidsvoorstellen uit de Nota van wijziging op de 1e suppletoire begroting 2026 van Begrotingshoofdstuk XXII met CW 3.1</w:t>
                          </w:r>
                          <w:r>
                            <w:t xml:space="preserve"> kaders</w:t>
                          </w:r>
                        </w:p>
                        <w:p w:rsidR="00CC3848" w14:paraId="54868BE9" w14:textId="77777777"/>
                      </w:tc>
                    </w:tr>
                  </w:tbl>
                  <w:p w:rsidR="00A83518" w14:paraId="787ACD3C"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13F0" w:rsidRPr="00B050FC" w14:textId="77777777">
                          <w:pPr>
                            <w:pStyle w:val="Referentiegegevens"/>
                            <w:rPr>
                              <w:lang w:val="de-DE"/>
                            </w:rPr>
                          </w:pPr>
                          <w:r w:rsidRPr="00B050FC">
                            <w:rPr>
                              <w:lang w:val="de-DE"/>
                            </w:rPr>
                            <w:t>Turfmarkt</w:t>
                          </w:r>
                          <w:r w:rsidRPr="00B050FC">
                            <w:rPr>
                              <w:lang w:val="de-DE"/>
                            </w:rPr>
                            <w:t xml:space="preserve"> 147</w:t>
                          </w:r>
                        </w:p>
                        <w:p w:rsidR="005A13F0" w:rsidRPr="00B050FC" w14:textId="77777777">
                          <w:pPr>
                            <w:pStyle w:val="Referentiegegevens"/>
                            <w:rPr>
                              <w:lang w:val="de-DE"/>
                            </w:rPr>
                          </w:pPr>
                          <w:r w:rsidRPr="00B050FC">
                            <w:rPr>
                              <w:lang w:val="de-DE"/>
                            </w:rPr>
                            <w:t>2511 DP Den Haag</w:t>
                          </w:r>
                        </w:p>
                        <w:p w:rsidR="005A13F0" w:rsidRPr="00B050FC" w14:textId="77777777">
                          <w:pPr>
                            <w:pStyle w:val="Referentiegegevens"/>
                            <w:rPr>
                              <w:lang w:val="de-DE"/>
                            </w:rPr>
                          </w:pPr>
                          <w:r w:rsidRPr="00B050FC">
                            <w:rPr>
                              <w:lang w:val="de-DE"/>
                            </w:rPr>
                            <w:t>Postbus 20011</w:t>
                          </w:r>
                        </w:p>
                        <w:p w:rsidR="005A13F0" w14:textId="77777777">
                          <w:pPr>
                            <w:pStyle w:val="Referentiegegevens"/>
                          </w:pPr>
                          <w:r>
                            <w:t>2500 EA  Den Haag</w:t>
                          </w:r>
                        </w:p>
                        <w:p w:rsidR="005A13F0" w14:textId="77777777">
                          <w:pPr>
                            <w:pStyle w:val="WitregelW2"/>
                          </w:pPr>
                        </w:p>
                        <w:p w:rsidR="005A13F0" w14:textId="77777777">
                          <w:pPr>
                            <w:pStyle w:val="Referentiegegevensbold"/>
                          </w:pPr>
                          <w:r>
                            <w:t>Onze referentie</w:t>
                          </w:r>
                        </w:p>
                        <w:p w:rsidR="008F7590" w14:textId="77777777">
                          <w:pPr>
                            <w:pStyle w:val="Referentiegegevens"/>
                          </w:pPr>
                          <w:r>
                            <w:fldChar w:fldCharType="begin"/>
                          </w:r>
                          <w:r>
                            <w:instrText xml:space="preserve"> DOCPROPERTY  "Kenmerk"  \* MERGEFORMAT </w:instrText>
                          </w:r>
                          <w:r>
                            <w:fldChar w:fldCharType="separate"/>
                          </w:r>
                          <w:r w:rsidR="00C77EB1">
                            <w:t>2026-0000274605</w:t>
                          </w:r>
                          <w:r w:rsidR="00C77EB1">
                            <w:fldChar w:fldCharType="end"/>
                          </w:r>
                        </w:p>
                        <w:p w:rsidR="005A13F0" w14:textId="77777777">
                          <w:pPr>
                            <w:pStyle w:val="WitregelW1"/>
                          </w:pPr>
                        </w:p>
                        <w:p w:rsidR="005A13F0" w14:textId="77777777">
                          <w:pPr>
                            <w:pStyle w:val="Referentiegegevensbold"/>
                          </w:pPr>
                          <w:r>
                            <w:t>Bijlage(n)</w:t>
                          </w:r>
                        </w:p>
                        <w:p w:rsidR="005A13F0" w14:textId="77777777">
                          <w:pPr>
                            <w:pStyle w:val="Referentiegegevens"/>
                          </w:pPr>
                          <w:r>
                            <w:t>0</w:t>
                          </w:r>
                        </w:p>
                        <w:p w:rsidR="005A13F0" w14:textId="77777777">
                          <w:pPr>
                            <w:pStyle w:val="WitregelW2"/>
                          </w:pPr>
                        </w:p>
                        <w:p w:rsidR="005A13F0" w14:textId="77777777"/>
                      </w:txbxContent>
                    </wps:txbx>
                    <wps:bodyPr vert="horz" wrap="square" lIns="0" tIns="0" rIns="0" bIns="0" anchor="t" anchorCtr="0"/>
                  </wps:wsp>
                </a:graphicData>
              </a:graphic>
            </wp:anchor>
          </w:drawing>
        </mc:Choice>
        <mc:Fallback>
          <w:pict>
            <v:shape id="46feec20-aa3c-11ea-a756-beb5f67e67be" o:spid="_x0000_s2053"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7456" filled="f" stroked="f">
              <v:textbox inset="0,0,0,0">
                <w:txbxContent>
                  <w:p w:rsidR="005A13F0" w:rsidRPr="00B050FC" w14:paraId="69CFD4C3" w14:textId="77777777">
                    <w:pPr>
                      <w:pStyle w:val="Referentiegegevens"/>
                      <w:rPr>
                        <w:lang w:val="de-DE"/>
                      </w:rPr>
                    </w:pPr>
                    <w:r w:rsidRPr="00B050FC">
                      <w:rPr>
                        <w:lang w:val="de-DE"/>
                      </w:rPr>
                      <w:t>Turfmarkt</w:t>
                    </w:r>
                    <w:r w:rsidRPr="00B050FC">
                      <w:rPr>
                        <w:lang w:val="de-DE"/>
                      </w:rPr>
                      <w:t xml:space="preserve"> 147</w:t>
                    </w:r>
                  </w:p>
                  <w:p w:rsidR="005A13F0" w:rsidRPr="00B050FC" w14:paraId="65223685" w14:textId="77777777">
                    <w:pPr>
                      <w:pStyle w:val="Referentiegegevens"/>
                      <w:rPr>
                        <w:lang w:val="de-DE"/>
                      </w:rPr>
                    </w:pPr>
                    <w:r w:rsidRPr="00B050FC">
                      <w:rPr>
                        <w:lang w:val="de-DE"/>
                      </w:rPr>
                      <w:t>2511 DP Den Haag</w:t>
                    </w:r>
                  </w:p>
                  <w:p w:rsidR="005A13F0" w:rsidRPr="00B050FC" w14:paraId="6C928BEB" w14:textId="77777777">
                    <w:pPr>
                      <w:pStyle w:val="Referentiegegevens"/>
                      <w:rPr>
                        <w:lang w:val="de-DE"/>
                      </w:rPr>
                    </w:pPr>
                    <w:r w:rsidRPr="00B050FC">
                      <w:rPr>
                        <w:lang w:val="de-DE"/>
                      </w:rPr>
                      <w:t>Postbus 20011</w:t>
                    </w:r>
                  </w:p>
                  <w:p w:rsidR="005A13F0" w14:paraId="4D0E9D06" w14:textId="77777777">
                    <w:pPr>
                      <w:pStyle w:val="Referentiegegevens"/>
                    </w:pPr>
                    <w:r>
                      <w:t>2500 EA  Den Haag</w:t>
                    </w:r>
                  </w:p>
                  <w:p w:rsidR="005A13F0" w14:paraId="44AAC353" w14:textId="77777777">
                    <w:pPr>
                      <w:pStyle w:val="WitregelW2"/>
                    </w:pPr>
                  </w:p>
                  <w:p w:rsidR="005A13F0" w14:paraId="66142051" w14:textId="77777777">
                    <w:pPr>
                      <w:pStyle w:val="Referentiegegevensbold"/>
                    </w:pPr>
                    <w:r>
                      <w:t>Onze referentie</w:t>
                    </w:r>
                  </w:p>
                  <w:p w:rsidR="008F7590" w14:paraId="2D28A31C" w14:textId="77777777">
                    <w:pPr>
                      <w:pStyle w:val="Referentiegegevens"/>
                    </w:pPr>
                    <w:r>
                      <w:fldChar w:fldCharType="begin"/>
                    </w:r>
                    <w:r>
                      <w:instrText xml:space="preserve"> DOCPROPERTY  "Kenmerk"  \* MERGEFORMAT </w:instrText>
                    </w:r>
                    <w:r>
                      <w:fldChar w:fldCharType="separate"/>
                    </w:r>
                    <w:r w:rsidR="00C77EB1">
                      <w:t>2026-0000274605</w:t>
                    </w:r>
                    <w:r w:rsidR="00C77EB1">
                      <w:fldChar w:fldCharType="end"/>
                    </w:r>
                  </w:p>
                  <w:p w:rsidR="005A13F0" w14:paraId="0B06414B" w14:textId="77777777">
                    <w:pPr>
                      <w:pStyle w:val="WitregelW1"/>
                    </w:pPr>
                  </w:p>
                  <w:p w:rsidR="005A13F0" w14:paraId="0A037EBD" w14:textId="77777777">
                    <w:pPr>
                      <w:pStyle w:val="Referentiegegevensbold"/>
                    </w:pPr>
                    <w:r>
                      <w:t>Bijlage(n)</w:t>
                    </w:r>
                  </w:p>
                  <w:p w:rsidR="005A13F0" w14:paraId="4321DDBF" w14:textId="77777777">
                    <w:pPr>
                      <w:pStyle w:val="Referentiegegevens"/>
                    </w:pPr>
                    <w:r>
                      <w:t>0</w:t>
                    </w:r>
                  </w:p>
                  <w:p w:rsidR="005A13F0" w14:paraId="0544AE00" w14:textId="77777777">
                    <w:pPr>
                      <w:pStyle w:val="WitregelW2"/>
                    </w:pPr>
                  </w:p>
                  <w:p w:rsidR="005A13F0" w14:paraId="36D3DFA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83518" w14:textId="77777777"/>
                      </w:txbxContent>
                    </wps:txbx>
                    <wps:bodyPr vert="horz" wrap="square" lIns="0" tIns="0" rIns="0" bIns="0" anchor="t" anchorCtr="0"/>
                  </wps:wsp>
                </a:graphicData>
              </a:graphic>
            </wp:anchor>
          </w:drawing>
        </mc:Choice>
        <mc:Fallback>
          <w:pict>
            <v:shape id="46feec6f-aa3c-11ea-a756-beb5f67e67be" o:spid="_x0000_s2054"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9504" filled="f" stroked="f">
              <v:textbox inset="0,0,0,0">
                <w:txbxContent>
                  <w:p w:rsidR="00A83518" w14:paraId="7B93BFF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725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5"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1552" filled="f" stroked="f">
              <v:textbox inset="0,0,0,0">
                <w:txbxContent>
                  <w:p w:rsidR="00A72563" w14:paraId="1E3D8BC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A13F0" w14:textId="77777777">
                          <w:pPr>
                            <w:spacing w:line="240" w:lineRule="auto"/>
                          </w:pPr>
                          <w:r>
                            <w:rPr>
                              <w:noProof/>
                            </w:rPr>
                            <w:drawing>
                              <wp:inline distT="0" distB="0" distL="0" distR="0">
                                <wp:extent cx="467995" cy="1583865"/>
                                <wp:effectExtent l="0" t="0" r="0" b="0"/>
                                <wp:docPr id="63613246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3613246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6"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3600" filled="f" stroked="f">
              <v:textbox inset="0,0,0,0">
                <w:txbxContent>
                  <w:p w:rsidR="005A13F0" w14:paraId="31DD8B1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A13F0" w14:textId="77777777">
                          <w:pPr>
                            <w:spacing w:line="240" w:lineRule="auto"/>
                          </w:pPr>
                          <w:r>
                            <w:rPr>
                              <w:noProof/>
                            </w:rPr>
                            <w:drawing>
                              <wp:inline distT="0" distB="0" distL="0" distR="0">
                                <wp:extent cx="2339975" cy="1582834"/>
                                <wp:effectExtent l="0" t="0" r="0" b="0"/>
                                <wp:docPr id="188224579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8224579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7"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5648" filled="f" stroked="f">
              <v:textbox inset="0,0,0,0">
                <w:txbxContent>
                  <w:p w:rsidR="005A13F0" w14:paraId="4AE9A00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A13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8" type="#_x0000_t202" style="width:377pt;height:12.75pt;margin-top:135.45pt;margin-left:79.6pt;mso-position-horizontal-relative:page;mso-wrap-distance-bottom:0;mso-wrap-distance-left:0;mso-wrap-distance-right:0;mso-wrap-distance-top:0;mso-wrap-style:square;position:absolute;v-text-anchor:top;visibility:visible;z-index:251677696" filled="f" stroked="f">
              <v:textbox inset="0,0,0,0">
                <w:txbxContent>
                  <w:p w:rsidR="005A13F0" w14:paraId="20F0ACF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80B67B"/>
    <w:multiLevelType w:val="multilevel"/>
    <w:tmpl w:val="8686D5C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DCA3692"/>
    <w:multiLevelType w:val="multilevel"/>
    <w:tmpl w:val="56F6E5C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585D69"/>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3">
    <w:nsid w:val="00F13ABE"/>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4">
    <w:nsid w:val="04BD6763"/>
    <w:multiLevelType w:val="hybridMultilevel"/>
    <w:tmpl w:val="3B0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222311"/>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6">
    <w:nsid w:val="06FE00C8"/>
    <w:multiLevelType w:val="hybridMultilevel"/>
    <w:tmpl w:val="CBC847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0415F9"/>
    <w:multiLevelType w:val="multilevel"/>
    <w:tmpl w:val="5647F7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15C9637D"/>
    <w:multiLevelType w:val="hybridMultilevel"/>
    <w:tmpl w:val="C7964D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4D0558E"/>
    <w:multiLevelType w:val="hybridMultilevel"/>
    <w:tmpl w:val="53426C3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67E3FBB"/>
    <w:multiLevelType w:val="hybridMultilevel"/>
    <w:tmpl w:val="5E58D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7F75BD"/>
    <w:multiLevelType w:val="hybridMultilevel"/>
    <w:tmpl w:val="48A6705E"/>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A657B97"/>
    <w:multiLevelType w:val="hybridMultilevel"/>
    <w:tmpl w:val="3070AA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9316B8"/>
    <w:multiLevelType w:val="hybridMultilevel"/>
    <w:tmpl w:val="43BAB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12D1A86"/>
    <w:multiLevelType w:val="hybridMultilevel"/>
    <w:tmpl w:val="9C4EF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31415D"/>
    <w:multiLevelType w:val="hybridMultilevel"/>
    <w:tmpl w:val="AD284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587A73"/>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7">
    <w:nsid w:val="4F75147D"/>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8">
    <w:nsid w:val="5143E3C3"/>
    <w:multiLevelType w:val="multilevel"/>
    <w:tmpl w:val="F86528A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9">
    <w:nsid w:val="52960B46"/>
    <w:multiLevelType w:val="hybridMultilevel"/>
    <w:tmpl w:val="3B4E6D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572E4388"/>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21">
    <w:nsid w:val="614D12E4"/>
    <w:multiLevelType w:val="hybridMultilevel"/>
    <w:tmpl w:val="BC48B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D7F7B91"/>
    <w:multiLevelType w:val="hybridMultilevel"/>
    <w:tmpl w:val="F18889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F1A08C6"/>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24">
    <w:nsid w:val="706D615D"/>
    <w:multiLevelType w:val="hybridMultilevel"/>
    <w:tmpl w:val="2626FAF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4DE347E"/>
    <w:multiLevelType w:val="hybridMultilevel"/>
    <w:tmpl w:val="EDDCD332"/>
    <w:lvl w:ilvl="0">
      <w:start w:val="1"/>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725415">
    <w:abstractNumId w:val="18"/>
  </w:num>
  <w:num w:numId="2" w16cid:durableId="1404377501">
    <w:abstractNumId w:val="7"/>
  </w:num>
  <w:num w:numId="3" w16cid:durableId="1424304449">
    <w:abstractNumId w:val="1"/>
  </w:num>
  <w:num w:numId="4" w16cid:durableId="1671905519">
    <w:abstractNumId w:val="0"/>
  </w:num>
  <w:num w:numId="5" w16cid:durableId="1893302020">
    <w:abstractNumId w:val="16"/>
  </w:num>
  <w:num w:numId="6" w16cid:durableId="1340162921">
    <w:abstractNumId w:val="2"/>
  </w:num>
  <w:num w:numId="7" w16cid:durableId="792596238">
    <w:abstractNumId w:val="11"/>
  </w:num>
  <w:num w:numId="8" w16cid:durableId="1493789180">
    <w:abstractNumId w:val="4"/>
  </w:num>
  <w:num w:numId="9" w16cid:durableId="414744318">
    <w:abstractNumId w:val="8"/>
  </w:num>
  <w:num w:numId="10" w16cid:durableId="1672440581">
    <w:abstractNumId w:val="6"/>
  </w:num>
  <w:num w:numId="11" w16cid:durableId="1931889607">
    <w:abstractNumId w:val="15"/>
  </w:num>
  <w:num w:numId="12" w16cid:durableId="1007096457">
    <w:abstractNumId w:val="12"/>
  </w:num>
  <w:num w:numId="13" w16cid:durableId="602802734">
    <w:abstractNumId w:val="14"/>
  </w:num>
  <w:num w:numId="14" w16cid:durableId="1573855629">
    <w:abstractNumId w:val="21"/>
  </w:num>
  <w:num w:numId="15" w16cid:durableId="2040005806">
    <w:abstractNumId w:val="20"/>
  </w:num>
  <w:num w:numId="16" w16cid:durableId="2006863002">
    <w:abstractNumId w:val="5"/>
  </w:num>
  <w:num w:numId="17" w16cid:durableId="993416647">
    <w:abstractNumId w:val="17"/>
  </w:num>
  <w:num w:numId="18" w16cid:durableId="1100761746">
    <w:abstractNumId w:val="23"/>
  </w:num>
  <w:num w:numId="19" w16cid:durableId="1495606651">
    <w:abstractNumId w:val="3"/>
  </w:num>
  <w:num w:numId="20" w16cid:durableId="645283326">
    <w:abstractNumId w:val="13"/>
  </w:num>
  <w:num w:numId="21" w16cid:durableId="411202891">
    <w:abstractNumId w:val="22"/>
  </w:num>
  <w:num w:numId="22" w16cid:durableId="1483354827">
    <w:abstractNumId w:val="19"/>
  </w:num>
  <w:num w:numId="23" w16cid:durableId="1873573019">
    <w:abstractNumId w:val="10"/>
  </w:num>
  <w:num w:numId="24" w16cid:durableId="605499379">
    <w:abstractNumId w:val="24"/>
  </w:num>
  <w:num w:numId="25" w16cid:durableId="553810167">
    <w:abstractNumId w:val="9"/>
  </w:num>
  <w:num w:numId="26" w16cid:durableId="7608356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FC"/>
    <w:rsid w:val="00021725"/>
    <w:rsid w:val="000220AA"/>
    <w:rsid w:val="00024245"/>
    <w:rsid w:val="00046731"/>
    <w:rsid w:val="000578AC"/>
    <w:rsid w:val="000608D2"/>
    <w:rsid w:val="0007024F"/>
    <w:rsid w:val="000939D5"/>
    <w:rsid w:val="000A54EE"/>
    <w:rsid w:val="000B0D11"/>
    <w:rsid w:val="000B2DA8"/>
    <w:rsid w:val="000E3902"/>
    <w:rsid w:val="000F18FC"/>
    <w:rsid w:val="00114540"/>
    <w:rsid w:val="00123667"/>
    <w:rsid w:val="00124AA4"/>
    <w:rsid w:val="0013065E"/>
    <w:rsid w:val="00137627"/>
    <w:rsid w:val="00137FAF"/>
    <w:rsid w:val="00140019"/>
    <w:rsid w:val="00143338"/>
    <w:rsid w:val="001602C3"/>
    <w:rsid w:val="00172A7D"/>
    <w:rsid w:val="00175F63"/>
    <w:rsid w:val="0018599B"/>
    <w:rsid w:val="00191773"/>
    <w:rsid w:val="001B0D44"/>
    <w:rsid w:val="001F3A42"/>
    <w:rsid w:val="002109B1"/>
    <w:rsid w:val="00212F2F"/>
    <w:rsid w:val="0021386B"/>
    <w:rsid w:val="00225FE9"/>
    <w:rsid w:val="00230D6F"/>
    <w:rsid w:val="0024020A"/>
    <w:rsid w:val="00257CCE"/>
    <w:rsid w:val="002649FD"/>
    <w:rsid w:val="00273908"/>
    <w:rsid w:val="00287B08"/>
    <w:rsid w:val="00287E34"/>
    <w:rsid w:val="002A3923"/>
    <w:rsid w:val="002A5762"/>
    <w:rsid w:val="002B0BE1"/>
    <w:rsid w:val="002B6208"/>
    <w:rsid w:val="002B772F"/>
    <w:rsid w:val="002C45C5"/>
    <w:rsid w:val="002D429D"/>
    <w:rsid w:val="002F0671"/>
    <w:rsid w:val="0030551E"/>
    <w:rsid w:val="00307C63"/>
    <w:rsid w:val="00310227"/>
    <w:rsid w:val="0031290C"/>
    <w:rsid w:val="003172D1"/>
    <w:rsid w:val="00324B2F"/>
    <w:rsid w:val="003279ED"/>
    <w:rsid w:val="00333373"/>
    <w:rsid w:val="003531CF"/>
    <w:rsid w:val="003573E7"/>
    <w:rsid w:val="003660FC"/>
    <w:rsid w:val="00373607"/>
    <w:rsid w:val="003914BE"/>
    <w:rsid w:val="0039492F"/>
    <w:rsid w:val="003A2110"/>
    <w:rsid w:val="003A2ED3"/>
    <w:rsid w:val="003A5C6F"/>
    <w:rsid w:val="003E1BFF"/>
    <w:rsid w:val="003F1888"/>
    <w:rsid w:val="003F4591"/>
    <w:rsid w:val="003F6EF4"/>
    <w:rsid w:val="00400E08"/>
    <w:rsid w:val="00413DDD"/>
    <w:rsid w:val="00423959"/>
    <w:rsid w:val="00423D2E"/>
    <w:rsid w:val="004306D0"/>
    <w:rsid w:val="0043544F"/>
    <w:rsid w:val="00443D3E"/>
    <w:rsid w:val="004508E9"/>
    <w:rsid w:val="0047546F"/>
    <w:rsid w:val="004828ED"/>
    <w:rsid w:val="004861EE"/>
    <w:rsid w:val="004927EA"/>
    <w:rsid w:val="004D29CC"/>
    <w:rsid w:val="004D499D"/>
    <w:rsid w:val="004E0EE7"/>
    <w:rsid w:val="004F33AD"/>
    <w:rsid w:val="00504C0C"/>
    <w:rsid w:val="005234B3"/>
    <w:rsid w:val="00531F44"/>
    <w:rsid w:val="00534769"/>
    <w:rsid w:val="00534F71"/>
    <w:rsid w:val="00562C04"/>
    <w:rsid w:val="005704EA"/>
    <w:rsid w:val="005717F6"/>
    <w:rsid w:val="00577A61"/>
    <w:rsid w:val="005A13F0"/>
    <w:rsid w:val="005C116A"/>
    <w:rsid w:val="005D4091"/>
    <w:rsid w:val="005D6AEE"/>
    <w:rsid w:val="005F4F3F"/>
    <w:rsid w:val="00603B72"/>
    <w:rsid w:val="00614ED0"/>
    <w:rsid w:val="006169E1"/>
    <w:rsid w:val="00616B77"/>
    <w:rsid w:val="0062017C"/>
    <w:rsid w:val="00621023"/>
    <w:rsid w:val="00622882"/>
    <w:rsid w:val="00643AB6"/>
    <w:rsid w:val="00656405"/>
    <w:rsid w:val="006615F2"/>
    <w:rsid w:val="0067705C"/>
    <w:rsid w:val="006870CA"/>
    <w:rsid w:val="006872BE"/>
    <w:rsid w:val="00693523"/>
    <w:rsid w:val="006B586A"/>
    <w:rsid w:val="006B6846"/>
    <w:rsid w:val="006C36C9"/>
    <w:rsid w:val="006C43FB"/>
    <w:rsid w:val="006C71F4"/>
    <w:rsid w:val="006D1F42"/>
    <w:rsid w:val="006E520F"/>
    <w:rsid w:val="007110C4"/>
    <w:rsid w:val="007160A5"/>
    <w:rsid w:val="007218EC"/>
    <w:rsid w:val="007656BF"/>
    <w:rsid w:val="00777799"/>
    <w:rsid w:val="0078019B"/>
    <w:rsid w:val="007B43A8"/>
    <w:rsid w:val="007B5775"/>
    <w:rsid w:val="007B676A"/>
    <w:rsid w:val="007D02B0"/>
    <w:rsid w:val="007F296B"/>
    <w:rsid w:val="008114BA"/>
    <w:rsid w:val="008141D4"/>
    <w:rsid w:val="008159EE"/>
    <w:rsid w:val="008164D9"/>
    <w:rsid w:val="00823418"/>
    <w:rsid w:val="0082485C"/>
    <w:rsid w:val="00840E2F"/>
    <w:rsid w:val="0084186C"/>
    <w:rsid w:val="00842D62"/>
    <w:rsid w:val="00843039"/>
    <w:rsid w:val="00843877"/>
    <w:rsid w:val="00844BFF"/>
    <w:rsid w:val="00853FF2"/>
    <w:rsid w:val="00866680"/>
    <w:rsid w:val="00866DF2"/>
    <w:rsid w:val="00873E5A"/>
    <w:rsid w:val="00875C3D"/>
    <w:rsid w:val="008775A1"/>
    <w:rsid w:val="00894DD0"/>
    <w:rsid w:val="008B158D"/>
    <w:rsid w:val="008D01A2"/>
    <w:rsid w:val="008D23C6"/>
    <w:rsid w:val="008E424B"/>
    <w:rsid w:val="008F7590"/>
    <w:rsid w:val="0091544E"/>
    <w:rsid w:val="009657F5"/>
    <w:rsid w:val="00967368"/>
    <w:rsid w:val="00980390"/>
    <w:rsid w:val="009A7A46"/>
    <w:rsid w:val="009C66D0"/>
    <w:rsid w:val="009F1A81"/>
    <w:rsid w:val="009F784C"/>
    <w:rsid w:val="00A02E3C"/>
    <w:rsid w:val="00A070DC"/>
    <w:rsid w:val="00A10615"/>
    <w:rsid w:val="00A26204"/>
    <w:rsid w:val="00A33266"/>
    <w:rsid w:val="00A353D1"/>
    <w:rsid w:val="00A44465"/>
    <w:rsid w:val="00A47753"/>
    <w:rsid w:val="00A57AFC"/>
    <w:rsid w:val="00A61763"/>
    <w:rsid w:val="00A702D8"/>
    <w:rsid w:val="00A72563"/>
    <w:rsid w:val="00A80842"/>
    <w:rsid w:val="00A82C9E"/>
    <w:rsid w:val="00A83518"/>
    <w:rsid w:val="00AA75F3"/>
    <w:rsid w:val="00AC2A9D"/>
    <w:rsid w:val="00AC401D"/>
    <w:rsid w:val="00AD2DDC"/>
    <w:rsid w:val="00AE3DE2"/>
    <w:rsid w:val="00AE3F18"/>
    <w:rsid w:val="00B050FC"/>
    <w:rsid w:val="00B31471"/>
    <w:rsid w:val="00B337FA"/>
    <w:rsid w:val="00B34E12"/>
    <w:rsid w:val="00B41847"/>
    <w:rsid w:val="00B53DC6"/>
    <w:rsid w:val="00B544CD"/>
    <w:rsid w:val="00B70B06"/>
    <w:rsid w:val="00B74DB3"/>
    <w:rsid w:val="00B839C3"/>
    <w:rsid w:val="00B93127"/>
    <w:rsid w:val="00BA5C9D"/>
    <w:rsid w:val="00BB1B90"/>
    <w:rsid w:val="00BB4EF5"/>
    <w:rsid w:val="00BC4B23"/>
    <w:rsid w:val="00BF17D8"/>
    <w:rsid w:val="00C00266"/>
    <w:rsid w:val="00C0149A"/>
    <w:rsid w:val="00C030DB"/>
    <w:rsid w:val="00C16B74"/>
    <w:rsid w:val="00C22F70"/>
    <w:rsid w:val="00C231CC"/>
    <w:rsid w:val="00C23D24"/>
    <w:rsid w:val="00C32193"/>
    <w:rsid w:val="00C41043"/>
    <w:rsid w:val="00C41DBA"/>
    <w:rsid w:val="00C41F1F"/>
    <w:rsid w:val="00C517B1"/>
    <w:rsid w:val="00C56164"/>
    <w:rsid w:val="00C63605"/>
    <w:rsid w:val="00C63A1E"/>
    <w:rsid w:val="00C66F7D"/>
    <w:rsid w:val="00C77EB1"/>
    <w:rsid w:val="00C84847"/>
    <w:rsid w:val="00CB2031"/>
    <w:rsid w:val="00CC3848"/>
    <w:rsid w:val="00CD036C"/>
    <w:rsid w:val="00CD4462"/>
    <w:rsid w:val="00CD6FC1"/>
    <w:rsid w:val="00CE76E3"/>
    <w:rsid w:val="00D11482"/>
    <w:rsid w:val="00D16C61"/>
    <w:rsid w:val="00D61449"/>
    <w:rsid w:val="00D74876"/>
    <w:rsid w:val="00D84154"/>
    <w:rsid w:val="00D9565F"/>
    <w:rsid w:val="00DA2036"/>
    <w:rsid w:val="00DA5F73"/>
    <w:rsid w:val="00DC4F99"/>
    <w:rsid w:val="00DD6A14"/>
    <w:rsid w:val="00DF0C1E"/>
    <w:rsid w:val="00DF1787"/>
    <w:rsid w:val="00DF68B5"/>
    <w:rsid w:val="00E0083B"/>
    <w:rsid w:val="00E04118"/>
    <w:rsid w:val="00E0489E"/>
    <w:rsid w:val="00E11B9E"/>
    <w:rsid w:val="00E1569C"/>
    <w:rsid w:val="00E214B7"/>
    <w:rsid w:val="00E239EA"/>
    <w:rsid w:val="00E5477C"/>
    <w:rsid w:val="00E553EE"/>
    <w:rsid w:val="00E55479"/>
    <w:rsid w:val="00E55830"/>
    <w:rsid w:val="00E57151"/>
    <w:rsid w:val="00E6112A"/>
    <w:rsid w:val="00E70035"/>
    <w:rsid w:val="00E76555"/>
    <w:rsid w:val="00E9728F"/>
    <w:rsid w:val="00E97E1E"/>
    <w:rsid w:val="00EA4DDB"/>
    <w:rsid w:val="00EB3D95"/>
    <w:rsid w:val="00EB758C"/>
    <w:rsid w:val="00EE357C"/>
    <w:rsid w:val="00EF01F9"/>
    <w:rsid w:val="00EF0CE1"/>
    <w:rsid w:val="00EF46D0"/>
    <w:rsid w:val="00F20FB9"/>
    <w:rsid w:val="00F30E9A"/>
    <w:rsid w:val="00F370BC"/>
    <w:rsid w:val="00F45D7E"/>
    <w:rsid w:val="00F50CFC"/>
    <w:rsid w:val="00F55330"/>
    <w:rsid w:val="00F6012C"/>
    <w:rsid w:val="00F76826"/>
    <w:rsid w:val="00F912BC"/>
    <w:rsid w:val="00F94C60"/>
    <w:rsid w:val="00FA189A"/>
    <w:rsid w:val="00FA796E"/>
    <w:rsid w:val="00FB69A0"/>
    <w:rsid w:val="00FC66B6"/>
    <w:rsid w:val="00FE0B71"/>
    <w:rsid w:val="00FE277D"/>
    <w:rsid w:val="00FF4C3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EA18DD"/>
  <w15:docId w15:val="{61FCFFEC-9204-408B-ABD3-3B19B9AC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B7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050FC"/>
    <w:pPr>
      <w:tabs>
        <w:tab w:val="center" w:pos="4536"/>
        <w:tab w:val="right" w:pos="9072"/>
      </w:tabs>
      <w:spacing w:line="240" w:lineRule="auto"/>
    </w:pPr>
  </w:style>
  <w:style w:type="character" w:customStyle="1" w:styleId="KoptekstChar">
    <w:name w:val="Koptekst Char"/>
    <w:basedOn w:val="DefaultParagraphFont"/>
    <w:link w:val="Header"/>
    <w:uiPriority w:val="99"/>
    <w:rsid w:val="00B050FC"/>
    <w:rPr>
      <w:rFonts w:ascii="Verdana" w:hAnsi="Verdana"/>
      <w:color w:val="000000"/>
      <w:sz w:val="18"/>
      <w:szCs w:val="18"/>
    </w:rPr>
  </w:style>
  <w:style w:type="paragraph" w:styleId="Footer">
    <w:name w:val="footer"/>
    <w:basedOn w:val="Normal"/>
    <w:link w:val="VoettekstChar"/>
    <w:uiPriority w:val="99"/>
    <w:unhideWhenUsed/>
    <w:rsid w:val="00B050FC"/>
    <w:pPr>
      <w:tabs>
        <w:tab w:val="center" w:pos="4536"/>
        <w:tab w:val="right" w:pos="9072"/>
      </w:tabs>
      <w:spacing w:line="240" w:lineRule="auto"/>
    </w:pPr>
  </w:style>
  <w:style w:type="character" w:customStyle="1" w:styleId="VoettekstChar">
    <w:name w:val="Voettekst Char"/>
    <w:basedOn w:val="DefaultParagraphFont"/>
    <w:link w:val="Footer"/>
    <w:uiPriority w:val="99"/>
    <w:rsid w:val="00B050FC"/>
    <w:rPr>
      <w:rFonts w:ascii="Verdana" w:hAnsi="Verdana"/>
      <w:color w:val="000000"/>
      <w:sz w:val="18"/>
      <w:szCs w:val="18"/>
    </w:rPr>
  </w:style>
  <w:style w:type="paragraph" w:styleId="ListParagraph">
    <w:name w:val="List Paragraph"/>
    <w:basedOn w:val="Normal"/>
    <w:uiPriority w:val="34"/>
    <w:rsid w:val="00C517B1"/>
    <w:pPr>
      <w:ind w:left="720"/>
      <w:contextualSpacing/>
    </w:pPr>
  </w:style>
  <w:style w:type="paragraph" w:styleId="FootnoteTex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Normal"/>
    <w:link w:val="VoetnoottekstChar"/>
    <w:uiPriority w:val="99"/>
    <w:unhideWhenUsed/>
    <w:rsid w:val="00F7682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DefaultParagraphFont"/>
    <w:link w:val="FootnoteText"/>
    <w:uiPriority w:val="99"/>
    <w:rsid w:val="00F76826"/>
    <w:rPr>
      <w:rFonts w:asciiTheme="minorHAnsi" w:eastAsiaTheme="minorHAnsi" w:hAnsiTheme="minorHAnsi" w:cstheme="minorBidi"/>
      <w:lang w:eastAsia="en-US"/>
    </w:rPr>
  </w:style>
  <w:style w:type="character" w:styleId="FootnoteReference">
    <w:name w:val="footnote reference"/>
    <w:aliases w:val="Footnote reference Rebel"/>
    <w:basedOn w:val="DefaultParagraphFont"/>
    <w:uiPriority w:val="99"/>
    <w:unhideWhenUsed/>
    <w:rsid w:val="00F76826"/>
    <w:rPr>
      <w:vertAlign w:val="superscript"/>
    </w:rPr>
  </w:style>
  <w:style w:type="paragraph" w:customStyle="1" w:styleId="paragraph">
    <w:name w:val="paragraph"/>
    <w:basedOn w:val="Normal"/>
    <w:rsid w:val="00F7682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eop">
    <w:name w:val="eop"/>
    <w:basedOn w:val="DefaultParagraphFont"/>
    <w:rsid w:val="00F76826"/>
  </w:style>
  <w:style w:type="paragraph" w:styleId="NoSpacing">
    <w:name w:val="No Spacing"/>
    <w:uiPriority w:val="1"/>
    <w:qFormat/>
    <w:rsid w:val="00F76826"/>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D23C6"/>
    <w:rPr>
      <w:sz w:val="16"/>
      <w:szCs w:val="16"/>
    </w:rPr>
  </w:style>
  <w:style w:type="paragraph" w:styleId="CommentText">
    <w:name w:val="annotation text"/>
    <w:basedOn w:val="Normal"/>
    <w:link w:val="TekstopmerkingChar"/>
    <w:uiPriority w:val="99"/>
    <w:unhideWhenUsed/>
    <w:rsid w:val="008D23C6"/>
    <w:pPr>
      <w:spacing w:line="240" w:lineRule="auto"/>
    </w:pPr>
    <w:rPr>
      <w:sz w:val="20"/>
      <w:szCs w:val="20"/>
    </w:rPr>
  </w:style>
  <w:style w:type="character" w:customStyle="1" w:styleId="TekstopmerkingChar">
    <w:name w:val="Tekst opmerking Char"/>
    <w:basedOn w:val="DefaultParagraphFont"/>
    <w:link w:val="CommentText"/>
    <w:uiPriority w:val="99"/>
    <w:rsid w:val="008D23C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D23C6"/>
    <w:rPr>
      <w:b/>
      <w:bCs/>
    </w:rPr>
  </w:style>
  <w:style w:type="character" w:customStyle="1" w:styleId="OnderwerpvanopmerkingChar">
    <w:name w:val="Onderwerp van opmerking Char"/>
    <w:basedOn w:val="TekstopmerkingChar"/>
    <w:link w:val="CommentSubject"/>
    <w:uiPriority w:val="99"/>
    <w:semiHidden/>
    <w:rsid w:val="008D23C6"/>
    <w:rPr>
      <w:rFonts w:ascii="Verdana" w:hAnsi="Verdana"/>
      <w:b/>
      <w:bCs/>
      <w:color w:val="000000"/>
    </w:rPr>
  </w:style>
  <w:style w:type="paragraph" w:styleId="Revision">
    <w:name w:val="Revision"/>
    <w:hidden/>
    <w:uiPriority w:val="99"/>
    <w:semiHidden/>
    <w:rsid w:val="00866DF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A3923"/>
    <w:rPr>
      <w:color w:val="605E5C"/>
      <w:shd w:val="clear" w:color="auto" w:fill="E1DFDD"/>
    </w:rPr>
  </w:style>
  <w:style w:type="character" w:styleId="FollowedHyperlink">
    <w:name w:val="FollowedHyperlink"/>
    <w:basedOn w:val="DefaultParagraphFont"/>
    <w:uiPriority w:val="99"/>
    <w:semiHidden/>
    <w:unhideWhenUsed/>
    <w:rsid w:val="003F6EF4"/>
    <w:rPr>
      <w:color w:val="96607D" w:themeColor="followedHyperlink"/>
      <w:u w:val="single"/>
    </w:rPr>
  </w:style>
  <w:style w:type="paragraph" w:customStyle="1" w:styleId="Default">
    <w:name w:val="Default"/>
    <w:rsid w:val="00622882"/>
    <w:pPr>
      <w:autoSpaceDE w:val="0"/>
      <w:adjustRightInd w:val="0"/>
      <w:textAlignment w:val="auto"/>
    </w:pPr>
    <w:rPr>
      <w:rFonts w:ascii="Verdana" w:hAnsi="Verdana" w:eastAsiaTheme="minorHAnsi"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cbs.nl/nl-nl/nieuws/2025/30/energiearmoede-in-2024-gestegen-naar-6-1-procent/huishoudens-met-energiearmoede" TargetMode="External" Id="rId7" /><Relationship Type="http://schemas.openxmlformats.org/officeDocument/2006/relationships/header" Target="header1.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no.nl/nl/newsroom/2025/07/energiehulp-goed-klimaat-portemonnee/" TargetMode="External" /><Relationship Id="rId2" Type="http://schemas.openxmlformats.org/officeDocument/2006/relationships/hyperlink" Target="https://www.cbs.nl/nl-nl/nieuws/2025/30/energiearmoede-in-2024-gestegen-naar-6-1-procent" TargetMode="External" /><Relationship Id="rId3" Type="http://schemas.openxmlformats.org/officeDocument/2006/relationships/hyperlink" Target="https://publications.tno.nl/publication/34645264/0vkvb78S/TNO-2025-R12132.pdf" TargetMode="External" /><Relationship Id="rId4" Type="http://schemas.openxmlformats.org/officeDocument/2006/relationships/hyperlink" Target="https://www.tno.nl/nl/newsroom/2025/05/aanpak-energiearmoede/" TargetMode="External" /><Relationship Id="rId5" Type="http://schemas.openxmlformats.org/officeDocument/2006/relationships/hyperlink" Target="https://publications.tno.nl/publication/34646061/37ThEVhd/TNO-2026-16643.pdf" TargetMode="External" /><Relationship Id="rId6" Type="http://schemas.openxmlformats.org/officeDocument/2006/relationships/hyperlink" Target="https://publications.tno.nl/publication/34645273/moAMsdg3/TNO-2025-R11107.pdf" TargetMode="External" /><Relationship Id="rId7" Type="http://schemas.openxmlformats.org/officeDocument/2006/relationships/hyperlink" Target="https://eur-lex.europa.eu/eli/reg/2023/955/oj/nld"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2141</ap:Words>
  <ap:Characters>11780</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aan Parlement - Beleidsvoorstellen uit de begroting 2026 van Hoofdstuk VII met CW 3.1. kaders</vt:lpstr>
    </vt:vector>
  </ap:TitlesOfParts>
  <ap:LinksUpToDate>false</ap:LinksUpToDate>
  <ap:CharactersWithSpaces>13894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2026-06-09T07:43:00.0000000Z</dcterms:created>
  <dcterms:modified xsi:type="dcterms:W3CDTF">2026-06-16T14:06:00.0000000Z</dcterms:modified>
  <dc:creator/>
  <lastModifiedBy/>
  <dc:description>------------------------</dc:description>
  <dc:subject/>
  <keywords/>
  <version/>
  <category/>
</coreProperties>
</file>