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BC3829" w:rsidRDefault="00340ECA" w14:paraId="5778A776" w14:textId="77777777"/>
    <w:p w:rsidR="00B824BA" w:rsidP="00BC3829" w:rsidRDefault="00D81AA3" w14:paraId="4ABD470A" w14:textId="77777777">
      <w:r>
        <w:t>Geachte Voorzitter,</w:t>
      </w:r>
    </w:p>
    <w:p w:rsidR="00D15779" w:rsidP="00BC3829" w:rsidRDefault="00D15779" w14:paraId="73907EC6" w14:textId="77777777"/>
    <w:p w:rsidR="0053061A" w:rsidP="00BC3829" w:rsidRDefault="0053061A" w14:paraId="4FC53246" w14:textId="4940A9F8">
      <w:pPr>
        <w:rPr>
          <w:szCs w:val="18"/>
        </w:rPr>
      </w:pPr>
      <w:r w:rsidRPr="00C91D0F">
        <w:rPr>
          <w:szCs w:val="18"/>
        </w:rPr>
        <w:t xml:space="preserve">Met deze brief informeer ik uw Kamer, mede namens de ministers van Buitenlandse Zaken, Defensie, Infrastructuur en Waterstaat en Onderwijs, Cultuur en Wetenschap, over de voortgang van de Lange-termijn Ruimtevaartagenda (LTR), conform de toezegging tijdens het </w:t>
      </w:r>
      <w:r>
        <w:rPr>
          <w:szCs w:val="18"/>
        </w:rPr>
        <w:t>commissiedebat Ruimtevaart van</w:t>
      </w:r>
      <w:r w:rsidRPr="00C91D0F">
        <w:rPr>
          <w:szCs w:val="18"/>
        </w:rPr>
        <w:t xml:space="preserve"> </w:t>
      </w:r>
      <w:r>
        <w:rPr>
          <w:szCs w:val="18"/>
        </w:rPr>
        <w:t>9 april</w:t>
      </w:r>
      <w:r w:rsidRPr="00C91D0F">
        <w:rPr>
          <w:szCs w:val="18"/>
        </w:rPr>
        <w:t xml:space="preserve"> 2025</w:t>
      </w:r>
      <w:r w:rsidR="000E3421">
        <w:rPr>
          <w:rStyle w:val="Voetnootmarkering"/>
          <w:szCs w:val="18"/>
        </w:rPr>
        <w:footnoteReference w:id="1"/>
      </w:r>
      <w:r w:rsidRPr="00C91D0F">
        <w:rPr>
          <w:szCs w:val="18"/>
        </w:rPr>
        <w:t>.</w:t>
      </w:r>
    </w:p>
    <w:p w:rsidRPr="00C91D0F" w:rsidR="0053061A" w:rsidP="00BC3829" w:rsidRDefault="0053061A" w14:paraId="536FDC05" w14:textId="77777777">
      <w:pPr>
        <w:rPr>
          <w:szCs w:val="18"/>
        </w:rPr>
      </w:pPr>
    </w:p>
    <w:p w:rsidR="0053061A" w:rsidP="00BC3829" w:rsidRDefault="0053061A" w14:paraId="5B268B02" w14:textId="1051423B">
      <w:pPr>
        <w:rPr>
          <w:szCs w:val="18"/>
        </w:rPr>
      </w:pPr>
      <w:r w:rsidRPr="00C91D0F">
        <w:rPr>
          <w:szCs w:val="18"/>
        </w:rPr>
        <w:t xml:space="preserve">Met de </w:t>
      </w:r>
      <w:r w:rsidRPr="00654EB3" w:rsidR="00654EB3">
        <w:rPr>
          <w:szCs w:val="18"/>
        </w:rPr>
        <w:t xml:space="preserve">Lange-termijn Ruimtevaartagenda </w:t>
      </w:r>
      <w:r w:rsidRPr="00C91D0F">
        <w:rPr>
          <w:szCs w:val="18"/>
        </w:rPr>
        <w:t>heeft het kabinet voor het eerst een integraal kompas</w:t>
      </w:r>
      <w:r>
        <w:rPr>
          <w:szCs w:val="18"/>
        </w:rPr>
        <w:t xml:space="preserve"> vastgesteld</w:t>
      </w:r>
      <w:r w:rsidRPr="00C91D0F">
        <w:rPr>
          <w:szCs w:val="18"/>
        </w:rPr>
        <w:t xml:space="preserve"> voor het Nederlandse ruimtevaartbeleid voor de komende 10-15 jaar. Het ruimtedomein is een belangrijke randvoorwaarde voor onze strategische autonomie en veiligheid én</w:t>
      </w:r>
      <w:r>
        <w:rPr>
          <w:szCs w:val="18"/>
        </w:rPr>
        <w:t xml:space="preserve"> voor</w:t>
      </w:r>
      <w:r w:rsidRPr="00C91D0F">
        <w:rPr>
          <w:szCs w:val="18"/>
        </w:rPr>
        <w:t xml:space="preserve"> het functioneren van de Nederlandse economie en samenleving. </w:t>
      </w:r>
      <w:r w:rsidRPr="00350D68">
        <w:rPr>
          <w:szCs w:val="18"/>
        </w:rPr>
        <w:t>Satellieten leveren essentiële diensten voor onder meer veiligheid en militaire operaties, navigatie en tijdsbepaling, communicatie, klimaat- en aardobservatie en toepassingen in landbouw, waterbeheer en infrastructuur</w:t>
      </w:r>
      <w:r w:rsidRPr="004C0CD1">
        <w:rPr>
          <w:szCs w:val="18"/>
        </w:rPr>
        <w:t>.</w:t>
      </w:r>
      <w:r>
        <w:rPr>
          <w:szCs w:val="18"/>
        </w:rPr>
        <w:t xml:space="preserve"> Tenslotte zorgt een </w:t>
      </w:r>
      <w:r w:rsidRPr="004C0CD1">
        <w:rPr>
          <w:szCs w:val="18"/>
        </w:rPr>
        <w:t xml:space="preserve">sterk onderzoek- en innovatie ecosysteem </w:t>
      </w:r>
      <w:r>
        <w:rPr>
          <w:szCs w:val="18"/>
        </w:rPr>
        <w:t xml:space="preserve">er voor dat Nederland op wetenschappelijk gebied tot de top blijft behoren. </w:t>
      </w:r>
    </w:p>
    <w:p w:rsidR="0053061A" w:rsidP="00BC3829" w:rsidRDefault="0053061A" w14:paraId="16CF9614" w14:textId="77777777">
      <w:pPr>
        <w:rPr>
          <w:szCs w:val="18"/>
        </w:rPr>
      </w:pPr>
    </w:p>
    <w:p w:rsidR="0053061A" w:rsidP="00BC3829" w:rsidRDefault="0053061A" w14:paraId="7F85E960" w14:textId="77777777">
      <w:pPr>
        <w:rPr>
          <w:rFonts w:eastAsia="Verdana" w:cs="Verdana"/>
          <w:szCs w:val="18"/>
        </w:rPr>
      </w:pPr>
      <w:r w:rsidRPr="00C91D0F">
        <w:rPr>
          <w:szCs w:val="18"/>
        </w:rPr>
        <w:t xml:space="preserve">Tegelijkertijd verandert het internationale speelveld snel. </w:t>
      </w:r>
      <w:r w:rsidRPr="00350D68">
        <w:rPr>
          <w:szCs w:val="18"/>
        </w:rPr>
        <w:t>De geopolitieke context is het afgelopen jaar sterk verscherpt en de afhankelijkheid van en veiligheidsrisico’s voor ruimte-infrastructuur nemen dagelijks toe.</w:t>
      </w:r>
      <w:r>
        <w:rPr>
          <w:szCs w:val="18"/>
        </w:rPr>
        <w:t xml:space="preserve"> </w:t>
      </w:r>
      <w:r w:rsidRPr="00350D68">
        <w:rPr>
          <w:rFonts w:eastAsia="Verdana" w:cs="Verdana"/>
          <w:szCs w:val="18"/>
        </w:rPr>
        <w:t>Een breed scala aan dreigingen, van cyberaanvallen tot kinetische antisatellietwapens, kan grote impact hebben in het ruimtedomein, op militair optreden en op de maatschappij.</w:t>
      </w:r>
      <w:r w:rsidRPr="000E10C9">
        <w:rPr>
          <w:rFonts w:eastAsia="Verdana" w:cs="Verdana"/>
          <w:szCs w:val="18"/>
        </w:rPr>
        <w:t xml:space="preserve"> </w:t>
      </w:r>
    </w:p>
    <w:p w:rsidR="0053061A" w:rsidP="00BC3829" w:rsidRDefault="0053061A" w14:paraId="70AFB4EC" w14:textId="78B2D442">
      <w:pPr>
        <w:rPr>
          <w:szCs w:val="18"/>
        </w:rPr>
      </w:pPr>
      <w:r w:rsidRPr="00350D68">
        <w:rPr>
          <w:szCs w:val="18"/>
        </w:rPr>
        <w:t xml:space="preserve">Het ruimtedomein speelt een steeds grotere rol in zowel civiele als militaire toepassingen en is daarmee bij uitstek een </w:t>
      </w:r>
      <w:proofErr w:type="spellStart"/>
      <w:r w:rsidRPr="00350D68">
        <w:rPr>
          <w:szCs w:val="18"/>
        </w:rPr>
        <w:t>dual-use</w:t>
      </w:r>
      <w:proofErr w:type="spellEnd"/>
      <w:r w:rsidRPr="00350D68">
        <w:rPr>
          <w:szCs w:val="18"/>
        </w:rPr>
        <w:t xml:space="preserve"> domein.</w:t>
      </w:r>
      <w:r>
        <w:rPr>
          <w:szCs w:val="18"/>
        </w:rPr>
        <w:t xml:space="preserve"> </w:t>
      </w:r>
      <w:r w:rsidRPr="00C91D0F">
        <w:rPr>
          <w:szCs w:val="18"/>
        </w:rPr>
        <w:t>De ontwikkeling, bescherming, toegang tot en het gebruik van ruimte-infrastructuur zijn daarmee direct verbonden aan de strategische autonomie en weerbaarheid van Europa.</w:t>
      </w:r>
    </w:p>
    <w:p w:rsidR="0053061A" w:rsidP="00BC3829" w:rsidRDefault="0053061A" w14:paraId="10BA5939" w14:textId="77777777">
      <w:pPr>
        <w:rPr>
          <w:szCs w:val="18"/>
        </w:rPr>
      </w:pPr>
    </w:p>
    <w:p w:rsidR="0053061A" w:rsidP="00BC3829" w:rsidRDefault="0053061A" w14:paraId="1FBCC2D7" w14:textId="3061AC2E">
      <w:pPr>
        <w:rPr>
          <w:szCs w:val="18"/>
        </w:rPr>
      </w:pPr>
      <w:r w:rsidRPr="005B44A1">
        <w:rPr>
          <w:szCs w:val="18"/>
        </w:rPr>
        <w:t xml:space="preserve">Hoewel deze brief primair terugblikt op de voortgang sinds de vaststelling van de </w:t>
      </w:r>
      <w:r w:rsidRPr="00654EB3" w:rsidR="00654EB3">
        <w:rPr>
          <w:szCs w:val="18"/>
        </w:rPr>
        <w:t>Lange-termijn Ruimtevaartagenda</w:t>
      </w:r>
      <w:r w:rsidRPr="005B44A1">
        <w:rPr>
          <w:szCs w:val="18"/>
        </w:rPr>
        <w:t xml:space="preserve">, verandert de context waarin deze agenda wordt uitgevoerd snel. Nieuwe geopolitieke ontwikkelingen, toenemende </w:t>
      </w:r>
      <w:r w:rsidRPr="005B44A1">
        <w:rPr>
          <w:szCs w:val="18"/>
        </w:rPr>
        <w:lastRenderedPageBreak/>
        <w:t xml:space="preserve">investeringen in defensie en strategische autonomie, de opkomst van nieuwe commerciële ruimtevaartmarkten en veranderende Europese wet- en regelgeving (EU Space Act en EUSSA) vragen om voortdurende actualisering van accenten binnen de bestaande missies. Daarbij raakt ruimtevaart in toenemende mate aan bredere maatschappelijke en economische transities, zoals ook onderstreept in het rapport-Wennink, en raakt het steeds meer verweven met opgaven op het gebied van defensie, klimaat, digitalisering en economisch verdienvermogen. Het kabinet blijft daarom monitoren hoe de uitvoering van de </w:t>
      </w:r>
      <w:r w:rsidRPr="00654EB3" w:rsidR="00654EB3">
        <w:rPr>
          <w:szCs w:val="18"/>
        </w:rPr>
        <w:t xml:space="preserve">Lange-termijn Ruimtevaartagenda </w:t>
      </w:r>
      <w:r w:rsidRPr="005B44A1">
        <w:rPr>
          <w:szCs w:val="18"/>
        </w:rPr>
        <w:t>hierop aansluit.</w:t>
      </w:r>
    </w:p>
    <w:p w:rsidRPr="00C91D0F" w:rsidR="0053061A" w:rsidP="00BC3829" w:rsidRDefault="0053061A" w14:paraId="7F10A184" w14:textId="77777777">
      <w:pPr>
        <w:rPr>
          <w:szCs w:val="18"/>
        </w:rPr>
      </w:pPr>
    </w:p>
    <w:p w:rsidR="0053061A" w:rsidP="00BC3829" w:rsidRDefault="0053061A" w14:paraId="278B6462" w14:textId="2E172951">
      <w:pPr>
        <w:rPr>
          <w:szCs w:val="18"/>
        </w:rPr>
      </w:pPr>
      <w:r>
        <w:rPr>
          <w:szCs w:val="18"/>
        </w:rPr>
        <w:t>Binnen deze context</w:t>
      </w:r>
      <w:r w:rsidRPr="00C91D0F">
        <w:rPr>
          <w:szCs w:val="18"/>
        </w:rPr>
        <w:t xml:space="preserve"> zet het kabinet in op het versterken van de Nederlandse bijdrage aan Europese ruimtevaartcapaciteiten en het beter benutten van ruimtevaart voor nationale en Europese belangen. </w:t>
      </w:r>
      <w:r w:rsidRPr="00350D68">
        <w:rPr>
          <w:szCs w:val="18"/>
        </w:rPr>
        <w:t>Sinds de kabinetsreactie</w:t>
      </w:r>
      <w:r>
        <w:rPr>
          <w:szCs w:val="18"/>
        </w:rPr>
        <w:t xml:space="preserve"> op de </w:t>
      </w:r>
      <w:r w:rsidRPr="00654EB3" w:rsidR="00654EB3">
        <w:rPr>
          <w:szCs w:val="18"/>
        </w:rPr>
        <w:t xml:space="preserve">Lange-termijn Ruimtevaartagenda </w:t>
      </w:r>
      <w:r>
        <w:rPr>
          <w:rStyle w:val="Voetnootmarkering"/>
          <w:szCs w:val="18"/>
        </w:rPr>
        <w:footnoteReference w:id="2"/>
      </w:r>
      <w:r w:rsidRPr="00350D68">
        <w:rPr>
          <w:szCs w:val="18"/>
        </w:rPr>
        <w:t xml:space="preserve"> zijn hiervoor stappen gezet in technologieontwikkeling, capaciteitsopbouw, toepassingen van satellietdata en </w:t>
      </w:r>
      <w:proofErr w:type="spellStart"/>
      <w:r w:rsidRPr="00350D68">
        <w:rPr>
          <w:szCs w:val="18"/>
        </w:rPr>
        <w:t>governance</w:t>
      </w:r>
      <w:proofErr w:type="spellEnd"/>
      <w:r w:rsidRPr="00350D68">
        <w:rPr>
          <w:szCs w:val="18"/>
        </w:rPr>
        <w:t>.</w:t>
      </w:r>
      <w:r>
        <w:rPr>
          <w:szCs w:val="18"/>
        </w:rPr>
        <w:t xml:space="preserve"> </w:t>
      </w:r>
      <w:r w:rsidRPr="00C91D0F">
        <w:rPr>
          <w:szCs w:val="18"/>
        </w:rPr>
        <w:t xml:space="preserve">Tegelijkertijd zijn verdere keuzes nodig om de ambities uit de LTR te realiseren. </w:t>
      </w:r>
    </w:p>
    <w:p w:rsidRPr="00C91D0F" w:rsidR="00654EB3" w:rsidP="00BC3829" w:rsidRDefault="00654EB3" w14:paraId="6CFC5EE9" w14:textId="77777777"/>
    <w:p w:rsidRPr="00C91D0F" w:rsidR="0053061A" w:rsidP="00BC3829" w:rsidRDefault="0053061A" w14:paraId="2996D8DF" w14:textId="77777777">
      <w:r w:rsidRPr="00C91D0F">
        <w:rPr>
          <w:szCs w:val="18"/>
        </w:rPr>
        <w:t>Tegen deze achtergrond beschrijft het kabinet hieronder de voortgang en de inzet voor de komende periode per missie.</w:t>
      </w:r>
    </w:p>
    <w:p w:rsidRPr="00C91D0F" w:rsidR="0053061A" w:rsidP="00BC3829" w:rsidRDefault="0053061A" w14:paraId="1B0AB19D" w14:textId="77777777">
      <w:pPr>
        <w:rPr>
          <w:szCs w:val="18"/>
        </w:rPr>
      </w:pPr>
    </w:p>
    <w:p w:rsidRPr="00C91D0F" w:rsidR="0053061A" w:rsidP="00BC3829" w:rsidRDefault="0053061A" w14:paraId="044C9C45" w14:textId="77777777">
      <w:pPr>
        <w:rPr>
          <w:b/>
          <w:bCs/>
          <w:szCs w:val="18"/>
        </w:rPr>
      </w:pPr>
      <w:r w:rsidRPr="00C91D0F">
        <w:rPr>
          <w:b/>
          <w:bCs/>
          <w:szCs w:val="18"/>
        </w:rPr>
        <w:t>Missie 1: Veiligheid en defensie</w:t>
      </w:r>
    </w:p>
    <w:p w:rsidR="0053061A" w:rsidP="00BC3829" w:rsidRDefault="0053061A" w14:paraId="0A13BA71" w14:textId="77777777">
      <w:pPr>
        <w:rPr>
          <w:rFonts w:eastAsia="Verdana" w:cs="Verdana"/>
          <w:szCs w:val="18"/>
        </w:rPr>
      </w:pPr>
      <w:r w:rsidRPr="00350D68">
        <w:rPr>
          <w:rFonts w:eastAsia="Verdana" w:cs="Verdana"/>
          <w:szCs w:val="18"/>
        </w:rPr>
        <w:t xml:space="preserve">Defensie werkt aan de versterking van eigenstandige capaciteiten op het gebied van aardobservatie en Space </w:t>
      </w:r>
      <w:proofErr w:type="spellStart"/>
      <w:r w:rsidRPr="00350D68">
        <w:rPr>
          <w:rFonts w:eastAsia="Verdana" w:cs="Verdana"/>
          <w:szCs w:val="18"/>
        </w:rPr>
        <w:t>Situational</w:t>
      </w:r>
      <w:proofErr w:type="spellEnd"/>
      <w:r w:rsidRPr="00350D68">
        <w:rPr>
          <w:rFonts w:eastAsia="Verdana" w:cs="Verdana"/>
          <w:szCs w:val="18"/>
        </w:rPr>
        <w:t xml:space="preserve"> Awareness.</w:t>
      </w:r>
      <w:r>
        <w:rPr>
          <w:rFonts w:eastAsia="Verdana" w:cs="Verdana"/>
          <w:szCs w:val="18"/>
        </w:rPr>
        <w:t xml:space="preserve"> </w:t>
      </w:r>
      <w:r w:rsidRPr="00350D68">
        <w:rPr>
          <w:rFonts w:eastAsia="Verdana" w:cs="Verdana"/>
          <w:szCs w:val="18"/>
        </w:rPr>
        <w:t xml:space="preserve">Met de lancering van de eerste eigenstandige </w:t>
      </w:r>
      <w:proofErr w:type="spellStart"/>
      <w:r w:rsidRPr="00350D68">
        <w:rPr>
          <w:rFonts w:eastAsia="Verdana" w:cs="Verdana"/>
          <w:szCs w:val="18"/>
        </w:rPr>
        <w:t>Synthetic</w:t>
      </w:r>
      <w:proofErr w:type="spellEnd"/>
      <w:r w:rsidRPr="00350D68">
        <w:rPr>
          <w:rFonts w:eastAsia="Verdana" w:cs="Verdana"/>
          <w:szCs w:val="18"/>
        </w:rPr>
        <w:t xml:space="preserve"> </w:t>
      </w:r>
      <w:proofErr w:type="spellStart"/>
      <w:r w:rsidRPr="00350D68">
        <w:rPr>
          <w:rFonts w:eastAsia="Verdana" w:cs="Verdana"/>
          <w:szCs w:val="18"/>
        </w:rPr>
        <w:t>Aperture</w:t>
      </w:r>
      <w:proofErr w:type="spellEnd"/>
      <w:r w:rsidRPr="00350D68">
        <w:rPr>
          <w:rFonts w:eastAsia="Verdana" w:cs="Verdana"/>
          <w:szCs w:val="18"/>
        </w:rPr>
        <w:t xml:space="preserve"> Radar-satelliet door het Commando Lucht- en Ruimtestrijdkrachten is de eigenstandigheid van de krijgsmacht versterkt.</w:t>
      </w:r>
      <w:r>
        <w:rPr>
          <w:rFonts w:eastAsia="Verdana" w:cs="Verdana"/>
          <w:szCs w:val="18"/>
        </w:rPr>
        <w:t xml:space="preserve"> </w:t>
      </w:r>
      <w:r w:rsidRPr="00350D68">
        <w:rPr>
          <w:rFonts w:eastAsia="Verdana" w:cs="Verdana"/>
          <w:szCs w:val="18"/>
        </w:rPr>
        <w:t>Ook in de komende kabinetsperiode zet Defensie stappen om deze eigenstandigheid te bestendigen.</w:t>
      </w:r>
      <w:r>
        <w:rPr>
          <w:rFonts w:eastAsia="Verdana" w:cs="Verdana"/>
          <w:szCs w:val="18"/>
        </w:rPr>
        <w:t xml:space="preserve"> </w:t>
      </w:r>
      <w:r w:rsidRPr="00350D68">
        <w:rPr>
          <w:rFonts w:eastAsia="Verdana" w:cs="Verdana"/>
          <w:szCs w:val="18"/>
        </w:rPr>
        <w:t xml:space="preserve">Tevens wordt binnen Defensie het </w:t>
      </w:r>
      <w:proofErr w:type="spellStart"/>
      <w:r w:rsidRPr="509CBCDB">
        <w:rPr>
          <w:rFonts w:eastAsia="Verdana" w:cs="Verdana"/>
          <w:i/>
          <w:iCs/>
          <w:szCs w:val="18"/>
        </w:rPr>
        <w:t>Defence</w:t>
      </w:r>
      <w:proofErr w:type="spellEnd"/>
      <w:r w:rsidRPr="509CBCDB">
        <w:rPr>
          <w:rFonts w:eastAsia="Verdana" w:cs="Verdana"/>
          <w:i/>
          <w:iCs/>
          <w:szCs w:val="18"/>
        </w:rPr>
        <w:t xml:space="preserve"> Space Security Center</w:t>
      </w:r>
      <w:r w:rsidRPr="00350D68">
        <w:rPr>
          <w:rFonts w:eastAsia="Verdana" w:cs="Verdana"/>
          <w:szCs w:val="18"/>
        </w:rPr>
        <w:t xml:space="preserve"> doorontwikkeld naar een </w:t>
      </w:r>
      <w:r w:rsidRPr="509CBCDB">
        <w:rPr>
          <w:rFonts w:eastAsia="Verdana" w:cs="Verdana"/>
          <w:i/>
          <w:iCs/>
          <w:szCs w:val="18"/>
        </w:rPr>
        <w:t xml:space="preserve">Space </w:t>
      </w:r>
      <w:proofErr w:type="spellStart"/>
      <w:r w:rsidRPr="509CBCDB">
        <w:rPr>
          <w:rFonts w:eastAsia="Verdana" w:cs="Verdana"/>
          <w:i/>
          <w:iCs/>
          <w:szCs w:val="18"/>
        </w:rPr>
        <w:t>Command</w:t>
      </w:r>
      <w:proofErr w:type="spellEnd"/>
      <w:r w:rsidRPr="00350D68">
        <w:rPr>
          <w:rFonts w:eastAsia="Verdana" w:cs="Verdana"/>
          <w:szCs w:val="18"/>
        </w:rPr>
        <w:t xml:space="preserve"> om nationale operationele capaciteiten binnen de door de NAVO vastgestelde functiegebieden verder te ontwikkelen, in te zetten en in stand te houden.</w:t>
      </w:r>
    </w:p>
    <w:p w:rsidRPr="00C91D0F" w:rsidR="0053061A" w:rsidP="00BC3829" w:rsidRDefault="0053061A" w14:paraId="40F52B34" w14:textId="77777777">
      <w:pPr>
        <w:rPr>
          <w:rFonts w:eastAsia="Verdana" w:cs="Verdana"/>
          <w:szCs w:val="18"/>
        </w:rPr>
      </w:pPr>
    </w:p>
    <w:p w:rsidR="0053061A" w:rsidP="00BC3829" w:rsidRDefault="0053061A" w14:paraId="31E43D72" w14:textId="49CA667D">
      <w:pPr>
        <w:rPr>
          <w:szCs w:val="18"/>
        </w:rPr>
      </w:pPr>
      <w:r w:rsidRPr="00350D68">
        <w:rPr>
          <w:szCs w:val="18"/>
        </w:rPr>
        <w:t>Nederland treft diverse maatregelen om verstoringen en manipulatie van satellietnavigatiesystemen voor plaats-, navigatie- en tijdsbepaling aan te pakken. Deze verstoring van deze systemen hebben, mede door cascade-effecten, in potentie een groot effect op het merendeel van onze vitale processen.</w:t>
      </w:r>
      <w:r>
        <w:rPr>
          <w:szCs w:val="18"/>
        </w:rPr>
        <w:t xml:space="preserve"> </w:t>
      </w:r>
      <w:r w:rsidRPr="00350D68">
        <w:rPr>
          <w:szCs w:val="18"/>
        </w:rPr>
        <w:t>Het kabinet werkt met gebruikers in vitale sectoren om bewustwording te vergroten, afhankelijkheden in kaart te brengen en risico’s te beperken</w:t>
      </w:r>
      <w:r w:rsidRPr="00C91D0F">
        <w:rPr>
          <w:szCs w:val="18"/>
        </w:rPr>
        <w:t xml:space="preserve">. </w:t>
      </w:r>
      <w:r w:rsidRPr="00350D68">
        <w:rPr>
          <w:szCs w:val="18"/>
        </w:rPr>
        <w:t>Daarnaast verkent het kabinet het gebruik van robuuste grondgebonden oplossingen als alternatief voor satellietnavigatiesystemen voor plaats-, navigatie- en tijdsbepaling.</w:t>
      </w:r>
      <w:r>
        <w:rPr>
          <w:szCs w:val="18"/>
        </w:rPr>
        <w:t xml:space="preserve"> </w:t>
      </w:r>
      <w:r w:rsidRPr="007E0028" w:rsidR="007E0028">
        <w:rPr>
          <w:szCs w:val="18"/>
        </w:rPr>
        <w:t xml:space="preserve"> </w:t>
      </w:r>
      <w:r w:rsidR="007E0028">
        <w:rPr>
          <w:szCs w:val="18"/>
        </w:rPr>
        <w:t xml:space="preserve">Denk hierbij aan navigatie op zee via radioantennes en tijddistributie via een glasvezelnetwerk. Hiervoor wordt ook bilateraal met de ons omliggende landen </w:t>
      </w:r>
      <w:r w:rsidR="007E0028">
        <w:rPr>
          <w:szCs w:val="18"/>
        </w:rPr>
        <w:lastRenderedPageBreak/>
        <w:t xml:space="preserve">samengewerkt. </w:t>
      </w:r>
      <w:r w:rsidRPr="00350D68">
        <w:rPr>
          <w:szCs w:val="18"/>
        </w:rPr>
        <w:t xml:space="preserve">Specifiek voor overheidsdiensten wordt ingezet op het beschikbaar maken van het beveiligde </w:t>
      </w:r>
      <w:proofErr w:type="spellStart"/>
      <w:r w:rsidRPr="00350D68">
        <w:rPr>
          <w:szCs w:val="18"/>
        </w:rPr>
        <w:t>Galileo</w:t>
      </w:r>
      <w:proofErr w:type="spellEnd"/>
      <w:r w:rsidRPr="00350D68">
        <w:rPr>
          <w:szCs w:val="18"/>
        </w:rPr>
        <w:t xml:space="preserve">-signaal, de </w:t>
      </w:r>
      <w:r w:rsidRPr="04937812">
        <w:rPr>
          <w:i/>
          <w:iCs/>
          <w:szCs w:val="18"/>
        </w:rPr>
        <w:t xml:space="preserve">Public </w:t>
      </w:r>
      <w:proofErr w:type="spellStart"/>
      <w:r w:rsidRPr="04937812">
        <w:rPr>
          <w:i/>
          <w:iCs/>
          <w:szCs w:val="18"/>
        </w:rPr>
        <w:t>Regulated</w:t>
      </w:r>
      <w:proofErr w:type="spellEnd"/>
      <w:r w:rsidRPr="04937812">
        <w:rPr>
          <w:i/>
          <w:iCs/>
          <w:szCs w:val="18"/>
        </w:rPr>
        <w:t xml:space="preserve"> Service</w:t>
      </w:r>
      <w:r w:rsidRPr="00350D68">
        <w:rPr>
          <w:szCs w:val="18"/>
        </w:rPr>
        <w:t>.</w:t>
      </w:r>
    </w:p>
    <w:p w:rsidRPr="00C91D0F" w:rsidR="0053061A" w:rsidP="00BC3829" w:rsidRDefault="0053061A" w14:paraId="777D3839" w14:textId="77777777">
      <w:pPr>
        <w:rPr>
          <w:szCs w:val="18"/>
        </w:rPr>
      </w:pPr>
    </w:p>
    <w:p w:rsidR="00654EB3" w:rsidP="00BC3829" w:rsidRDefault="0053061A" w14:paraId="2773080C" w14:textId="4998E2A4">
      <w:pPr>
        <w:rPr>
          <w:szCs w:val="18"/>
        </w:rPr>
      </w:pPr>
      <w:r w:rsidRPr="00350D68">
        <w:rPr>
          <w:szCs w:val="18"/>
        </w:rPr>
        <w:t xml:space="preserve">Sinds de </w:t>
      </w:r>
      <w:r w:rsidRPr="00654EB3" w:rsidR="00654EB3">
        <w:rPr>
          <w:szCs w:val="18"/>
        </w:rPr>
        <w:t xml:space="preserve">Lange-termijn Ruimtevaartagenda </w:t>
      </w:r>
      <w:r w:rsidRPr="00350D68">
        <w:rPr>
          <w:szCs w:val="18"/>
        </w:rPr>
        <w:t xml:space="preserve"> heeft het kabinet daarnaast de eerste fasen gestart van de ontwikkeling van een nationale ontvanger voor het beveiligde </w:t>
      </w:r>
      <w:r w:rsidR="00D81AA3">
        <w:rPr>
          <w:szCs w:val="18"/>
        </w:rPr>
        <w:t xml:space="preserve">Public </w:t>
      </w:r>
      <w:proofErr w:type="spellStart"/>
      <w:r w:rsidR="00D81AA3">
        <w:rPr>
          <w:szCs w:val="18"/>
        </w:rPr>
        <w:t>Regulated</w:t>
      </w:r>
      <w:proofErr w:type="spellEnd"/>
      <w:r w:rsidR="00D81AA3">
        <w:rPr>
          <w:szCs w:val="18"/>
        </w:rPr>
        <w:t xml:space="preserve"> Service signaal (PRS-signaal)</w:t>
      </w:r>
      <w:r w:rsidRPr="00350D68">
        <w:rPr>
          <w:szCs w:val="18"/>
        </w:rPr>
        <w:t xml:space="preserve"> van het Europese navigatiesatellietsysteem </w:t>
      </w:r>
      <w:proofErr w:type="spellStart"/>
      <w:r w:rsidRPr="00350D68">
        <w:rPr>
          <w:szCs w:val="18"/>
        </w:rPr>
        <w:t>Galileo</w:t>
      </w:r>
      <w:proofErr w:type="spellEnd"/>
      <w:r w:rsidRPr="00C91D0F">
        <w:rPr>
          <w:szCs w:val="18"/>
        </w:rPr>
        <w:t xml:space="preserve">. </w:t>
      </w:r>
      <w:r w:rsidRPr="00350D68">
        <w:rPr>
          <w:szCs w:val="18"/>
        </w:rPr>
        <w:t xml:space="preserve">Daarmee wordt gewerkt aan onafhankelijke en betrouwbare, </w:t>
      </w:r>
      <w:proofErr w:type="spellStart"/>
      <w:r w:rsidRPr="00350D68">
        <w:rPr>
          <w:szCs w:val="18"/>
        </w:rPr>
        <w:t>satellietgebaseerde</w:t>
      </w:r>
      <w:proofErr w:type="spellEnd"/>
      <w:r w:rsidRPr="00350D68">
        <w:rPr>
          <w:szCs w:val="18"/>
        </w:rPr>
        <w:t xml:space="preserve"> positie-, navigatie- en tijdsignalen voor publieke toepassingen.</w:t>
      </w:r>
      <w:r>
        <w:rPr>
          <w:szCs w:val="18"/>
        </w:rPr>
        <w:t xml:space="preserve"> </w:t>
      </w:r>
      <w:r w:rsidRPr="00654EB3" w:rsidR="00654EB3">
        <w:rPr>
          <w:szCs w:val="18"/>
        </w:rPr>
        <w:t>Dit vergroot de open strategische autonomie van Nederland en Europa en versterkt de weerbaarheid van de ruimte-infrastructuur. Vitale processen zoals energie- en drinkwatervoorziening, financiële transacties, defensie en logistiek zijn in hoge mate afhankelijk van ruimte-infrastructuur. Deze vitale processen zijn dus gebaat bij een weerbare en storingsbestendige ruimte-infrastructuur</w:t>
      </w:r>
      <w:r w:rsidRPr="007E0028" w:rsidR="007E0028">
        <w:rPr>
          <w:szCs w:val="18"/>
        </w:rPr>
        <w:t xml:space="preserve"> </w:t>
      </w:r>
      <w:r w:rsidR="007E0028">
        <w:rPr>
          <w:szCs w:val="18"/>
        </w:rPr>
        <w:t>en robuuste grondgebonden alternatieven</w:t>
      </w:r>
      <w:r w:rsidRPr="00654EB3" w:rsidR="00654EB3">
        <w:rPr>
          <w:szCs w:val="18"/>
        </w:rPr>
        <w:t xml:space="preserve">. </w:t>
      </w:r>
    </w:p>
    <w:p w:rsidR="00654EB3" w:rsidP="00BC3829" w:rsidRDefault="00654EB3" w14:paraId="534D44A6" w14:textId="77777777">
      <w:pPr>
        <w:rPr>
          <w:szCs w:val="18"/>
        </w:rPr>
      </w:pPr>
    </w:p>
    <w:p w:rsidR="0053061A" w:rsidP="00BC3829" w:rsidRDefault="0053061A" w14:paraId="1C160154" w14:textId="3E46AC7E">
      <w:pPr>
        <w:rPr>
          <w:szCs w:val="18"/>
        </w:rPr>
      </w:pPr>
      <w:r w:rsidRPr="00350D68">
        <w:rPr>
          <w:szCs w:val="18"/>
        </w:rPr>
        <w:t>Daarnaast is technologische ontwikkeling ondersteund op het gebied van lasersatellietcommunicatie, waaronder een stabiele verbinding tussen een vliegtuig en een satelliet.</w:t>
      </w:r>
      <w:r w:rsidRPr="00C91D0F">
        <w:rPr>
          <w:szCs w:val="18"/>
        </w:rPr>
        <w:t xml:space="preserve"> </w:t>
      </w:r>
      <w:r w:rsidRPr="00C91D0F">
        <w:rPr>
          <w:rFonts w:eastAsia="Verdana" w:cs="Verdana"/>
          <w:szCs w:val="18"/>
        </w:rPr>
        <w:t xml:space="preserve">Deze demonstratie vond plaats </w:t>
      </w:r>
      <w:r>
        <w:rPr>
          <w:rFonts w:eastAsia="Verdana" w:cs="Verdana"/>
          <w:szCs w:val="18"/>
        </w:rPr>
        <w:t>in februari 2026</w:t>
      </w:r>
      <w:r w:rsidRPr="00C91D0F">
        <w:rPr>
          <w:rFonts w:eastAsia="Verdana" w:cs="Verdana"/>
          <w:szCs w:val="18"/>
        </w:rPr>
        <w:t>.</w:t>
      </w:r>
      <w:r w:rsidRPr="000E10C9">
        <w:rPr>
          <w:rFonts w:eastAsia="Verdana" w:cs="Verdana"/>
          <w:szCs w:val="18"/>
        </w:rPr>
        <w:t xml:space="preserve"> </w:t>
      </w:r>
      <w:r w:rsidRPr="00350D68">
        <w:rPr>
          <w:rFonts w:eastAsia="Verdana" w:cs="Verdana"/>
          <w:szCs w:val="18"/>
        </w:rPr>
        <w:t xml:space="preserve">Lasersatellietcommunicatie maakt extreem snelle, veilige en storingsbestendige dataverbindingen mogelijk tussen satellieten onderling en tussen satellieten en de aarde. </w:t>
      </w:r>
      <w:r w:rsidRPr="00654EB3" w:rsidR="00654EB3">
        <w:rPr>
          <w:rFonts w:eastAsia="Verdana" w:cs="Verdana"/>
          <w:szCs w:val="18"/>
        </w:rPr>
        <w:t>Lasersatellietcommunicatie</w:t>
      </w:r>
      <w:r w:rsidR="00654EB3">
        <w:rPr>
          <w:rFonts w:eastAsia="Verdana" w:cs="Verdana"/>
          <w:szCs w:val="18"/>
        </w:rPr>
        <w:t xml:space="preserve"> </w:t>
      </w:r>
      <w:r w:rsidRPr="00350D68">
        <w:rPr>
          <w:rFonts w:eastAsia="Verdana" w:cs="Verdana"/>
          <w:szCs w:val="18"/>
        </w:rPr>
        <w:t>biedt mogelijkheden voor toepassingen van defensie</w:t>
      </w:r>
      <w:r w:rsidR="00654EB3">
        <w:rPr>
          <w:rFonts w:eastAsia="Verdana" w:cs="Verdana"/>
          <w:szCs w:val="18"/>
        </w:rPr>
        <w:t xml:space="preserve">. </w:t>
      </w:r>
      <w:r w:rsidRPr="00654EB3" w:rsidR="00654EB3">
        <w:rPr>
          <w:rFonts w:eastAsia="Verdana" w:cs="Verdana"/>
          <w:szCs w:val="18"/>
        </w:rPr>
        <w:t>De krijgsmacht is afhankelijk van informatie en communicatie in en vanuit de ruimte en is dus gebaat bij snelle en betrouwbare dataverbindingen</w:t>
      </w:r>
      <w:r w:rsidR="00654EB3">
        <w:rPr>
          <w:rFonts w:eastAsia="Verdana" w:cs="Verdana"/>
          <w:szCs w:val="18"/>
        </w:rPr>
        <w:t>,</w:t>
      </w:r>
      <w:r w:rsidRPr="00350D68">
        <w:rPr>
          <w:rFonts w:eastAsia="Verdana" w:cs="Verdana"/>
          <w:szCs w:val="18"/>
        </w:rPr>
        <w:t xml:space="preserve"> maar ook klimaatmonitoring en de wereldwijde internetinfrastructuur </w:t>
      </w:r>
      <w:r w:rsidRPr="00654EB3" w:rsidR="00654EB3">
        <w:rPr>
          <w:rFonts w:eastAsia="Verdana" w:cs="Verdana"/>
          <w:szCs w:val="18"/>
        </w:rPr>
        <w:t xml:space="preserve">kunnen ook van lasersatellietcommunicatie </w:t>
      </w:r>
      <w:r w:rsidRPr="00350D68">
        <w:rPr>
          <w:rFonts w:eastAsia="Verdana" w:cs="Verdana"/>
          <w:szCs w:val="18"/>
        </w:rPr>
        <w:t>profiteren.</w:t>
      </w:r>
      <w:r>
        <w:rPr>
          <w:rFonts w:eastAsia="Verdana" w:cs="Verdana"/>
          <w:szCs w:val="18"/>
        </w:rPr>
        <w:t xml:space="preserve"> </w:t>
      </w:r>
      <w:r w:rsidRPr="00350D68">
        <w:rPr>
          <w:szCs w:val="18"/>
        </w:rPr>
        <w:t xml:space="preserve">Via onder andere het ESA-programma </w:t>
      </w:r>
      <w:proofErr w:type="spellStart"/>
      <w:r w:rsidRPr="00350D68">
        <w:rPr>
          <w:szCs w:val="18"/>
        </w:rPr>
        <w:t>OpStar</w:t>
      </w:r>
      <w:proofErr w:type="spellEnd"/>
      <w:r w:rsidRPr="00350D68">
        <w:rPr>
          <w:szCs w:val="18"/>
        </w:rPr>
        <w:t xml:space="preserve"> zijn Nederlandse partijen gepositioneerd in de ontwikkeling van nauwkeurigere en robuustere optische navigatiesystemen.</w:t>
      </w:r>
    </w:p>
    <w:p w:rsidRPr="000E10C9" w:rsidR="0053061A" w:rsidP="00BC3829" w:rsidRDefault="0053061A" w14:paraId="2C915EC9" w14:textId="77777777">
      <w:pPr>
        <w:rPr>
          <w:szCs w:val="18"/>
        </w:rPr>
      </w:pPr>
    </w:p>
    <w:p w:rsidR="0053061A" w:rsidP="00BC3829" w:rsidRDefault="0053061A" w14:paraId="133DAEDD" w14:textId="0E9C199A">
      <w:pPr>
        <w:rPr>
          <w:szCs w:val="18"/>
        </w:rPr>
      </w:pPr>
      <w:r w:rsidRPr="00175C21">
        <w:rPr>
          <w:szCs w:val="18"/>
        </w:rPr>
        <w:t>Deze ontwikkelingen worden in de komende periode doorgezet richting operationele inzet</w:t>
      </w:r>
      <w:r w:rsidR="00654EB3">
        <w:rPr>
          <w:szCs w:val="18"/>
        </w:rPr>
        <w:t xml:space="preserve"> </w:t>
      </w:r>
      <w:r w:rsidRPr="00654EB3" w:rsidR="00654EB3">
        <w:rPr>
          <w:szCs w:val="18"/>
        </w:rPr>
        <w:t>en verwezenlijkt daarmee de versterking van de weerbaarheid en storingsbestendigheid van ruimte-infrastructuur. Dit is van belang voor vitale processen, die kwetsbaar zijn in geval van uitvallen van ruimte-infrastructuur. De gevolgen beperken zich dan niet tot een sector, maar verspreiden zich snel door de gehele samenleving</w:t>
      </w:r>
      <w:r w:rsidRPr="00175C21">
        <w:rPr>
          <w:szCs w:val="18"/>
        </w:rPr>
        <w:t xml:space="preserve">. Het kabinet werkt aan opschaling van de nationale PRS-dienstverlening via samenwerking tussen IenW, Defensie en de Netherlands Space Agency. Daarnaast wordt de lancering voorbereid van de observatiesatelliet PAMI-1 in 2028. </w:t>
      </w:r>
      <w:r w:rsidRPr="00654EB3" w:rsidR="00654EB3">
        <w:rPr>
          <w:szCs w:val="18"/>
        </w:rPr>
        <w:t>In lijn met inzet van de Defensie Strategie voor Industrie en Innovatie 2025-2029 op een sterke Nederlandse ruimte-industrie wordt h</w:t>
      </w:r>
      <w:r w:rsidRPr="00175C21">
        <w:rPr>
          <w:szCs w:val="18"/>
        </w:rPr>
        <w:t>et project</w:t>
      </w:r>
      <w:r w:rsidR="00654EB3">
        <w:rPr>
          <w:szCs w:val="18"/>
        </w:rPr>
        <w:t xml:space="preserve"> </w:t>
      </w:r>
      <w:r w:rsidRPr="00175C21">
        <w:rPr>
          <w:szCs w:val="18"/>
        </w:rPr>
        <w:t>gedragen door een groep Nederlandse technologiebedrijven. Daarnaast versterkt het kabinet de nationale capaciteit om verstoringen van ruimte-infrastructuur beter te monitoren, analyseren en daarop te reageren.</w:t>
      </w:r>
      <w:r>
        <w:rPr>
          <w:szCs w:val="18"/>
        </w:rPr>
        <w:t xml:space="preserve"> </w:t>
      </w:r>
    </w:p>
    <w:p w:rsidR="0053061A" w:rsidP="00BC3829" w:rsidRDefault="0053061A" w14:paraId="76D35676" w14:textId="77777777">
      <w:pPr>
        <w:rPr>
          <w:szCs w:val="18"/>
        </w:rPr>
      </w:pPr>
    </w:p>
    <w:p w:rsidR="0053061A" w:rsidP="00BC3829" w:rsidRDefault="0053061A" w14:paraId="406A025E" w14:textId="637F61C2">
      <w:pPr>
        <w:rPr>
          <w:szCs w:val="18"/>
        </w:rPr>
      </w:pPr>
      <w:r w:rsidRPr="00175C21">
        <w:rPr>
          <w:szCs w:val="18"/>
        </w:rPr>
        <w:t xml:space="preserve">Om slagvaardig op te kunnen treden bij incidenten in en vanuit de ruimte, zoals botsingen van satellieten of de ongecontroleerde terugkeer van ruimtepuin met mogelijke impact op Nederlands grondgebied, </w:t>
      </w:r>
      <w:r w:rsidR="00B42A6F">
        <w:rPr>
          <w:szCs w:val="18"/>
        </w:rPr>
        <w:t xml:space="preserve">hebben de ministeries van Buitenlandse Zaken en Defensie het voortouw genomen bij de ontwikkeling van </w:t>
      </w:r>
      <w:r w:rsidR="00B42A6F">
        <w:rPr>
          <w:szCs w:val="18"/>
        </w:rPr>
        <w:lastRenderedPageBreak/>
        <w:t xml:space="preserve">een interdepartementaal </w:t>
      </w:r>
      <w:r w:rsidRPr="00175C21">
        <w:rPr>
          <w:szCs w:val="18"/>
        </w:rPr>
        <w:t>responsmechanisme. Het eerder aangekondigde onderzoek naar de inrichting van interdepartementale samenwerking is uitgevoerd. Interdepartementaal worden de aanbevelingen en de implementatie hiervan momenteel besproken</w:t>
      </w:r>
      <w:r w:rsidR="00B42A6F">
        <w:rPr>
          <w:szCs w:val="18"/>
        </w:rPr>
        <w:t xml:space="preserve">, met als concreet doel een gezamenlijk getest en operationeel </w:t>
      </w:r>
      <w:proofErr w:type="spellStart"/>
      <w:r w:rsidR="00B42A6F">
        <w:rPr>
          <w:szCs w:val="18"/>
        </w:rPr>
        <w:t>responsmechanische</w:t>
      </w:r>
      <w:proofErr w:type="spellEnd"/>
      <w:r w:rsidRPr="00175C21">
        <w:rPr>
          <w:szCs w:val="18"/>
        </w:rPr>
        <w:t xml:space="preserve">. Parallel hieraan wordt gewerkt aan het beter inrichten van verantwoordelijkheden rond publieke communicatie bij incidenten in en vanuit de ruimte, </w:t>
      </w:r>
      <w:r w:rsidR="00B42A6F">
        <w:rPr>
          <w:szCs w:val="18"/>
        </w:rPr>
        <w:t xml:space="preserve">zodat duidelijk is </w:t>
      </w:r>
      <w:r w:rsidRPr="00175C21">
        <w:rPr>
          <w:szCs w:val="18"/>
        </w:rPr>
        <w:t>welk departement of welke organisatie in welke fase het voortouw neemt.</w:t>
      </w:r>
    </w:p>
    <w:p w:rsidR="00D81AA3" w:rsidP="00BC3829" w:rsidRDefault="00D81AA3" w14:paraId="199447D4" w14:textId="77777777">
      <w:pPr>
        <w:rPr>
          <w:szCs w:val="18"/>
        </w:rPr>
      </w:pPr>
    </w:p>
    <w:p w:rsidR="00D81AA3" w:rsidP="00BC3829" w:rsidRDefault="00D81AA3" w14:paraId="08EC20C7" w14:textId="3F519466">
      <w:pPr>
        <w:rPr>
          <w:szCs w:val="18"/>
        </w:rPr>
      </w:pPr>
      <w:r w:rsidRPr="00D81AA3">
        <w:rPr>
          <w:szCs w:val="18"/>
        </w:rPr>
        <w:t xml:space="preserve">Daarnaast werkt Nederland samen met internationale partners in het ruimtedomein. Op deze manier kan van elkaars kennis en kunde gebruik gemaakt worden, kunnen de kosten beheersbaar blijven en kunnen schaalvoordelen worden bereikt. Zo wordt er onder andere samengewerkt binnen het Europese samenwerkingsverband voor </w:t>
      </w:r>
      <w:r w:rsidRPr="00D81AA3">
        <w:rPr>
          <w:i/>
          <w:szCs w:val="18"/>
        </w:rPr>
        <w:t xml:space="preserve">Space Surveillance </w:t>
      </w:r>
      <w:proofErr w:type="spellStart"/>
      <w:r w:rsidRPr="00D81AA3">
        <w:rPr>
          <w:i/>
          <w:szCs w:val="18"/>
        </w:rPr>
        <w:t>and</w:t>
      </w:r>
      <w:proofErr w:type="spellEnd"/>
      <w:r w:rsidRPr="00D81AA3">
        <w:rPr>
          <w:i/>
          <w:szCs w:val="18"/>
        </w:rPr>
        <w:t xml:space="preserve"> Tracking</w:t>
      </w:r>
      <w:r w:rsidRPr="00D81AA3">
        <w:rPr>
          <w:szCs w:val="18"/>
        </w:rPr>
        <w:t xml:space="preserve"> (SST), waarin 15</w:t>
      </w:r>
      <w:r w:rsidR="00BC3829">
        <w:rPr>
          <w:szCs w:val="18"/>
        </w:rPr>
        <w:t> </w:t>
      </w:r>
      <w:r w:rsidRPr="00D81AA3">
        <w:rPr>
          <w:szCs w:val="18"/>
        </w:rPr>
        <w:t xml:space="preserve">EU-lidstaten hun kennis en middelen bundelen om </w:t>
      </w:r>
      <w:proofErr w:type="spellStart"/>
      <w:r w:rsidRPr="00D81AA3">
        <w:rPr>
          <w:szCs w:val="18"/>
        </w:rPr>
        <w:t>om</w:t>
      </w:r>
      <w:proofErr w:type="spellEnd"/>
      <w:r w:rsidRPr="00D81AA3">
        <w:rPr>
          <w:szCs w:val="18"/>
        </w:rPr>
        <w:t xml:space="preserve"> via het door </w:t>
      </w:r>
      <w:r w:rsidRPr="00D81AA3">
        <w:rPr>
          <w:i/>
          <w:szCs w:val="18"/>
        </w:rPr>
        <w:t xml:space="preserve">EU Space </w:t>
      </w:r>
      <w:proofErr w:type="spellStart"/>
      <w:r w:rsidRPr="00D81AA3">
        <w:rPr>
          <w:i/>
          <w:szCs w:val="18"/>
        </w:rPr>
        <w:t>Programme</w:t>
      </w:r>
      <w:proofErr w:type="spellEnd"/>
      <w:r w:rsidRPr="00D81AA3">
        <w:rPr>
          <w:szCs w:val="18"/>
        </w:rPr>
        <w:t xml:space="preserve"> (EUSPA) beheerde SST-portaal diensten aan te bieden die dreigingen in de ruimte vroegtijdig signaleren. Deze diensten helpen om botsingen tussen satellieten te voorkomen, ongecontroleerde terugkeer van ruimtepuin richting de aarde te voorspellen en nieuwe brokstukken in de ruimte snel te detecteren en te analyseren.</w:t>
      </w:r>
    </w:p>
    <w:p w:rsidR="00F7728A" w:rsidP="00BC3829" w:rsidRDefault="00F7728A" w14:paraId="50E6BD06" w14:textId="77777777">
      <w:pPr>
        <w:rPr>
          <w:szCs w:val="18"/>
        </w:rPr>
      </w:pPr>
    </w:p>
    <w:p w:rsidRPr="00F7728A" w:rsidR="00F7728A" w:rsidP="00BC3829" w:rsidRDefault="00F7728A" w14:paraId="6FB91F35" w14:textId="77777777">
      <w:pPr>
        <w:rPr>
          <w:szCs w:val="18"/>
        </w:rPr>
      </w:pPr>
      <w:r w:rsidRPr="00F7728A">
        <w:rPr>
          <w:szCs w:val="18"/>
        </w:rPr>
        <w:t xml:space="preserve">Ook de implementatie van de CER- en NIS2-richtlijnen versterkt de weerbaarheid van het ruimtedomein. Via de Wet weerbaarheid kritieke entiteiten en de Cyberbeveiligingswet wordt bezien welke ruimtevaartdiensten en -entiteiten onder deze kaders vallen en hoe cyber- en fysieke risico’s passend worden beheerst. </w:t>
      </w:r>
    </w:p>
    <w:p w:rsidR="00F7728A" w:rsidP="00BC3829" w:rsidRDefault="00F7728A" w14:paraId="450DA65C" w14:textId="77777777">
      <w:pPr>
        <w:rPr>
          <w:szCs w:val="18"/>
        </w:rPr>
      </w:pPr>
    </w:p>
    <w:p w:rsidR="0053061A" w:rsidP="00BC3829" w:rsidRDefault="0053061A" w14:paraId="3DE99ED3" w14:textId="77777777">
      <w:pPr>
        <w:rPr>
          <w:szCs w:val="18"/>
        </w:rPr>
      </w:pPr>
    </w:p>
    <w:p w:rsidRPr="00C91D0F" w:rsidR="0053061A" w:rsidP="00BC3829" w:rsidRDefault="0053061A" w14:paraId="467ED3DA" w14:textId="77777777">
      <w:pPr>
        <w:rPr>
          <w:b/>
          <w:bCs/>
          <w:szCs w:val="18"/>
        </w:rPr>
      </w:pPr>
      <w:r w:rsidRPr="00C91D0F">
        <w:rPr>
          <w:b/>
          <w:bCs/>
          <w:szCs w:val="18"/>
        </w:rPr>
        <w:t>Missie 2: Klimaat en leefomgeving</w:t>
      </w:r>
    </w:p>
    <w:p w:rsidR="0053061A" w:rsidP="00BC3829" w:rsidRDefault="0053061A" w14:paraId="0A922BD0" w14:textId="28D629C4">
      <w:pPr>
        <w:rPr>
          <w:szCs w:val="18"/>
        </w:rPr>
      </w:pPr>
      <w:r w:rsidRPr="00C91D0F">
        <w:rPr>
          <w:szCs w:val="18"/>
        </w:rPr>
        <w:t xml:space="preserve">Sinds de </w:t>
      </w:r>
      <w:r w:rsidRPr="00654EB3" w:rsidR="00654EB3">
        <w:rPr>
          <w:szCs w:val="18"/>
        </w:rPr>
        <w:t xml:space="preserve">Lange-termijn Ruimtevaartagenda </w:t>
      </w:r>
      <w:r w:rsidRPr="00C91D0F">
        <w:rPr>
          <w:szCs w:val="18"/>
        </w:rPr>
        <w:t>is de ontwikkeling gestart van de TANGO-missie</w:t>
      </w:r>
      <w:r w:rsidRPr="00C91D0F">
        <w:rPr>
          <w:rStyle w:val="Voetnootmarkering"/>
          <w:szCs w:val="18"/>
        </w:rPr>
        <w:footnoteReference w:id="3"/>
      </w:r>
      <w:r w:rsidRPr="00C91D0F">
        <w:rPr>
          <w:szCs w:val="18"/>
        </w:rPr>
        <w:t xml:space="preserve">, waarin Nederlandse bedrijven en kennisinstellingen samenwerken aan een satellietsysteem dat broeikasgasemissies wereldwijd per individuele fabriek kan meten. </w:t>
      </w:r>
    </w:p>
    <w:p w:rsidRPr="00C91D0F" w:rsidR="0053061A" w:rsidP="00BC3829" w:rsidRDefault="0053061A" w14:paraId="1686FA3B" w14:textId="77777777">
      <w:pPr>
        <w:rPr>
          <w:szCs w:val="18"/>
        </w:rPr>
      </w:pPr>
    </w:p>
    <w:p w:rsidR="0053061A" w:rsidP="00BC3829" w:rsidRDefault="0053061A" w14:paraId="24A78755" w14:textId="77777777">
      <w:pPr>
        <w:rPr>
          <w:szCs w:val="18"/>
        </w:rPr>
      </w:pPr>
      <w:r w:rsidRPr="00C91D0F">
        <w:rPr>
          <w:szCs w:val="18"/>
        </w:rPr>
        <w:t xml:space="preserve">De ondertekening van het contract tussen het Nederlandse consortium en ESA voor de bouw van de TANGO-missie tijdens het Living </w:t>
      </w:r>
      <w:proofErr w:type="spellStart"/>
      <w:r w:rsidRPr="00C91D0F">
        <w:rPr>
          <w:szCs w:val="18"/>
        </w:rPr>
        <w:t>Planet</w:t>
      </w:r>
      <w:proofErr w:type="spellEnd"/>
      <w:r w:rsidRPr="00C91D0F">
        <w:rPr>
          <w:szCs w:val="18"/>
        </w:rPr>
        <w:t xml:space="preserve"> Symposium 2025 in Wenen was een belangrijk hoogtepunt hierin. TANGO zal broeikasgassen en stikstofdioxide met hoge gevoeligheid en ruimtelijke resolutie meten, waardoor emissies van fabrieken en lekkende infrastructuur nauwkeurig kunnen worden opgespoord. Dit bouwt voort op de sterke Nederlandse positie met onder andere TROPOMI</w:t>
      </w:r>
      <w:r w:rsidRPr="00C91D0F">
        <w:rPr>
          <w:rStyle w:val="Voetnootmarkering"/>
          <w:szCs w:val="18"/>
        </w:rPr>
        <w:footnoteReference w:id="4"/>
      </w:r>
      <w:r w:rsidRPr="00C91D0F">
        <w:rPr>
          <w:szCs w:val="18"/>
        </w:rPr>
        <w:t xml:space="preserve">. </w:t>
      </w:r>
      <w:r w:rsidRPr="002F102B">
        <w:rPr>
          <w:szCs w:val="18"/>
        </w:rPr>
        <w:t xml:space="preserve">Het </w:t>
      </w:r>
      <w:proofErr w:type="spellStart"/>
      <w:r w:rsidRPr="002F102B">
        <w:rPr>
          <w:szCs w:val="18"/>
        </w:rPr>
        <w:t>TROPOspheric</w:t>
      </w:r>
      <w:proofErr w:type="spellEnd"/>
      <w:r w:rsidRPr="002F102B">
        <w:rPr>
          <w:szCs w:val="18"/>
        </w:rPr>
        <w:t xml:space="preserve"> Monitoring Instrument (TROPOMI) is een Nederlands onderzoeksinstrument dat sinds 2017 luchtvervuiling wereldwijd </w:t>
      </w:r>
      <w:r w:rsidRPr="002F102B">
        <w:rPr>
          <w:szCs w:val="18"/>
        </w:rPr>
        <w:lastRenderedPageBreak/>
        <w:t xml:space="preserve">nauwkeurig in kaart brengt, onder meer door de samenstelling van stoffen zoals ozon, fijnstof, koolmonoxide en stikstofdioxide te meten. Het contract </w:t>
      </w:r>
      <w:r>
        <w:rPr>
          <w:szCs w:val="18"/>
        </w:rPr>
        <w:t xml:space="preserve">voor het gebruik van TROPOMI </w:t>
      </w:r>
      <w:r w:rsidRPr="002F102B">
        <w:rPr>
          <w:szCs w:val="18"/>
        </w:rPr>
        <w:t>is verlengd tot en met 2028, waardoor deze data beschikbaar blijft voor gebruikers.</w:t>
      </w:r>
    </w:p>
    <w:p w:rsidRPr="00C91D0F" w:rsidR="0053061A" w:rsidP="00BC3829" w:rsidRDefault="0053061A" w14:paraId="6DAD12EC" w14:textId="77777777">
      <w:pPr>
        <w:rPr>
          <w:szCs w:val="18"/>
        </w:rPr>
      </w:pPr>
    </w:p>
    <w:p w:rsidR="0053061A" w:rsidP="00BC3829" w:rsidRDefault="0053061A" w14:paraId="49FF8745" w14:textId="77777777">
      <w:pPr>
        <w:rPr>
          <w:szCs w:val="18"/>
        </w:rPr>
      </w:pPr>
      <w:r w:rsidRPr="0051517D">
        <w:rPr>
          <w:szCs w:val="18"/>
        </w:rPr>
        <w:t xml:space="preserve">Ook in het datagebruik voor klimaat en leefomgeving is vooruitgang geboekt. De gegevens van het Nederlandse </w:t>
      </w:r>
      <w:proofErr w:type="spellStart"/>
      <w:r w:rsidRPr="0051517D">
        <w:rPr>
          <w:szCs w:val="18"/>
        </w:rPr>
        <w:t>SPEXone</w:t>
      </w:r>
      <w:proofErr w:type="spellEnd"/>
      <w:r w:rsidRPr="0051517D">
        <w:rPr>
          <w:szCs w:val="18"/>
        </w:rPr>
        <w:t>-instrument (als onderdeel van de NASA PACE-missie</w:t>
      </w:r>
      <w:r>
        <w:rPr>
          <w:rStyle w:val="Voetnootmarkering"/>
          <w:szCs w:val="18"/>
        </w:rPr>
        <w:footnoteReference w:id="5"/>
      </w:r>
      <w:r w:rsidRPr="0051517D">
        <w:rPr>
          <w:szCs w:val="18"/>
        </w:rPr>
        <w:t xml:space="preserve">) en de ESA </w:t>
      </w:r>
      <w:proofErr w:type="spellStart"/>
      <w:r w:rsidRPr="0051517D">
        <w:rPr>
          <w:szCs w:val="18"/>
        </w:rPr>
        <w:t>EarthCARE</w:t>
      </w:r>
      <w:proofErr w:type="spellEnd"/>
      <w:r w:rsidRPr="0051517D">
        <w:rPr>
          <w:szCs w:val="18"/>
        </w:rPr>
        <w:t xml:space="preserve">-missie zijn gebruikt om het afkoelende effect van </w:t>
      </w:r>
      <w:proofErr w:type="spellStart"/>
      <w:r w:rsidRPr="0051517D">
        <w:rPr>
          <w:szCs w:val="18"/>
        </w:rPr>
        <w:t>aerosolen</w:t>
      </w:r>
      <w:proofErr w:type="spellEnd"/>
      <w:r w:rsidRPr="0051517D">
        <w:rPr>
          <w:szCs w:val="18"/>
        </w:rPr>
        <w:t xml:space="preserve"> in een klimaatmodel beter in kaart te brengen. Hierdoor is de onzekerheid met circa 30% verminderd, mede dankzij de toepassing van machine </w:t>
      </w:r>
      <w:proofErr w:type="spellStart"/>
      <w:r w:rsidRPr="0051517D">
        <w:rPr>
          <w:szCs w:val="18"/>
        </w:rPr>
        <w:t>learning</w:t>
      </w:r>
      <w:proofErr w:type="spellEnd"/>
      <w:r w:rsidRPr="0051517D">
        <w:rPr>
          <w:szCs w:val="18"/>
        </w:rPr>
        <w:t>.</w:t>
      </w:r>
    </w:p>
    <w:p w:rsidR="0053061A" w:rsidP="00BC3829" w:rsidRDefault="0053061A" w14:paraId="3A213BFC" w14:textId="77777777">
      <w:pPr>
        <w:rPr>
          <w:szCs w:val="18"/>
        </w:rPr>
      </w:pPr>
    </w:p>
    <w:p w:rsidRPr="00C91D0F" w:rsidR="0053061A" w:rsidP="00BC3829" w:rsidRDefault="0053061A" w14:paraId="6AF52F2A" w14:textId="77777777">
      <w:pPr>
        <w:rPr>
          <w:szCs w:val="18"/>
        </w:rPr>
      </w:pPr>
      <w:r w:rsidRPr="0051517D">
        <w:rPr>
          <w:szCs w:val="18"/>
        </w:rPr>
        <w:t xml:space="preserve">Vooruitkijkend worden resultaten verwacht van het </w:t>
      </w:r>
      <w:proofErr w:type="spellStart"/>
      <w:r w:rsidRPr="0051517D">
        <w:rPr>
          <w:szCs w:val="18"/>
        </w:rPr>
        <w:t>EarthInspect</w:t>
      </w:r>
      <w:proofErr w:type="spellEnd"/>
      <w:r w:rsidRPr="0051517D">
        <w:rPr>
          <w:szCs w:val="18"/>
        </w:rPr>
        <w:t xml:space="preserve">-project, gericht op technologieontwikkeling voor zeer nauwkeurige detectie van ammoniakemissies, en van het </w:t>
      </w:r>
      <w:r w:rsidRPr="00C91D0F">
        <w:rPr>
          <w:szCs w:val="18"/>
        </w:rPr>
        <w:t>INFLAMES-project</w:t>
      </w:r>
      <w:r w:rsidRPr="00C91D0F">
        <w:rPr>
          <w:rStyle w:val="Voetnootmarkering"/>
          <w:szCs w:val="18"/>
        </w:rPr>
        <w:footnoteReference w:id="6"/>
      </w:r>
      <w:r w:rsidRPr="00C91D0F">
        <w:rPr>
          <w:szCs w:val="18"/>
        </w:rPr>
        <w:t xml:space="preserve">, </w:t>
      </w:r>
      <w:r w:rsidRPr="0051517D">
        <w:rPr>
          <w:szCs w:val="18"/>
        </w:rPr>
        <w:t>dat satellietdata, modellen en veldonderzoek combineert om de wereldwijde effecten van natuurbranden beter te begrijpen en te voorspellen. Ook is via innovatiegericht inkopen ingezet op de ontwikkeling van toepassingen, onder meer op het gebied van biodiversiteit.</w:t>
      </w:r>
    </w:p>
    <w:p w:rsidR="0053061A" w:rsidP="00BC3829" w:rsidRDefault="0053061A" w14:paraId="5B1F5AF0" w14:textId="77777777">
      <w:pPr>
        <w:rPr>
          <w:szCs w:val="18"/>
        </w:rPr>
      </w:pPr>
      <w:r w:rsidRPr="00175C21">
        <w:rPr>
          <w:szCs w:val="18"/>
        </w:rPr>
        <w:t xml:space="preserve">In de komende periode ligt de nadruk op het daadwerkelijk benutten van deze technologie. Het kabinet werkt aan besluitvorming en verdere ontwikkeling van nieuwe meetinstrumenten, waaronder voor ammoniak en </w:t>
      </w:r>
      <w:proofErr w:type="spellStart"/>
      <w:r w:rsidRPr="00175C21">
        <w:rPr>
          <w:szCs w:val="18"/>
        </w:rPr>
        <w:t>aerosolen</w:t>
      </w:r>
      <w:proofErr w:type="spellEnd"/>
      <w:r w:rsidRPr="00175C21">
        <w:rPr>
          <w:szCs w:val="18"/>
        </w:rPr>
        <w:t>, en zet in op integratie van Nederlandse instrumenten in satellietmissies. Daarnaast wordt het gebruik van satellietdata in beleid en uitvoering verder vergroot, onder meer voor klimaatmonitoring en milieutoepassingen.</w:t>
      </w:r>
    </w:p>
    <w:p w:rsidR="0053061A" w:rsidP="00BC3829" w:rsidRDefault="0053061A" w14:paraId="5CF08C9E" w14:textId="77777777">
      <w:pPr>
        <w:rPr>
          <w:b/>
          <w:bCs/>
          <w:szCs w:val="18"/>
        </w:rPr>
      </w:pPr>
    </w:p>
    <w:p w:rsidRPr="00C91D0F" w:rsidR="0053061A" w:rsidP="00BC3829" w:rsidRDefault="0053061A" w14:paraId="134F64AA" w14:textId="77777777">
      <w:pPr>
        <w:rPr>
          <w:b/>
          <w:bCs/>
          <w:szCs w:val="18"/>
        </w:rPr>
      </w:pPr>
      <w:r w:rsidRPr="00C91D0F">
        <w:rPr>
          <w:b/>
          <w:bCs/>
          <w:szCs w:val="18"/>
        </w:rPr>
        <w:t>Missie 3: Wetenschap</w:t>
      </w:r>
    </w:p>
    <w:p w:rsidR="0053061A" w:rsidP="00BC3829" w:rsidRDefault="0053061A" w14:paraId="67D58A5F" w14:textId="009145D2">
      <w:pPr>
        <w:rPr>
          <w:szCs w:val="18"/>
        </w:rPr>
      </w:pPr>
      <w:r w:rsidRPr="0051517D">
        <w:rPr>
          <w:szCs w:val="18"/>
        </w:rPr>
        <w:t xml:space="preserve">Het kabinet steunt de ontwikkeling van wetenschappelijke instrumenten in een vroege fase via nationale en ESA-programma’s en </w:t>
      </w:r>
      <w:r>
        <w:rPr>
          <w:szCs w:val="18"/>
        </w:rPr>
        <w:t>bouwt hierop verder</w:t>
      </w:r>
      <w:r w:rsidRPr="0051517D">
        <w:rPr>
          <w:szCs w:val="18"/>
        </w:rPr>
        <w:t xml:space="preserve"> sinds de </w:t>
      </w:r>
      <w:r w:rsidRPr="00654EB3" w:rsidR="00654EB3">
        <w:rPr>
          <w:szCs w:val="18"/>
        </w:rPr>
        <w:t>Lange-termijn Ruimtevaartagenda</w:t>
      </w:r>
      <w:r w:rsidRPr="0051517D">
        <w:rPr>
          <w:szCs w:val="18"/>
        </w:rPr>
        <w:t>.</w:t>
      </w:r>
      <w:r>
        <w:rPr>
          <w:szCs w:val="18"/>
        </w:rPr>
        <w:t xml:space="preserve"> </w:t>
      </w:r>
      <w:r w:rsidRPr="0051517D">
        <w:rPr>
          <w:szCs w:val="18"/>
        </w:rPr>
        <w:t xml:space="preserve">Nederland is sterk in astrofysica en aardobservatie. In het kader van de </w:t>
      </w:r>
      <w:r w:rsidRPr="00654EB3" w:rsidR="00654EB3">
        <w:rPr>
          <w:szCs w:val="18"/>
        </w:rPr>
        <w:t xml:space="preserve">Lange-termijn Ruimtevaartagenda </w:t>
      </w:r>
      <w:r w:rsidRPr="0051517D">
        <w:rPr>
          <w:szCs w:val="18"/>
        </w:rPr>
        <w:t xml:space="preserve"> worden deze sterktes verder uitgebouwd door financiering van instrumentontwikkeling en het wetenschappelijk gebruik. Dit leidt tot zichtbare resultaten, waaronder succesvolle Nederlandse voorstellen in Europese selectieprocedures, zoals de NEBULA-missie van SRON, en verdere valorisatie via programma’s als </w:t>
      </w:r>
      <w:proofErr w:type="spellStart"/>
      <w:r w:rsidRPr="0051517D">
        <w:rPr>
          <w:szCs w:val="18"/>
        </w:rPr>
        <w:t>PhiLab</w:t>
      </w:r>
      <w:proofErr w:type="spellEnd"/>
      <w:r w:rsidRPr="0051517D">
        <w:rPr>
          <w:szCs w:val="18"/>
        </w:rPr>
        <w:t xml:space="preserve"> en het Gebruikersondersteuning</w:t>
      </w:r>
      <w:r>
        <w:rPr>
          <w:szCs w:val="18"/>
        </w:rPr>
        <w:t>s</w:t>
      </w:r>
      <w:r w:rsidRPr="0051517D">
        <w:rPr>
          <w:szCs w:val="18"/>
        </w:rPr>
        <w:t>programma.</w:t>
      </w:r>
    </w:p>
    <w:p w:rsidR="00654EB3" w:rsidP="00BC3829" w:rsidRDefault="00654EB3" w14:paraId="4BCCE8DA" w14:textId="77777777">
      <w:pPr>
        <w:rPr>
          <w:szCs w:val="18"/>
        </w:rPr>
      </w:pPr>
    </w:p>
    <w:p w:rsidR="0053061A" w:rsidP="00BC3829" w:rsidRDefault="0053061A" w14:paraId="062A5CB2" w14:textId="77777777">
      <w:pPr>
        <w:rPr>
          <w:szCs w:val="18"/>
        </w:rPr>
      </w:pPr>
      <w:r w:rsidRPr="00C91D0F">
        <w:rPr>
          <w:szCs w:val="18"/>
        </w:rPr>
        <w:t xml:space="preserve">Nederlandse bedrijven en kennisinstellingen leveren daarnaast een zichtbare bijdrage aan internationale missies, waaronder de door gerichte investeringen in de ontwikkeling van instrumentatie voor de ESA </w:t>
      </w:r>
      <w:proofErr w:type="spellStart"/>
      <w:r w:rsidRPr="00C91D0F">
        <w:rPr>
          <w:szCs w:val="18"/>
        </w:rPr>
        <w:t>Athena</w:t>
      </w:r>
      <w:proofErr w:type="spellEnd"/>
      <w:r w:rsidRPr="00C91D0F">
        <w:rPr>
          <w:szCs w:val="18"/>
        </w:rPr>
        <w:t xml:space="preserve">-missie en de zonnepanelen voor de Artemis-maanmissies. Op wetenschappelijk gebied werd succes geoogst met de James Webb Space </w:t>
      </w:r>
      <w:proofErr w:type="spellStart"/>
      <w:r w:rsidRPr="00C91D0F">
        <w:rPr>
          <w:szCs w:val="18"/>
        </w:rPr>
        <w:t>Telescope</w:t>
      </w:r>
      <w:proofErr w:type="spellEnd"/>
      <w:r w:rsidRPr="00C91D0F">
        <w:rPr>
          <w:szCs w:val="18"/>
        </w:rPr>
        <w:t xml:space="preserve">. </w:t>
      </w:r>
    </w:p>
    <w:p w:rsidRPr="00C91D0F" w:rsidR="0053061A" w:rsidP="00BC3829" w:rsidRDefault="0053061A" w14:paraId="721E60D0" w14:textId="77777777">
      <w:pPr>
        <w:rPr>
          <w:szCs w:val="18"/>
        </w:rPr>
      </w:pPr>
    </w:p>
    <w:p w:rsidR="0053061A" w:rsidP="00BC3829" w:rsidRDefault="0053061A" w14:paraId="2232C7A5" w14:textId="77777777">
      <w:pPr>
        <w:rPr>
          <w:szCs w:val="18"/>
        </w:rPr>
      </w:pPr>
      <w:r w:rsidRPr="009F4B0F">
        <w:rPr>
          <w:szCs w:val="18"/>
        </w:rPr>
        <w:lastRenderedPageBreak/>
        <w:t xml:space="preserve">Vooruitkijkend kan het instrumentenprogramma Nederland in een goede positie brengen voor toekomstige ESA-missies, waaronder de NEBULA-missie. Ook is er perspectief op bijdragen aan internationale missies, zoals </w:t>
      </w:r>
      <w:proofErr w:type="spellStart"/>
      <w:r w:rsidRPr="009F4B0F">
        <w:rPr>
          <w:szCs w:val="18"/>
        </w:rPr>
        <w:t>NASA’s</w:t>
      </w:r>
      <w:proofErr w:type="spellEnd"/>
      <w:r>
        <w:rPr>
          <w:szCs w:val="18"/>
        </w:rPr>
        <w:t xml:space="preserve"> </w:t>
      </w:r>
      <w:r w:rsidRPr="00C91D0F">
        <w:rPr>
          <w:szCs w:val="18"/>
        </w:rPr>
        <w:t>HWO</w:t>
      </w:r>
      <w:r w:rsidRPr="00C91D0F">
        <w:rPr>
          <w:rStyle w:val="Voetnootmarkering"/>
          <w:szCs w:val="18"/>
        </w:rPr>
        <w:footnoteReference w:id="7"/>
      </w:r>
      <w:r w:rsidRPr="00C91D0F">
        <w:rPr>
          <w:szCs w:val="18"/>
        </w:rPr>
        <w:t xml:space="preserve">. </w:t>
      </w:r>
      <w:r w:rsidRPr="009F4B0F">
        <w:rPr>
          <w:szCs w:val="18"/>
        </w:rPr>
        <w:t xml:space="preserve">Daarnaast worden wetenschappelijke doorbraken verwacht in het </w:t>
      </w:r>
      <w:proofErr w:type="spellStart"/>
      <w:r w:rsidRPr="009F4B0F">
        <w:rPr>
          <w:szCs w:val="18"/>
        </w:rPr>
        <w:t>exoplaneetonderzoek</w:t>
      </w:r>
      <w:proofErr w:type="spellEnd"/>
      <w:r w:rsidRPr="009F4B0F">
        <w:rPr>
          <w:szCs w:val="18"/>
        </w:rPr>
        <w:t xml:space="preserve"> met de</w:t>
      </w:r>
      <w:r>
        <w:rPr>
          <w:szCs w:val="18"/>
        </w:rPr>
        <w:t xml:space="preserve"> </w:t>
      </w:r>
      <w:r w:rsidRPr="00C91D0F">
        <w:rPr>
          <w:szCs w:val="18"/>
        </w:rPr>
        <w:t>PLATO-missie</w:t>
      </w:r>
      <w:r w:rsidRPr="00C91D0F">
        <w:rPr>
          <w:rStyle w:val="Voetnootmarkering"/>
          <w:szCs w:val="18"/>
        </w:rPr>
        <w:footnoteReference w:id="8"/>
      </w:r>
      <w:r w:rsidRPr="00C91D0F">
        <w:rPr>
          <w:szCs w:val="18"/>
        </w:rPr>
        <w:t xml:space="preserve"> </w:t>
      </w:r>
      <w:r w:rsidRPr="009F4B0F">
        <w:rPr>
          <w:szCs w:val="18"/>
        </w:rPr>
        <w:t>die in 2027 door ESA wordt gelanceerd.</w:t>
      </w:r>
    </w:p>
    <w:p w:rsidRPr="00C91D0F" w:rsidR="0053061A" w:rsidP="00BC3829" w:rsidRDefault="0053061A" w14:paraId="29DC60EB" w14:textId="77777777">
      <w:pPr>
        <w:rPr>
          <w:szCs w:val="18"/>
        </w:rPr>
      </w:pPr>
    </w:p>
    <w:p w:rsidRPr="00C91D0F" w:rsidR="0053061A" w:rsidP="00BC3829" w:rsidRDefault="0053061A" w14:paraId="1121DA83" w14:textId="77777777">
      <w:pPr>
        <w:rPr>
          <w:szCs w:val="18"/>
        </w:rPr>
      </w:pPr>
      <w:r>
        <w:rPr>
          <w:szCs w:val="18"/>
        </w:rPr>
        <w:t xml:space="preserve">Er wordt vanuit Nederland over de periode 2026-2028 in totaal € 102,4 miljoen bijgedragen aan het ESA </w:t>
      </w:r>
      <w:proofErr w:type="spellStart"/>
      <w:r>
        <w:rPr>
          <w:szCs w:val="18"/>
        </w:rPr>
        <w:t>Science</w:t>
      </w:r>
      <w:proofErr w:type="spellEnd"/>
      <w:r>
        <w:rPr>
          <w:szCs w:val="18"/>
        </w:rPr>
        <w:t xml:space="preserve"> </w:t>
      </w:r>
      <w:proofErr w:type="spellStart"/>
      <w:r>
        <w:rPr>
          <w:szCs w:val="18"/>
        </w:rPr>
        <w:t>Programme</w:t>
      </w:r>
      <w:proofErr w:type="spellEnd"/>
      <w:r>
        <w:rPr>
          <w:szCs w:val="18"/>
        </w:rPr>
        <w:t xml:space="preserve">. Daarnaast is er ondersteunend nationaal flankerend beleid. </w:t>
      </w:r>
      <w:r w:rsidRPr="0051517D">
        <w:rPr>
          <w:szCs w:val="18"/>
        </w:rPr>
        <w:t>Bezuinigingen hebben ertoe geleid dat het Gebruikersondersteuningsprogramma van NWO in de komende jaren zal worden afgebouwd. Als gevolg hiervan wordt het eerder gecommuniceerde nationale flankerende budget van OCW verlaagd van</w:t>
      </w:r>
      <w:r>
        <w:rPr>
          <w:szCs w:val="18"/>
        </w:rPr>
        <w:t xml:space="preserve"> </w:t>
      </w:r>
      <w:r w:rsidRPr="00C91D0F">
        <w:rPr>
          <w:szCs w:val="18"/>
        </w:rPr>
        <w:t>€ 15,8 miljoen</w:t>
      </w:r>
      <w:r w:rsidRPr="00C91D0F">
        <w:rPr>
          <w:rStyle w:val="Voetnootmarkering"/>
          <w:szCs w:val="18"/>
        </w:rPr>
        <w:footnoteReference w:id="9"/>
      </w:r>
      <w:r w:rsidRPr="00C91D0F">
        <w:rPr>
          <w:szCs w:val="18"/>
        </w:rPr>
        <w:t xml:space="preserve"> </w:t>
      </w:r>
      <w:r w:rsidRPr="0051517D">
        <w:rPr>
          <w:szCs w:val="18"/>
        </w:rPr>
        <w:t>naar € 13,6 miljoen voor de jaren 2026–2028. NWO zal zich inzetten om het ruimtedomein meer algemeen te verankeren als onderwerp in de financieringsprogramma’s.</w:t>
      </w:r>
    </w:p>
    <w:p w:rsidR="0053061A" w:rsidP="00BC3829" w:rsidRDefault="0053061A" w14:paraId="5AC897B3" w14:textId="60303366">
      <w:pPr>
        <w:rPr>
          <w:szCs w:val="18"/>
        </w:rPr>
      </w:pPr>
      <w:r w:rsidRPr="0051517D">
        <w:rPr>
          <w:szCs w:val="18"/>
        </w:rPr>
        <w:t xml:space="preserve">De komende periode richt het kabinet zich op het scherper prioriteren van de nationale inzet binnen aardobservatie en planeetonderzoek, het versterken van de koppeling tussen wetenschap en toepassingen en een heroriëntatie op internationale samenwerking. Als eerste concrete stap wordt onder de </w:t>
      </w:r>
      <w:proofErr w:type="spellStart"/>
      <w:r w:rsidRPr="0051517D">
        <w:rPr>
          <w:szCs w:val="18"/>
        </w:rPr>
        <w:t>governance</w:t>
      </w:r>
      <w:proofErr w:type="spellEnd"/>
      <w:r w:rsidRPr="0051517D">
        <w:rPr>
          <w:szCs w:val="18"/>
        </w:rPr>
        <w:t xml:space="preserve"> van de </w:t>
      </w:r>
      <w:r w:rsidRPr="00654EB3" w:rsidR="00654EB3">
        <w:rPr>
          <w:szCs w:val="18"/>
        </w:rPr>
        <w:t xml:space="preserve">Lange-termijn Ruimtevaartagenda </w:t>
      </w:r>
      <w:r w:rsidRPr="0051517D">
        <w:rPr>
          <w:szCs w:val="18"/>
        </w:rPr>
        <w:t>gewerkt aan de oprichting van een thematische werkgroep wetenschap.</w:t>
      </w:r>
    </w:p>
    <w:p w:rsidR="0053061A" w:rsidP="00BC3829" w:rsidRDefault="0053061A" w14:paraId="5C708C23" w14:textId="77777777">
      <w:pPr>
        <w:rPr>
          <w:szCs w:val="18"/>
        </w:rPr>
      </w:pPr>
    </w:p>
    <w:p w:rsidRPr="00C91D0F" w:rsidR="0053061A" w:rsidP="00BC3829" w:rsidRDefault="0053061A" w14:paraId="64BCF9F2" w14:textId="77777777">
      <w:pPr>
        <w:rPr>
          <w:b/>
          <w:bCs/>
          <w:szCs w:val="18"/>
        </w:rPr>
      </w:pPr>
      <w:r w:rsidRPr="00C91D0F">
        <w:rPr>
          <w:b/>
          <w:bCs/>
          <w:szCs w:val="18"/>
        </w:rPr>
        <w:t>Missie 4: Gebruik satellietdata</w:t>
      </w:r>
    </w:p>
    <w:p w:rsidR="0053061A" w:rsidP="00BC3829" w:rsidRDefault="0053061A" w14:paraId="40CDB3F2" w14:textId="77777777">
      <w:pPr>
        <w:rPr>
          <w:szCs w:val="18"/>
        </w:rPr>
      </w:pPr>
      <w:r>
        <w:rPr>
          <w:szCs w:val="18"/>
        </w:rPr>
        <w:t xml:space="preserve">Het </w:t>
      </w:r>
      <w:r w:rsidRPr="00C91D0F">
        <w:rPr>
          <w:szCs w:val="18"/>
        </w:rPr>
        <w:t>kabinet</w:t>
      </w:r>
      <w:r>
        <w:rPr>
          <w:szCs w:val="18"/>
        </w:rPr>
        <w:t xml:space="preserve"> heeft</w:t>
      </w:r>
      <w:r w:rsidRPr="00C91D0F">
        <w:rPr>
          <w:szCs w:val="18"/>
        </w:rPr>
        <w:t xml:space="preserve"> de beschikbaarheid van hoge-resolutie satellietdata geborgd via het </w:t>
      </w:r>
      <w:proofErr w:type="spellStart"/>
      <w:r w:rsidRPr="00C91D0F">
        <w:rPr>
          <w:szCs w:val="18"/>
        </w:rPr>
        <w:t>Satellietdataportaal</w:t>
      </w:r>
      <w:proofErr w:type="spellEnd"/>
      <w:r w:rsidRPr="00C91D0F">
        <w:rPr>
          <w:szCs w:val="18"/>
        </w:rPr>
        <w:t>, waardoor publieke en private partijen toegang houden tot essentiële data. Daarnaast is de samenwerking tussen uitvoeringsorganisaties zoals CBS, NVWA en RVO versterkt om satellietdata te vertalen naar concrete dataproducten. Ook op regionaal en lokaal niveau zijn toepassingen ontwikkeld, onder meer voor waterbeheer en slimme steden, waarbij Nederlandse bedrijven betrokken zijn. Tot slot is het initiatief GEO Netherlands</w:t>
      </w:r>
      <w:r>
        <w:rPr>
          <w:rStyle w:val="Voetnootmarkering"/>
          <w:szCs w:val="18"/>
        </w:rPr>
        <w:footnoteReference w:id="10"/>
      </w:r>
      <w:r w:rsidRPr="00C91D0F">
        <w:rPr>
          <w:szCs w:val="18"/>
        </w:rPr>
        <w:t xml:space="preserve"> opgezet om de samenwerking tussen overheid, kennisinstellingen en bedrijfsleven te versterken bij het gebruik en bredere toepassing van satellietdata te bevorderen.</w:t>
      </w:r>
    </w:p>
    <w:p w:rsidR="0053061A" w:rsidP="00BC3829" w:rsidRDefault="0053061A" w14:paraId="2E7D2E7F" w14:textId="77777777">
      <w:pPr>
        <w:rPr>
          <w:szCs w:val="18"/>
        </w:rPr>
      </w:pPr>
      <w:r w:rsidRPr="009F4B0F">
        <w:rPr>
          <w:szCs w:val="18"/>
        </w:rPr>
        <w:t>Satellietdata worden in toenemende mate toegepast in beleid en uitvoering, onder meer voor klimaatmonitoring, milieutoepassingen en toezicht. Door het combineren van satellietdata met andere databronnen ontstaan nieuwe inzichten die bijdragen aan effectiever en gerichter beleid.</w:t>
      </w:r>
    </w:p>
    <w:p w:rsidRPr="00C91D0F" w:rsidR="0053061A" w:rsidP="00BC3829" w:rsidRDefault="0053061A" w14:paraId="767868A3" w14:textId="77777777">
      <w:pPr>
        <w:rPr>
          <w:szCs w:val="18"/>
        </w:rPr>
      </w:pPr>
    </w:p>
    <w:p w:rsidRPr="00C91D0F" w:rsidR="0053061A" w:rsidP="00BC3829" w:rsidRDefault="0053061A" w14:paraId="136D80FA" w14:textId="186BE6E3">
      <w:pPr>
        <w:rPr>
          <w:szCs w:val="18"/>
        </w:rPr>
      </w:pPr>
      <w:r w:rsidRPr="00C91D0F">
        <w:rPr>
          <w:szCs w:val="18"/>
        </w:rPr>
        <w:t xml:space="preserve">De komende periode staat in het teken van opschaling en structurele inbedding. Het kabinet werkt aan een betere koppeling van satellietdata met </w:t>
      </w:r>
      <w:proofErr w:type="spellStart"/>
      <w:r w:rsidRPr="00C91D0F">
        <w:rPr>
          <w:szCs w:val="18"/>
        </w:rPr>
        <w:t>geodata</w:t>
      </w:r>
      <w:proofErr w:type="spellEnd"/>
      <w:r w:rsidRPr="00C91D0F">
        <w:rPr>
          <w:szCs w:val="18"/>
        </w:rPr>
        <w:t xml:space="preserve"> en initiatieven zoals </w:t>
      </w:r>
      <w:r w:rsidRPr="24746FC3">
        <w:rPr>
          <w:i/>
          <w:iCs/>
          <w:szCs w:val="18"/>
        </w:rPr>
        <w:t xml:space="preserve">digital </w:t>
      </w:r>
      <w:proofErr w:type="spellStart"/>
      <w:r w:rsidRPr="24746FC3">
        <w:rPr>
          <w:i/>
          <w:iCs/>
          <w:szCs w:val="18"/>
        </w:rPr>
        <w:t>twins</w:t>
      </w:r>
      <w:proofErr w:type="spellEnd"/>
      <w:r w:rsidRPr="00C91D0F">
        <w:rPr>
          <w:szCs w:val="18"/>
        </w:rPr>
        <w:t xml:space="preserve">, zet in op het wegnemen van juridische en organisatorische belemmeringen </w:t>
      </w:r>
      <w:r w:rsidRPr="002777EB">
        <w:rPr>
          <w:szCs w:val="18"/>
        </w:rPr>
        <w:t xml:space="preserve">en </w:t>
      </w:r>
      <w:r w:rsidRPr="00F34E19" w:rsidR="007B171A">
        <w:rPr>
          <w:szCs w:val="18"/>
        </w:rPr>
        <w:t xml:space="preserve">op het nemen van adequate en proportionele </w:t>
      </w:r>
      <w:r w:rsidRPr="00F34E19" w:rsidR="007B171A">
        <w:rPr>
          <w:szCs w:val="18"/>
        </w:rPr>
        <w:lastRenderedPageBreak/>
        <w:t>veiligheidsmaatregelen,</w:t>
      </w:r>
      <w:r w:rsidRPr="007B171A" w:rsidR="007B171A">
        <w:rPr>
          <w:i/>
          <w:iCs/>
          <w:szCs w:val="18"/>
        </w:rPr>
        <w:t xml:space="preserve"> </w:t>
      </w:r>
      <w:r w:rsidRPr="00C91D0F">
        <w:rPr>
          <w:szCs w:val="18"/>
        </w:rPr>
        <w:t>en stimuleert toepassingen die daadwerkelijk worden geïmplementeerd in de uitvoering. Daarnaast wordt gewerkt aan het beter inzichtelijk maken van de maatschappelijke en economische meerwaarde van het gebruik van satellietdata.</w:t>
      </w:r>
      <w:r w:rsidRPr="00D23D78" w:rsidR="007B171A">
        <w:rPr>
          <w:rFonts w:ascii="Aptos" w:hAnsi="Aptos" w:cs="Aptos" w:eastAsiaTheme="minorHAnsi"/>
          <w:i/>
          <w:iCs/>
          <w:sz w:val="22"/>
          <w:szCs w:val="22"/>
          <w:lang w:eastAsia="en-US"/>
          <w14:ligatures w14:val="standardContextual"/>
        </w:rPr>
        <w:t xml:space="preserve"> </w:t>
      </w:r>
      <w:r w:rsidRPr="00F34E19" w:rsidR="007B171A">
        <w:rPr>
          <w:szCs w:val="18"/>
        </w:rPr>
        <w:t>Waar veiligheidsrisico’s daartoe aanleiding geven, kunnen maatregelen rond openbaar beschikbare satellietbeelden worden bezien, waarbij steeds een zorgvuldige afweging plaatsvindt tussen veiligheidsbelangen en de impact op legitieme gebruikers, innovatie en maatschappelijke toepassingen.</w:t>
      </w:r>
      <w:r w:rsidRPr="007B171A" w:rsidR="007B171A">
        <w:rPr>
          <w:i/>
          <w:iCs/>
          <w:szCs w:val="18"/>
        </w:rPr>
        <w:t xml:space="preserve"> </w:t>
      </w:r>
    </w:p>
    <w:p w:rsidRPr="00C91D0F" w:rsidR="0053061A" w:rsidP="00BC3829" w:rsidRDefault="0053061A" w14:paraId="6AF9AB31" w14:textId="77777777">
      <w:pPr>
        <w:rPr>
          <w:szCs w:val="18"/>
        </w:rPr>
      </w:pPr>
    </w:p>
    <w:p w:rsidRPr="00C91D0F" w:rsidR="0053061A" w:rsidP="00BC3829" w:rsidRDefault="0053061A" w14:paraId="072975BC" w14:textId="77777777">
      <w:pPr>
        <w:rPr>
          <w:b/>
          <w:bCs/>
          <w:szCs w:val="18"/>
        </w:rPr>
      </w:pPr>
      <w:r w:rsidRPr="00C91D0F">
        <w:rPr>
          <w:b/>
          <w:bCs/>
          <w:szCs w:val="18"/>
        </w:rPr>
        <w:t>Missie 5: Versterking verdienvermogen</w:t>
      </w:r>
    </w:p>
    <w:p w:rsidRPr="009F4B0F" w:rsidR="0053061A" w:rsidP="00BC3829" w:rsidRDefault="0053061A" w14:paraId="5C965562" w14:textId="77777777">
      <w:pPr>
        <w:rPr>
          <w:szCs w:val="18"/>
        </w:rPr>
      </w:pPr>
      <w:r w:rsidRPr="009F4B0F">
        <w:rPr>
          <w:szCs w:val="18"/>
        </w:rPr>
        <w:t xml:space="preserve">Het kabinet investeert in de Nederlandse ruimtevaartsector via de </w:t>
      </w:r>
      <w:r w:rsidRPr="24746FC3">
        <w:rPr>
          <w:i/>
          <w:iCs/>
          <w:szCs w:val="18"/>
        </w:rPr>
        <w:t>European Space Agency</w:t>
      </w:r>
      <w:r w:rsidRPr="009F4B0F">
        <w:rPr>
          <w:szCs w:val="18"/>
        </w:rPr>
        <w:t xml:space="preserve"> (ESA). Bij de Ministeriële Conferentie in november 2025 heeft het kabinet aangekondigd in de periode 2026–2028 in totaal € 450 miljoen te investeren via ESA. Door het </w:t>
      </w:r>
      <w:proofErr w:type="spellStart"/>
      <w:r w:rsidRPr="009F4B0F">
        <w:rPr>
          <w:szCs w:val="18"/>
        </w:rPr>
        <w:t>geo</w:t>
      </w:r>
      <w:proofErr w:type="spellEnd"/>
      <w:r w:rsidRPr="009F4B0F">
        <w:rPr>
          <w:szCs w:val="18"/>
        </w:rPr>
        <w:t>-returnprincipe vloeien deze investeringen rechtstreeks terug naar opdrachten voor Nederlandse industriële partijen en kennisinstellingen.</w:t>
      </w:r>
    </w:p>
    <w:p w:rsidR="000E3421" w:rsidP="00BC3829" w:rsidRDefault="0053061A" w14:paraId="20F6AF6D" w14:textId="1634E6DD">
      <w:r w:rsidRPr="009F4B0F">
        <w:rPr>
          <w:szCs w:val="18"/>
        </w:rPr>
        <w:t xml:space="preserve">Van dit bedrag is € 109 miljoen incidenteel toegevoegd; bij een eventuele volgende inschrijving zal dit budget niet vanzelfsprekend opnieuw beschikbaar zijn. Met de huidige bijdrage van € 450 miljoen wordt de in de </w:t>
      </w:r>
      <w:r w:rsidRPr="00654EB3" w:rsidR="00654EB3">
        <w:rPr>
          <w:szCs w:val="18"/>
        </w:rPr>
        <w:t xml:space="preserve">Lange-termijn Ruimtevaartagenda </w:t>
      </w:r>
      <w:r w:rsidRPr="009F4B0F">
        <w:rPr>
          <w:szCs w:val="18"/>
        </w:rPr>
        <w:t>geschetste uitbreiding van het ESA-budget nog niet bereikt. Om dit ambitieniveau te realiseren en de positie van Nederland binnen ESA duurzaam te versterken, zijn op termijn aanvullende structurele middelen nodig.</w:t>
      </w:r>
      <w:r w:rsidRPr="0053061A">
        <w:t xml:space="preserve"> </w:t>
      </w:r>
      <w:r w:rsidRPr="00F34E19" w:rsidR="000E3421">
        <w:t>Zoals gebruikelijk vindt eventuele besluitvorming hierover plaats in het voorjaar.</w:t>
      </w:r>
    </w:p>
    <w:p w:rsidR="000E3421" w:rsidP="00BC3829" w:rsidRDefault="000E3421" w14:paraId="7088CCDF" w14:textId="77777777"/>
    <w:p w:rsidR="0053061A" w:rsidP="00BC3829" w:rsidRDefault="0053061A" w14:paraId="0E567143" w14:textId="13A4312A">
      <w:pPr>
        <w:rPr>
          <w:szCs w:val="18"/>
        </w:rPr>
      </w:pPr>
      <w:r w:rsidRPr="0053061A">
        <w:rPr>
          <w:szCs w:val="18"/>
        </w:rPr>
        <w:t xml:space="preserve">De NL Space Campus in Noordwijk is verder ontwikkeld, onder meer met de ingebruikname van het </w:t>
      </w:r>
      <w:proofErr w:type="spellStart"/>
      <w:r w:rsidRPr="0053061A">
        <w:rPr>
          <w:szCs w:val="18"/>
        </w:rPr>
        <w:t>CometLab</w:t>
      </w:r>
      <w:proofErr w:type="spellEnd"/>
      <w:r w:rsidRPr="0053061A">
        <w:rPr>
          <w:szCs w:val="18"/>
        </w:rPr>
        <w:t xml:space="preserve"> en</w:t>
      </w:r>
      <w:r>
        <w:rPr>
          <w:szCs w:val="18"/>
        </w:rPr>
        <w:t xml:space="preserve"> de ontwikkeling van</w:t>
      </w:r>
      <w:r w:rsidRPr="0053061A">
        <w:rPr>
          <w:szCs w:val="18"/>
        </w:rPr>
        <w:t xml:space="preserve"> een gezamenlijk uitvoeringsprogramma van Rijk en regio.</w:t>
      </w:r>
      <w:r w:rsidR="000E3421">
        <w:rPr>
          <w:szCs w:val="18"/>
        </w:rPr>
        <w:t xml:space="preserve"> Dit uitvoeringsprogramma wordt rond de zomer gepubliceerd vanuit de provincie Zuid-Holland, de gemeente Noordwijk, de Netherlands Space Agency en het ministerie van EZK conform de motie Postma c.s.</w:t>
      </w:r>
      <w:r w:rsidR="000E3421">
        <w:rPr>
          <w:rStyle w:val="Voetnootmarkering"/>
          <w:szCs w:val="18"/>
        </w:rPr>
        <w:footnoteReference w:id="11"/>
      </w:r>
      <w:r w:rsidR="000E3421">
        <w:rPr>
          <w:szCs w:val="18"/>
        </w:rPr>
        <w:t xml:space="preserve">. </w:t>
      </w:r>
    </w:p>
    <w:p w:rsidRPr="009F4B0F" w:rsidR="0053061A" w:rsidP="00BC3829" w:rsidRDefault="0053061A" w14:paraId="058A7599" w14:textId="77777777">
      <w:pPr>
        <w:rPr>
          <w:szCs w:val="18"/>
        </w:rPr>
      </w:pPr>
    </w:p>
    <w:p w:rsidR="0053061A" w:rsidP="00BC3829" w:rsidRDefault="0053061A" w14:paraId="2543D6F5" w14:textId="77777777">
      <w:pPr>
        <w:rPr>
          <w:szCs w:val="18"/>
        </w:rPr>
      </w:pPr>
      <w:r w:rsidRPr="009F4B0F">
        <w:rPr>
          <w:szCs w:val="18"/>
        </w:rPr>
        <w:t xml:space="preserve">In het kader van missie 5 is daarnaast ingezet op talentontwikkeling en het stimuleren van jongeren om het ruimtedomein te verkennen, onder meer via het ESERO-programma en het Space4Talent-onderzoek. In maart en april 2026 vonden de lancering en jurering van de </w:t>
      </w:r>
      <w:proofErr w:type="spellStart"/>
      <w:r w:rsidRPr="009F4B0F">
        <w:rPr>
          <w:szCs w:val="18"/>
        </w:rPr>
        <w:t>CanSat</w:t>
      </w:r>
      <w:proofErr w:type="spellEnd"/>
      <w:r w:rsidRPr="009F4B0F">
        <w:rPr>
          <w:szCs w:val="18"/>
        </w:rPr>
        <w:t>-competitie plaats. Daarnaast hebben in oktober 2025, tijdens de Nederlandse ‘</w:t>
      </w:r>
      <w:r>
        <w:rPr>
          <w:szCs w:val="18"/>
        </w:rPr>
        <w:t>S</w:t>
      </w:r>
      <w:r w:rsidRPr="009F4B0F">
        <w:rPr>
          <w:szCs w:val="18"/>
        </w:rPr>
        <w:t xml:space="preserve">pace </w:t>
      </w:r>
      <w:r>
        <w:rPr>
          <w:szCs w:val="18"/>
        </w:rPr>
        <w:t>W</w:t>
      </w:r>
      <w:r w:rsidRPr="009F4B0F">
        <w:rPr>
          <w:szCs w:val="18"/>
        </w:rPr>
        <w:t xml:space="preserve">eek’, vele ruimtevaartprofessionals een les gegeven op basisscholen in het kader van ‘Space </w:t>
      </w:r>
      <w:proofErr w:type="spellStart"/>
      <w:r w:rsidRPr="009F4B0F">
        <w:rPr>
          <w:szCs w:val="18"/>
        </w:rPr>
        <w:t>goes</w:t>
      </w:r>
      <w:proofErr w:type="spellEnd"/>
      <w:r w:rsidRPr="009F4B0F">
        <w:rPr>
          <w:szCs w:val="18"/>
        </w:rPr>
        <w:t xml:space="preserve"> </w:t>
      </w:r>
      <w:proofErr w:type="spellStart"/>
      <w:r w:rsidRPr="009F4B0F">
        <w:rPr>
          <w:szCs w:val="18"/>
        </w:rPr>
        <w:t>to</w:t>
      </w:r>
      <w:proofErr w:type="spellEnd"/>
      <w:r>
        <w:rPr>
          <w:szCs w:val="18"/>
        </w:rPr>
        <w:t xml:space="preserve"> </w:t>
      </w:r>
      <w:r w:rsidRPr="00C91D0F">
        <w:rPr>
          <w:szCs w:val="18"/>
        </w:rPr>
        <w:t>school’</w:t>
      </w:r>
      <w:r w:rsidRPr="00C91D0F">
        <w:rPr>
          <w:rStyle w:val="Voetnootmarkering"/>
          <w:szCs w:val="18"/>
        </w:rPr>
        <w:footnoteReference w:id="12"/>
      </w:r>
      <w:r w:rsidRPr="00C91D0F">
        <w:rPr>
          <w:szCs w:val="18"/>
        </w:rPr>
        <w:t xml:space="preserve">. </w:t>
      </w:r>
    </w:p>
    <w:p w:rsidRPr="00C91D0F" w:rsidR="0053061A" w:rsidP="00BC3829" w:rsidRDefault="0053061A" w14:paraId="17277DC6" w14:textId="77777777">
      <w:pPr>
        <w:rPr>
          <w:szCs w:val="18"/>
        </w:rPr>
      </w:pPr>
    </w:p>
    <w:p w:rsidR="0053061A" w:rsidP="00BC3829" w:rsidRDefault="0053061A" w14:paraId="369A30A6" w14:textId="77777777">
      <w:pPr>
        <w:rPr>
          <w:szCs w:val="18"/>
        </w:rPr>
      </w:pPr>
      <w:r w:rsidRPr="009F4B0F">
        <w:rPr>
          <w:szCs w:val="18"/>
        </w:rPr>
        <w:t xml:space="preserve">In de komende periode richt het kabinet zich op het vergroten van deelname aan Europese programma’s zoals Horizon Europe, CASSINI en het Europees Defensiefonds, het versterken van de samenhang in technologieontwikkeling, inclusief </w:t>
      </w:r>
      <w:proofErr w:type="spellStart"/>
      <w:r w:rsidRPr="009F4B0F">
        <w:rPr>
          <w:szCs w:val="18"/>
        </w:rPr>
        <w:t>dual-use</w:t>
      </w:r>
      <w:proofErr w:type="spellEnd"/>
      <w:r w:rsidRPr="009F4B0F">
        <w:rPr>
          <w:szCs w:val="18"/>
        </w:rPr>
        <w:t xml:space="preserve"> toepassingen, en de verdere ontwikkeling van het ecosysteem, </w:t>
      </w:r>
      <w:r w:rsidRPr="009F4B0F">
        <w:rPr>
          <w:szCs w:val="18"/>
        </w:rPr>
        <w:lastRenderedPageBreak/>
        <w:t>inclusief talent en regionale clusters. Daarnaast is een thematische werkgroep Industrie &amp; Innovatie gestart, gericht op het versterken van het industriebeleid binnen het ruimtedomein.</w:t>
      </w:r>
    </w:p>
    <w:p w:rsidR="0053061A" w:rsidP="00BC3829" w:rsidRDefault="0053061A" w14:paraId="05F0D107" w14:textId="77777777">
      <w:pPr>
        <w:rPr>
          <w:szCs w:val="18"/>
        </w:rPr>
      </w:pPr>
    </w:p>
    <w:p w:rsidR="0053061A" w:rsidP="00BC3829" w:rsidRDefault="0053061A" w14:paraId="54491A42" w14:textId="77777777">
      <w:pPr>
        <w:rPr>
          <w:szCs w:val="18"/>
        </w:rPr>
      </w:pPr>
      <w:r>
        <w:rPr>
          <w:szCs w:val="18"/>
        </w:rPr>
        <w:t>Op 9 april 2025</w:t>
      </w:r>
      <w:r w:rsidRPr="009F4B0F">
        <w:rPr>
          <w:szCs w:val="18"/>
        </w:rPr>
        <w:t xml:space="preserve"> is </w:t>
      </w:r>
      <w:r>
        <w:rPr>
          <w:szCs w:val="18"/>
        </w:rPr>
        <w:t xml:space="preserve">tijdens het commissiedebat Ruimtevaart gevraagd of EZK en OCW </w:t>
      </w:r>
      <w:r w:rsidRPr="009F4B0F">
        <w:rPr>
          <w:szCs w:val="18"/>
        </w:rPr>
        <w:t xml:space="preserve">voor uw Kamer inzichtelijk </w:t>
      </w:r>
      <w:r>
        <w:rPr>
          <w:szCs w:val="18"/>
        </w:rPr>
        <w:t xml:space="preserve">kunnen </w:t>
      </w:r>
      <w:r w:rsidRPr="009F4B0F">
        <w:rPr>
          <w:szCs w:val="18"/>
        </w:rPr>
        <w:t>maken wat de bezuinigingen op innovatie, onderwijs, onderzoek en wetenschap betekenen voor ruimtevaart. Deze inzichten kunnen echter niet door respectievelijk EZK of OCW worden gegeven, omdat de Rijksoverheid een stelselverantwoordelijkheid heeft</w:t>
      </w:r>
      <w:r>
        <w:rPr>
          <w:szCs w:val="18"/>
        </w:rPr>
        <w:t>. I</w:t>
      </w:r>
      <w:r w:rsidRPr="009F4B0F">
        <w:rPr>
          <w:szCs w:val="18"/>
        </w:rPr>
        <w:t xml:space="preserve">ndividuele kennisinstellingen </w:t>
      </w:r>
      <w:r>
        <w:rPr>
          <w:szCs w:val="18"/>
        </w:rPr>
        <w:t xml:space="preserve">bepalen </w:t>
      </w:r>
      <w:r w:rsidRPr="009F4B0F">
        <w:rPr>
          <w:szCs w:val="18"/>
        </w:rPr>
        <w:t>zelf, in medezeggenschap, hoe bezuinigingen worden opgevangen en of deze het ruimtevaartdomein raken.</w:t>
      </w:r>
    </w:p>
    <w:p w:rsidR="0053061A" w:rsidP="00BC3829" w:rsidRDefault="0053061A" w14:paraId="13813A89" w14:textId="77777777">
      <w:pPr>
        <w:rPr>
          <w:szCs w:val="18"/>
        </w:rPr>
      </w:pPr>
    </w:p>
    <w:p w:rsidRPr="00C91D0F" w:rsidR="0053061A" w:rsidP="00BC3829" w:rsidRDefault="0053061A" w14:paraId="5FAF441A" w14:textId="77777777">
      <w:pPr>
        <w:rPr>
          <w:b/>
          <w:bCs/>
          <w:szCs w:val="18"/>
        </w:rPr>
      </w:pPr>
      <w:r w:rsidRPr="00C91D0F">
        <w:rPr>
          <w:b/>
          <w:bCs/>
          <w:szCs w:val="18"/>
        </w:rPr>
        <w:t>Missie 6: Internationaal juridisch kader</w:t>
      </w:r>
    </w:p>
    <w:p w:rsidR="0053061A" w:rsidP="00BC3829" w:rsidRDefault="0053061A" w14:paraId="61D48B56" w14:textId="06896A2E">
      <w:pPr>
        <w:rPr>
          <w:szCs w:val="18"/>
        </w:rPr>
      </w:pPr>
      <w:r w:rsidRPr="00C91D0F">
        <w:rPr>
          <w:szCs w:val="18"/>
        </w:rPr>
        <w:t xml:space="preserve">Sinds de </w:t>
      </w:r>
      <w:r w:rsidRPr="00654EB3" w:rsidR="00654EB3">
        <w:rPr>
          <w:szCs w:val="18"/>
        </w:rPr>
        <w:t xml:space="preserve">Lange-termijn Ruimtevaartagenda </w:t>
      </w:r>
      <w:r w:rsidRPr="00C91D0F">
        <w:rPr>
          <w:szCs w:val="18"/>
        </w:rPr>
        <w:t xml:space="preserve">heeft het kabinet een gecoördineerde Nederlandse inzet geleverd in onderhandelingen over de EU Space Act, de Digital Networks Act en het ruimtevaartprogramma binnen het European </w:t>
      </w:r>
      <w:proofErr w:type="spellStart"/>
      <w:r w:rsidRPr="00C91D0F">
        <w:rPr>
          <w:szCs w:val="18"/>
        </w:rPr>
        <w:t>Competitiveness</w:t>
      </w:r>
      <w:proofErr w:type="spellEnd"/>
      <w:r w:rsidRPr="00C91D0F">
        <w:rPr>
          <w:szCs w:val="18"/>
        </w:rPr>
        <w:t xml:space="preserve"> Fund. Daarmee wordt actief gestuurd op de Europese kaders waarbinnen ruimtevaart zich ontwikkelt.</w:t>
      </w:r>
    </w:p>
    <w:p w:rsidRPr="00C91D0F" w:rsidR="0053061A" w:rsidP="00BC3829" w:rsidRDefault="0053061A" w14:paraId="31D0E71E" w14:textId="77777777">
      <w:pPr>
        <w:rPr>
          <w:szCs w:val="18"/>
        </w:rPr>
      </w:pPr>
    </w:p>
    <w:p w:rsidR="0053061A" w:rsidP="00BC3829" w:rsidRDefault="0053061A" w14:paraId="31F23FAE" w14:textId="60BB1B89">
      <w:pPr>
        <w:rPr>
          <w:szCs w:val="18"/>
        </w:rPr>
      </w:pPr>
      <w:r w:rsidRPr="00C91D0F">
        <w:rPr>
          <w:szCs w:val="18"/>
        </w:rPr>
        <w:t>In de komende periode richt het kabinet zich op de doorvertaling van deze Europese regelgeving naar nationale wetgeving, waaronder de Wet ruimtevaartactiviteiten. Daarnaast blijft Nederland actief deelnemen aan internationale fora zoals COPUOS en wordt gewerkt aan verdere positionering binnen Europese uitvoeringsstructuren, waaronder</w:t>
      </w:r>
      <w:r w:rsidR="00654EB3">
        <w:rPr>
          <w:szCs w:val="18"/>
        </w:rPr>
        <w:t xml:space="preserve"> de</w:t>
      </w:r>
      <w:r w:rsidRPr="00C91D0F">
        <w:rPr>
          <w:szCs w:val="18"/>
        </w:rPr>
        <w:t xml:space="preserve"> </w:t>
      </w:r>
      <w:r w:rsidRPr="00F34E19" w:rsidR="00654EB3">
        <w:rPr>
          <w:i/>
          <w:iCs/>
          <w:szCs w:val="18"/>
        </w:rPr>
        <w:t xml:space="preserve">European Union Agency </w:t>
      </w:r>
      <w:proofErr w:type="spellStart"/>
      <w:r w:rsidRPr="00F34E19" w:rsidR="00654EB3">
        <w:rPr>
          <w:i/>
          <w:iCs/>
          <w:szCs w:val="18"/>
        </w:rPr>
        <w:t>for</w:t>
      </w:r>
      <w:proofErr w:type="spellEnd"/>
      <w:r w:rsidRPr="00F34E19" w:rsidR="00654EB3">
        <w:rPr>
          <w:i/>
          <w:iCs/>
          <w:szCs w:val="18"/>
        </w:rPr>
        <w:t xml:space="preserve"> </w:t>
      </w:r>
      <w:proofErr w:type="spellStart"/>
      <w:r w:rsidRPr="00F34E19" w:rsidR="00654EB3">
        <w:rPr>
          <w:i/>
          <w:iCs/>
          <w:szCs w:val="18"/>
        </w:rPr>
        <w:t>the</w:t>
      </w:r>
      <w:proofErr w:type="spellEnd"/>
      <w:r w:rsidRPr="00F34E19" w:rsidR="00654EB3">
        <w:rPr>
          <w:i/>
          <w:iCs/>
          <w:szCs w:val="18"/>
        </w:rPr>
        <w:t xml:space="preserve"> Space </w:t>
      </w:r>
      <w:proofErr w:type="spellStart"/>
      <w:r w:rsidRPr="00F34E19" w:rsidR="00654EB3">
        <w:rPr>
          <w:i/>
          <w:iCs/>
          <w:szCs w:val="18"/>
        </w:rPr>
        <w:t>Programme</w:t>
      </w:r>
      <w:proofErr w:type="spellEnd"/>
      <w:r w:rsidR="00654EB3">
        <w:rPr>
          <w:szCs w:val="18"/>
        </w:rPr>
        <w:t xml:space="preserve"> (EUSPA)</w:t>
      </w:r>
      <w:r w:rsidRPr="00C91D0F">
        <w:rPr>
          <w:szCs w:val="18"/>
        </w:rPr>
        <w:t>.</w:t>
      </w:r>
    </w:p>
    <w:p w:rsidRPr="00C91D0F" w:rsidR="0053061A" w:rsidP="00BC3829" w:rsidRDefault="0053061A" w14:paraId="44D55656" w14:textId="77777777">
      <w:pPr>
        <w:rPr>
          <w:szCs w:val="18"/>
        </w:rPr>
      </w:pPr>
    </w:p>
    <w:p w:rsidR="0053061A" w:rsidP="00BC3829" w:rsidRDefault="0053061A" w14:paraId="3581BD18" w14:textId="051C32C9">
      <w:pPr>
        <w:rPr>
          <w:szCs w:val="18"/>
        </w:rPr>
      </w:pPr>
      <w:r w:rsidRPr="009F4B0F">
        <w:rPr>
          <w:szCs w:val="18"/>
        </w:rPr>
        <w:t>De veranderende geopolitieke context</w:t>
      </w:r>
      <w:r w:rsidR="00B42A6F">
        <w:rPr>
          <w:szCs w:val="18"/>
        </w:rPr>
        <w:t xml:space="preserve"> </w:t>
      </w:r>
      <w:r w:rsidRPr="009F4B0F">
        <w:rPr>
          <w:szCs w:val="18"/>
        </w:rPr>
        <w:t xml:space="preserve">vraagt om een aangescherpte Nederlandse multilaterale inzet op ruimteveiligheid. In dat kader blijft het Ministerie van Buitenlandse Zaken, in samenwerking met het Ministerie van Defensie, zich inzetten in de </w:t>
      </w:r>
      <w:r w:rsidRPr="24746FC3">
        <w:rPr>
          <w:i/>
          <w:iCs/>
          <w:szCs w:val="18"/>
        </w:rPr>
        <w:t>Open-</w:t>
      </w:r>
      <w:proofErr w:type="spellStart"/>
      <w:r w:rsidRPr="24746FC3">
        <w:rPr>
          <w:i/>
          <w:iCs/>
          <w:szCs w:val="18"/>
        </w:rPr>
        <w:t>Ended</w:t>
      </w:r>
      <w:proofErr w:type="spellEnd"/>
      <w:r w:rsidRPr="24746FC3">
        <w:rPr>
          <w:i/>
          <w:iCs/>
          <w:szCs w:val="18"/>
        </w:rPr>
        <w:t xml:space="preserve"> </w:t>
      </w:r>
      <w:proofErr w:type="spellStart"/>
      <w:r w:rsidRPr="24746FC3">
        <w:rPr>
          <w:i/>
          <w:iCs/>
          <w:szCs w:val="18"/>
        </w:rPr>
        <w:t>Working</w:t>
      </w:r>
      <w:proofErr w:type="spellEnd"/>
      <w:r w:rsidRPr="24746FC3">
        <w:rPr>
          <w:i/>
          <w:iCs/>
          <w:szCs w:val="18"/>
        </w:rPr>
        <w:t xml:space="preserve"> Group on </w:t>
      </w:r>
      <w:proofErr w:type="spellStart"/>
      <w:r w:rsidRPr="24746FC3">
        <w:rPr>
          <w:i/>
          <w:iCs/>
          <w:szCs w:val="18"/>
        </w:rPr>
        <w:t>the</w:t>
      </w:r>
      <w:proofErr w:type="spellEnd"/>
      <w:r w:rsidRPr="24746FC3">
        <w:rPr>
          <w:i/>
          <w:iCs/>
          <w:szCs w:val="18"/>
        </w:rPr>
        <w:t xml:space="preserve"> Prevention of </w:t>
      </w:r>
      <w:proofErr w:type="spellStart"/>
      <w:r w:rsidRPr="24746FC3">
        <w:rPr>
          <w:i/>
          <w:iCs/>
          <w:szCs w:val="18"/>
        </w:rPr>
        <w:t>an</w:t>
      </w:r>
      <w:proofErr w:type="spellEnd"/>
      <w:r w:rsidRPr="24746FC3">
        <w:rPr>
          <w:i/>
          <w:iCs/>
          <w:szCs w:val="18"/>
        </w:rPr>
        <w:t xml:space="preserve"> Arms Race in Outer Space</w:t>
      </w:r>
      <w:r w:rsidRPr="009F4B0F">
        <w:rPr>
          <w:szCs w:val="18"/>
        </w:rPr>
        <w:t>, met als doel multilaterale overeenstemming te bereiken ter preventie van destabiliserende of destructieve acties in het ruimtedomein en het voorkomen van misverstanden. Daarbij is van belang dat de af te spreken internationale kaders voldoende ruimte blijven bieden voor nieuwe militaire activiteiten in de ruimte ter versterking van onze defensie en afschrikking.</w:t>
      </w:r>
    </w:p>
    <w:p w:rsidR="0053061A" w:rsidP="00BC3829" w:rsidRDefault="0053061A" w14:paraId="4D40151D" w14:textId="77777777">
      <w:pPr>
        <w:rPr>
          <w:szCs w:val="18"/>
        </w:rPr>
      </w:pPr>
    </w:p>
    <w:p w:rsidRPr="00C91D0F" w:rsidR="0053061A" w:rsidP="00BC3829" w:rsidRDefault="0053061A" w14:paraId="2E76D9BF" w14:textId="77777777">
      <w:pPr>
        <w:rPr>
          <w:b/>
          <w:bCs/>
          <w:szCs w:val="18"/>
        </w:rPr>
      </w:pPr>
      <w:r w:rsidRPr="00C91D0F">
        <w:rPr>
          <w:b/>
          <w:bCs/>
          <w:szCs w:val="18"/>
        </w:rPr>
        <w:t>Governance</w:t>
      </w:r>
    </w:p>
    <w:p w:rsidR="00D23D78" w:rsidP="00BC3829" w:rsidRDefault="0053061A" w14:paraId="61667269" w14:textId="77777777">
      <w:pPr>
        <w:rPr>
          <w:szCs w:val="18"/>
        </w:rPr>
      </w:pPr>
      <w:r w:rsidRPr="009F4B0F">
        <w:rPr>
          <w:szCs w:val="18"/>
        </w:rPr>
        <w:t xml:space="preserve">Sinds de vaststelling van de </w:t>
      </w:r>
      <w:r w:rsidRPr="00654EB3" w:rsidR="00654EB3">
        <w:rPr>
          <w:szCs w:val="18"/>
        </w:rPr>
        <w:t>Lange-termijn Ruimtevaartagenda</w:t>
      </w:r>
      <w:r w:rsidRPr="009F4B0F" w:rsidDel="00654EB3" w:rsidR="00654EB3">
        <w:rPr>
          <w:szCs w:val="18"/>
        </w:rPr>
        <w:t xml:space="preserve"> </w:t>
      </w:r>
      <w:r w:rsidRPr="009F4B0F">
        <w:rPr>
          <w:szCs w:val="18"/>
        </w:rPr>
        <w:t xml:space="preserve">heeft het kabinet de </w:t>
      </w:r>
      <w:proofErr w:type="spellStart"/>
      <w:r w:rsidRPr="009F4B0F">
        <w:rPr>
          <w:szCs w:val="18"/>
        </w:rPr>
        <w:t>governance</w:t>
      </w:r>
      <w:proofErr w:type="spellEnd"/>
      <w:r w:rsidRPr="009F4B0F">
        <w:rPr>
          <w:szCs w:val="18"/>
        </w:rPr>
        <w:t xml:space="preserve"> van het ruimtevaartbeleid versterkt. De Interdepartementale Raad Ruimtedomein is inmiddels meerdere keren bijeen geweest voor strategische afstemming op hoog ambtelijk niveau en de interdepartementale coördinatie is aangescherpt.</w:t>
      </w:r>
    </w:p>
    <w:p w:rsidR="0053061A" w:rsidP="00BC3829" w:rsidRDefault="0053061A" w14:paraId="208C308E" w14:textId="6F0657E2">
      <w:pPr>
        <w:rPr>
          <w:szCs w:val="18"/>
        </w:rPr>
      </w:pPr>
      <w:r w:rsidRPr="009F4B0F">
        <w:rPr>
          <w:szCs w:val="18"/>
        </w:rPr>
        <w:t xml:space="preserve"> </w:t>
      </w:r>
    </w:p>
    <w:p w:rsidR="0053061A" w:rsidP="00BC3829" w:rsidRDefault="0053061A" w14:paraId="3D2F8BF5" w14:textId="77777777">
      <w:pPr>
        <w:rPr>
          <w:szCs w:val="18"/>
        </w:rPr>
      </w:pPr>
      <w:r w:rsidRPr="009F4B0F">
        <w:rPr>
          <w:szCs w:val="18"/>
        </w:rPr>
        <w:t>Daarnaast is de naam van het Netherlands Space Office gewijzigd in Netherlands Space Agency, met een steviger mandaat en duidelijkere positionering.</w:t>
      </w:r>
    </w:p>
    <w:p w:rsidR="0053061A" w:rsidP="00BC3829" w:rsidRDefault="0053061A" w14:paraId="6418FDB5" w14:textId="77777777">
      <w:pPr>
        <w:rPr>
          <w:rFonts w:eastAsia="Verdana" w:cs="Verdana"/>
          <w:szCs w:val="18"/>
        </w:rPr>
      </w:pPr>
      <w:r w:rsidRPr="009F4B0F">
        <w:rPr>
          <w:rFonts w:eastAsia="Verdana" w:cs="Verdana"/>
          <w:szCs w:val="18"/>
        </w:rPr>
        <w:lastRenderedPageBreak/>
        <w:t xml:space="preserve">Interdepartementaal zijn de </w:t>
      </w:r>
      <w:proofErr w:type="spellStart"/>
      <w:r w:rsidRPr="009F4B0F">
        <w:rPr>
          <w:rFonts w:eastAsia="Verdana" w:cs="Verdana"/>
          <w:szCs w:val="18"/>
        </w:rPr>
        <w:t>governance</w:t>
      </w:r>
      <w:proofErr w:type="spellEnd"/>
      <w:r>
        <w:rPr>
          <w:rFonts w:eastAsia="Verdana" w:cs="Verdana"/>
          <w:szCs w:val="18"/>
        </w:rPr>
        <w:t>-</w:t>
      </w:r>
      <w:r w:rsidRPr="009F4B0F">
        <w:rPr>
          <w:rFonts w:eastAsia="Verdana" w:cs="Verdana"/>
          <w:szCs w:val="18"/>
        </w:rPr>
        <w:t>afspraken geactualiseerd. Een deel hiervan zal worden vastgelegd in kaderinstructies, zodat de nationale standpuntbepaling wordt geborgd.</w:t>
      </w:r>
    </w:p>
    <w:p w:rsidR="0053061A" w:rsidP="00BC3829" w:rsidRDefault="0053061A" w14:paraId="672F6CEA" w14:textId="77777777">
      <w:pPr>
        <w:rPr>
          <w:rFonts w:eastAsia="Verdana" w:cs="Verdana"/>
          <w:szCs w:val="18"/>
        </w:rPr>
      </w:pPr>
    </w:p>
    <w:p w:rsidR="0053061A" w:rsidP="00BC3829" w:rsidRDefault="0053061A" w14:paraId="2DCA0270" w14:textId="77777777">
      <w:pPr>
        <w:rPr>
          <w:szCs w:val="18"/>
        </w:rPr>
      </w:pPr>
      <w:r w:rsidRPr="009F4B0F">
        <w:rPr>
          <w:szCs w:val="18"/>
        </w:rPr>
        <w:t xml:space="preserve">In de komende periode wordt deze samenwerking verder verdiept, onder meer door versterking van de gezamenlijke standpuntbepaling en een grotere betrokkenheid van </w:t>
      </w:r>
      <w:r>
        <w:rPr>
          <w:szCs w:val="18"/>
        </w:rPr>
        <w:t xml:space="preserve">het ministerie van </w:t>
      </w:r>
      <w:r w:rsidRPr="009F4B0F">
        <w:rPr>
          <w:szCs w:val="18"/>
        </w:rPr>
        <w:t>Defensie bij de uitvoering in het ruimtedomein.</w:t>
      </w:r>
    </w:p>
    <w:p w:rsidR="0053061A" w:rsidP="00BC3829" w:rsidRDefault="0053061A" w14:paraId="015D19C4" w14:textId="77777777">
      <w:pPr>
        <w:rPr>
          <w:szCs w:val="18"/>
        </w:rPr>
      </w:pPr>
    </w:p>
    <w:p w:rsidRPr="00C91D0F" w:rsidR="0053061A" w:rsidP="00BC3829" w:rsidRDefault="0053061A" w14:paraId="39CC5BEE" w14:textId="77777777">
      <w:pPr>
        <w:rPr>
          <w:b/>
          <w:bCs/>
          <w:szCs w:val="18"/>
        </w:rPr>
      </w:pPr>
      <w:r w:rsidRPr="00C91D0F">
        <w:rPr>
          <w:b/>
          <w:bCs/>
          <w:szCs w:val="18"/>
        </w:rPr>
        <w:t>Tot slot</w:t>
      </w:r>
    </w:p>
    <w:p w:rsidR="0053061A" w:rsidP="00BC3829" w:rsidRDefault="0053061A" w14:paraId="6FEF79BF" w14:textId="35ED2487">
      <w:pPr>
        <w:rPr>
          <w:szCs w:val="18"/>
        </w:rPr>
      </w:pPr>
      <w:r w:rsidRPr="009F4B0F">
        <w:rPr>
          <w:szCs w:val="18"/>
        </w:rPr>
        <w:t xml:space="preserve">Het kabinet constateert dat met de uitvoering van de </w:t>
      </w:r>
      <w:r w:rsidRPr="00654EB3" w:rsidR="00654EB3">
        <w:rPr>
          <w:szCs w:val="18"/>
        </w:rPr>
        <w:t>Lange-termijn Ruimtevaartagenda</w:t>
      </w:r>
      <w:r w:rsidRPr="009F4B0F" w:rsidDel="00654EB3" w:rsidR="00654EB3">
        <w:rPr>
          <w:szCs w:val="18"/>
        </w:rPr>
        <w:t xml:space="preserve"> </w:t>
      </w:r>
      <w:r w:rsidRPr="009F4B0F">
        <w:rPr>
          <w:szCs w:val="18"/>
        </w:rPr>
        <w:t xml:space="preserve">een belangrijke stap is gezet naar een meer samenhangend en strategisch ruimtevaartbeleid. Tegelijkertijd vraagt de verdere realisatie van de ambities uit de </w:t>
      </w:r>
      <w:r w:rsidRPr="00654EB3" w:rsidR="00654EB3">
        <w:rPr>
          <w:szCs w:val="18"/>
        </w:rPr>
        <w:t>Lange-termijn Ruimtevaartagenda</w:t>
      </w:r>
      <w:r w:rsidRPr="009F4B0F" w:rsidDel="00654EB3" w:rsidR="00654EB3">
        <w:rPr>
          <w:szCs w:val="18"/>
        </w:rPr>
        <w:t xml:space="preserve"> </w:t>
      </w:r>
      <w:r w:rsidRPr="009F4B0F">
        <w:rPr>
          <w:szCs w:val="18"/>
        </w:rPr>
        <w:t>om blijvende keuzes, in een context waarin het belang van ruimtevaart voor veiligheid, economie en strategische autonomie toeneemt.</w:t>
      </w:r>
    </w:p>
    <w:p w:rsidR="0053061A" w:rsidP="00BC3829" w:rsidRDefault="0053061A" w14:paraId="33D9E6B6" w14:textId="77777777">
      <w:pPr>
        <w:rPr>
          <w:szCs w:val="18"/>
        </w:rPr>
      </w:pPr>
    </w:p>
    <w:p w:rsidR="0053061A" w:rsidP="00BC3829" w:rsidRDefault="0053061A" w14:paraId="511E8EBE" w14:textId="659F27D5">
      <w:pPr>
        <w:rPr>
          <w:szCs w:val="18"/>
        </w:rPr>
      </w:pPr>
      <w:r w:rsidRPr="009F4B0F">
        <w:rPr>
          <w:szCs w:val="18"/>
        </w:rPr>
        <w:t xml:space="preserve">Het kabinet blijft zich daarom inzetten voor een gerichte uitvoering van de </w:t>
      </w:r>
      <w:r w:rsidRPr="00654EB3" w:rsidR="00654EB3">
        <w:rPr>
          <w:szCs w:val="18"/>
        </w:rPr>
        <w:t>Lange-termijn Ruimtevaartagenda</w:t>
      </w:r>
      <w:r w:rsidRPr="009F4B0F" w:rsidDel="00654EB3" w:rsidR="00654EB3">
        <w:rPr>
          <w:szCs w:val="18"/>
        </w:rPr>
        <w:t xml:space="preserve"> </w:t>
      </w:r>
      <w:r w:rsidRPr="009F4B0F">
        <w:rPr>
          <w:szCs w:val="18"/>
        </w:rPr>
        <w:t>en zal, mede in het licht van internationale ontwikkelingen en de positie van Nederland binnen ESA en de Europese Unie, bezien welke aanvullende stappen nodig zijn.</w:t>
      </w:r>
    </w:p>
    <w:p w:rsidR="001A6AF9" w:rsidP="00BC3829" w:rsidRDefault="001A6AF9" w14:paraId="7403B3A4" w14:textId="77777777">
      <w:pPr>
        <w:rPr>
          <w:rFonts w:asciiTheme="minorHAnsi" w:hAnsiTheme="minorHAnsi"/>
          <w:sz w:val="22"/>
          <w:szCs w:val="18"/>
        </w:rPr>
      </w:pPr>
    </w:p>
    <w:p w:rsidRPr="005C65B5" w:rsidR="00591E4A" w:rsidP="00BC3829" w:rsidRDefault="00591E4A" w14:paraId="4D0F916A" w14:textId="77777777"/>
    <w:p w:rsidRPr="005C65B5" w:rsidR="00C90702" w:rsidP="00BC3829" w:rsidRDefault="00C90702" w14:paraId="694A6CA4" w14:textId="77777777"/>
    <w:p w:rsidRPr="005C65B5" w:rsidR="00C90702" w:rsidP="00BC3829" w:rsidRDefault="00C90702" w14:paraId="6736C750" w14:textId="77777777"/>
    <w:p w:rsidRPr="00591E4A" w:rsidR="00C90702" w:rsidP="00BC3829" w:rsidRDefault="00D81AA3" w14:paraId="3B892BF1" w14:textId="77777777">
      <w:pPr>
        <w:rPr>
          <w:szCs w:val="18"/>
        </w:rPr>
      </w:pPr>
      <w:r>
        <w:rPr>
          <w:szCs w:val="18"/>
        </w:rPr>
        <w:t>Heleen Herbert</w:t>
      </w:r>
    </w:p>
    <w:p w:rsidRPr="00012B4F" w:rsidR="004E505E" w:rsidP="00BC3829" w:rsidRDefault="00D81AA3" w14:paraId="18679B43" w14:textId="77777777">
      <w:r w:rsidRPr="005C65B5">
        <w:t>Minister van Economische Zaken</w:t>
      </w:r>
      <w:r w:rsidR="00F12C95">
        <w:t xml:space="preserve"> en Klimaat</w:t>
      </w:r>
    </w:p>
    <w:sectPr w:rsidRPr="00012B4F" w:rsidR="004E505E" w:rsidSect="00D604B3">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18E5" w14:textId="77777777" w:rsidR="002665C5" w:rsidRDefault="002665C5">
      <w:r>
        <w:separator/>
      </w:r>
    </w:p>
    <w:p w14:paraId="4572BBB1" w14:textId="77777777" w:rsidR="002665C5" w:rsidRDefault="002665C5"/>
  </w:endnote>
  <w:endnote w:type="continuationSeparator" w:id="0">
    <w:p w14:paraId="13368D8F" w14:textId="77777777" w:rsidR="002665C5" w:rsidRDefault="002665C5">
      <w:r>
        <w:continuationSeparator/>
      </w:r>
    </w:p>
    <w:p w14:paraId="2EE1704E" w14:textId="77777777" w:rsidR="002665C5" w:rsidRDefault="00266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EFC7" w14:textId="77777777" w:rsidR="005C2538" w:rsidRDefault="00D81AA3">
    <w:pPr>
      <w:pStyle w:val="Voettekst"/>
    </w:pPr>
    <w:r>
      <w:rPr>
        <w:noProof/>
      </w:rPr>
      <mc:AlternateContent>
        <mc:Choice Requires="wps">
          <w:drawing>
            <wp:anchor distT="0" distB="0" distL="0" distR="0" simplePos="0" relativeHeight="251658240" behindDoc="0" locked="0" layoutInCell="1" allowOverlap="1" wp14:anchorId="4419B85E" wp14:editId="29C2C777">
              <wp:simplePos x="0" y="0"/>
              <wp:positionH relativeFrom="page">
                <wp:align>left</wp:align>
              </wp:positionH>
              <wp:positionV relativeFrom="page">
                <wp:align>bottom</wp:align>
              </wp:positionV>
              <wp:extent cx="443865" cy="443865"/>
              <wp:effectExtent l="0" t="0" r="4445" b="0"/>
              <wp:wrapNone/>
              <wp:docPr id="4" name="Tekstvak 18287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3EDB2" w14:textId="77777777" w:rsidR="005C2538" w:rsidRPr="005C2538" w:rsidRDefault="00D81AA3"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19B85E" id="_x0000_t202" coordsize="21600,21600" o:spt="202" path="m,l,21600r21600,l21600,xe">
              <v:stroke joinstyle="miter"/>
              <v:path gradientshapeok="t" o:connecttype="rect"/>
            </v:shapetype>
            <v:shape id="Tekstvak 182878" o:spid="_x0000_s1026"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8B3EDB2" w14:textId="77777777" w:rsidR="005C2538" w:rsidRPr="005C2538" w:rsidRDefault="00D81AA3" w:rsidP="005C2538">
                    <w:pPr>
                      <w:rPr>
                        <w:rFonts w:ascii="Calibri" w:eastAsia="Calibri" w:hAnsi="Calibri" w:cs="Calibri"/>
                        <w:noProof/>
                        <w:color w:val="000000"/>
                        <w:sz w:val="20"/>
                        <w:szCs w:val="20"/>
                      </w:rPr>
                    </w:pPr>
                    <w:r w:rsidRPr="005C2538">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29FE" w14:textId="39D3906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22730A" w14:paraId="778F146F" w14:textId="77777777" w:rsidTr="006D1737">
      <w:trPr>
        <w:trHeight w:hRule="exact" w:val="240"/>
      </w:trPr>
      <w:tc>
        <w:tcPr>
          <w:tcW w:w="7601" w:type="dxa"/>
        </w:tcPr>
        <w:p w14:paraId="11C8D110" w14:textId="77777777" w:rsidR="006D1737" w:rsidRDefault="006D1737" w:rsidP="006D1737">
          <w:pPr>
            <w:pStyle w:val="Huisstijl-Rubricering"/>
          </w:pPr>
        </w:p>
      </w:tc>
      <w:tc>
        <w:tcPr>
          <w:tcW w:w="2156" w:type="dxa"/>
        </w:tcPr>
        <w:p w14:paraId="600919D8" w14:textId="70081E8D" w:rsidR="006D1737" w:rsidRPr="00645414" w:rsidRDefault="00D81AA3"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A0C72">
            <w:t>9</w:t>
          </w:r>
          <w:r w:rsidR="00D72F45">
            <w:fldChar w:fldCharType="end"/>
          </w:r>
          <w:r w:rsidRPr="00ED539E">
            <w:t xml:space="preserve"> </w:t>
          </w:r>
        </w:p>
      </w:tc>
      <w:tc>
        <w:tcPr>
          <w:tcW w:w="2156" w:type="dxa"/>
        </w:tcPr>
        <w:p w14:paraId="583154CD" w14:textId="77777777" w:rsidR="006D1737" w:rsidRPr="00645414" w:rsidRDefault="00D81AA3" w:rsidP="006D1737">
          <w:pPr>
            <w:pStyle w:val="Huisstijl-Paginanummering"/>
          </w:pPr>
          <w:r w:rsidRPr="00645414">
            <w:t xml:space="preserve"> </w:t>
          </w:r>
        </w:p>
      </w:tc>
    </w:tr>
  </w:tbl>
  <w:p w14:paraId="470FEFF8"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2730A" w14:paraId="5B1DFD83" w14:textId="77777777" w:rsidTr="00CA6A25">
      <w:trPr>
        <w:trHeight w:hRule="exact" w:val="240"/>
      </w:trPr>
      <w:tc>
        <w:tcPr>
          <w:tcW w:w="7601" w:type="dxa"/>
        </w:tcPr>
        <w:p w14:paraId="077CAAA9" w14:textId="003C4855" w:rsidR="00527BD4" w:rsidRDefault="00527BD4" w:rsidP="008C356D">
          <w:pPr>
            <w:pStyle w:val="Huisstijl-Rubricering"/>
          </w:pPr>
        </w:p>
      </w:tc>
      <w:tc>
        <w:tcPr>
          <w:tcW w:w="2170" w:type="dxa"/>
        </w:tcPr>
        <w:p w14:paraId="54ABBA7C" w14:textId="247849EB" w:rsidR="00527BD4" w:rsidRPr="00ED539E" w:rsidRDefault="00D81AA3"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BA0C72">
            <w:t>9</w:t>
          </w:r>
          <w:r w:rsidR="004B0F05">
            <w:fldChar w:fldCharType="end"/>
          </w:r>
        </w:p>
      </w:tc>
    </w:tr>
  </w:tbl>
  <w:p w14:paraId="28937BF5" w14:textId="77777777" w:rsidR="00527BD4" w:rsidRPr="00BC3B53" w:rsidRDefault="00527BD4" w:rsidP="008C356D">
    <w:pPr>
      <w:pStyle w:val="Voettekst"/>
      <w:spacing w:line="240" w:lineRule="auto"/>
      <w:rPr>
        <w:sz w:val="2"/>
        <w:szCs w:val="2"/>
      </w:rPr>
    </w:pPr>
  </w:p>
  <w:p w14:paraId="3D07390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34A4D" w14:textId="77777777" w:rsidR="002665C5" w:rsidRDefault="002665C5">
      <w:r>
        <w:separator/>
      </w:r>
    </w:p>
    <w:p w14:paraId="16D65660" w14:textId="77777777" w:rsidR="002665C5" w:rsidRDefault="002665C5"/>
  </w:footnote>
  <w:footnote w:type="continuationSeparator" w:id="0">
    <w:p w14:paraId="4E955706" w14:textId="77777777" w:rsidR="002665C5" w:rsidRDefault="002665C5">
      <w:r>
        <w:continuationSeparator/>
      </w:r>
    </w:p>
    <w:p w14:paraId="52385579" w14:textId="77777777" w:rsidR="002665C5" w:rsidRDefault="002665C5"/>
  </w:footnote>
  <w:footnote w:id="1">
    <w:p w14:paraId="50C56EDA" w14:textId="467FACDB" w:rsidR="000E3421" w:rsidRPr="00BC3829" w:rsidRDefault="000E3421">
      <w:pPr>
        <w:pStyle w:val="Voetnoottekst"/>
        <w:rPr>
          <w:szCs w:val="13"/>
        </w:rPr>
      </w:pPr>
      <w:r w:rsidRPr="00BC3829">
        <w:rPr>
          <w:rStyle w:val="Voetnootmarkering"/>
          <w:szCs w:val="13"/>
        </w:rPr>
        <w:footnoteRef/>
      </w:r>
      <w:r w:rsidRPr="00BC3829">
        <w:rPr>
          <w:szCs w:val="13"/>
        </w:rPr>
        <w:t xml:space="preserve"> TZ202504-072</w:t>
      </w:r>
    </w:p>
  </w:footnote>
  <w:footnote w:id="2">
    <w:p w14:paraId="1C5700B1"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https://www.rijksoverheid.nl/documenten/kamerstukken/2025/02/21/kabinetsreactie-lange-termijn-ruimtevaartagenda</w:t>
      </w:r>
    </w:p>
  </w:footnote>
  <w:footnote w:id="3">
    <w:p w14:paraId="50C24ED5"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w:t>
      </w:r>
      <w:proofErr w:type="spellStart"/>
      <w:r w:rsidRPr="00BC3829">
        <w:rPr>
          <w:szCs w:val="13"/>
        </w:rPr>
        <w:t>Twin</w:t>
      </w:r>
      <w:proofErr w:type="spellEnd"/>
      <w:r w:rsidRPr="00BC3829">
        <w:rPr>
          <w:szCs w:val="13"/>
        </w:rPr>
        <w:t xml:space="preserve"> </w:t>
      </w:r>
      <w:proofErr w:type="spellStart"/>
      <w:r w:rsidRPr="00BC3829">
        <w:rPr>
          <w:szCs w:val="13"/>
        </w:rPr>
        <w:t>Anthropogenic</w:t>
      </w:r>
      <w:proofErr w:type="spellEnd"/>
      <w:r w:rsidRPr="00BC3829">
        <w:rPr>
          <w:szCs w:val="13"/>
        </w:rPr>
        <w:t xml:space="preserve"> </w:t>
      </w:r>
      <w:proofErr w:type="spellStart"/>
      <w:r w:rsidRPr="00BC3829">
        <w:rPr>
          <w:szCs w:val="13"/>
        </w:rPr>
        <w:t>Greenhouse</w:t>
      </w:r>
      <w:proofErr w:type="spellEnd"/>
      <w:r w:rsidRPr="00BC3829">
        <w:rPr>
          <w:szCs w:val="13"/>
        </w:rPr>
        <w:t xml:space="preserve"> Gas </w:t>
      </w:r>
      <w:proofErr w:type="spellStart"/>
      <w:r w:rsidRPr="00BC3829">
        <w:rPr>
          <w:szCs w:val="13"/>
        </w:rPr>
        <w:t>Observers</w:t>
      </w:r>
      <w:proofErr w:type="spellEnd"/>
      <w:r w:rsidRPr="00BC3829">
        <w:rPr>
          <w:szCs w:val="13"/>
        </w:rPr>
        <w:t xml:space="preserve"> </w:t>
      </w:r>
      <w:hyperlink r:id="rId1" w:history="1">
        <w:r w:rsidRPr="00BC3829">
          <w:rPr>
            <w:rStyle w:val="Hyperlink"/>
            <w:szCs w:val="13"/>
          </w:rPr>
          <w:t>KNMI - Nederlandse partners starten bouw klimaatsatelliet TANGO</w:t>
        </w:r>
      </w:hyperlink>
    </w:p>
  </w:footnote>
  <w:footnote w:id="4">
    <w:p w14:paraId="495714A0"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w:t>
      </w:r>
      <w:hyperlink r:id="rId2" w:history="1">
        <w:r w:rsidRPr="00BC3829">
          <w:rPr>
            <w:rStyle w:val="Hyperlink"/>
            <w:szCs w:val="13"/>
          </w:rPr>
          <w:t>https://www.knmi.nl/kennis-en-datacentrum/uitleg/tropomi</w:t>
        </w:r>
      </w:hyperlink>
      <w:r w:rsidRPr="00BC3829">
        <w:rPr>
          <w:szCs w:val="13"/>
        </w:rPr>
        <w:t xml:space="preserve">  </w:t>
      </w:r>
      <w:r w:rsidRPr="00BC3829">
        <w:rPr>
          <w:rStyle w:val="Hyperlink"/>
          <w:szCs w:val="13"/>
        </w:rPr>
        <w:t>https://www.knmi.nl/kennis-en-datacentrum/uitleg/tropomi</w:t>
      </w:r>
      <w:r w:rsidRPr="00BC3829">
        <w:rPr>
          <w:szCs w:val="13"/>
        </w:rPr>
        <w:t xml:space="preserve">  </w:t>
      </w:r>
      <w:r w:rsidRPr="00BC3829">
        <w:rPr>
          <w:rStyle w:val="Hyperlink"/>
          <w:szCs w:val="13"/>
        </w:rPr>
        <w:t>https://www.knmi.nl/kennis-en-datacentrum/uitleg/tropomi</w:t>
      </w:r>
      <w:r w:rsidRPr="00BC3829">
        <w:rPr>
          <w:szCs w:val="13"/>
        </w:rPr>
        <w:t xml:space="preserve">  </w:t>
      </w:r>
      <w:r w:rsidRPr="00BC3829">
        <w:rPr>
          <w:rStyle w:val="Hyperlink"/>
          <w:szCs w:val="13"/>
        </w:rPr>
        <w:t>https://www.knmi.nl/kennis-en-datacentrum/uitleg/tropomi</w:t>
      </w:r>
      <w:r w:rsidRPr="00BC3829">
        <w:rPr>
          <w:szCs w:val="13"/>
        </w:rPr>
        <w:t xml:space="preserve">  </w:t>
      </w:r>
    </w:p>
  </w:footnote>
  <w:footnote w:id="5">
    <w:p w14:paraId="2CBF1066"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https://www.sron.nl/missies/active/pace/</w:t>
      </w:r>
    </w:p>
  </w:footnote>
  <w:footnote w:id="6">
    <w:p w14:paraId="38E4DD77"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w:t>
      </w:r>
      <w:hyperlink r:id="rId3" w:history="1">
        <w:r w:rsidRPr="00BC3829">
          <w:rPr>
            <w:rStyle w:val="Hyperlink"/>
            <w:szCs w:val="13"/>
          </w:rPr>
          <w:t>https://inflames-project.github.io/</w:t>
        </w:r>
      </w:hyperlink>
      <w:r w:rsidRPr="00BC3829">
        <w:rPr>
          <w:szCs w:val="13"/>
        </w:rPr>
        <w:t xml:space="preserve"> </w:t>
      </w:r>
      <w:r w:rsidRPr="00BC3829">
        <w:rPr>
          <w:rStyle w:val="Hyperlink"/>
          <w:szCs w:val="13"/>
        </w:rPr>
        <w:t>https://inflames-project.github.io/</w:t>
      </w:r>
      <w:r w:rsidRPr="00BC3829">
        <w:rPr>
          <w:szCs w:val="13"/>
        </w:rPr>
        <w:t xml:space="preserve"> </w:t>
      </w:r>
      <w:r w:rsidRPr="00BC3829">
        <w:rPr>
          <w:rStyle w:val="Hyperlink"/>
          <w:szCs w:val="13"/>
        </w:rPr>
        <w:t>https://inflames-project.github.io/</w:t>
      </w:r>
      <w:r w:rsidRPr="00BC3829">
        <w:rPr>
          <w:szCs w:val="13"/>
        </w:rPr>
        <w:t xml:space="preserve"> </w:t>
      </w:r>
      <w:r w:rsidRPr="00BC3829">
        <w:rPr>
          <w:rStyle w:val="Hyperlink"/>
          <w:szCs w:val="13"/>
        </w:rPr>
        <w:t>https://inflames-project.github.io/</w:t>
      </w:r>
      <w:r w:rsidRPr="00BC3829">
        <w:rPr>
          <w:szCs w:val="13"/>
        </w:rPr>
        <w:t xml:space="preserve"> </w:t>
      </w:r>
    </w:p>
  </w:footnote>
  <w:footnote w:id="7">
    <w:p w14:paraId="3F10F1DA" w14:textId="77777777" w:rsidR="0053061A" w:rsidRPr="00BC3829" w:rsidRDefault="0053061A" w:rsidP="0053061A">
      <w:pPr>
        <w:pStyle w:val="Voetnoottekst"/>
        <w:rPr>
          <w:szCs w:val="13"/>
        </w:rPr>
      </w:pPr>
      <w:r w:rsidRPr="00BC3829">
        <w:rPr>
          <w:rStyle w:val="Voetnootmarkering"/>
          <w:szCs w:val="13"/>
        </w:rPr>
        <w:footnoteRef/>
      </w:r>
      <w:r w:rsidRPr="00BC3829">
        <w:rPr>
          <w:szCs w:val="13"/>
        </w:rPr>
        <w:t xml:space="preserve"> De </w:t>
      </w:r>
      <w:proofErr w:type="spellStart"/>
      <w:r w:rsidRPr="00BC3829">
        <w:rPr>
          <w:szCs w:val="13"/>
        </w:rPr>
        <w:t>Habitable</w:t>
      </w:r>
      <w:proofErr w:type="spellEnd"/>
      <w:r w:rsidRPr="00BC3829">
        <w:rPr>
          <w:szCs w:val="13"/>
        </w:rPr>
        <w:t xml:space="preserve"> </w:t>
      </w:r>
      <w:proofErr w:type="spellStart"/>
      <w:r w:rsidRPr="00BC3829">
        <w:rPr>
          <w:szCs w:val="13"/>
        </w:rPr>
        <w:t>Worlds</w:t>
      </w:r>
      <w:proofErr w:type="spellEnd"/>
      <w:r w:rsidRPr="00BC3829">
        <w:rPr>
          <w:szCs w:val="13"/>
        </w:rPr>
        <w:t xml:space="preserve"> </w:t>
      </w:r>
      <w:proofErr w:type="spellStart"/>
      <w:r w:rsidRPr="00BC3829">
        <w:rPr>
          <w:szCs w:val="13"/>
        </w:rPr>
        <w:t>Observatory</w:t>
      </w:r>
      <w:proofErr w:type="spellEnd"/>
      <w:r w:rsidRPr="00BC3829">
        <w:rPr>
          <w:szCs w:val="13"/>
        </w:rPr>
        <w:t xml:space="preserve"> (HWO) is </w:t>
      </w:r>
      <w:proofErr w:type="spellStart"/>
      <w:r w:rsidRPr="00BC3829">
        <w:rPr>
          <w:szCs w:val="13"/>
        </w:rPr>
        <w:t>NASA's</w:t>
      </w:r>
      <w:proofErr w:type="spellEnd"/>
      <w:r w:rsidRPr="00BC3829">
        <w:rPr>
          <w:szCs w:val="13"/>
        </w:rPr>
        <w:t xml:space="preserve"> </w:t>
      </w:r>
      <w:proofErr w:type="spellStart"/>
      <w:r w:rsidRPr="00BC3829">
        <w:rPr>
          <w:szCs w:val="13"/>
        </w:rPr>
        <w:t>flagship</w:t>
      </w:r>
      <w:proofErr w:type="spellEnd"/>
      <w:r w:rsidRPr="00BC3829">
        <w:rPr>
          <w:szCs w:val="13"/>
        </w:rPr>
        <w:t xml:space="preserve"> missie op het gebied van astrofysica voor de jaren 2030-2040. </w:t>
      </w:r>
    </w:p>
  </w:footnote>
  <w:footnote w:id="8">
    <w:p w14:paraId="081B06F3" w14:textId="77777777" w:rsidR="0053061A" w:rsidRPr="00BC3829" w:rsidRDefault="0053061A" w:rsidP="0053061A">
      <w:pPr>
        <w:pStyle w:val="Voetnoottekst"/>
        <w:rPr>
          <w:szCs w:val="13"/>
          <w:lang w:val="en-US"/>
        </w:rPr>
      </w:pPr>
      <w:r w:rsidRPr="00BC3829">
        <w:rPr>
          <w:rStyle w:val="Voetnootmarkering"/>
          <w:szCs w:val="13"/>
        </w:rPr>
        <w:footnoteRef/>
      </w:r>
      <w:r w:rsidRPr="00BC3829">
        <w:rPr>
          <w:szCs w:val="13"/>
          <w:lang w:val="en-US"/>
        </w:rPr>
        <w:t xml:space="preserve"> </w:t>
      </w:r>
      <w:proofErr w:type="spellStart"/>
      <w:r w:rsidRPr="00BC3829">
        <w:rPr>
          <w:szCs w:val="13"/>
          <w:lang w:val="en-US"/>
        </w:rPr>
        <w:t>PLAnetary</w:t>
      </w:r>
      <w:proofErr w:type="spellEnd"/>
      <w:r w:rsidRPr="00BC3829">
        <w:rPr>
          <w:szCs w:val="13"/>
          <w:lang w:val="en-US"/>
        </w:rPr>
        <w:t xml:space="preserve"> Transits and Oscillations of stars</w:t>
      </w:r>
    </w:p>
  </w:footnote>
  <w:footnote w:id="9">
    <w:p w14:paraId="0FE64816" w14:textId="77777777" w:rsidR="0053061A" w:rsidRPr="00BC3829" w:rsidRDefault="0053061A" w:rsidP="0053061A">
      <w:pPr>
        <w:pStyle w:val="Voetnoottekst"/>
        <w:rPr>
          <w:szCs w:val="13"/>
          <w:lang w:val="en-US"/>
        </w:rPr>
      </w:pPr>
      <w:r w:rsidRPr="00BC3829">
        <w:rPr>
          <w:rStyle w:val="Voetnootmarkering"/>
          <w:szCs w:val="13"/>
        </w:rPr>
        <w:footnoteRef/>
      </w:r>
      <w:r w:rsidRPr="00BC3829">
        <w:rPr>
          <w:szCs w:val="13"/>
          <w:lang w:val="en-US"/>
        </w:rPr>
        <w:t xml:space="preserve"> </w:t>
      </w:r>
      <w:hyperlink r:id="rId4" w:history="1">
        <w:proofErr w:type="spellStart"/>
        <w:r w:rsidRPr="00BC3829">
          <w:rPr>
            <w:rStyle w:val="Hyperlink"/>
            <w:szCs w:val="13"/>
            <w:lang w:val="en-US"/>
          </w:rPr>
          <w:t>Kabinetsinzet</w:t>
        </w:r>
        <w:proofErr w:type="spellEnd"/>
        <w:r w:rsidRPr="00BC3829">
          <w:rPr>
            <w:rStyle w:val="Hyperlink"/>
            <w:szCs w:val="13"/>
            <w:lang w:val="en-US"/>
          </w:rPr>
          <w:t xml:space="preserve"> </w:t>
        </w:r>
        <w:proofErr w:type="spellStart"/>
        <w:r w:rsidRPr="00BC3829">
          <w:rPr>
            <w:rStyle w:val="Hyperlink"/>
            <w:szCs w:val="13"/>
            <w:lang w:val="en-US"/>
          </w:rPr>
          <w:t>Ministeriële</w:t>
        </w:r>
        <w:proofErr w:type="spellEnd"/>
        <w:r w:rsidRPr="00BC3829">
          <w:rPr>
            <w:rStyle w:val="Hyperlink"/>
            <w:szCs w:val="13"/>
            <w:lang w:val="en-US"/>
          </w:rPr>
          <w:t xml:space="preserve"> </w:t>
        </w:r>
        <w:proofErr w:type="spellStart"/>
        <w:r w:rsidRPr="00BC3829">
          <w:rPr>
            <w:rStyle w:val="Hyperlink"/>
            <w:szCs w:val="13"/>
            <w:lang w:val="en-US"/>
          </w:rPr>
          <w:t>Conferentie</w:t>
        </w:r>
        <w:proofErr w:type="spellEnd"/>
        <w:r w:rsidRPr="00BC3829">
          <w:rPr>
            <w:rStyle w:val="Hyperlink"/>
            <w:szCs w:val="13"/>
            <w:lang w:val="en-US"/>
          </w:rPr>
          <w:t xml:space="preserve"> ESA 2025</w:t>
        </w:r>
      </w:hyperlink>
    </w:p>
  </w:footnote>
  <w:footnote w:id="10">
    <w:p w14:paraId="10682320" w14:textId="77777777" w:rsidR="0053061A" w:rsidRPr="00BC3829" w:rsidRDefault="0053061A" w:rsidP="0053061A">
      <w:pPr>
        <w:pStyle w:val="Voetnoottekst"/>
        <w:rPr>
          <w:szCs w:val="13"/>
          <w:lang w:val="en-US"/>
        </w:rPr>
      </w:pPr>
      <w:r w:rsidRPr="00BC3829">
        <w:rPr>
          <w:rStyle w:val="Voetnootmarkering"/>
          <w:szCs w:val="13"/>
        </w:rPr>
        <w:footnoteRef/>
      </w:r>
      <w:r w:rsidRPr="00BC3829">
        <w:rPr>
          <w:szCs w:val="13"/>
          <w:lang w:val="en-US"/>
        </w:rPr>
        <w:t xml:space="preserve"> </w:t>
      </w:r>
      <w:hyperlink r:id="rId5" w:history="1">
        <w:r w:rsidRPr="00BC3829">
          <w:rPr>
            <w:color w:val="0000FF"/>
            <w:szCs w:val="13"/>
            <w:u w:val="single"/>
            <w:lang w:val="en-US"/>
          </w:rPr>
          <w:t>GEO Netherlands - Netherlands Space Agency</w:t>
        </w:r>
      </w:hyperlink>
    </w:p>
  </w:footnote>
  <w:footnote w:id="11">
    <w:p w14:paraId="2A80DE1E" w14:textId="1421FE06" w:rsidR="000E3421" w:rsidRPr="00BC3829" w:rsidRDefault="000E3421">
      <w:pPr>
        <w:pStyle w:val="Voetnoottekst"/>
        <w:rPr>
          <w:szCs w:val="13"/>
          <w:lang w:val="en-US"/>
        </w:rPr>
      </w:pPr>
      <w:r w:rsidRPr="00BC3829">
        <w:rPr>
          <w:rStyle w:val="Voetnootmarkering"/>
          <w:szCs w:val="13"/>
        </w:rPr>
        <w:footnoteRef/>
      </w:r>
      <w:r w:rsidRPr="00BC3829">
        <w:rPr>
          <w:szCs w:val="13"/>
          <w:lang w:val="en-US"/>
        </w:rPr>
        <w:t xml:space="preserve"> 24446-96</w:t>
      </w:r>
    </w:p>
  </w:footnote>
  <w:footnote w:id="12">
    <w:p w14:paraId="06183FC5" w14:textId="77777777" w:rsidR="0053061A" w:rsidRPr="00BC3829" w:rsidRDefault="0053061A" w:rsidP="0053061A">
      <w:pPr>
        <w:pStyle w:val="Voetnoottekst"/>
        <w:rPr>
          <w:szCs w:val="13"/>
          <w:lang w:val="en-US"/>
        </w:rPr>
      </w:pPr>
      <w:r w:rsidRPr="00BC3829">
        <w:rPr>
          <w:rStyle w:val="Voetnootmarkering"/>
          <w:szCs w:val="13"/>
        </w:rPr>
        <w:footnoteRef/>
      </w:r>
      <w:r w:rsidRPr="00BC3829">
        <w:rPr>
          <w:szCs w:val="13"/>
          <w:lang w:val="en-US"/>
        </w:rPr>
        <w:t xml:space="preserve"> </w:t>
      </w:r>
      <w:hyperlink r:id="rId6" w:history="1">
        <w:r w:rsidRPr="00BC3829">
          <w:rPr>
            <w:rStyle w:val="Hyperlink"/>
            <w:szCs w:val="13"/>
            <w:lang w:val="en-US"/>
          </w:rPr>
          <w:t>https://esero.nl/voor-in-de-klas/expert-in-de-klas/space-goes-to-school-informatie-voor-experts/</w:t>
        </w:r>
      </w:hyperlink>
      <w:r w:rsidRPr="00BC3829">
        <w:rPr>
          <w:szCs w:val="13"/>
          <w:lang w:val="en-US"/>
        </w:rPr>
        <w:t xml:space="preserve"> </w:t>
      </w:r>
      <w:r w:rsidRPr="00BC3829">
        <w:rPr>
          <w:rStyle w:val="Hyperlink"/>
          <w:szCs w:val="13"/>
          <w:lang w:val="en-US"/>
        </w:rPr>
        <w:t>https://esero.nl/voor-in-de-klas/expert-in-de-klas/space-goes-to-school-informatie-voor-experts/</w:t>
      </w:r>
      <w:r w:rsidRPr="00BC3829">
        <w:rPr>
          <w:szCs w:val="13"/>
          <w:lang w:val="en-US"/>
        </w:rPr>
        <w:t xml:space="preserve"> </w:t>
      </w:r>
      <w:r w:rsidRPr="00BC3829">
        <w:rPr>
          <w:rStyle w:val="Hyperlink"/>
          <w:szCs w:val="13"/>
          <w:lang w:val="en-US"/>
        </w:rPr>
        <w:t>https://esero.nl/voor-in-de-klas/expert-in-de-klas/space-goes-to-school-informatie-voor-experts/</w:t>
      </w:r>
      <w:r w:rsidRPr="00BC3829">
        <w:rPr>
          <w:szCs w:val="13"/>
          <w:lang w:val="en-US"/>
        </w:rPr>
        <w:t xml:space="preserve"> </w:t>
      </w:r>
      <w:r w:rsidRPr="00BC3829">
        <w:rPr>
          <w:rStyle w:val="Hyperlink"/>
          <w:szCs w:val="13"/>
          <w:lang w:val="en-US"/>
        </w:rPr>
        <w:t>https://esero.nl/voor-in-de-klas/expert-in-de-klas/space-goes-to-school-informatie-voor-experts/</w:t>
      </w:r>
      <w:r w:rsidRPr="00BC3829">
        <w:rPr>
          <w:szCs w:val="13"/>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2730A" w14:paraId="07FB0CE5" w14:textId="77777777" w:rsidTr="00A50CF6">
      <w:tc>
        <w:tcPr>
          <w:tcW w:w="2156" w:type="dxa"/>
        </w:tcPr>
        <w:p w14:paraId="46034F03" w14:textId="77777777" w:rsidR="00527BD4" w:rsidRPr="00624D22" w:rsidRDefault="00D81AA3" w:rsidP="00A50CF6">
          <w:pPr>
            <w:pStyle w:val="Huisstijl-Adres"/>
            <w:rPr>
              <w:b/>
            </w:rPr>
          </w:pPr>
          <w:r>
            <w:rPr>
              <w:b/>
            </w:rPr>
            <w:t>Directoraat-generaal Bedrijfsleven &amp; Innovatie</w:t>
          </w:r>
        </w:p>
      </w:tc>
    </w:tr>
    <w:tr w:rsidR="0022730A" w14:paraId="0701C3D4" w14:textId="77777777" w:rsidTr="00A50CF6">
      <w:trPr>
        <w:trHeight w:hRule="exact" w:val="200"/>
      </w:trPr>
      <w:tc>
        <w:tcPr>
          <w:tcW w:w="2156" w:type="dxa"/>
        </w:tcPr>
        <w:p w14:paraId="452A68C2" w14:textId="77777777" w:rsidR="00527BD4" w:rsidRPr="005819CE" w:rsidRDefault="00527BD4" w:rsidP="00A50CF6"/>
      </w:tc>
    </w:tr>
    <w:tr w:rsidR="0022730A" w14:paraId="2EF34136" w14:textId="77777777" w:rsidTr="00502512">
      <w:trPr>
        <w:trHeight w:hRule="exact" w:val="774"/>
      </w:trPr>
      <w:tc>
        <w:tcPr>
          <w:tcW w:w="2156" w:type="dxa"/>
        </w:tcPr>
        <w:p w14:paraId="69C25E53" w14:textId="77777777" w:rsidR="00527BD4" w:rsidRDefault="00527BD4" w:rsidP="003A5290">
          <w:pPr>
            <w:pStyle w:val="Huisstijl-Kopje"/>
          </w:pPr>
        </w:p>
        <w:p w14:paraId="60A98CD6" w14:textId="77777777" w:rsidR="00502512" w:rsidRPr="00502512" w:rsidRDefault="00D81AA3" w:rsidP="003A5290">
          <w:pPr>
            <w:pStyle w:val="Huisstijl-Kopje"/>
            <w:rPr>
              <w:b w:val="0"/>
            </w:rPr>
          </w:pPr>
          <w:r>
            <w:rPr>
              <w:b w:val="0"/>
            </w:rPr>
            <w:t>DGBI-I</w:t>
          </w:r>
          <w:r w:rsidRPr="00502512">
            <w:rPr>
              <w:b w:val="0"/>
            </w:rPr>
            <w:t xml:space="preserve"> / </w:t>
          </w:r>
          <w:r>
            <w:rPr>
              <w:b w:val="0"/>
            </w:rPr>
            <w:t>106155373</w:t>
          </w:r>
        </w:p>
        <w:p w14:paraId="638CE327" w14:textId="77777777" w:rsidR="00527BD4" w:rsidRPr="005819CE" w:rsidRDefault="00527BD4" w:rsidP="00361A56">
          <w:pPr>
            <w:pStyle w:val="Huisstijl-Kopje"/>
          </w:pPr>
        </w:p>
      </w:tc>
    </w:tr>
  </w:tbl>
  <w:p w14:paraId="451979A0" w14:textId="77777777" w:rsidR="00527BD4" w:rsidRDefault="00527BD4" w:rsidP="008C356D">
    <w:pPr>
      <w:pStyle w:val="Koptekst"/>
      <w:rPr>
        <w:rFonts w:cs="Verdana-Bold"/>
        <w:b/>
        <w:bCs/>
        <w:smallCaps/>
        <w:szCs w:val="18"/>
      </w:rPr>
    </w:pPr>
  </w:p>
  <w:p w14:paraId="7D5BD420" w14:textId="77777777" w:rsidR="00527BD4" w:rsidRDefault="00527BD4" w:rsidP="008C356D"/>
  <w:p w14:paraId="46E5CA22" w14:textId="77777777" w:rsidR="00527BD4" w:rsidRPr="00740712" w:rsidRDefault="00527BD4" w:rsidP="008C356D"/>
  <w:p w14:paraId="78885397" w14:textId="77777777" w:rsidR="00527BD4" w:rsidRPr="00217880" w:rsidRDefault="00527BD4" w:rsidP="008C356D">
    <w:pPr>
      <w:spacing w:line="0" w:lineRule="atLeast"/>
      <w:rPr>
        <w:sz w:val="2"/>
        <w:szCs w:val="2"/>
      </w:rPr>
    </w:pPr>
  </w:p>
  <w:p w14:paraId="20FBAE82" w14:textId="77777777" w:rsidR="00527BD4" w:rsidRDefault="00527BD4" w:rsidP="004F44C2">
    <w:pPr>
      <w:pStyle w:val="Koptekst"/>
      <w:rPr>
        <w:rFonts w:cs="Verdana-Bold"/>
        <w:b/>
        <w:bCs/>
        <w:smallCaps/>
        <w:szCs w:val="18"/>
      </w:rPr>
    </w:pPr>
  </w:p>
  <w:p w14:paraId="7262855E" w14:textId="77777777" w:rsidR="00527BD4" w:rsidRDefault="00527BD4" w:rsidP="004F44C2"/>
  <w:p w14:paraId="48A366AD" w14:textId="77777777" w:rsidR="00624D22" w:rsidRDefault="00624D22" w:rsidP="004F44C2"/>
  <w:p w14:paraId="3FA6DAAE" w14:textId="77777777" w:rsidR="00624D22" w:rsidRDefault="00624D22" w:rsidP="004F44C2"/>
  <w:p w14:paraId="7F202B42" w14:textId="77777777" w:rsidR="00527BD4" w:rsidRPr="00740712" w:rsidRDefault="00527BD4" w:rsidP="004F44C2"/>
  <w:p w14:paraId="1028925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2730A" w14:paraId="0CE6249D" w14:textId="77777777" w:rsidTr="00751A6A">
      <w:trPr>
        <w:trHeight w:val="2636"/>
      </w:trPr>
      <w:tc>
        <w:tcPr>
          <w:tcW w:w="737" w:type="dxa"/>
        </w:tcPr>
        <w:p w14:paraId="46E635F7" w14:textId="77777777" w:rsidR="00527BD4" w:rsidRDefault="00527BD4" w:rsidP="00D0609E">
          <w:pPr>
            <w:framePr w:w="6340" w:h="2750" w:hRule="exact" w:hSpace="180" w:wrap="around" w:vAnchor="page" w:hAnchor="text" w:x="3873" w:y="-140"/>
            <w:spacing w:line="240" w:lineRule="auto"/>
          </w:pPr>
        </w:p>
      </w:tc>
      <w:tc>
        <w:tcPr>
          <w:tcW w:w="5156" w:type="dxa"/>
        </w:tcPr>
        <w:p w14:paraId="08B117AE" w14:textId="77777777" w:rsidR="00527BD4" w:rsidRDefault="00D81AA3"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6DA99A1F" wp14:editId="1E8A7BAB">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74174990" w14:textId="77777777" w:rsidR="00527BD4" w:rsidRDefault="00527BD4" w:rsidP="00D0609E">
    <w:pPr>
      <w:framePr w:w="6340" w:h="2750" w:hRule="exact" w:hSpace="180" w:wrap="around" w:vAnchor="page" w:hAnchor="text" w:x="3873" w:y="-140"/>
    </w:pPr>
  </w:p>
  <w:p w14:paraId="3C6E11C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2730A" w14:paraId="6253BB56" w14:textId="77777777" w:rsidTr="00A50CF6">
      <w:tc>
        <w:tcPr>
          <w:tcW w:w="2160" w:type="dxa"/>
        </w:tcPr>
        <w:p w14:paraId="65AD9BF2" w14:textId="77777777" w:rsidR="00527BD4" w:rsidRPr="00781DCA" w:rsidRDefault="00D81AA3" w:rsidP="00A50CF6">
          <w:pPr>
            <w:pStyle w:val="Huisstijl-Adres"/>
            <w:rPr>
              <w:b/>
            </w:rPr>
          </w:pPr>
          <w:r>
            <w:rPr>
              <w:b/>
            </w:rPr>
            <w:t>Directoraat-generaal Bedrijfsleven &amp; Innovatie</w:t>
          </w:r>
          <w:r w:rsidRPr="005819CE">
            <w:rPr>
              <w:b/>
            </w:rPr>
            <w:br/>
          </w:r>
          <w:r>
            <w:t>Directie Innovatie</w:t>
          </w:r>
        </w:p>
        <w:p w14:paraId="50446EC7" w14:textId="77777777" w:rsidR="00527BD4" w:rsidRPr="00BE5ED9" w:rsidRDefault="00D81AA3" w:rsidP="00A50CF6">
          <w:pPr>
            <w:pStyle w:val="Huisstijl-Adres"/>
          </w:pPr>
          <w:r>
            <w:rPr>
              <w:b/>
            </w:rPr>
            <w:t>Bezoekadres</w:t>
          </w:r>
          <w:r>
            <w:rPr>
              <w:b/>
            </w:rPr>
            <w:br/>
          </w:r>
          <w:r>
            <w:t>Bezuidenhoutseweg 73</w:t>
          </w:r>
          <w:r w:rsidRPr="005819CE">
            <w:br/>
          </w:r>
          <w:r>
            <w:t>2594 AC Den Haag</w:t>
          </w:r>
        </w:p>
        <w:p w14:paraId="6C5A964A" w14:textId="77777777" w:rsidR="00EF495B" w:rsidRDefault="00D81AA3" w:rsidP="0098788A">
          <w:pPr>
            <w:pStyle w:val="Huisstijl-Adres"/>
          </w:pPr>
          <w:r>
            <w:rPr>
              <w:b/>
            </w:rPr>
            <w:t>Postadres</w:t>
          </w:r>
          <w:r>
            <w:rPr>
              <w:b/>
            </w:rPr>
            <w:br/>
          </w:r>
          <w:r>
            <w:t>Postbus 20401</w:t>
          </w:r>
          <w:r w:rsidRPr="005819CE">
            <w:br/>
            <w:t>2500 E</w:t>
          </w:r>
          <w:r>
            <w:t>K</w:t>
          </w:r>
          <w:r w:rsidRPr="005819CE">
            <w:t xml:space="preserve"> Den Haag</w:t>
          </w:r>
        </w:p>
        <w:p w14:paraId="6A449874" w14:textId="77777777" w:rsidR="00EF495B" w:rsidRPr="005B3814" w:rsidRDefault="00D81AA3" w:rsidP="0098788A">
          <w:pPr>
            <w:pStyle w:val="Huisstijl-Adres"/>
          </w:pPr>
          <w:r>
            <w:rPr>
              <w:b/>
            </w:rPr>
            <w:t>Overheidsidentificatienr</w:t>
          </w:r>
          <w:r>
            <w:rPr>
              <w:b/>
            </w:rPr>
            <w:br/>
          </w:r>
          <w:r w:rsidRPr="005B3814">
            <w:t>00000001003214369000</w:t>
          </w:r>
        </w:p>
        <w:p w14:paraId="7B896E27" w14:textId="06B53121" w:rsidR="00527BD4" w:rsidRPr="00BC3829" w:rsidRDefault="00D81AA3"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22730A" w14:paraId="5304881B" w14:textId="77777777" w:rsidTr="00A50CF6">
      <w:trPr>
        <w:trHeight w:hRule="exact" w:val="200"/>
      </w:trPr>
      <w:tc>
        <w:tcPr>
          <w:tcW w:w="2160" w:type="dxa"/>
        </w:tcPr>
        <w:p w14:paraId="4146C51C" w14:textId="77777777" w:rsidR="00527BD4" w:rsidRPr="00D71182" w:rsidRDefault="00527BD4" w:rsidP="00A50CF6">
          <w:pPr>
            <w:rPr>
              <w:lang w:val="fr-FR"/>
            </w:rPr>
          </w:pPr>
        </w:p>
      </w:tc>
    </w:tr>
    <w:tr w:rsidR="0022730A" w14:paraId="54C344CA" w14:textId="77777777" w:rsidTr="00A50CF6">
      <w:tc>
        <w:tcPr>
          <w:tcW w:w="2160" w:type="dxa"/>
        </w:tcPr>
        <w:p w14:paraId="6FE651D7" w14:textId="77777777" w:rsidR="000C0163" w:rsidRPr="005819CE" w:rsidRDefault="00D81AA3" w:rsidP="000C0163">
          <w:pPr>
            <w:pStyle w:val="Huisstijl-Kopje"/>
          </w:pPr>
          <w:r>
            <w:t>Ons kenmerk</w:t>
          </w:r>
        </w:p>
        <w:p w14:paraId="71DEA3BB" w14:textId="77777777" w:rsidR="000C0163" w:rsidRPr="005819CE" w:rsidRDefault="00D81AA3" w:rsidP="000C0163">
          <w:pPr>
            <w:pStyle w:val="Huisstijl-Gegeven"/>
          </w:pPr>
          <w:r>
            <w:t>DGBI-I</w:t>
          </w:r>
          <w:r w:rsidR="00926AE2">
            <w:t xml:space="preserve"> / </w:t>
          </w:r>
          <w:r>
            <w:t>106155373</w:t>
          </w:r>
        </w:p>
        <w:p w14:paraId="4EA96CE4" w14:textId="77777777" w:rsidR="00527BD4" w:rsidRPr="005819CE" w:rsidRDefault="00527BD4" w:rsidP="00BC3829">
          <w:pPr>
            <w:pStyle w:val="Huisstijl-Kopje"/>
          </w:pPr>
        </w:p>
      </w:tc>
    </w:tr>
  </w:tbl>
  <w:p w14:paraId="6232CA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22730A" w:rsidRPr="00F7728A" w14:paraId="0ED95218" w14:textId="77777777" w:rsidTr="00C37826">
      <w:trPr>
        <w:trHeight w:val="400"/>
      </w:trPr>
      <w:tc>
        <w:tcPr>
          <w:tcW w:w="7371" w:type="dxa"/>
          <w:gridSpan w:val="2"/>
        </w:tcPr>
        <w:p w14:paraId="5196521F" w14:textId="77777777" w:rsidR="00527BD4" w:rsidRPr="00F34E19" w:rsidRDefault="00D81AA3" w:rsidP="00A50CF6">
          <w:pPr>
            <w:pStyle w:val="Huisstijl-Retouradres"/>
            <w:rPr>
              <w:lang w:val="da-DK"/>
            </w:rPr>
          </w:pPr>
          <w:r w:rsidRPr="00F34E19">
            <w:rPr>
              <w:lang w:val="da-DK"/>
            </w:rPr>
            <w:t xml:space="preserve">&gt; </w:t>
          </w:r>
          <w:r w:rsidR="00C37826" w:rsidRPr="00F34E19">
            <w:rPr>
              <w:lang w:val="da-DK"/>
            </w:rPr>
            <w:t xml:space="preserve">Retouradres Postbus </w:t>
          </w:r>
          <w:r w:rsidRPr="00F34E19">
            <w:rPr>
              <w:lang w:val="da-DK"/>
            </w:rPr>
            <w:t>20401</w:t>
          </w:r>
          <w:r w:rsidR="00C37826" w:rsidRPr="00F34E19">
            <w:rPr>
              <w:lang w:val="da-DK"/>
            </w:rPr>
            <w:t xml:space="preserve"> </w:t>
          </w:r>
          <w:r w:rsidRPr="00F34E19">
            <w:rPr>
              <w:lang w:val="da-DK"/>
            </w:rPr>
            <w:t>2500 EK</w:t>
          </w:r>
          <w:r w:rsidR="00C37826" w:rsidRPr="00F34E19">
            <w:rPr>
              <w:lang w:val="da-DK"/>
            </w:rPr>
            <w:t xml:space="preserve"> </w:t>
          </w:r>
          <w:r w:rsidRPr="00F34E19">
            <w:rPr>
              <w:lang w:val="da-DK"/>
            </w:rPr>
            <w:t>Den Haag</w:t>
          </w:r>
        </w:p>
      </w:tc>
    </w:tr>
    <w:tr w:rsidR="0022730A" w:rsidRPr="00F7728A" w14:paraId="26CEC72B" w14:textId="77777777" w:rsidTr="00C37826">
      <w:tc>
        <w:tcPr>
          <w:tcW w:w="7371" w:type="dxa"/>
          <w:gridSpan w:val="2"/>
        </w:tcPr>
        <w:p w14:paraId="422F2C99" w14:textId="77777777" w:rsidR="00527BD4" w:rsidRPr="00F34E19" w:rsidRDefault="00527BD4" w:rsidP="00A50CF6">
          <w:pPr>
            <w:pStyle w:val="Huisstijl-Rubricering"/>
            <w:rPr>
              <w:lang w:val="da-DK"/>
            </w:rPr>
          </w:pPr>
        </w:p>
      </w:tc>
    </w:tr>
    <w:tr w:rsidR="0022730A" w14:paraId="05AB4151" w14:textId="77777777" w:rsidTr="00C37826">
      <w:trPr>
        <w:trHeight w:hRule="exact" w:val="2440"/>
      </w:trPr>
      <w:tc>
        <w:tcPr>
          <w:tcW w:w="7371" w:type="dxa"/>
          <w:gridSpan w:val="2"/>
        </w:tcPr>
        <w:p w14:paraId="65BB9170" w14:textId="77777777" w:rsidR="00527BD4" w:rsidRDefault="00D81AA3" w:rsidP="00A50CF6">
          <w:pPr>
            <w:pStyle w:val="Huisstijl-NAW"/>
          </w:pPr>
          <w:r>
            <w:t xml:space="preserve">De Voorzitter van de Tweede Kamer </w:t>
          </w:r>
        </w:p>
        <w:p w14:paraId="67C76734" w14:textId="77777777" w:rsidR="00D87195" w:rsidRPr="00F34E19" w:rsidRDefault="00D81AA3" w:rsidP="00D87195">
          <w:pPr>
            <w:pStyle w:val="Huisstijl-NAW"/>
            <w:rPr>
              <w:lang w:val="da-DK"/>
            </w:rPr>
          </w:pPr>
          <w:r w:rsidRPr="00F34E19">
            <w:rPr>
              <w:lang w:val="da-DK"/>
            </w:rPr>
            <w:t>der Staten-Generaal</w:t>
          </w:r>
        </w:p>
        <w:p w14:paraId="67CF16D9" w14:textId="77777777" w:rsidR="00EA0F13" w:rsidRPr="00F34E19" w:rsidRDefault="00D81AA3" w:rsidP="00EA0F13">
          <w:pPr>
            <w:rPr>
              <w:szCs w:val="18"/>
              <w:lang w:val="da-DK"/>
            </w:rPr>
          </w:pPr>
          <w:r w:rsidRPr="00F34E19">
            <w:rPr>
              <w:szCs w:val="18"/>
              <w:lang w:val="da-DK"/>
            </w:rPr>
            <w:t>Prinses Irenestraat 6</w:t>
          </w:r>
        </w:p>
        <w:p w14:paraId="0EAC5E53" w14:textId="77777777" w:rsidR="00985E56" w:rsidRDefault="00D81AA3" w:rsidP="00EA0F13">
          <w:r>
            <w:rPr>
              <w:szCs w:val="18"/>
            </w:rPr>
            <w:t>2595 BD  DEN HAAG</w:t>
          </w:r>
        </w:p>
      </w:tc>
    </w:tr>
    <w:tr w:rsidR="0022730A" w14:paraId="02444F6D" w14:textId="77777777" w:rsidTr="00C37826">
      <w:trPr>
        <w:trHeight w:hRule="exact" w:val="400"/>
      </w:trPr>
      <w:tc>
        <w:tcPr>
          <w:tcW w:w="7371" w:type="dxa"/>
          <w:gridSpan w:val="2"/>
        </w:tcPr>
        <w:p w14:paraId="15F5658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2730A" w14:paraId="6F186F71" w14:textId="77777777" w:rsidTr="00C37826">
      <w:trPr>
        <w:trHeight w:val="240"/>
      </w:trPr>
      <w:tc>
        <w:tcPr>
          <w:tcW w:w="709" w:type="dxa"/>
        </w:tcPr>
        <w:p w14:paraId="11A7AD3E" w14:textId="77777777" w:rsidR="00527BD4" w:rsidRPr="00C37826" w:rsidRDefault="00D81AA3" w:rsidP="00A50CF6">
          <w:pPr>
            <w:rPr>
              <w:szCs w:val="18"/>
            </w:rPr>
          </w:pPr>
          <w:r>
            <w:rPr>
              <w:szCs w:val="18"/>
            </w:rPr>
            <w:t>Datum</w:t>
          </w:r>
        </w:p>
      </w:tc>
      <w:tc>
        <w:tcPr>
          <w:tcW w:w="6662" w:type="dxa"/>
        </w:tcPr>
        <w:p w14:paraId="68ADD02E" w14:textId="4ED53D38" w:rsidR="00527BD4" w:rsidRPr="007709EF" w:rsidRDefault="00BC3829" w:rsidP="00A50CF6">
          <w:r>
            <w:t>16 juni 2026</w:t>
          </w:r>
        </w:p>
      </w:tc>
    </w:tr>
    <w:tr w:rsidR="0022730A" w14:paraId="011C553E" w14:textId="77777777" w:rsidTr="00C37826">
      <w:trPr>
        <w:trHeight w:val="240"/>
      </w:trPr>
      <w:tc>
        <w:tcPr>
          <w:tcW w:w="709" w:type="dxa"/>
        </w:tcPr>
        <w:p w14:paraId="17783020" w14:textId="77777777" w:rsidR="00527BD4" w:rsidRPr="00C37826" w:rsidRDefault="00D81AA3" w:rsidP="00A50CF6">
          <w:pPr>
            <w:rPr>
              <w:szCs w:val="18"/>
            </w:rPr>
          </w:pPr>
          <w:r>
            <w:rPr>
              <w:szCs w:val="18"/>
            </w:rPr>
            <w:t>Betreft</w:t>
          </w:r>
        </w:p>
      </w:tc>
      <w:tc>
        <w:tcPr>
          <w:tcW w:w="6662" w:type="dxa"/>
        </w:tcPr>
        <w:p w14:paraId="78DAE8A7" w14:textId="77777777" w:rsidR="00527BD4" w:rsidRPr="007709EF" w:rsidRDefault="00D81AA3" w:rsidP="00A50CF6">
          <w:r>
            <w:t>Voortgang Lange-termijn Ruimtevaartagenda</w:t>
          </w:r>
        </w:p>
      </w:tc>
    </w:tr>
  </w:tbl>
  <w:p w14:paraId="36FEE7B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D38BE46">
      <w:start w:val="1"/>
      <w:numFmt w:val="bullet"/>
      <w:pStyle w:val="Lijstopsomteken"/>
      <w:lvlText w:val="•"/>
      <w:lvlJc w:val="left"/>
      <w:pPr>
        <w:tabs>
          <w:tab w:val="num" w:pos="227"/>
        </w:tabs>
        <w:ind w:left="227" w:hanging="227"/>
      </w:pPr>
      <w:rPr>
        <w:rFonts w:ascii="Verdana" w:hAnsi="Verdana" w:hint="default"/>
        <w:sz w:val="18"/>
        <w:szCs w:val="18"/>
      </w:rPr>
    </w:lvl>
    <w:lvl w:ilvl="1" w:tplc="2480B202" w:tentative="1">
      <w:start w:val="1"/>
      <w:numFmt w:val="bullet"/>
      <w:lvlText w:val="o"/>
      <w:lvlJc w:val="left"/>
      <w:pPr>
        <w:tabs>
          <w:tab w:val="num" w:pos="1440"/>
        </w:tabs>
        <w:ind w:left="1440" w:hanging="360"/>
      </w:pPr>
      <w:rPr>
        <w:rFonts w:ascii="Courier New" w:hAnsi="Courier New" w:cs="Courier New" w:hint="default"/>
      </w:rPr>
    </w:lvl>
    <w:lvl w:ilvl="2" w:tplc="8C3AFB08" w:tentative="1">
      <w:start w:val="1"/>
      <w:numFmt w:val="bullet"/>
      <w:lvlText w:val=""/>
      <w:lvlJc w:val="left"/>
      <w:pPr>
        <w:tabs>
          <w:tab w:val="num" w:pos="2160"/>
        </w:tabs>
        <w:ind w:left="2160" w:hanging="360"/>
      </w:pPr>
      <w:rPr>
        <w:rFonts w:ascii="Wingdings" w:hAnsi="Wingdings" w:hint="default"/>
      </w:rPr>
    </w:lvl>
    <w:lvl w:ilvl="3" w:tplc="F62A3F80" w:tentative="1">
      <w:start w:val="1"/>
      <w:numFmt w:val="bullet"/>
      <w:lvlText w:val=""/>
      <w:lvlJc w:val="left"/>
      <w:pPr>
        <w:tabs>
          <w:tab w:val="num" w:pos="2880"/>
        </w:tabs>
        <w:ind w:left="2880" w:hanging="360"/>
      </w:pPr>
      <w:rPr>
        <w:rFonts w:ascii="Symbol" w:hAnsi="Symbol" w:hint="default"/>
      </w:rPr>
    </w:lvl>
    <w:lvl w:ilvl="4" w:tplc="6E54072C" w:tentative="1">
      <w:start w:val="1"/>
      <w:numFmt w:val="bullet"/>
      <w:lvlText w:val="o"/>
      <w:lvlJc w:val="left"/>
      <w:pPr>
        <w:tabs>
          <w:tab w:val="num" w:pos="3600"/>
        </w:tabs>
        <w:ind w:left="3600" w:hanging="360"/>
      </w:pPr>
      <w:rPr>
        <w:rFonts w:ascii="Courier New" w:hAnsi="Courier New" w:cs="Courier New" w:hint="default"/>
      </w:rPr>
    </w:lvl>
    <w:lvl w:ilvl="5" w:tplc="5DD425B8" w:tentative="1">
      <w:start w:val="1"/>
      <w:numFmt w:val="bullet"/>
      <w:lvlText w:val=""/>
      <w:lvlJc w:val="left"/>
      <w:pPr>
        <w:tabs>
          <w:tab w:val="num" w:pos="4320"/>
        </w:tabs>
        <w:ind w:left="4320" w:hanging="360"/>
      </w:pPr>
      <w:rPr>
        <w:rFonts w:ascii="Wingdings" w:hAnsi="Wingdings" w:hint="default"/>
      </w:rPr>
    </w:lvl>
    <w:lvl w:ilvl="6" w:tplc="4C360D94" w:tentative="1">
      <w:start w:val="1"/>
      <w:numFmt w:val="bullet"/>
      <w:lvlText w:val=""/>
      <w:lvlJc w:val="left"/>
      <w:pPr>
        <w:tabs>
          <w:tab w:val="num" w:pos="5040"/>
        </w:tabs>
        <w:ind w:left="5040" w:hanging="360"/>
      </w:pPr>
      <w:rPr>
        <w:rFonts w:ascii="Symbol" w:hAnsi="Symbol" w:hint="default"/>
      </w:rPr>
    </w:lvl>
    <w:lvl w:ilvl="7" w:tplc="50F66FFC" w:tentative="1">
      <w:start w:val="1"/>
      <w:numFmt w:val="bullet"/>
      <w:lvlText w:val="o"/>
      <w:lvlJc w:val="left"/>
      <w:pPr>
        <w:tabs>
          <w:tab w:val="num" w:pos="5760"/>
        </w:tabs>
        <w:ind w:left="5760" w:hanging="360"/>
      </w:pPr>
      <w:rPr>
        <w:rFonts w:ascii="Courier New" w:hAnsi="Courier New" w:cs="Courier New" w:hint="default"/>
      </w:rPr>
    </w:lvl>
    <w:lvl w:ilvl="8" w:tplc="95E4DD6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82AF45E">
      <w:start w:val="1"/>
      <w:numFmt w:val="bullet"/>
      <w:pStyle w:val="Lijstopsomteken2"/>
      <w:lvlText w:val="–"/>
      <w:lvlJc w:val="left"/>
      <w:pPr>
        <w:tabs>
          <w:tab w:val="num" w:pos="227"/>
        </w:tabs>
        <w:ind w:left="227" w:firstLine="0"/>
      </w:pPr>
      <w:rPr>
        <w:rFonts w:ascii="Verdana" w:hAnsi="Verdana" w:hint="default"/>
      </w:rPr>
    </w:lvl>
    <w:lvl w:ilvl="1" w:tplc="4380DC02" w:tentative="1">
      <w:start w:val="1"/>
      <w:numFmt w:val="bullet"/>
      <w:lvlText w:val="o"/>
      <w:lvlJc w:val="left"/>
      <w:pPr>
        <w:tabs>
          <w:tab w:val="num" w:pos="1440"/>
        </w:tabs>
        <w:ind w:left="1440" w:hanging="360"/>
      </w:pPr>
      <w:rPr>
        <w:rFonts w:ascii="Courier New" w:hAnsi="Courier New" w:cs="Courier New" w:hint="default"/>
      </w:rPr>
    </w:lvl>
    <w:lvl w:ilvl="2" w:tplc="B60453CE" w:tentative="1">
      <w:start w:val="1"/>
      <w:numFmt w:val="bullet"/>
      <w:lvlText w:val=""/>
      <w:lvlJc w:val="left"/>
      <w:pPr>
        <w:tabs>
          <w:tab w:val="num" w:pos="2160"/>
        </w:tabs>
        <w:ind w:left="2160" w:hanging="360"/>
      </w:pPr>
      <w:rPr>
        <w:rFonts w:ascii="Wingdings" w:hAnsi="Wingdings" w:hint="default"/>
      </w:rPr>
    </w:lvl>
    <w:lvl w:ilvl="3" w:tplc="5C08004A" w:tentative="1">
      <w:start w:val="1"/>
      <w:numFmt w:val="bullet"/>
      <w:lvlText w:val=""/>
      <w:lvlJc w:val="left"/>
      <w:pPr>
        <w:tabs>
          <w:tab w:val="num" w:pos="2880"/>
        </w:tabs>
        <w:ind w:left="2880" w:hanging="360"/>
      </w:pPr>
      <w:rPr>
        <w:rFonts w:ascii="Symbol" w:hAnsi="Symbol" w:hint="default"/>
      </w:rPr>
    </w:lvl>
    <w:lvl w:ilvl="4" w:tplc="69C8AFE2" w:tentative="1">
      <w:start w:val="1"/>
      <w:numFmt w:val="bullet"/>
      <w:lvlText w:val="o"/>
      <w:lvlJc w:val="left"/>
      <w:pPr>
        <w:tabs>
          <w:tab w:val="num" w:pos="3600"/>
        </w:tabs>
        <w:ind w:left="3600" w:hanging="360"/>
      </w:pPr>
      <w:rPr>
        <w:rFonts w:ascii="Courier New" w:hAnsi="Courier New" w:cs="Courier New" w:hint="default"/>
      </w:rPr>
    </w:lvl>
    <w:lvl w:ilvl="5" w:tplc="125A557E" w:tentative="1">
      <w:start w:val="1"/>
      <w:numFmt w:val="bullet"/>
      <w:lvlText w:val=""/>
      <w:lvlJc w:val="left"/>
      <w:pPr>
        <w:tabs>
          <w:tab w:val="num" w:pos="4320"/>
        </w:tabs>
        <w:ind w:left="4320" w:hanging="360"/>
      </w:pPr>
      <w:rPr>
        <w:rFonts w:ascii="Wingdings" w:hAnsi="Wingdings" w:hint="default"/>
      </w:rPr>
    </w:lvl>
    <w:lvl w:ilvl="6" w:tplc="2B3E3B22" w:tentative="1">
      <w:start w:val="1"/>
      <w:numFmt w:val="bullet"/>
      <w:lvlText w:val=""/>
      <w:lvlJc w:val="left"/>
      <w:pPr>
        <w:tabs>
          <w:tab w:val="num" w:pos="5040"/>
        </w:tabs>
        <w:ind w:left="5040" w:hanging="360"/>
      </w:pPr>
      <w:rPr>
        <w:rFonts w:ascii="Symbol" w:hAnsi="Symbol" w:hint="default"/>
      </w:rPr>
    </w:lvl>
    <w:lvl w:ilvl="7" w:tplc="00C01832" w:tentative="1">
      <w:start w:val="1"/>
      <w:numFmt w:val="bullet"/>
      <w:lvlText w:val="o"/>
      <w:lvlJc w:val="left"/>
      <w:pPr>
        <w:tabs>
          <w:tab w:val="num" w:pos="5760"/>
        </w:tabs>
        <w:ind w:left="5760" w:hanging="360"/>
      </w:pPr>
      <w:rPr>
        <w:rFonts w:ascii="Courier New" w:hAnsi="Courier New" w:cs="Courier New" w:hint="default"/>
      </w:rPr>
    </w:lvl>
    <w:lvl w:ilvl="8" w:tplc="892610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1480E69A">
      <w:numFmt w:val="bullet"/>
      <w:lvlText w:val="-"/>
      <w:lvlJc w:val="left"/>
      <w:pPr>
        <w:ind w:left="720" w:hanging="360"/>
      </w:pPr>
      <w:rPr>
        <w:rFonts w:ascii="Calibri" w:eastAsia="Times New Roman" w:hAnsi="Calibri" w:cs="Calibri" w:hint="default"/>
      </w:rPr>
    </w:lvl>
    <w:lvl w:ilvl="1" w:tplc="257A4582">
      <w:start w:val="1"/>
      <w:numFmt w:val="bullet"/>
      <w:lvlText w:val="o"/>
      <w:lvlJc w:val="left"/>
      <w:pPr>
        <w:ind w:left="1440" w:hanging="360"/>
      </w:pPr>
      <w:rPr>
        <w:rFonts w:ascii="Courier New" w:hAnsi="Courier New" w:cs="Courier New" w:hint="default"/>
      </w:rPr>
    </w:lvl>
    <w:lvl w:ilvl="2" w:tplc="F8EC0378">
      <w:start w:val="1"/>
      <w:numFmt w:val="bullet"/>
      <w:lvlText w:val=""/>
      <w:lvlJc w:val="left"/>
      <w:pPr>
        <w:ind w:left="2160" w:hanging="360"/>
      </w:pPr>
      <w:rPr>
        <w:rFonts w:ascii="Wingdings" w:hAnsi="Wingdings" w:hint="default"/>
      </w:rPr>
    </w:lvl>
    <w:lvl w:ilvl="3" w:tplc="6FEABFCE">
      <w:start w:val="1"/>
      <w:numFmt w:val="bullet"/>
      <w:lvlText w:val=""/>
      <w:lvlJc w:val="left"/>
      <w:pPr>
        <w:ind w:left="2880" w:hanging="360"/>
      </w:pPr>
      <w:rPr>
        <w:rFonts w:ascii="Symbol" w:hAnsi="Symbol" w:hint="default"/>
      </w:rPr>
    </w:lvl>
    <w:lvl w:ilvl="4" w:tplc="C60EA80C">
      <w:start w:val="1"/>
      <w:numFmt w:val="bullet"/>
      <w:lvlText w:val="o"/>
      <w:lvlJc w:val="left"/>
      <w:pPr>
        <w:ind w:left="3600" w:hanging="360"/>
      </w:pPr>
      <w:rPr>
        <w:rFonts w:ascii="Courier New" w:hAnsi="Courier New" w:cs="Courier New" w:hint="default"/>
      </w:rPr>
    </w:lvl>
    <w:lvl w:ilvl="5" w:tplc="5F5E0BC4">
      <w:start w:val="1"/>
      <w:numFmt w:val="bullet"/>
      <w:lvlText w:val=""/>
      <w:lvlJc w:val="left"/>
      <w:pPr>
        <w:ind w:left="4320" w:hanging="360"/>
      </w:pPr>
      <w:rPr>
        <w:rFonts w:ascii="Wingdings" w:hAnsi="Wingdings" w:hint="default"/>
      </w:rPr>
    </w:lvl>
    <w:lvl w:ilvl="6" w:tplc="E1BC83FE">
      <w:start w:val="1"/>
      <w:numFmt w:val="bullet"/>
      <w:lvlText w:val=""/>
      <w:lvlJc w:val="left"/>
      <w:pPr>
        <w:ind w:left="5040" w:hanging="360"/>
      </w:pPr>
      <w:rPr>
        <w:rFonts w:ascii="Symbol" w:hAnsi="Symbol" w:hint="default"/>
      </w:rPr>
    </w:lvl>
    <w:lvl w:ilvl="7" w:tplc="0E1EE5EA">
      <w:start w:val="1"/>
      <w:numFmt w:val="bullet"/>
      <w:lvlText w:val="o"/>
      <w:lvlJc w:val="left"/>
      <w:pPr>
        <w:ind w:left="5760" w:hanging="360"/>
      </w:pPr>
      <w:rPr>
        <w:rFonts w:ascii="Courier New" w:hAnsi="Courier New" w:cs="Courier New" w:hint="default"/>
      </w:rPr>
    </w:lvl>
    <w:lvl w:ilvl="8" w:tplc="0018EB94">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59091304">
    <w:abstractNumId w:val="10"/>
  </w:num>
  <w:num w:numId="2" w16cid:durableId="927033401">
    <w:abstractNumId w:val="7"/>
  </w:num>
  <w:num w:numId="3" w16cid:durableId="823666307">
    <w:abstractNumId w:val="6"/>
  </w:num>
  <w:num w:numId="4" w16cid:durableId="246840557">
    <w:abstractNumId w:val="5"/>
  </w:num>
  <w:num w:numId="5" w16cid:durableId="351418000">
    <w:abstractNumId w:val="4"/>
  </w:num>
  <w:num w:numId="6" w16cid:durableId="1260062527">
    <w:abstractNumId w:val="8"/>
  </w:num>
  <w:num w:numId="7" w16cid:durableId="1048260562">
    <w:abstractNumId w:val="3"/>
  </w:num>
  <w:num w:numId="8" w16cid:durableId="289940374">
    <w:abstractNumId w:val="2"/>
  </w:num>
  <w:num w:numId="9" w16cid:durableId="1848329723">
    <w:abstractNumId w:val="1"/>
  </w:num>
  <w:num w:numId="10" w16cid:durableId="288979646">
    <w:abstractNumId w:val="0"/>
  </w:num>
  <w:num w:numId="11" w16cid:durableId="1605267849">
    <w:abstractNumId w:val="9"/>
  </w:num>
  <w:num w:numId="12" w16cid:durableId="736048995">
    <w:abstractNumId w:val="11"/>
  </w:num>
  <w:num w:numId="13" w16cid:durableId="893203865">
    <w:abstractNumId w:val="14"/>
  </w:num>
  <w:num w:numId="14" w16cid:durableId="372852006">
    <w:abstractNumId w:val="12"/>
  </w:num>
  <w:num w:numId="15" w16cid:durableId="48824983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23BA"/>
    <w:rsid w:val="00023E9A"/>
    <w:rsid w:val="000273B9"/>
    <w:rsid w:val="00033CDD"/>
    <w:rsid w:val="00034A84"/>
    <w:rsid w:val="00035E67"/>
    <w:rsid w:val="000366F3"/>
    <w:rsid w:val="0006024D"/>
    <w:rsid w:val="00071F28"/>
    <w:rsid w:val="00074079"/>
    <w:rsid w:val="00092799"/>
    <w:rsid w:val="00092C5F"/>
    <w:rsid w:val="00093424"/>
    <w:rsid w:val="00096680"/>
    <w:rsid w:val="000A0F36"/>
    <w:rsid w:val="000A174A"/>
    <w:rsid w:val="000A3E0A"/>
    <w:rsid w:val="000A65AC"/>
    <w:rsid w:val="000B7281"/>
    <w:rsid w:val="000B7FAB"/>
    <w:rsid w:val="000C0163"/>
    <w:rsid w:val="000C1BA1"/>
    <w:rsid w:val="000C3EA9"/>
    <w:rsid w:val="000C3EC0"/>
    <w:rsid w:val="000D0225"/>
    <w:rsid w:val="000D6CCE"/>
    <w:rsid w:val="000E3421"/>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730A"/>
    <w:rsid w:val="00230238"/>
    <w:rsid w:val="002309A8"/>
    <w:rsid w:val="00236CFE"/>
    <w:rsid w:val="002428E3"/>
    <w:rsid w:val="00243031"/>
    <w:rsid w:val="002570B4"/>
    <w:rsid w:val="00260BAF"/>
    <w:rsid w:val="002650F7"/>
    <w:rsid w:val="002665C5"/>
    <w:rsid w:val="00273F3B"/>
    <w:rsid w:val="00274DB7"/>
    <w:rsid w:val="00275984"/>
    <w:rsid w:val="002777EB"/>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505E"/>
    <w:rsid w:val="004F42FF"/>
    <w:rsid w:val="004F44C2"/>
    <w:rsid w:val="004F5DEF"/>
    <w:rsid w:val="00502512"/>
    <w:rsid w:val="00503FD2"/>
    <w:rsid w:val="00505262"/>
    <w:rsid w:val="00516022"/>
    <w:rsid w:val="00521CEE"/>
    <w:rsid w:val="00524FB4"/>
    <w:rsid w:val="00527BD4"/>
    <w:rsid w:val="0053061A"/>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54EB3"/>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017F"/>
    <w:rsid w:val="00735D88"/>
    <w:rsid w:val="0073720D"/>
    <w:rsid w:val="00737507"/>
    <w:rsid w:val="00740712"/>
    <w:rsid w:val="00742AB9"/>
    <w:rsid w:val="00751A6A"/>
    <w:rsid w:val="00754FBF"/>
    <w:rsid w:val="007610AA"/>
    <w:rsid w:val="0076554A"/>
    <w:rsid w:val="007709EF"/>
    <w:rsid w:val="00781DCA"/>
    <w:rsid w:val="00782701"/>
    <w:rsid w:val="00783559"/>
    <w:rsid w:val="0079551B"/>
    <w:rsid w:val="00797AA5"/>
    <w:rsid w:val="007A26BD"/>
    <w:rsid w:val="007A4105"/>
    <w:rsid w:val="007B171A"/>
    <w:rsid w:val="007B4503"/>
    <w:rsid w:val="007B7905"/>
    <w:rsid w:val="007C406E"/>
    <w:rsid w:val="007C5183"/>
    <w:rsid w:val="007C7573"/>
    <w:rsid w:val="007E0028"/>
    <w:rsid w:val="007E2B20"/>
    <w:rsid w:val="007E333B"/>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2D76"/>
    <w:rsid w:val="008D43B5"/>
    <w:rsid w:val="008E0B3F"/>
    <w:rsid w:val="008E49AD"/>
    <w:rsid w:val="008E698E"/>
    <w:rsid w:val="008F2584"/>
    <w:rsid w:val="008F3246"/>
    <w:rsid w:val="008F3C1B"/>
    <w:rsid w:val="008F508C"/>
    <w:rsid w:val="0090271B"/>
    <w:rsid w:val="00903287"/>
    <w:rsid w:val="00910642"/>
    <w:rsid w:val="00910DDF"/>
    <w:rsid w:val="00915561"/>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17BE"/>
    <w:rsid w:val="00A63B8C"/>
    <w:rsid w:val="00A646B6"/>
    <w:rsid w:val="00A715F8"/>
    <w:rsid w:val="00A77F6F"/>
    <w:rsid w:val="00A831FD"/>
    <w:rsid w:val="00A83352"/>
    <w:rsid w:val="00A850A2"/>
    <w:rsid w:val="00A91FA3"/>
    <w:rsid w:val="00A927D3"/>
    <w:rsid w:val="00AA1964"/>
    <w:rsid w:val="00AA7FC9"/>
    <w:rsid w:val="00AB237D"/>
    <w:rsid w:val="00AB5933"/>
    <w:rsid w:val="00AC3F81"/>
    <w:rsid w:val="00AE013D"/>
    <w:rsid w:val="00AE11B7"/>
    <w:rsid w:val="00AE7F68"/>
    <w:rsid w:val="00AF2321"/>
    <w:rsid w:val="00AF52F6"/>
    <w:rsid w:val="00AF54A8"/>
    <w:rsid w:val="00AF7237"/>
    <w:rsid w:val="00B0043A"/>
    <w:rsid w:val="00B00D75"/>
    <w:rsid w:val="00B01E39"/>
    <w:rsid w:val="00B070CB"/>
    <w:rsid w:val="00B12456"/>
    <w:rsid w:val="00B145F0"/>
    <w:rsid w:val="00B259C8"/>
    <w:rsid w:val="00B26CCF"/>
    <w:rsid w:val="00B30FC2"/>
    <w:rsid w:val="00B331A2"/>
    <w:rsid w:val="00B425F0"/>
    <w:rsid w:val="00B42A6F"/>
    <w:rsid w:val="00B42DFA"/>
    <w:rsid w:val="00B5125B"/>
    <w:rsid w:val="00B531DD"/>
    <w:rsid w:val="00B55014"/>
    <w:rsid w:val="00B62232"/>
    <w:rsid w:val="00B638B4"/>
    <w:rsid w:val="00B70BF3"/>
    <w:rsid w:val="00B71DC2"/>
    <w:rsid w:val="00B80E8A"/>
    <w:rsid w:val="00B824BA"/>
    <w:rsid w:val="00B91CFC"/>
    <w:rsid w:val="00B93893"/>
    <w:rsid w:val="00BA0C72"/>
    <w:rsid w:val="00BA1397"/>
    <w:rsid w:val="00BA7E0A"/>
    <w:rsid w:val="00BC3829"/>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1C69"/>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2995"/>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3D78"/>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7870"/>
    <w:rsid w:val="00D80977"/>
    <w:rsid w:val="00D80CCE"/>
    <w:rsid w:val="00D81AA3"/>
    <w:rsid w:val="00D86EEA"/>
    <w:rsid w:val="00D87195"/>
    <w:rsid w:val="00D87D03"/>
    <w:rsid w:val="00D9360B"/>
    <w:rsid w:val="00D95C88"/>
    <w:rsid w:val="00D97B2E"/>
    <w:rsid w:val="00DA241E"/>
    <w:rsid w:val="00DB36FE"/>
    <w:rsid w:val="00DB533A"/>
    <w:rsid w:val="00DB60AE"/>
    <w:rsid w:val="00DB6307"/>
    <w:rsid w:val="00DC487B"/>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E19"/>
    <w:rsid w:val="00F41A6F"/>
    <w:rsid w:val="00F45A25"/>
    <w:rsid w:val="00F50F86"/>
    <w:rsid w:val="00F53F91"/>
    <w:rsid w:val="00F61569"/>
    <w:rsid w:val="00F61A72"/>
    <w:rsid w:val="00F62B67"/>
    <w:rsid w:val="00F66F13"/>
    <w:rsid w:val="00F71F3C"/>
    <w:rsid w:val="00F74073"/>
    <w:rsid w:val="00F748E6"/>
    <w:rsid w:val="00F75603"/>
    <w:rsid w:val="00F7728A"/>
    <w:rsid w:val="00F845B4"/>
    <w:rsid w:val="00F8713B"/>
    <w:rsid w:val="00F928F8"/>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D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3061A"/>
    <w:rPr>
      <w:vertAlign w:val="superscript"/>
    </w:rPr>
  </w:style>
  <w:style w:type="paragraph" w:styleId="Revisie">
    <w:name w:val="Revision"/>
    <w:hidden/>
    <w:uiPriority w:val="99"/>
    <w:semiHidden/>
    <w:rsid w:val="00F7728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8D2D76"/>
    <w:rPr>
      <w:b/>
      <w:bCs/>
    </w:rPr>
  </w:style>
  <w:style w:type="character" w:customStyle="1" w:styleId="OnderwerpvanopmerkingChar">
    <w:name w:val="Onderwerp van opmerking Char"/>
    <w:basedOn w:val="TekstopmerkingChar"/>
    <w:link w:val="Onderwerpvanopmerking"/>
    <w:semiHidden/>
    <w:rsid w:val="008D2D7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inflames-project.github.io/" TargetMode="External"/><Relationship Id="rId2" Type="http://schemas.openxmlformats.org/officeDocument/2006/relationships/hyperlink" Target="https://www.knmi.nl/kennis-en-datacentrum/uitleg/tropomi" TargetMode="External"/><Relationship Id="rId1" Type="http://schemas.openxmlformats.org/officeDocument/2006/relationships/hyperlink" Target="https://www.knmi.nl/over-het-knmi/nieuws/nederlandse-partners-starten-bouw-klimaatsatelliet-tango" TargetMode="External"/><Relationship Id="rId6" Type="http://schemas.openxmlformats.org/officeDocument/2006/relationships/hyperlink" Target="https://esero.nl/voor-in-de-klas/expert-in-de-klas/space-goes-to-school-informatie-voor-experts/" TargetMode="External"/><Relationship Id="rId5" Type="http://schemas.openxmlformats.org/officeDocument/2006/relationships/hyperlink" Target="https://www.nlsa.nl/wat-doet-nlsa/samenwerking-bevorderen/geo-netherlands/" TargetMode="External"/><Relationship Id="rId4" Type="http://schemas.openxmlformats.org/officeDocument/2006/relationships/hyperlink" Target="https://open.overheid.nl/documenten/4a97d22f-8fbc-48a8-9fde-0a4dcfd0f60c/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3396</ap:Words>
  <ap:Characters>18681</ap:Characters>
  <ap:DocSecurity>0</ap:DocSecurity>
  <ap:Lines>155</ap:Lines>
  <ap:Paragraphs>44</ap:Paragraphs>
  <ap:ScaleCrop>false</ap:ScaleCrop>
  <ap:LinksUpToDate>false</ap:LinksUpToDate>
  <ap:CharactersWithSpaces>22033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2026-06-16T13:09:00.0000000Z</dcterms:created>
  <dcterms:modified xsi:type="dcterms:W3CDTF">2026-06-16T13:09:00.0000000Z</dcterms:modified>
  <dc:description>------------------------</dc:description>
  <dc:subject/>
  <keywords/>
  <version/>
  <category/>
</coreProperties>
</file>