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1B78" w:rsidP="00C01B78" w:rsidRDefault="00C01B78" w14:paraId="6445B302" w14:textId="77777777">
      <w:pPr>
        <w:pStyle w:val="Geenafstand"/>
      </w:pPr>
      <w:r>
        <w:t>AH 2253</w:t>
      </w:r>
    </w:p>
    <w:p w:rsidR="00C01B78" w:rsidP="00C01B78" w:rsidRDefault="00C01B78" w14:paraId="60F13FC5" w14:textId="77777777">
      <w:pPr>
        <w:pStyle w:val="Geenafstand"/>
      </w:pPr>
      <w:r>
        <w:t>2026Z09269</w:t>
      </w:r>
    </w:p>
    <w:p w:rsidRPr="00427891" w:rsidR="00C01B78" w:rsidP="00C01B78" w:rsidRDefault="00C01B78" w14:paraId="222865EC" w14:textId="77777777">
      <w:pPr>
        <w:pStyle w:val="Geenafstand"/>
      </w:pPr>
    </w:p>
    <w:p w:rsidRPr="00427891" w:rsidR="00C01B78" w:rsidP="00C01B78" w:rsidRDefault="00C01B78" w14:paraId="02DAE428" w14:textId="77777777">
      <w:pPr>
        <w:spacing w:line="276" w:lineRule="auto"/>
      </w:pPr>
      <w:r w:rsidRPr="00427891">
        <w:rPr>
          <w:sz w:val="24"/>
          <w:szCs w:val="24"/>
        </w:rPr>
        <w:t xml:space="preserve">Antwoord van minister Berendsen (Buitenlandse Zaken) </w:t>
      </w:r>
      <w:r>
        <w:rPr>
          <w:sz w:val="24"/>
          <w:szCs w:val="24"/>
        </w:rPr>
        <w:t>en</w:t>
      </w:r>
      <w:r w:rsidRPr="00427891">
        <w:rPr>
          <w:sz w:val="24"/>
          <w:szCs w:val="24"/>
        </w:rPr>
        <w:t xml:space="preserve"> van minister </w:t>
      </w:r>
      <w:proofErr w:type="spellStart"/>
      <w:r w:rsidRPr="00427891">
        <w:rPr>
          <w:sz w:val="24"/>
          <w:szCs w:val="24"/>
        </w:rPr>
        <w:t>Sjoerdsma</w:t>
      </w:r>
      <w:proofErr w:type="spellEnd"/>
      <w:r w:rsidRPr="00427891">
        <w:rPr>
          <w:sz w:val="24"/>
          <w:szCs w:val="24"/>
        </w:rPr>
        <w:t xml:space="preserve"> (Buitenlandse Handel en Ontwikkelingssamenwerking) (ontvangen </w:t>
      </w:r>
      <w:r>
        <w:rPr>
          <w:sz w:val="24"/>
          <w:szCs w:val="24"/>
        </w:rPr>
        <w:t>15 juni 2026)</w:t>
      </w:r>
    </w:p>
    <w:p w:rsidRPr="00C01B78" w:rsidR="00C01B78" w:rsidP="00C01B78" w:rsidRDefault="00C01B78" w14:paraId="226F88B5" w14:textId="076E0249">
      <w:pPr>
        <w:spacing w:line="276" w:lineRule="auto"/>
      </w:pPr>
      <w:r w:rsidRPr="00C01B78">
        <w:rPr>
          <w:color w:val="000000"/>
          <w:sz w:val="24"/>
          <w:szCs w:val="24"/>
        </w:rPr>
        <w:t xml:space="preserve">Zie ook Aanhangsel Handelingen, vergaderjaar 2025-2026, nr. </w:t>
      </w:r>
      <w:r w:rsidRPr="00C01B78">
        <w:t>1992</w:t>
      </w:r>
    </w:p>
    <w:p w:rsidR="00C01B78" w:rsidP="00C01B78" w:rsidRDefault="00C01B78" w14:paraId="2BDC47BF" w14:textId="77777777">
      <w:pPr>
        <w:spacing w:line="276" w:lineRule="auto"/>
        <w:rPr>
          <w:b/>
          <w:bCs/>
        </w:rPr>
      </w:pPr>
    </w:p>
    <w:p w:rsidRPr="00CD0DF3" w:rsidR="00C01B78" w:rsidP="00C01B78" w:rsidRDefault="00C01B78" w14:paraId="3CB93983" w14:textId="77777777">
      <w:pPr>
        <w:spacing w:line="276" w:lineRule="auto"/>
        <w:rPr>
          <w:b/>
          <w:bCs/>
        </w:rPr>
      </w:pPr>
    </w:p>
    <w:p w:rsidRPr="00CD0DF3" w:rsidR="00C01B78" w:rsidP="00C01B78" w:rsidRDefault="00C01B78" w14:paraId="28E0293D" w14:textId="77777777">
      <w:pPr>
        <w:spacing w:line="276" w:lineRule="auto"/>
      </w:pPr>
      <w:r w:rsidRPr="34716F07">
        <w:rPr>
          <w:b/>
          <w:bCs/>
        </w:rPr>
        <w:t>Vraag 1</w:t>
      </w:r>
      <w:r>
        <w:t xml:space="preserve"> </w:t>
      </w:r>
    </w:p>
    <w:p w:rsidRPr="00CD0DF3" w:rsidR="00C01B78" w:rsidP="00C01B78" w:rsidRDefault="00C01B78" w14:paraId="3A9ACA0C" w14:textId="77777777">
      <w:pPr>
        <w:spacing w:line="276" w:lineRule="auto"/>
      </w:pPr>
      <w:r w:rsidRPr="00CD0DF3">
        <w:t xml:space="preserve">Bent u bekend met het artikel ‘Zware klap voor oliekartel </w:t>
      </w:r>
      <w:proofErr w:type="spellStart"/>
      <w:r w:rsidRPr="00CD0DF3">
        <w:t>Opec</w:t>
      </w:r>
      <w:proofErr w:type="spellEnd"/>
      <w:r w:rsidRPr="00CD0DF3">
        <w:t xml:space="preserve"> na vertrek Emiraten: wat betekent dit voor de olieprijs en het wereldtoneel?’?</w:t>
      </w:r>
      <w:r w:rsidRPr="00CD0DF3">
        <w:rPr>
          <w:rStyle w:val="Voetnootmarkering"/>
        </w:rPr>
        <w:footnoteReference w:id="1"/>
      </w:r>
      <w:r w:rsidRPr="00CD0DF3">
        <w:br/>
      </w:r>
    </w:p>
    <w:p w:rsidRPr="00CD0DF3" w:rsidR="00C01B78" w:rsidP="00C01B78" w:rsidRDefault="00C01B78" w14:paraId="5F4613BC" w14:textId="77777777">
      <w:pPr>
        <w:spacing w:line="276" w:lineRule="auto"/>
        <w:rPr>
          <w:b/>
          <w:bCs/>
        </w:rPr>
      </w:pPr>
      <w:r w:rsidRPr="34716F07">
        <w:rPr>
          <w:b/>
          <w:bCs/>
        </w:rPr>
        <w:t>Antwoord</w:t>
      </w:r>
    </w:p>
    <w:p w:rsidRPr="00CD0DF3" w:rsidR="00C01B78" w:rsidP="00C01B78" w:rsidRDefault="00C01B78" w14:paraId="1E700A49" w14:textId="77777777">
      <w:pPr>
        <w:spacing w:line="276" w:lineRule="auto"/>
      </w:pPr>
      <w:r>
        <w:t>Ja.</w:t>
      </w:r>
      <w:r>
        <w:br/>
      </w:r>
    </w:p>
    <w:p w:rsidRPr="00CD0DF3" w:rsidR="00C01B78" w:rsidP="00C01B78" w:rsidRDefault="00C01B78" w14:paraId="4B475714" w14:textId="77777777">
      <w:pPr>
        <w:spacing w:line="276" w:lineRule="auto"/>
      </w:pPr>
      <w:r w:rsidRPr="34716F07">
        <w:rPr>
          <w:b/>
          <w:bCs/>
        </w:rPr>
        <w:t>Vraag 2</w:t>
      </w:r>
      <w:r>
        <w:t xml:space="preserve"> </w:t>
      </w:r>
    </w:p>
    <w:p w:rsidRPr="00CD0DF3" w:rsidR="00C01B78" w:rsidP="00C01B78" w:rsidRDefault="00C01B78" w14:paraId="0AE47BD3" w14:textId="77777777">
      <w:pPr>
        <w:spacing w:line="276" w:lineRule="auto"/>
      </w:pPr>
      <w:r>
        <w:t xml:space="preserve">Hoe duidt u het besluit van de Verenigde Arabische Emiraten (VAE) om het </w:t>
      </w:r>
      <w:proofErr w:type="spellStart"/>
      <w:r>
        <w:t>Opec</w:t>
      </w:r>
      <w:proofErr w:type="spellEnd"/>
      <w:r>
        <w:t xml:space="preserve">-kartel te verlaten in het licht van de structurele instabiliteit op de mondiale energiemarkt en de toenemende prijsvolatiliteit? </w:t>
      </w:r>
      <w:r>
        <w:br/>
      </w:r>
    </w:p>
    <w:p w:rsidRPr="00CD0DF3" w:rsidR="00C01B78" w:rsidP="00C01B78" w:rsidRDefault="00C01B78" w14:paraId="7A6F1428" w14:textId="77777777">
      <w:pPr>
        <w:spacing w:line="276" w:lineRule="auto"/>
        <w:rPr>
          <w:b/>
          <w:bCs/>
        </w:rPr>
      </w:pPr>
      <w:r w:rsidRPr="34716F07">
        <w:rPr>
          <w:b/>
          <w:bCs/>
        </w:rPr>
        <w:t>Antwoord</w:t>
      </w:r>
    </w:p>
    <w:p w:rsidRPr="00B234BD" w:rsidR="00C01B78" w:rsidP="00C01B78" w:rsidRDefault="00C01B78" w14:paraId="12653FD1" w14:textId="77777777">
      <w:pPr>
        <w:spacing w:line="276" w:lineRule="auto"/>
      </w:pPr>
      <w:r>
        <w:t xml:space="preserve">Doordat de VAE uit de OPEC-alliantie stapt, kunnen zij meer produceren. De VAE heeft nu een olieproductiecapaciteit van circa 4,85 miljoen vaten per dag. Het huidige OPEC-quotum voor de VAE is 3,4 miljoen. De productie zou in theorie dus met bijna 1,5 miljoen vaten per dag kunnen stijgen. Zolang het conflict in het Midden-Oosten </w:t>
      </w:r>
      <w:r w:rsidRPr="00B234BD">
        <w:t>echter aanhoudt, en er geen tankers met olie door de Straat van Hormuz gaan, zal een dergelijke toename in productie waarschijnlijk niet plaatsvinden. Op de korte termijn zal er daarom weinig effect zijn.</w:t>
      </w:r>
    </w:p>
    <w:p w:rsidRPr="00B234BD" w:rsidR="00C01B78" w:rsidP="00C01B78" w:rsidRDefault="00C01B78" w14:paraId="514DDD03" w14:textId="77777777">
      <w:pPr>
        <w:spacing w:line="276" w:lineRule="auto"/>
        <w:rPr>
          <w:b/>
          <w:bCs/>
        </w:rPr>
      </w:pPr>
    </w:p>
    <w:p w:rsidRPr="00B234BD" w:rsidR="00C01B78" w:rsidP="00C01B78" w:rsidRDefault="00C01B78" w14:paraId="33249CC0" w14:textId="77777777">
      <w:pPr>
        <w:spacing w:line="276" w:lineRule="auto"/>
      </w:pPr>
      <w:r w:rsidRPr="00B234BD">
        <w:lastRenderedPageBreak/>
        <w:t xml:space="preserve">Op middellange termijn (en als de Straat van Hormuz weer open gaat) zal dit waarschijnlijk neerwaartse druk zetten op de olieprijs. Het aanbod op de wereldmarkt kan namelijk groeien met zo’n 1%. Ruwweg kan op basis van de recent door de Wereldbank geschatte prijselasticiteit van de olievraag geschat worden dat 1% extra aanbod tot USD 6 tot USD 12 lagere prijzen (Brent) leidt. De prijs kan echter wel volatieler worden, omdat het aanbod minder constant is.  </w:t>
      </w:r>
    </w:p>
    <w:p w:rsidRPr="00B234BD" w:rsidR="00C01B78" w:rsidP="00C01B78" w:rsidRDefault="00C01B78" w14:paraId="1E9E315E" w14:textId="77777777">
      <w:pPr>
        <w:spacing w:line="276" w:lineRule="auto"/>
      </w:pPr>
    </w:p>
    <w:p w:rsidRPr="00B234BD" w:rsidR="00C01B78" w:rsidP="00C01B78" w:rsidRDefault="00C01B78" w14:paraId="35D89ECB" w14:textId="77777777">
      <w:pPr>
        <w:spacing w:line="276" w:lineRule="auto"/>
      </w:pPr>
      <w:r w:rsidRPr="00B234BD">
        <w:rPr>
          <w:b/>
          <w:bCs/>
        </w:rPr>
        <w:t>Vraag 3</w:t>
      </w:r>
      <w:r w:rsidRPr="00B234BD">
        <w:t xml:space="preserve"> </w:t>
      </w:r>
    </w:p>
    <w:p w:rsidRPr="00B234BD" w:rsidR="00C01B78" w:rsidP="00C01B78" w:rsidRDefault="00C01B78" w14:paraId="52509BB3" w14:textId="77777777">
      <w:pPr>
        <w:spacing w:line="276" w:lineRule="auto"/>
      </w:pPr>
      <w:r w:rsidRPr="00B234BD">
        <w:t xml:space="preserve">In hoeverre is de invloed van de </w:t>
      </w:r>
      <w:proofErr w:type="spellStart"/>
      <w:r w:rsidRPr="00B234BD">
        <w:t>Opec</w:t>
      </w:r>
      <w:proofErr w:type="spellEnd"/>
      <w:r w:rsidRPr="00B234BD">
        <w:t xml:space="preserve">+ op de wereldwijde olieproductie de afgelopen jaren afgenomen ten gunste van producenten buiten dit kartel? </w:t>
      </w:r>
      <w:r w:rsidRPr="00B234BD">
        <w:br/>
      </w:r>
    </w:p>
    <w:p w:rsidRPr="00B234BD" w:rsidR="00C01B78" w:rsidP="00C01B78" w:rsidRDefault="00C01B78" w14:paraId="79720694" w14:textId="77777777">
      <w:pPr>
        <w:spacing w:line="276" w:lineRule="auto"/>
        <w:rPr>
          <w:b/>
          <w:bCs/>
        </w:rPr>
      </w:pPr>
      <w:r w:rsidRPr="00B234BD">
        <w:rPr>
          <w:b/>
          <w:bCs/>
        </w:rPr>
        <w:t>Antwoord</w:t>
      </w:r>
    </w:p>
    <w:p w:rsidRPr="00CD0DF3" w:rsidR="00C01B78" w:rsidP="00C01B78" w:rsidRDefault="00C01B78" w14:paraId="267352D4" w14:textId="77777777">
      <w:pPr>
        <w:spacing w:line="276" w:lineRule="auto"/>
      </w:pPr>
      <w:r w:rsidRPr="00B234BD">
        <w:t>De invloed van OPEC is al decennia tanende. Het aandeel van de OPEC-productie in de wereldmarkt daalde van 50% in de jaren zeventig naar 43% in 2016. Toen werd tevens de OPEC+ opgericht, waarbij</w:t>
      </w:r>
      <w:r>
        <w:t xml:space="preserve"> landen als Maleisië en Rusland zich aansloten. Zo herwon de OPEC-alliantie aan relevantie, waardoor de OPEC+ nu voor 50% van de wereldproductie verantwoordelijk is, wat daalt naar ca. 45% met het vertrek van de VAE.</w:t>
      </w:r>
    </w:p>
    <w:p w:rsidRPr="00CD0DF3" w:rsidR="00C01B78" w:rsidP="00C01B78" w:rsidRDefault="00C01B78" w14:paraId="313D5A9F" w14:textId="77777777">
      <w:pPr>
        <w:spacing w:line="276" w:lineRule="auto"/>
      </w:pPr>
    </w:p>
    <w:p w:rsidRPr="00B234BD" w:rsidR="00C01B78" w:rsidP="00C01B78" w:rsidRDefault="00C01B78" w14:paraId="19CA43CE" w14:textId="77777777">
      <w:pPr>
        <w:spacing w:line="276" w:lineRule="auto"/>
      </w:pPr>
      <w:r w:rsidRPr="00B234BD">
        <w:t>Tegelijkertijd geeft OPEC+ Rusland invloed op productiebeperkingen die de mondiale olieprijs opdrijven. Hoewel sancties de Russische opbrengsten drukken, profiteert Moskou daardoor nog altijd van hogere olieprijzen, waarmee het zijn agressieoorlog tegen Oekraïne mede financiert.</w:t>
      </w:r>
    </w:p>
    <w:p w:rsidRPr="00B234BD" w:rsidR="00C01B78" w:rsidP="00C01B78" w:rsidRDefault="00C01B78" w14:paraId="7F97F898" w14:textId="77777777">
      <w:pPr>
        <w:spacing w:line="276" w:lineRule="auto"/>
      </w:pPr>
    </w:p>
    <w:p w:rsidRPr="00B234BD" w:rsidR="00C01B78" w:rsidP="00C01B78" w:rsidRDefault="00C01B78" w14:paraId="0428D95B" w14:textId="77777777">
      <w:pPr>
        <w:spacing w:line="276" w:lineRule="auto"/>
      </w:pPr>
      <w:bookmarkStart w:name="_Hlk231829478" w:id="0"/>
      <w:r w:rsidRPr="00B234BD">
        <w:rPr>
          <w:b/>
          <w:bCs/>
        </w:rPr>
        <w:t>Vraag 4</w:t>
      </w:r>
      <w:r w:rsidRPr="00B234BD">
        <w:t xml:space="preserve">  </w:t>
      </w:r>
    </w:p>
    <w:p w:rsidRPr="00B234BD" w:rsidR="00C01B78" w:rsidP="00C01B78" w:rsidRDefault="00C01B78" w14:paraId="2E272E88" w14:textId="77777777">
      <w:pPr>
        <w:spacing w:line="276" w:lineRule="auto"/>
      </w:pPr>
      <w:r w:rsidRPr="00B234BD">
        <w:t xml:space="preserve">Welke rol speelt de nauwe samenwerking tussen Rusland en Saoedi-Arabië binnen de </w:t>
      </w:r>
      <w:proofErr w:type="spellStart"/>
      <w:r w:rsidRPr="00B234BD">
        <w:t>Opec</w:t>
      </w:r>
      <w:proofErr w:type="spellEnd"/>
      <w:r w:rsidRPr="00B234BD">
        <w:t>+ momenteel bij het kunstmatig hooghouden van de olieprijs?</w:t>
      </w:r>
      <w:r w:rsidRPr="00B234BD">
        <w:br/>
      </w:r>
    </w:p>
    <w:p w:rsidRPr="00B234BD" w:rsidR="00C01B78" w:rsidP="00C01B78" w:rsidRDefault="00C01B78" w14:paraId="3030F345" w14:textId="77777777">
      <w:pPr>
        <w:spacing w:line="276" w:lineRule="auto"/>
        <w:rPr>
          <w:b/>
          <w:bCs/>
        </w:rPr>
      </w:pPr>
      <w:r w:rsidRPr="00B234BD">
        <w:rPr>
          <w:b/>
          <w:bCs/>
        </w:rPr>
        <w:t>Antwoord</w:t>
      </w:r>
      <w:r w:rsidRPr="00B234BD">
        <w:br/>
        <w:t xml:space="preserve">De OPEC+ is erop gericht om het aanbod van olie wereldwijd te controleren, waardoor invloed kan worden uitgeoefend op de prijs en prijsvolatiliteit kan worden beperkt. Op dit moment is het voor landen in de golfregio lastig om productie van olie te verhogen, als gevolg van het conflict en de sluiting van de Straat van Hormuz. </w:t>
      </w:r>
    </w:p>
    <w:p w:rsidRPr="00B234BD" w:rsidR="00C01B78" w:rsidP="00C01B78" w:rsidRDefault="00C01B78" w14:paraId="60F16C11" w14:textId="77777777">
      <w:pPr>
        <w:spacing w:line="276" w:lineRule="auto"/>
      </w:pPr>
    </w:p>
    <w:p w:rsidRPr="00B234BD" w:rsidR="00C01B78" w:rsidP="00C01B78" w:rsidRDefault="00C01B78" w14:paraId="28CBA563" w14:textId="77777777">
      <w:pPr>
        <w:spacing w:line="276" w:lineRule="auto"/>
      </w:pPr>
      <w:r w:rsidRPr="00B234BD">
        <w:t>Russische olie is gesanctioneerd, en daarom niet vrij verhandelbaar op de wereldmarkt. Na het uitbreken van de Iran-oorlog verlichtte de VS echter voor twee maanden de sancties op Russische olie. Mede hierdoor is de prijs van Russische olie hersteld naar het niveau van niet-gesanctioneerde olie. Rusland blijft met een hoge dagelijkse productie een belangrijke speler op de wereldwijde oliemarkt.</w:t>
      </w:r>
    </w:p>
    <w:p w:rsidRPr="00B234BD" w:rsidR="00C01B78" w:rsidP="00C01B78" w:rsidRDefault="00C01B78" w14:paraId="27949F4F" w14:textId="77777777">
      <w:pPr>
        <w:spacing w:line="276" w:lineRule="auto"/>
      </w:pPr>
    </w:p>
    <w:p w:rsidRPr="00B234BD" w:rsidR="00C01B78" w:rsidP="00C01B78" w:rsidRDefault="00C01B78" w14:paraId="0BB05319" w14:textId="77777777">
      <w:pPr>
        <w:spacing w:line="276" w:lineRule="auto"/>
      </w:pPr>
      <w:r w:rsidRPr="00B234BD">
        <w:t>De samenwerking tussen genoemde landen speelt een rol in prijsbepaling van wereldwijde olie. Wel staat de Russische productiecapaciteit onder druk door aanhoudende Oekraïense aanvallen op olie-faciliteiten, wat Ruslands onwenselijke invloed op het OPEC+ beleid mogelijk verkleint.</w:t>
      </w:r>
      <w:r w:rsidRPr="00B234BD">
        <w:rPr>
          <w:rStyle w:val="Voetnootmarkering"/>
        </w:rPr>
        <w:footnoteReference w:id="2"/>
      </w:r>
    </w:p>
    <w:p w:rsidRPr="00B234BD" w:rsidR="00C01B78" w:rsidP="00C01B78" w:rsidRDefault="00C01B78" w14:paraId="06709ECE" w14:textId="77777777">
      <w:pPr>
        <w:spacing w:line="276" w:lineRule="auto"/>
      </w:pPr>
    </w:p>
    <w:p w:rsidRPr="00B234BD" w:rsidR="00C01B78" w:rsidP="00C01B78" w:rsidRDefault="00C01B78" w14:paraId="29890B92" w14:textId="77777777">
      <w:pPr>
        <w:spacing w:line="276" w:lineRule="auto"/>
        <w:rPr>
          <w:b/>
          <w:bCs/>
          <w:color w:val="FF0000"/>
        </w:rPr>
      </w:pPr>
      <w:r w:rsidRPr="00B234BD">
        <w:rPr>
          <w:b/>
          <w:bCs/>
        </w:rPr>
        <w:t>Vraag 5</w:t>
      </w:r>
      <w:r w:rsidRPr="00B234BD">
        <w:t xml:space="preserve">  </w:t>
      </w:r>
    </w:p>
    <w:p w:rsidRPr="00B234BD" w:rsidR="00C01B78" w:rsidP="00C01B78" w:rsidRDefault="00C01B78" w14:paraId="098DA580" w14:textId="77777777">
      <w:pPr>
        <w:spacing w:line="276" w:lineRule="auto"/>
      </w:pPr>
      <w:r w:rsidRPr="00B234BD">
        <w:t xml:space="preserve">In hoeverre acht u het waarschijnlijk dat de verzwakking van de </w:t>
      </w:r>
      <w:proofErr w:type="spellStart"/>
      <w:r w:rsidRPr="00B234BD">
        <w:t>Opec</w:t>
      </w:r>
      <w:proofErr w:type="spellEnd"/>
      <w:r w:rsidRPr="00B234BD">
        <w:t xml:space="preserve"> — en daarmee de </w:t>
      </w:r>
      <w:proofErr w:type="spellStart"/>
      <w:r w:rsidRPr="00B234BD">
        <w:t>Opec</w:t>
      </w:r>
      <w:proofErr w:type="spellEnd"/>
      <w:r w:rsidRPr="00B234BD">
        <w:t>+-alliantie — de effectiviteit van Russische marktmanipulatie inperkt en daarmee direct de financiering van de Russische agressieoorlog tegen Oekraïne bemoeilijkt?</w:t>
      </w:r>
      <w:r w:rsidRPr="00B234BD">
        <w:br/>
      </w:r>
    </w:p>
    <w:p w:rsidRPr="00B234BD" w:rsidR="00C01B78" w:rsidP="00C01B78" w:rsidRDefault="00C01B78" w14:paraId="1A12E197" w14:textId="77777777">
      <w:pPr>
        <w:spacing w:line="276" w:lineRule="auto"/>
        <w:rPr>
          <w:b/>
          <w:bCs/>
        </w:rPr>
      </w:pPr>
      <w:r w:rsidRPr="00B234BD">
        <w:rPr>
          <w:b/>
          <w:bCs/>
        </w:rPr>
        <w:t>Antwoord</w:t>
      </w:r>
    </w:p>
    <w:p w:rsidRPr="00CD0DF3" w:rsidR="00C01B78" w:rsidP="00C01B78" w:rsidRDefault="00C01B78" w14:paraId="61651946" w14:textId="77777777">
      <w:pPr>
        <w:spacing w:line="276" w:lineRule="auto"/>
      </w:pPr>
      <w:r w:rsidRPr="00B234BD">
        <w:t>Zoals bij het antwoord op vraag 3 reeds aangegeven neemt de macht van de OPEC al decennia af. Het vertrek van de VAE onderstreept dat. Dit kan ervoor zorgen dat de onwenselijke invloed van Rusland op de olieprijs afneemt. Dat zou de olie-inkomsten kunnen drukken waarmee Rusland zijn agressieoorlog tegen Oekraïne mede financiert. De gevolgen voor de olieprijs en de Russische opbrengsten zijn op dit moment echter te onzeker om hierover stellige uitspraken</w:t>
      </w:r>
      <w:r>
        <w:t xml:space="preserve"> te doen.</w:t>
      </w:r>
    </w:p>
    <w:bookmarkEnd w:id="0"/>
    <w:p w:rsidRPr="00CD0DF3" w:rsidR="00C01B78" w:rsidP="00C01B78" w:rsidRDefault="00C01B78" w14:paraId="7E876DD7" w14:textId="77777777">
      <w:pPr>
        <w:spacing w:line="276" w:lineRule="auto"/>
      </w:pPr>
    </w:p>
    <w:p w:rsidRPr="00CD0DF3" w:rsidR="00C01B78" w:rsidP="00C01B78" w:rsidRDefault="00C01B78" w14:paraId="2C8DC206" w14:textId="77777777">
      <w:pPr>
        <w:spacing w:line="276" w:lineRule="auto"/>
      </w:pPr>
      <w:r w:rsidRPr="34716F07">
        <w:rPr>
          <w:b/>
          <w:bCs/>
        </w:rPr>
        <w:t>Vraag 6</w:t>
      </w:r>
      <w:r>
        <w:t xml:space="preserve"> </w:t>
      </w:r>
    </w:p>
    <w:p w:rsidRPr="00CD0DF3" w:rsidR="00C01B78" w:rsidP="00C01B78" w:rsidRDefault="00C01B78" w14:paraId="55592FD4" w14:textId="77777777">
      <w:pPr>
        <w:spacing w:line="276" w:lineRule="auto"/>
      </w:pPr>
      <w:r>
        <w:t>Hoe beoordeelt u de informatie dat het vertrek van de VAE mede is ingegeven door fundamentele onenigheid binnen de Golfregio over de reactie op de oorlog met Iran en de voortdurende blokkade van de Straat van Hormuz?</w:t>
      </w:r>
      <w:r>
        <w:br/>
      </w:r>
    </w:p>
    <w:p w:rsidRPr="00B234BD" w:rsidR="00C01B78" w:rsidP="00C01B78" w:rsidRDefault="00C01B78" w14:paraId="598CB513" w14:textId="77777777">
      <w:pPr>
        <w:spacing w:line="276" w:lineRule="auto"/>
        <w:rPr>
          <w:b/>
          <w:bCs/>
        </w:rPr>
      </w:pPr>
      <w:r w:rsidRPr="00B234BD">
        <w:rPr>
          <w:b/>
          <w:bCs/>
        </w:rPr>
        <w:lastRenderedPageBreak/>
        <w:t>Antwoord</w:t>
      </w:r>
    </w:p>
    <w:p w:rsidRPr="00CD0DF3" w:rsidR="00C01B78" w:rsidP="00C01B78" w:rsidRDefault="00C01B78" w14:paraId="060B8AAC" w14:textId="77777777">
      <w:pPr>
        <w:spacing w:line="276" w:lineRule="auto"/>
      </w:pPr>
      <w:r w:rsidRPr="00B234BD">
        <w:t>In formele verklaringen legt de regering van de VAE de nadruk op het recht om zelf te bepalen hoe zij met haar olierijkdom omgaat. Deze wens naar meer autonomie kwam ook aan de orde tijdens het bezoek van de minister van Buitenlandse Zaken aan Abu Dhabi op 22 april. De uittreding wordt in die lezing gepresenteerd als een uitvloeisel van de nationale belangen van de VAE. Met dit besluit vergroot het land zijn autonomie op het gebied van olieproductie en -export.</w:t>
      </w:r>
      <w:r>
        <w:t xml:space="preserve">   </w:t>
      </w:r>
    </w:p>
    <w:p w:rsidRPr="00CD0DF3" w:rsidR="00C01B78" w:rsidP="00C01B78" w:rsidRDefault="00C01B78" w14:paraId="03D3AA20" w14:textId="77777777">
      <w:pPr>
        <w:spacing w:line="276" w:lineRule="auto"/>
        <w:rPr>
          <w:b/>
          <w:bCs/>
        </w:rPr>
      </w:pPr>
    </w:p>
    <w:p w:rsidRPr="00CD0DF3" w:rsidR="00C01B78" w:rsidP="00C01B78" w:rsidRDefault="00C01B78" w14:paraId="6A324598" w14:textId="77777777">
      <w:pPr>
        <w:spacing w:line="276" w:lineRule="auto"/>
        <w:rPr>
          <w:b/>
          <w:bCs/>
        </w:rPr>
      </w:pPr>
      <w:r w:rsidRPr="34716F07">
        <w:rPr>
          <w:b/>
          <w:bCs/>
        </w:rPr>
        <w:t>Vraag 7</w:t>
      </w:r>
    </w:p>
    <w:p w:rsidRPr="00CD0DF3" w:rsidR="00C01B78" w:rsidP="00C01B78" w:rsidRDefault="00C01B78" w14:paraId="25A4CC5C" w14:textId="77777777">
      <w:pPr>
        <w:spacing w:line="276" w:lineRule="auto"/>
      </w:pPr>
      <w:r>
        <w:t>Wat betekent het vertrek van de VAE uit de OPEC voor de GCC en wat betekent de eenheid binnen de Gulf Cooperation Council (GCC) voor de belangen van de Europese Unie (EU), niet alleen op het gebied van energiezekerheid maar ook voor de regionale veiligheid?</w:t>
      </w:r>
      <w:r>
        <w:br/>
      </w:r>
    </w:p>
    <w:p w:rsidRPr="00CD0DF3" w:rsidR="00C01B78" w:rsidP="00C01B78" w:rsidRDefault="00C01B78" w14:paraId="3E40ADBA" w14:textId="77777777">
      <w:pPr>
        <w:spacing w:line="276" w:lineRule="auto"/>
        <w:rPr>
          <w:b/>
          <w:bCs/>
        </w:rPr>
      </w:pPr>
      <w:r w:rsidRPr="34716F07">
        <w:rPr>
          <w:b/>
          <w:bCs/>
        </w:rPr>
        <w:t>Antwoord</w:t>
      </w:r>
    </w:p>
    <w:p w:rsidRPr="00CD0DF3" w:rsidR="00C01B78" w:rsidP="00C01B78" w:rsidRDefault="00C01B78" w14:paraId="52559D46" w14:textId="77777777">
      <w:pPr>
        <w:spacing w:line="276" w:lineRule="auto"/>
      </w:pPr>
      <w:r>
        <w:t xml:space="preserve">Het vertrek van de VAE uit de OPEC kan worden gezien als een signaal van de waarde die de VAE hecht aan nationale autonomie op het gebied van olieproductie en export. Het besluit heeft geen directe consequenties voor het opereren van de </w:t>
      </w:r>
      <w:r w:rsidRPr="34716F07">
        <w:rPr>
          <w:i/>
          <w:iCs/>
        </w:rPr>
        <w:t>Gulf Cooperation Council</w:t>
      </w:r>
      <w:r>
        <w:t xml:space="preserve"> (GCC) maar kan een impact hebben op de politieke cohesie van de GCC.  </w:t>
      </w:r>
    </w:p>
    <w:p w:rsidRPr="00CD0DF3" w:rsidR="00C01B78" w:rsidP="00C01B78" w:rsidRDefault="00C01B78" w14:paraId="397F6511" w14:textId="77777777">
      <w:pPr>
        <w:spacing w:line="276" w:lineRule="auto"/>
        <w:rPr>
          <w:b/>
          <w:bCs/>
        </w:rPr>
      </w:pPr>
    </w:p>
    <w:p w:rsidRPr="00CD0DF3" w:rsidR="00C01B78" w:rsidP="00C01B78" w:rsidRDefault="00C01B78" w14:paraId="67550076" w14:textId="77777777">
      <w:pPr>
        <w:spacing w:line="276" w:lineRule="auto"/>
      </w:pPr>
      <w:r w:rsidRPr="34716F07">
        <w:rPr>
          <w:b/>
          <w:bCs/>
        </w:rPr>
        <w:t>Vraag 8</w:t>
      </w:r>
    </w:p>
    <w:p w:rsidRPr="00CD0DF3" w:rsidR="00C01B78" w:rsidP="00C01B78" w:rsidRDefault="00C01B78" w14:paraId="42FF8D0D" w14:textId="77777777">
      <w:pPr>
        <w:spacing w:line="276" w:lineRule="auto"/>
      </w:pPr>
      <w:r>
        <w:t>Deelt u de opvatting dat de huidige situatie in de Straat van Hormuz een directe bedreiging vormt voor de mondiale leveringszekerheid en de stabiliteit van de wereldeconomie met inbegrip van de voedselzekerheid? Zo ja wat bent u bereid bij te dragen aan de verbetering van die situatie?</w:t>
      </w:r>
      <w:r>
        <w:br/>
      </w:r>
    </w:p>
    <w:p w:rsidRPr="00CD0DF3" w:rsidR="00C01B78" w:rsidP="00C01B78" w:rsidRDefault="00C01B78" w14:paraId="60D311EC" w14:textId="77777777">
      <w:pPr>
        <w:spacing w:line="276" w:lineRule="auto"/>
        <w:rPr>
          <w:b/>
          <w:bCs/>
        </w:rPr>
      </w:pPr>
      <w:r w:rsidRPr="34716F07">
        <w:rPr>
          <w:b/>
          <w:bCs/>
        </w:rPr>
        <w:t>Antwoord</w:t>
      </w:r>
    </w:p>
    <w:p w:rsidRPr="00CD0DF3" w:rsidR="00C01B78" w:rsidP="00C01B78" w:rsidRDefault="00C01B78" w14:paraId="1C6381A6" w14:textId="77777777">
      <w:pPr>
        <w:spacing w:line="276" w:lineRule="auto"/>
      </w:pPr>
      <w:r>
        <w:t xml:space="preserve">De leveringszekerheid van olie, gas en afgeleide producten zoals kerosine en diesel staat wereldwijd onder druk. Op dit moment zijn er geen acute tekorten in Nederland, maar de situatie op veel andere plekken in de wereld is zorgelijker. De directeur van het Internationaal Energie Agentschap (IEA) noemt de huidige situatie “ernstiger dan die van 1973, 1979 en 2022 samen”. De verwachting is dat hoe langer de situatie voortduurt, hoe zorgelijker de tekorten zullen worden. </w:t>
      </w:r>
    </w:p>
    <w:p w:rsidRPr="00CD0DF3" w:rsidR="00C01B78" w:rsidP="00C01B78" w:rsidRDefault="00C01B78" w14:paraId="30717AE6" w14:textId="77777777">
      <w:pPr>
        <w:spacing w:line="276" w:lineRule="auto"/>
      </w:pPr>
      <w:r>
        <w:lastRenderedPageBreak/>
        <w:br/>
        <w:t>In het licht van het fragiele staakt-het-vuren tussen de VS en Iran blijft het kabinet inzetten op diplomatieke onderhandelingen om te komen tot een duurzaam einde aan de oorlog. Het is cruciaal dat er een einde komt aan de voortdurende belemmering van de vrije doorvaart in de Straat van Hormuz. Nederland speelt dan ook een voortrekkersrol bij het verkennen van de mogelijkheden om bestaande EU-sanctieregimes uit te breiden. Daarnaast is Nederland nauw betrokken bij de voorbereiding en planning van het maritieme initiatief onder leiding van Frankrijk en het Verenigd Koninkrijk.</w:t>
      </w:r>
    </w:p>
    <w:p w:rsidRPr="00CD0DF3" w:rsidR="00C01B78" w:rsidP="00C01B78" w:rsidRDefault="00C01B78" w14:paraId="0C8488DF" w14:textId="77777777">
      <w:pPr>
        <w:spacing w:line="276" w:lineRule="auto"/>
      </w:pPr>
    </w:p>
    <w:p w:rsidRPr="00CD0DF3" w:rsidR="00C01B78" w:rsidP="00C01B78" w:rsidRDefault="00C01B78" w14:paraId="53839925" w14:textId="77777777">
      <w:pPr>
        <w:spacing w:line="276" w:lineRule="auto"/>
      </w:pPr>
      <w:r w:rsidRPr="00CD0DF3">
        <w:t>In Nederland heeft het kabinet een maatregelenpakket getroffen om de economische effecten van de energieschok te dempen. De Kamer is hierover geïnformeerd op 20 april 2026.</w:t>
      </w:r>
      <w:r w:rsidRPr="00CD0DF3">
        <w:rPr>
          <w:rStyle w:val="Voetnootmarkering"/>
        </w:rPr>
        <w:footnoteReference w:id="3"/>
      </w:r>
      <w:r w:rsidRPr="00CD0DF3">
        <w:t xml:space="preserve"> Tevens neemt Nederland deel aan de door het IEA aangekondigde collectieve actie, waardoor voorbereidingen worden getroffen voor het vrijgeven van de strategische voorraden. Ook neemt het kabinet actief deel aan internationale afstemming binnen de EU en het IEA. Het kabinet pleit voor een gezamenlijke Europese aanpak, bijvoorbeeld om de inzet van strategische voorraden en eventuele vraagbeperkende maatregelen te coördineren en daarbij ongewenste effecten zoals weglek of exportbeperkende maatregelen te voorkomen.</w:t>
      </w:r>
      <w:r w:rsidRPr="00CD0DF3">
        <w:br/>
      </w:r>
      <w:r w:rsidRPr="00CD0DF3">
        <w:br/>
      </w:r>
      <w:r w:rsidRPr="00CD0DF3">
        <w:rPr>
          <w:b/>
          <w:bCs/>
        </w:rPr>
        <w:t>Vraag 9</w:t>
      </w:r>
      <w:r w:rsidRPr="00CD0DF3">
        <w:t xml:space="preserve"> </w:t>
      </w:r>
    </w:p>
    <w:p w:rsidRPr="00CD0DF3" w:rsidR="00C01B78" w:rsidP="00C01B78" w:rsidRDefault="00C01B78" w14:paraId="7A96FAE0" w14:textId="77777777">
      <w:pPr>
        <w:spacing w:line="276" w:lineRule="auto"/>
      </w:pPr>
      <w:r>
        <w:t>Wat verwacht u dat de toenemende rivaliteit tussen de VAE en Saoedi-Arabië als effect heeft voor de regionale veiligheid?</w:t>
      </w:r>
      <w:r>
        <w:br/>
      </w:r>
    </w:p>
    <w:p w:rsidRPr="00CD0DF3" w:rsidR="00C01B78" w:rsidP="00C01B78" w:rsidRDefault="00C01B78" w14:paraId="0D236CCC" w14:textId="77777777">
      <w:pPr>
        <w:spacing w:line="276" w:lineRule="auto"/>
      </w:pPr>
      <w:r w:rsidRPr="34716F07">
        <w:rPr>
          <w:b/>
          <w:bCs/>
        </w:rPr>
        <w:t>Vraag 10</w:t>
      </w:r>
      <w:r>
        <w:t xml:space="preserve">  </w:t>
      </w:r>
    </w:p>
    <w:p w:rsidRPr="00CD0DF3" w:rsidR="00C01B78" w:rsidP="00C01B78" w:rsidRDefault="00C01B78" w14:paraId="231186AF" w14:textId="77777777">
      <w:pPr>
        <w:spacing w:line="276" w:lineRule="auto"/>
      </w:pPr>
      <w:r>
        <w:t>Verwacht u dat het besluit van de VAE om de OPEC te verlaten de onderlinge rivaliteit tussen de VAE en Saoedi-Arabië zal vergroten en daarmee de mogelijkheden voor samenwerking binnen de GCC bemoeilijkt?</w:t>
      </w:r>
      <w:r>
        <w:br/>
      </w:r>
    </w:p>
    <w:p w:rsidRPr="00CD0DF3" w:rsidR="00C01B78" w:rsidP="00C01B78" w:rsidRDefault="00C01B78" w14:paraId="7268A05E" w14:textId="77777777">
      <w:pPr>
        <w:spacing w:line="276" w:lineRule="auto"/>
        <w:rPr>
          <w:b/>
          <w:bCs/>
        </w:rPr>
      </w:pPr>
      <w:r w:rsidRPr="34716F07">
        <w:rPr>
          <w:b/>
          <w:bCs/>
        </w:rPr>
        <w:t>Antwoord op vraag 9 en 10</w:t>
      </w:r>
    </w:p>
    <w:p w:rsidRPr="00CD0DF3" w:rsidR="00C01B78" w:rsidP="00C01B78" w:rsidRDefault="00C01B78" w14:paraId="32DD2A37" w14:textId="77777777">
      <w:pPr>
        <w:spacing w:line="276" w:lineRule="auto"/>
      </w:pPr>
      <w:r>
        <w:t xml:space="preserve">Concurrentie tussen de VAE en Saoedi-Arabië op economisch terrein en verschillen in posities op deelonderwerpen bestonden reeds voor de uittreding van de VAE uit de OPEC. Tegelijkertijd is er ook sprake van grote gedeelde </w:t>
      </w:r>
      <w:r>
        <w:lastRenderedPageBreak/>
        <w:t xml:space="preserve">belangen, waaronder op het gebied van (regionale) veiligheid en stabiliteit, en onderlinge afhankelijkheden. </w:t>
      </w:r>
    </w:p>
    <w:p w:rsidRPr="00CD0DF3" w:rsidR="00C01B78" w:rsidP="00C01B78" w:rsidRDefault="00C01B78" w14:paraId="69A94164" w14:textId="77777777">
      <w:pPr>
        <w:spacing w:line="276" w:lineRule="auto"/>
        <w:rPr>
          <w:b/>
          <w:bCs/>
        </w:rPr>
      </w:pPr>
    </w:p>
    <w:p w:rsidRPr="00CD0DF3" w:rsidR="00C01B78" w:rsidP="00C01B78" w:rsidRDefault="00C01B78" w14:paraId="1D3E8920" w14:textId="77777777">
      <w:pPr>
        <w:spacing w:line="276" w:lineRule="auto"/>
      </w:pPr>
      <w:r w:rsidRPr="34716F07">
        <w:rPr>
          <w:b/>
          <w:bCs/>
        </w:rPr>
        <w:t>Vraag 11</w:t>
      </w:r>
      <w:r>
        <w:t xml:space="preserve"> </w:t>
      </w:r>
    </w:p>
    <w:p w:rsidRPr="00CD0DF3" w:rsidR="00C01B78" w:rsidP="00C01B78" w:rsidRDefault="00C01B78" w14:paraId="031F4468" w14:textId="77777777">
      <w:pPr>
        <w:spacing w:line="276" w:lineRule="auto"/>
      </w:pPr>
      <w:r>
        <w:t>Welke rol ziet u voor Nederland en de Europese Unie om bij te dragen aan het behoud van de eenheid van de GCC als strategische partner, juist nu de spanningen tussen de lidstaten over energie- en veiligheidsbeleid toenemen?</w:t>
      </w:r>
      <w:r>
        <w:br/>
      </w:r>
    </w:p>
    <w:p w:rsidRPr="00CD0DF3" w:rsidR="00C01B78" w:rsidP="00C01B78" w:rsidRDefault="00C01B78" w14:paraId="618FEA99" w14:textId="77777777">
      <w:pPr>
        <w:spacing w:line="276" w:lineRule="auto"/>
        <w:rPr>
          <w:b/>
          <w:bCs/>
        </w:rPr>
      </w:pPr>
      <w:r w:rsidRPr="34716F07">
        <w:rPr>
          <w:b/>
          <w:bCs/>
        </w:rPr>
        <w:t>Antwoord</w:t>
      </w:r>
    </w:p>
    <w:p w:rsidRPr="00CD0DF3" w:rsidR="00C01B78" w:rsidP="00C01B78" w:rsidRDefault="00C01B78" w14:paraId="6927DEDA" w14:textId="77777777">
      <w:pPr>
        <w:spacing w:line="276" w:lineRule="auto"/>
        <w:rPr>
          <w:rFonts w:eastAsia="Times New Roman" w:cs="Times New Roman"/>
        </w:rPr>
      </w:pPr>
      <w:r w:rsidRPr="34716F07">
        <w:rPr>
          <w:rFonts w:eastAsia="Verdana" w:cs="Verdana"/>
        </w:rPr>
        <w:t xml:space="preserve">De GCC en zijn lidstaten zijn om zowel politieke als economische redenen strategische partners voor Nederland en de EU. </w:t>
      </w:r>
      <w:r>
        <w:t>Nederland was één van de aanjagers van het in 2022 gesloten strategisch partnerschap tussen de EU en de Golfregio en speelt een actieve rol bij de implementatie daarvan. Op bilateraal niveau zet Nederland in op verdere versterking van de bilaterale banden met de individuele GCC lidstaten. Zo bracht de minister van Buitenlandse Zaken in april jl. een bezoek aan de Verenigde Arabische Emiraten en Saoedi-Arabië om steun te betuigen en solidariteit te tonen naar aanleiding van de Iraanse aanvallen en om de politieke en economische betrekkingen met beide landen te versterken.</w:t>
      </w:r>
    </w:p>
    <w:p w:rsidRPr="00CD0DF3" w:rsidR="00C01B78" w:rsidP="00C01B78" w:rsidRDefault="00C01B78" w14:paraId="399D37EC" w14:textId="77777777">
      <w:pPr>
        <w:spacing w:line="276" w:lineRule="auto"/>
        <w:rPr>
          <w:b/>
          <w:bCs/>
        </w:rPr>
      </w:pPr>
      <w:r w:rsidRPr="00CD0DF3">
        <w:rPr>
          <w:b/>
          <w:bCs/>
        </w:rPr>
        <w:t xml:space="preserve"> </w:t>
      </w:r>
    </w:p>
    <w:p w:rsidRPr="00CD0DF3" w:rsidR="00C01B78" w:rsidP="00C01B78" w:rsidRDefault="00C01B78" w14:paraId="5F7733B2" w14:textId="77777777">
      <w:pPr>
        <w:spacing w:line="276" w:lineRule="auto"/>
      </w:pPr>
      <w:r w:rsidRPr="34716F07">
        <w:rPr>
          <w:b/>
          <w:bCs/>
        </w:rPr>
        <w:t>Vraag 12</w:t>
      </w:r>
      <w:r>
        <w:t xml:space="preserve"> </w:t>
      </w:r>
    </w:p>
    <w:p w:rsidRPr="00CD0DF3" w:rsidR="00C01B78" w:rsidP="00C01B78" w:rsidRDefault="00C01B78" w14:paraId="7B072122" w14:textId="77777777">
      <w:pPr>
        <w:spacing w:line="276" w:lineRule="auto"/>
      </w:pPr>
      <w:r>
        <w:t>Kan de intensivering van de samenwerking tussen Nederland en de VAE op het gebied van energie-infrastructuur en maritieme veiligheid bijdragen aan de algehele stabiliteit in de regio en, zo ja, op welke manier?</w:t>
      </w:r>
      <w:r>
        <w:br/>
      </w:r>
    </w:p>
    <w:p w:rsidRPr="00CD0DF3" w:rsidR="00C01B78" w:rsidP="00C01B78" w:rsidRDefault="00C01B78" w14:paraId="5B8EFDA6" w14:textId="77777777">
      <w:pPr>
        <w:spacing w:line="276" w:lineRule="auto"/>
        <w:rPr>
          <w:b/>
          <w:bCs/>
        </w:rPr>
      </w:pPr>
      <w:r w:rsidRPr="34716F07">
        <w:rPr>
          <w:b/>
          <w:bCs/>
        </w:rPr>
        <w:t>Antwoord</w:t>
      </w:r>
    </w:p>
    <w:p w:rsidRPr="00CD0DF3" w:rsidR="00C01B78" w:rsidP="00C01B78" w:rsidRDefault="00C01B78" w14:paraId="17A5C384" w14:textId="77777777">
      <w:pPr>
        <w:spacing w:line="276" w:lineRule="auto"/>
      </w:pPr>
      <w:r>
        <w:t>Intensievere samenwerking met de VAE op energie infrastructuur kan bijdragen aan regionale stabiliteit door een betrouwbare, toekomstbestendige en waar mogelijk verduurzaamde energievoorziening te ondersteunen. Dit verkleint in een politiek kwetsbare regio het risico op verstoringen en spanningen in energiestromen. Nederland benut deze samenwerking om internationale standaarden voor veiligheid, duurzaamheid en transparantie te versterken, binnen het eigen beleid gericht op energietransitie. Leveringszekerheid blijft daarbij een relevant aandachtspunt, ook waar dit in uitzonderingsgevallen fossiele projecten raakt, binnen de geldende Nederlandse en Europese kaders.</w:t>
      </w:r>
    </w:p>
    <w:p w:rsidRPr="00CD0DF3" w:rsidR="00C01B78" w:rsidP="00C01B78" w:rsidRDefault="00C01B78" w14:paraId="4D4A5C3E" w14:textId="77777777">
      <w:pPr>
        <w:spacing w:line="276" w:lineRule="auto"/>
      </w:pPr>
    </w:p>
    <w:p w:rsidRPr="00CD0DF3" w:rsidR="00C01B78" w:rsidP="00C01B78" w:rsidRDefault="00C01B78" w14:paraId="38C1A6B1" w14:textId="77777777">
      <w:pPr>
        <w:spacing w:line="276" w:lineRule="auto"/>
      </w:pPr>
      <w:r>
        <w:lastRenderedPageBreak/>
        <w:t xml:space="preserve">Samenwerking op maritieme veiligheid kan het risico op incidenten, illegale activiteiten en escalatie verkleinen, en beschermt handels- en energiestromen, ook richting Europa en Nederland. </w:t>
      </w:r>
    </w:p>
    <w:p w:rsidRPr="00CD0DF3" w:rsidR="00C01B78" w:rsidP="00C01B78" w:rsidRDefault="00C01B78" w14:paraId="7824AAEA" w14:textId="77777777">
      <w:pPr>
        <w:spacing w:line="276" w:lineRule="auto"/>
        <w:rPr>
          <w:b/>
          <w:bCs/>
        </w:rPr>
      </w:pPr>
    </w:p>
    <w:p w:rsidRPr="00CD0DF3" w:rsidR="00C01B78" w:rsidP="00C01B78" w:rsidRDefault="00C01B78" w14:paraId="31BDD250" w14:textId="77777777">
      <w:pPr>
        <w:spacing w:line="276" w:lineRule="auto"/>
      </w:pPr>
      <w:r w:rsidRPr="34716F07">
        <w:rPr>
          <w:b/>
          <w:bCs/>
        </w:rPr>
        <w:t>Vraag 13</w:t>
      </w:r>
      <w:r>
        <w:t xml:space="preserve">  </w:t>
      </w:r>
    </w:p>
    <w:p w:rsidRPr="00CD0DF3" w:rsidR="00C01B78" w:rsidP="00C01B78" w:rsidRDefault="00C01B78" w14:paraId="5A3A11EA" w14:textId="77777777">
      <w:pPr>
        <w:spacing w:line="276" w:lineRule="auto"/>
      </w:pPr>
      <w:r>
        <w:t>Erkent u dat de toenemende volatiliteit op de oliemarkt de vraag naar alternatieve energiebronnen en technologieën, zoals elektrische voertuigen en zonnepanelen, onvermijdelijk versnelt?</w:t>
      </w:r>
      <w:r>
        <w:br/>
      </w:r>
    </w:p>
    <w:p w:rsidRPr="00CD0DF3" w:rsidR="00C01B78" w:rsidP="00C01B78" w:rsidRDefault="00C01B78" w14:paraId="00CE2976" w14:textId="77777777">
      <w:pPr>
        <w:spacing w:line="276" w:lineRule="auto"/>
        <w:rPr>
          <w:b/>
          <w:bCs/>
        </w:rPr>
      </w:pPr>
      <w:r w:rsidRPr="34716F07">
        <w:rPr>
          <w:b/>
          <w:bCs/>
        </w:rPr>
        <w:t>Antwoord</w:t>
      </w:r>
    </w:p>
    <w:p w:rsidRPr="00CD0DF3" w:rsidR="00C01B78" w:rsidP="00C01B78" w:rsidRDefault="00C01B78" w14:paraId="0019331E" w14:textId="77777777">
      <w:pPr>
        <w:spacing w:line="276" w:lineRule="auto"/>
      </w:pPr>
      <w:r>
        <w:t>Toenemende volatiliteit van olieprijzen kan duurzame energie een aantrekkelijkere en stabielere bron van energie maken. Ook kan de vraag naar energiebesparende maatregelen toenemen. Door te verduurzamen en energie te besparen dragen we bij aan de weerbaarheid van onze energievoorziening. Het kabinet zet daarom ook in op verduurzaming en energiebesparing in het maatregelenpakket waarover de Kamer is geïnformeerd op 20 april 2026.</w:t>
      </w:r>
    </w:p>
    <w:p w:rsidRPr="00CD0DF3" w:rsidR="00C01B78" w:rsidP="00C01B78" w:rsidRDefault="00C01B78" w14:paraId="61CAAF8F" w14:textId="77777777">
      <w:pPr>
        <w:spacing w:line="276" w:lineRule="auto"/>
      </w:pPr>
    </w:p>
    <w:p w:rsidRPr="00CD0DF3" w:rsidR="00C01B78" w:rsidP="00C01B78" w:rsidRDefault="00C01B78" w14:paraId="37BDE5FD" w14:textId="77777777">
      <w:pPr>
        <w:spacing w:line="276" w:lineRule="auto"/>
      </w:pPr>
      <w:r w:rsidRPr="34716F07">
        <w:rPr>
          <w:b/>
          <w:bCs/>
        </w:rPr>
        <w:t>Vraag 14</w:t>
      </w:r>
      <w:r>
        <w:t xml:space="preserve"> </w:t>
      </w:r>
    </w:p>
    <w:p w:rsidRPr="00CD0DF3" w:rsidR="00C01B78" w:rsidP="00C01B78" w:rsidRDefault="00C01B78" w14:paraId="0B2CF0DB" w14:textId="77777777">
      <w:pPr>
        <w:spacing w:line="276" w:lineRule="auto"/>
      </w:pPr>
      <w:r>
        <w:t>Hoe zet het kabinet zich in om te voorkomen dat deze versnelling leidt tot een nieuwe, eenzijdige afhankelijkheid van onvrije staten zoals China voor de levering van kritieke grondstoffen en componenten?</w:t>
      </w:r>
      <w:r>
        <w:br/>
      </w:r>
    </w:p>
    <w:p w:rsidRPr="00CD0DF3" w:rsidR="00C01B78" w:rsidP="00C01B78" w:rsidRDefault="00C01B78" w14:paraId="5620C225" w14:textId="77777777">
      <w:pPr>
        <w:spacing w:line="276" w:lineRule="auto"/>
        <w:rPr>
          <w:b/>
          <w:bCs/>
        </w:rPr>
      </w:pPr>
      <w:r w:rsidRPr="34716F07">
        <w:rPr>
          <w:b/>
          <w:bCs/>
        </w:rPr>
        <w:t>Antwoord</w:t>
      </w:r>
    </w:p>
    <w:p w:rsidRPr="00B234BD" w:rsidR="00C01B78" w:rsidP="00C01B78" w:rsidRDefault="00C01B78" w14:paraId="41C4F54F" w14:textId="77777777">
      <w:pPr>
        <w:spacing w:line="276" w:lineRule="auto"/>
        <w:rPr>
          <w:rFonts w:eastAsia="Verdana" w:cs="Verdana"/>
        </w:rPr>
      </w:pPr>
      <w:r w:rsidRPr="00B234BD">
        <w:rPr>
          <w:rFonts w:eastAsia="Verdana" w:cs="Verdana"/>
        </w:rPr>
        <w:t xml:space="preserve">Binnen de aanpak van risicovolle strategische afhankelijkheden kijkt het kabinet met speciale aandacht naar risico’s voor de leveringszekerheid van kritieke grondstoffen, halffabricaten en componenten. Onder de Nationale Grondstoffenstrategie, de Europese </w:t>
      </w:r>
      <w:r w:rsidRPr="00B234BD">
        <w:rPr>
          <w:rFonts w:eastAsia="Verdana" w:cs="Verdana"/>
          <w:i/>
          <w:iCs/>
        </w:rPr>
        <w:t xml:space="preserve">Critical </w:t>
      </w:r>
      <w:proofErr w:type="spellStart"/>
      <w:r w:rsidRPr="00B234BD">
        <w:rPr>
          <w:rFonts w:eastAsia="Verdana" w:cs="Verdana"/>
          <w:i/>
          <w:iCs/>
        </w:rPr>
        <w:t>Raw</w:t>
      </w:r>
      <w:proofErr w:type="spellEnd"/>
      <w:r w:rsidRPr="00B234BD">
        <w:rPr>
          <w:rFonts w:eastAsia="Verdana" w:cs="Verdana"/>
          <w:i/>
          <w:iCs/>
        </w:rPr>
        <w:t xml:space="preserve"> </w:t>
      </w:r>
      <w:proofErr w:type="spellStart"/>
      <w:r w:rsidRPr="00B234BD">
        <w:rPr>
          <w:rFonts w:eastAsia="Verdana" w:cs="Verdana"/>
          <w:i/>
          <w:iCs/>
        </w:rPr>
        <w:t>Materials</w:t>
      </w:r>
      <w:proofErr w:type="spellEnd"/>
      <w:r w:rsidRPr="00B234BD">
        <w:rPr>
          <w:rFonts w:eastAsia="Verdana" w:cs="Verdana"/>
          <w:i/>
          <w:iCs/>
        </w:rPr>
        <w:t xml:space="preserve"> Act</w:t>
      </w:r>
      <w:r w:rsidRPr="00B234BD">
        <w:rPr>
          <w:rFonts w:eastAsia="Verdana" w:cs="Verdana"/>
        </w:rPr>
        <w:t xml:space="preserve"> (CRMA) en </w:t>
      </w:r>
      <w:r w:rsidRPr="00B234BD">
        <w:rPr>
          <w:rFonts w:eastAsia="Verdana" w:cs="Verdana"/>
          <w:i/>
          <w:iCs/>
        </w:rPr>
        <w:t>Resource EU</w:t>
      </w:r>
      <w:r w:rsidRPr="00B234BD">
        <w:rPr>
          <w:rFonts w:eastAsia="Verdana" w:cs="Verdana"/>
        </w:rPr>
        <w:t xml:space="preserve"> wordt op zowel nationaal als Europees niveau gewerkt aan het vergroten van de leveringszekerheid, onder meer door in EU-verband in te zetten op voorraadvorming, Strategische Projecten en partnerschappen met grondstofrijke landen.</w:t>
      </w:r>
    </w:p>
    <w:p w:rsidRPr="00B234BD" w:rsidR="00C01B78" w:rsidP="00C01B78" w:rsidRDefault="00C01B78" w14:paraId="3C03B8CF" w14:textId="77777777">
      <w:pPr>
        <w:spacing w:line="276" w:lineRule="auto"/>
        <w:rPr>
          <w:rFonts w:eastAsia="Verdana" w:cs="Verdana"/>
        </w:rPr>
      </w:pPr>
    </w:p>
    <w:p w:rsidRPr="00CD0DF3" w:rsidR="00C01B78" w:rsidP="00C01B78" w:rsidRDefault="00C01B78" w14:paraId="75D5A042" w14:textId="77777777">
      <w:pPr>
        <w:spacing w:line="276" w:lineRule="auto"/>
      </w:pPr>
      <w:r w:rsidRPr="00B234BD">
        <w:rPr>
          <w:rFonts w:eastAsia="Verdana" w:cs="Verdana"/>
        </w:rPr>
        <w:t xml:space="preserve">De minister van Economische Zaken en Klimaat heeft de Tweede Kamer toegezegd deze zomer een brief over de Nederlandse bijdrage aan de CRMA te </w:t>
      </w:r>
      <w:r w:rsidRPr="00B234BD">
        <w:rPr>
          <w:rFonts w:eastAsia="Verdana" w:cs="Verdana"/>
        </w:rPr>
        <w:lastRenderedPageBreak/>
        <w:t>sturen. Daarin wordt u nader geïnformeerd over de stand van zaken van de kabinetsinzet.</w:t>
      </w:r>
    </w:p>
    <w:p w:rsidRPr="00CD0DF3" w:rsidR="00C01B78" w:rsidP="00C01B78" w:rsidRDefault="00C01B78" w14:paraId="1F71F39F" w14:textId="77777777">
      <w:pPr>
        <w:spacing w:line="276" w:lineRule="auto"/>
        <w:rPr>
          <w:b/>
          <w:bCs/>
        </w:rPr>
      </w:pPr>
    </w:p>
    <w:p w:rsidRPr="00CD0DF3" w:rsidR="00C01B78" w:rsidP="00C01B78" w:rsidRDefault="00C01B78" w14:paraId="719BE71C" w14:textId="77777777">
      <w:pPr>
        <w:spacing w:line="276" w:lineRule="auto"/>
      </w:pPr>
      <w:r w:rsidRPr="34716F07">
        <w:rPr>
          <w:b/>
          <w:bCs/>
        </w:rPr>
        <w:t>Vraag 15</w:t>
      </w:r>
      <w:r>
        <w:t xml:space="preserve"> </w:t>
      </w:r>
    </w:p>
    <w:p w:rsidR="00C01B78" w:rsidP="00C01B78" w:rsidRDefault="00C01B78" w14:paraId="04FE20E6" w14:textId="77777777">
      <w:pPr>
        <w:spacing w:line="276" w:lineRule="auto"/>
      </w:pPr>
      <w:r>
        <w:t>Op welke wijze waarborgt u dat deze nieuwe afhankelijkheden niet opnieuw als geopolitiek wapen kunnen worden ingezet, naar het voorbeeld van de huidige Iraanse blokkade van de Straat van Hormuz?</w:t>
      </w:r>
    </w:p>
    <w:p w:rsidRPr="00CD0DF3" w:rsidR="00C01B78" w:rsidP="00C01B78" w:rsidRDefault="00C01B78" w14:paraId="2440D79F" w14:textId="77777777">
      <w:pPr>
        <w:spacing w:line="276" w:lineRule="auto"/>
      </w:pPr>
    </w:p>
    <w:p w:rsidRPr="00CD0DF3" w:rsidR="00C01B78" w:rsidP="00C01B78" w:rsidRDefault="00C01B78" w14:paraId="669CADD9" w14:textId="77777777">
      <w:pPr>
        <w:spacing w:line="276" w:lineRule="auto"/>
        <w:rPr>
          <w:b/>
          <w:bCs/>
        </w:rPr>
      </w:pPr>
      <w:r w:rsidRPr="34716F07">
        <w:rPr>
          <w:b/>
          <w:bCs/>
        </w:rPr>
        <w:t>Antwoord</w:t>
      </w:r>
    </w:p>
    <w:p w:rsidRPr="00CD0DF3" w:rsidR="00C01B78" w:rsidP="00C01B78" w:rsidRDefault="00C01B78" w14:paraId="23C65BCA" w14:textId="77777777">
      <w:pPr>
        <w:spacing w:line="276" w:lineRule="auto"/>
      </w:pPr>
      <w:r>
        <w:t xml:space="preserve">Binnen de eerdergenoemde Nationale Grondstoffenstrategie is het doel om de leveringszekerheid van kritieke grondstoffen te vergroten zodat deze niet ingezet </w:t>
      </w:r>
      <w:r w:rsidRPr="00B234BD">
        <w:t>kunnen worden als geopolitiek wapen. De gezamenlijke Europese inzet is om verstoringen in de productie en toeleveringsketens zoveel mogelijk te mitigeren en voorspelbaarheid en duidelijkheid voor onze bedrijven te vergroten. Bij de beoordeling welke grondstoffen kritiek zijn wordt ook de verwachte groei van de wereldwijde vraag als gevolg van de energietransitie meegenomen, zodat toekomstige risico's kunnen worden beperkt.</w:t>
      </w:r>
    </w:p>
    <w:p w:rsidR="002C3023" w:rsidRDefault="002C3023" w14:paraId="0BBC14D3" w14:textId="77777777"/>
    <w:sectPr w:rsidR="002C3023" w:rsidSect="00C01B78">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5104A" w14:textId="77777777" w:rsidR="006E06B3" w:rsidRDefault="006E06B3" w:rsidP="00C01B78">
      <w:pPr>
        <w:spacing w:after="0" w:line="240" w:lineRule="auto"/>
      </w:pPr>
      <w:r>
        <w:separator/>
      </w:r>
    </w:p>
  </w:endnote>
  <w:endnote w:type="continuationSeparator" w:id="0">
    <w:p w14:paraId="550C7EAA" w14:textId="77777777" w:rsidR="006E06B3" w:rsidRDefault="006E06B3" w:rsidP="00C0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AB8A" w14:textId="77777777" w:rsidR="00C01B78" w:rsidRPr="00C01B78" w:rsidRDefault="00C01B78" w:rsidP="00C01B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6EEE" w14:textId="77777777" w:rsidR="00C01B78" w:rsidRPr="00C01B78" w:rsidRDefault="00C01B78" w:rsidP="00C01B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3D31B" w14:textId="77777777" w:rsidR="00C01B78" w:rsidRPr="00C01B78" w:rsidRDefault="00C01B78" w:rsidP="00C01B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B09FA" w14:textId="77777777" w:rsidR="006E06B3" w:rsidRDefault="006E06B3" w:rsidP="00C01B78">
      <w:pPr>
        <w:spacing w:after="0" w:line="240" w:lineRule="auto"/>
      </w:pPr>
      <w:r>
        <w:separator/>
      </w:r>
    </w:p>
  </w:footnote>
  <w:footnote w:type="continuationSeparator" w:id="0">
    <w:p w14:paraId="471EF006" w14:textId="77777777" w:rsidR="006E06B3" w:rsidRDefault="006E06B3" w:rsidP="00C01B78">
      <w:pPr>
        <w:spacing w:after="0" w:line="240" w:lineRule="auto"/>
      </w:pPr>
      <w:r>
        <w:continuationSeparator/>
      </w:r>
    </w:p>
  </w:footnote>
  <w:footnote w:id="1">
    <w:p w14:paraId="03E54F1C" w14:textId="77777777" w:rsidR="00C01B78" w:rsidRPr="00D9073B" w:rsidRDefault="00C01B78" w:rsidP="00C01B78">
      <w:pPr>
        <w:pStyle w:val="Voetnoottekst"/>
        <w:rPr>
          <w:sz w:val="16"/>
          <w:szCs w:val="16"/>
          <w:lang w:val="en-US"/>
        </w:rPr>
      </w:pPr>
      <w:r w:rsidRPr="00D9073B">
        <w:rPr>
          <w:rStyle w:val="Voetnootmarkering"/>
          <w:sz w:val="16"/>
          <w:szCs w:val="16"/>
        </w:rPr>
        <w:footnoteRef/>
      </w:r>
      <w:r w:rsidRPr="00D9073B">
        <w:rPr>
          <w:sz w:val="16"/>
          <w:szCs w:val="16"/>
        </w:rPr>
        <w:t xml:space="preserve"> de Volkskrant, 29 april 2026, 'Zware klap voor oliekartel </w:t>
      </w:r>
      <w:proofErr w:type="spellStart"/>
      <w:r w:rsidRPr="00D9073B">
        <w:rPr>
          <w:sz w:val="16"/>
          <w:szCs w:val="16"/>
        </w:rPr>
        <w:t>Opec</w:t>
      </w:r>
      <w:proofErr w:type="spellEnd"/>
      <w:r w:rsidRPr="00D9073B">
        <w:rPr>
          <w:sz w:val="16"/>
          <w:szCs w:val="16"/>
        </w:rPr>
        <w:t xml:space="preserve"> na vertrek Emiraten' Zware klap voor oliekartel </w:t>
      </w:r>
      <w:proofErr w:type="spellStart"/>
      <w:r w:rsidRPr="00D9073B">
        <w:rPr>
          <w:sz w:val="16"/>
          <w:szCs w:val="16"/>
        </w:rPr>
        <w:t>Opec</w:t>
      </w:r>
      <w:proofErr w:type="spellEnd"/>
      <w:r w:rsidRPr="00D9073B">
        <w:rPr>
          <w:sz w:val="16"/>
          <w:szCs w:val="16"/>
        </w:rPr>
        <w:t xml:space="preserve"> na vertrek Emiraten: wat betekent dit voor de olieprijs en het wereldtoneel? | de Volkskrant</w:t>
      </w:r>
    </w:p>
  </w:footnote>
  <w:footnote w:id="2">
    <w:p w14:paraId="0F188BFD" w14:textId="77777777" w:rsidR="00C01B78" w:rsidRPr="00A61F7B" w:rsidRDefault="00C01B78" w:rsidP="00C01B78">
      <w:pPr>
        <w:pStyle w:val="Voetnoottekst"/>
        <w:rPr>
          <w:lang w:val="en-US"/>
        </w:rPr>
      </w:pPr>
      <w:r w:rsidRPr="00A61F7B">
        <w:rPr>
          <w:rStyle w:val="Voetnootmarkering"/>
          <w:sz w:val="16"/>
          <w:szCs w:val="16"/>
        </w:rPr>
        <w:footnoteRef/>
      </w:r>
      <w:r w:rsidRPr="00A61F7B">
        <w:rPr>
          <w:sz w:val="16"/>
          <w:szCs w:val="16"/>
        </w:rPr>
        <w:t xml:space="preserve"> </w:t>
      </w:r>
      <w:hyperlink r:id="rId1" w:history="1">
        <w:proofErr w:type="spellStart"/>
        <w:r>
          <w:rPr>
            <w:rStyle w:val="Hyperlink"/>
            <w:sz w:val="16"/>
            <w:szCs w:val="16"/>
          </w:rPr>
          <w:t>Carnegie</w:t>
        </w:r>
        <w:proofErr w:type="spellEnd"/>
        <w:r>
          <w:rPr>
            <w:rStyle w:val="Hyperlink"/>
            <w:sz w:val="16"/>
            <w:szCs w:val="16"/>
          </w:rPr>
          <w:t xml:space="preserve">. Russia </w:t>
        </w:r>
        <w:proofErr w:type="spellStart"/>
        <w:r>
          <w:rPr>
            <w:rStyle w:val="Hyperlink"/>
            <w:sz w:val="16"/>
            <w:szCs w:val="16"/>
          </w:rPr>
          <w:t>Eurasia</w:t>
        </w:r>
        <w:proofErr w:type="spellEnd"/>
        <w:r>
          <w:rPr>
            <w:rStyle w:val="Hyperlink"/>
            <w:sz w:val="16"/>
            <w:szCs w:val="16"/>
          </w:rPr>
          <w:t xml:space="preserve"> Center</w:t>
        </w:r>
      </w:hyperlink>
    </w:p>
  </w:footnote>
  <w:footnote w:id="3">
    <w:p w14:paraId="3BBF1FD5" w14:textId="77777777" w:rsidR="00C01B78" w:rsidRPr="00B234BD" w:rsidRDefault="00C01B78" w:rsidP="00C01B78">
      <w:pPr>
        <w:pStyle w:val="Voetnoottekst"/>
        <w:rPr>
          <w:sz w:val="16"/>
          <w:szCs w:val="16"/>
        </w:rPr>
      </w:pPr>
      <w:r w:rsidRPr="003B3449">
        <w:rPr>
          <w:rStyle w:val="Voetnootmarkering"/>
          <w:sz w:val="16"/>
          <w:szCs w:val="16"/>
        </w:rPr>
        <w:footnoteRef/>
      </w:r>
      <w:r>
        <w:rPr>
          <w:sz w:val="16"/>
          <w:szCs w:val="16"/>
        </w:rPr>
        <w:t xml:space="preserve">  </w:t>
      </w:r>
      <w:r w:rsidRPr="003B3449">
        <w:rPr>
          <w:sz w:val="16"/>
          <w:szCs w:val="16"/>
        </w:rPr>
        <w:t>Kamerstuk 36</w:t>
      </w:r>
      <w:r>
        <w:rPr>
          <w:sz w:val="16"/>
          <w:szCs w:val="16"/>
        </w:rPr>
        <w:t xml:space="preserve"> </w:t>
      </w:r>
      <w:r w:rsidRPr="003B3449">
        <w:rPr>
          <w:sz w:val="16"/>
          <w:szCs w:val="16"/>
        </w:rPr>
        <w:t>933</w:t>
      </w:r>
      <w:r>
        <w:rPr>
          <w:sz w:val="16"/>
          <w:szCs w:val="16"/>
        </w:rPr>
        <w:t xml:space="preserve"> nr. </w:t>
      </w:r>
      <w:r w:rsidRPr="003B3449">
        <w:rPr>
          <w:sz w:val="16"/>
          <w:szCs w:val="16"/>
        </w:rPr>
        <w:t>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9FF8" w14:textId="77777777" w:rsidR="00C01B78" w:rsidRPr="00C01B78" w:rsidRDefault="00C01B78" w:rsidP="00C01B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E076" w14:textId="77777777" w:rsidR="006E06B3" w:rsidRPr="00C01B78" w:rsidRDefault="006E06B3" w:rsidP="00C01B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A61D7" w14:textId="77777777" w:rsidR="006E06B3" w:rsidRPr="00C01B78" w:rsidRDefault="006E06B3" w:rsidP="00C01B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B78"/>
    <w:rsid w:val="002C3023"/>
    <w:rsid w:val="006E06B3"/>
    <w:rsid w:val="006E2820"/>
    <w:rsid w:val="00C01B7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44F88"/>
  <w15:chartTrackingRefBased/>
  <w15:docId w15:val="{AC0DF847-02C6-4A74-BD44-29652528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1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1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1B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1B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1B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1B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1B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1B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1B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1B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1B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1B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1B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1B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1B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1B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1B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1B78"/>
    <w:rPr>
      <w:rFonts w:eastAsiaTheme="majorEastAsia" w:cstheme="majorBidi"/>
      <w:color w:val="272727" w:themeColor="text1" w:themeTint="D8"/>
    </w:rPr>
  </w:style>
  <w:style w:type="paragraph" w:styleId="Titel">
    <w:name w:val="Title"/>
    <w:basedOn w:val="Standaard"/>
    <w:next w:val="Standaard"/>
    <w:link w:val="TitelChar"/>
    <w:uiPriority w:val="10"/>
    <w:qFormat/>
    <w:rsid w:val="00C01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1B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1B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1B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1B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1B78"/>
    <w:rPr>
      <w:i/>
      <w:iCs/>
      <w:color w:val="404040" w:themeColor="text1" w:themeTint="BF"/>
    </w:rPr>
  </w:style>
  <w:style w:type="paragraph" w:styleId="Lijstalinea">
    <w:name w:val="List Paragraph"/>
    <w:basedOn w:val="Standaard"/>
    <w:uiPriority w:val="34"/>
    <w:qFormat/>
    <w:rsid w:val="00C01B78"/>
    <w:pPr>
      <w:ind w:left="720"/>
      <w:contextualSpacing/>
    </w:pPr>
  </w:style>
  <w:style w:type="character" w:styleId="Intensievebenadrukking">
    <w:name w:val="Intense Emphasis"/>
    <w:basedOn w:val="Standaardalinea-lettertype"/>
    <w:uiPriority w:val="21"/>
    <w:qFormat/>
    <w:rsid w:val="00C01B78"/>
    <w:rPr>
      <w:i/>
      <w:iCs/>
      <w:color w:val="0F4761" w:themeColor="accent1" w:themeShade="BF"/>
    </w:rPr>
  </w:style>
  <w:style w:type="paragraph" w:styleId="Duidelijkcitaat">
    <w:name w:val="Intense Quote"/>
    <w:basedOn w:val="Standaard"/>
    <w:next w:val="Standaard"/>
    <w:link w:val="DuidelijkcitaatChar"/>
    <w:uiPriority w:val="30"/>
    <w:qFormat/>
    <w:rsid w:val="00C01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1B78"/>
    <w:rPr>
      <w:i/>
      <w:iCs/>
      <w:color w:val="0F4761" w:themeColor="accent1" w:themeShade="BF"/>
    </w:rPr>
  </w:style>
  <w:style w:type="character" w:styleId="Intensieveverwijzing">
    <w:name w:val="Intense Reference"/>
    <w:basedOn w:val="Standaardalinea-lettertype"/>
    <w:uiPriority w:val="32"/>
    <w:qFormat/>
    <w:rsid w:val="00C01B78"/>
    <w:rPr>
      <w:b/>
      <w:bCs/>
      <w:smallCaps/>
      <w:color w:val="0F4761" w:themeColor="accent1" w:themeShade="BF"/>
      <w:spacing w:val="5"/>
    </w:rPr>
  </w:style>
  <w:style w:type="character" w:styleId="Hyperlink">
    <w:name w:val="Hyperlink"/>
    <w:basedOn w:val="Standaardalinea-lettertype"/>
    <w:uiPriority w:val="99"/>
    <w:unhideWhenUsed/>
    <w:rsid w:val="00C01B78"/>
    <w:rPr>
      <w:color w:val="467886" w:themeColor="hyperlink"/>
      <w:u w:val="single"/>
    </w:rPr>
  </w:style>
  <w:style w:type="paragraph" w:customStyle="1" w:styleId="Referentiegegevens">
    <w:name w:val="Referentiegegevens"/>
    <w:basedOn w:val="Standaard"/>
    <w:next w:val="Standaard"/>
    <w:uiPriority w:val="9"/>
    <w:qFormat/>
    <w:rsid w:val="00C01B7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C01B7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01B7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01B7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01B7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01B7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C01B78"/>
    <w:rPr>
      <w:vertAlign w:val="superscript"/>
    </w:rPr>
  </w:style>
  <w:style w:type="paragraph" w:styleId="Koptekst">
    <w:name w:val="header"/>
    <w:basedOn w:val="Standaard"/>
    <w:link w:val="KoptekstChar"/>
    <w:uiPriority w:val="99"/>
    <w:unhideWhenUsed/>
    <w:rsid w:val="00C01B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1B78"/>
  </w:style>
  <w:style w:type="paragraph" w:styleId="Voettekst">
    <w:name w:val="footer"/>
    <w:basedOn w:val="Standaard"/>
    <w:link w:val="VoettekstChar"/>
    <w:uiPriority w:val="99"/>
    <w:unhideWhenUsed/>
    <w:rsid w:val="00C01B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1B78"/>
  </w:style>
  <w:style w:type="paragraph" w:styleId="Geenafstand">
    <w:name w:val="No Spacing"/>
    <w:uiPriority w:val="1"/>
    <w:qFormat/>
    <w:rsid w:val="00C01B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arnegieendowment.org/russia-eurasia/research/2026/03/russia-oil-situation-assessmen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1994</ap:Words>
  <ap:Characters>10973</ap:Characters>
  <ap:DocSecurity>0</ap:DocSecurity>
  <ap:Lines>91</ap:Lines>
  <ap:Paragraphs>25</ap:Paragraphs>
  <ap:ScaleCrop>false</ap:ScaleCrop>
  <ap:LinksUpToDate>false</ap:LinksUpToDate>
  <ap:CharactersWithSpaces>12942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2026-06-15T13:39:00.0000000Z</dcterms:created>
  <dcterms:modified xsi:type="dcterms:W3CDTF">2026-06-15T13:40:00.0000000Z</dcterms:modified>
  <version/>
  <category/>
</coreProperties>
</file>