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745D8751" w14:textId="77777777"/>
        <w:p w:rsidR="00CD5856" w:rsidP="004020E2" w:rsidRDefault="00000000" w14:paraId="431D3705" w14:textId="77777777">
          <w:pPr>
            <w:spacing w:line="240" w:lineRule="auto"/>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sdtContent>
    </w:sdt>
    <w:p w:rsidR="00CD5856" w:rsidP="00C11DD0" w:rsidRDefault="00000000" w14:paraId="52D499C0" w14:textId="77777777">
      <w:pPr>
        <w:pStyle w:val="Huisstijl-Aanhef"/>
        <w:spacing w:before="0" w:after="0"/>
      </w:pPr>
      <w:r>
        <w:t>Geachte voorzitter,</w:t>
      </w:r>
    </w:p>
    <w:p w:rsidR="00814755" w:rsidP="00C11DD0" w:rsidRDefault="00814755" w14:paraId="411B39E9" w14:textId="77777777">
      <w:pPr>
        <w:pStyle w:val="Huisstijl-Aanhef"/>
        <w:spacing w:before="0" w:after="0"/>
      </w:pPr>
    </w:p>
    <w:p w:rsidR="008717F6" w:rsidP="00C11DD0" w:rsidRDefault="00000000" w14:paraId="4C896D58" w14:textId="77777777">
      <w:r>
        <w:t>Met deze brief informeer</w:t>
      </w:r>
      <w:r w:rsidR="00C8146D">
        <w:t>t het kabinet de</w:t>
      </w:r>
      <w:r>
        <w:t xml:space="preserve"> Kamer over een aantal geneesmiddelen</w:t>
      </w:r>
      <w:r w:rsidRPr="00D47B59">
        <w:t xml:space="preserve"> </w:t>
      </w:r>
      <w:r>
        <w:t xml:space="preserve">die, als gevolg van negatieve advisering tot pakketopname door Zorginstituut Nederland (hierna: het Zorginstituut), voorlopig in de zogenoemde sluis voor dure geneesmiddelen blijven staan en daardoor niet vergoed worden vanuit het basispakket van de zorgverzekering. </w:t>
      </w:r>
      <w:r w:rsidR="00C8146D">
        <w:t>De</w:t>
      </w:r>
      <w:r>
        <w:t xml:space="preserve"> Kamer is eerder over vergelijkbare casus geïnformeerd bij brief van 7 november 2024.</w:t>
      </w:r>
      <w:r>
        <w:rPr>
          <w:rStyle w:val="Voetnootmarkering"/>
        </w:rPr>
        <w:footnoteReference w:id="1"/>
      </w:r>
      <w:r>
        <w:t xml:space="preserve"> De volgende geneesmiddelen blijven uitgezonderd van het basispakket: </w:t>
      </w:r>
    </w:p>
    <w:p w:rsidR="008717F6" w:rsidP="00C11DD0" w:rsidRDefault="00000000" w14:paraId="4F34B0AB" w14:textId="77777777">
      <w:pPr>
        <w:pStyle w:val="Lijstalinea"/>
        <w:numPr>
          <w:ilvl w:val="0"/>
          <w:numId w:val="2"/>
        </w:numPr>
        <w:suppressAutoHyphens/>
      </w:pPr>
      <w:bookmarkStart w:name="_Hlk222921103" w:id="1"/>
      <w:r>
        <w:t>Lecanemab</w:t>
      </w:r>
      <w:r w:rsidRPr="001A7EDA">
        <w:t xml:space="preserve"> (</w:t>
      </w:r>
      <w:r>
        <w:t>merknaam: Leqembi</w:t>
      </w:r>
      <w:r w:rsidRPr="001A7EDA">
        <w:t>)</w:t>
      </w:r>
      <w:r>
        <w:t xml:space="preserve"> </w:t>
      </w:r>
      <w:bookmarkStart w:name="_Hlk177544446" w:id="2"/>
      <w:r>
        <w:t xml:space="preserve">voor de behandeling van </w:t>
      </w:r>
      <w:bookmarkEnd w:id="2"/>
      <w:r>
        <w:t>Alzheimer;</w:t>
      </w:r>
    </w:p>
    <w:p w:rsidR="008717F6" w:rsidP="00C11DD0" w:rsidRDefault="00000000" w14:paraId="336A78F2" w14:textId="77777777">
      <w:pPr>
        <w:pStyle w:val="Lijstalinea"/>
        <w:numPr>
          <w:ilvl w:val="0"/>
          <w:numId w:val="2"/>
        </w:numPr>
        <w:suppressAutoHyphens/>
      </w:pPr>
      <w:bookmarkStart w:name="_Hlk177126742" w:id="3"/>
      <w:r>
        <w:t>Upadacitinib</w:t>
      </w:r>
      <w:r w:rsidRPr="001A7EDA">
        <w:t xml:space="preserve"> </w:t>
      </w:r>
      <w:bookmarkEnd w:id="3"/>
      <w:r w:rsidRPr="001A7EDA">
        <w:t>(</w:t>
      </w:r>
      <w:r>
        <w:t>merknaam: Rinvoq</w:t>
      </w:r>
      <w:r w:rsidRPr="001A7EDA">
        <w:t>)</w:t>
      </w:r>
      <w:r>
        <w:t xml:space="preserve"> </w:t>
      </w:r>
      <w:bookmarkStart w:name="_Hlk177544492" w:id="4"/>
      <w:r>
        <w:t xml:space="preserve">voor de behandeling van </w:t>
      </w:r>
      <w:r w:rsidRPr="002A57D0">
        <w:t xml:space="preserve">reuscelarteriitis </w:t>
      </w:r>
      <w:r>
        <w:t>(RCA), een vorm van ontsteking van de bloedvaten;</w:t>
      </w:r>
      <w:bookmarkEnd w:id="4"/>
    </w:p>
    <w:p w:rsidR="008717F6" w:rsidP="00C11DD0" w:rsidRDefault="00000000" w14:paraId="16AEBA2D" w14:textId="77777777">
      <w:pPr>
        <w:pStyle w:val="Lijstalinea"/>
        <w:numPr>
          <w:ilvl w:val="0"/>
          <w:numId w:val="2"/>
        </w:numPr>
        <w:suppressAutoHyphens/>
      </w:pPr>
      <w:bookmarkStart w:name="_Hlk177123088" w:id="5"/>
      <w:r>
        <w:t>Osimertinib</w:t>
      </w:r>
      <w:r w:rsidRPr="001A7EDA">
        <w:t xml:space="preserve"> </w:t>
      </w:r>
      <w:bookmarkEnd w:id="5"/>
      <w:r w:rsidRPr="001A7EDA">
        <w:t>(</w:t>
      </w:r>
      <w:r>
        <w:t>merknaam: Tagrisso</w:t>
      </w:r>
      <w:r w:rsidRPr="001A7EDA">
        <w:t>)</w:t>
      </w:r>
      <w:r>
        <w:t xml:space="preserve"> voor </w:t>
      </w:r>
      <w:bookmarkStart w:name="_Hlk177544546" w:id="6"/>
      <w:r>
        <w:t xml:space="preserve">de behandeling van </w:t>
      </w:r>
      <w:bookmarkStart w:name="_Hlk177387240" w:id="7"/>
      <w:r>
        <w:t>lokaal gevorderde niet-kleincellige longkanker (NSCLC</w:t>
      </w:r>
      <w:bookmarkEnd w:id="7"/>
      <w:r>
        <w:t xml:space="preserve">), een vorm van </w:t>
      </w:r>
      <w:bookmarkEnd w:id="6"/>
      <w:r>
        <w:t>longkanker.</w:t>
      </w:r>
    </w:p>
    <w:bookmarkEnd w:id="1"/>
    <w:p w:rsidRPr="00D4304A" w:rsidR="008717F6" w:rsidP="00C11DD0" w:rsidRDefault="008717F6" w14:paraId="48291728" w14:textId="77777777">
      <w:pPr>
        <w:rPr>
          <w:i/>
          <w:iCs/>
        </w:rPr>
      </w:pPr>
    </w:p>
    <w:p w:rsidR="008717F6" w:rsidP="00C11DD0" w:rsidRDefault="00000000" w14:paraId="6B6A25F5" w14:textId="77777777">
      <w:r>
        <w:t>Lecanemab, upadacitinib en osimertinib zijn – als onderdeel van de sluisprocedure</w:t>
      </w:r>
      <w:r>
        <w:rPr>
          <w:rStyle w:val="Voetnootmarkering"/>
        </w:rPr>
        <w:footnoteReference w:id="2"/>
      </w:r>
      <w:r>
        <w:t xml:space="preserve"> – beoordeeld door het Zorginstituut, zie bijlage 1 t/m 3.</w:t>
      </w:r>
      <w:r>
        <w:rPr>
          <w:rStyle w:val="Voetnootmarkering"/>
        </w:rPr>
        <w:footnoteReference w:id="3"/>
      </w:r>
      <w:r>
        <w:t xml:space="preserve"> </w:t>
      </w:r>
      <w:r w:rsidR="00C843D9">
        <w:t xml:space="preserve">Dit is een andere toetsing dan de EMA (European Medicines Agency) uitvoert voorafgaand aan het verlenen van de handelsvergunning. De EMA toetst op kwaliteit, werkzaamheid en veiligheid. </w:t>
      </w:r>
      <w:r>
        <w:t xml:space="preserve">Uit de beoordeling door het Zorginstituut blijkt dat de effectiviteit van lecanemab en upadacitinib niet is bewezen en dat deze middelen dus niet voldoen aan </w:t>
      </w:r>
      <w:r w:rsidRPr="00336B4B">
        <w:t>het</w:t>
      </w:r>
      <w:r>
        <w:t xml:space="preserve"> </w:t>
      </w:r>
      <w:r w:rsidRPr="00336B4B">
        <w:t>wettelijke criterium ‘stand van de wetenschap en praktijk’</w:t>
      </w:r>
      <w:r>
        <w:t xml:space="preserve"> (SWP).</w:t>
      </w:r>
      <w:r>
        <w:rPr>
          <w:rStyle w:val="Voetnootmarkering"/>
        </w:rPr>
        <w:footnoteReference w:id="4"/>
      </w:r>
      <w:r>
        <w:t xml:space="preserve"> Dat betekent dat deze middelen op basis van het wetenschappelijk bewijs geen therapeutische meerwaarde of gelijke waarde hebben ten opzichte van de standaardbehandeling. Deze middelen komen hierdoor niet in aanmerking voor vergoeding uit het basispakket. </w:t>
      </w:r>
    </w:p>
    <w:p w:rsidR="008717F6" w:rsidP="00C11DD0" w:rsidRDefault="008717F6" w14:paraId="623F0C55" w14:textId="77777777"/>
    <w:p w:rsidR="00713730" w:rsidP="00C11DD0" w:rsidRDefault="00713730" w14:paraId="6B581247" w14:textId="77777777"/>
    <w:p w:rsidR="00713730" w:rsidP="00C11DD0" w:rsidRDefault="00713730" w14:paraId="6AC84B9A" w14:textId="77777777"/>
    <w:p w:rsidR="00721EF0" w:rsidP="00C11DD0" w:rsidRDefault="00000000" w14:paraId="27C8FB1D" w14:textId="77777777">
      <w:r>
        <w:lastRenderedPageBreak/>
        <w:t xml:space="preserve">Voor osimertinib geldt dat wel wordt voldaan aan de SWP, maar dat de </w:t>
      </w:r>
      <w:r w:rsidRPr="00336B4B">
        <w:t xml:space="preserve">kosteneffectiviteitsanalyse die de </w:t>
      </w:r>
      <w:r>
        <w:t>leverancier</w:t>
      </w:r>
      <w:r w:rsidRPr="00336B4B">
        <w:t xml:space="preserve"> heeft aangeleverd</w:t>
      </w:r>
      <w:r>
        <w:t xml:space="preserve"> van onvoldoende kwaliteit is. Het Zorginstituut kan daardoor </w:t>
      </w:r>
      <w:r w:rsidRPr="008B7F68">
        <w:t>geen uitspraak doen over de</w:t>
      </w:r>
      <w:r>
        <w:t xml:space="preserve"> vraag of het middel voldoet aan het criterium </w:t>
      </w:r>
      <w:r w:rsidRPr="008B7F68">
        <w:t>kosteneffectiviteit</w:t>
      </w:r>
      <w:r>
        <w:t xml:space="preserve"> en adviseert om het middel niet op te nemen in het basispakket</w:t>
      </w:r>
      <w:r w:rsidRPr="008B7F68">
        <w:t>.</w:t>
      </w:r>
      <w:r w:rsidRPr="000B7FB0">
        <w:t xml:space="preserve"> </w:t>
      </w:r>
      <w:r>
        <w:t xml:space="preserve">Het kabinet neemt dit advies over. </w:t>
      </w:r>
    </w:p>
    <w:p w:rsidR="00721EF0" w:rsidP="00C11DD0" w:rsidRDefault="00721EF0" w14:paraId="64564007" w14:textId="77777777"/>
    <w:p w:rsidR="008717F6" w:rsidP="00C11DD0" w:rsidRDefault="00000000" w14:paraId="5BE34B18" w14:textId="77777777">
      <w:r>
        <w:t xml:space="preserve">Het Zorginstituut heeft vanwege de therapeutische meerwaarde van dit geneesmiddel ten opzichte van de standaardbehandeling (het actief volgen-beleid), </w:t>
      </w:r>
      <w:r w:rsidRPr="000B7FB0">
        <w:t xml:space="preserve">de </w:t>
      </w:r>
      <w:r w:rsidR="00C11DD0">
        <w:t>leverancier</w:t>
      </w:r>
      <w:r w:rsidRPr="000B7FB0">
        <w:t xml:space="preserve"> verzocht om zo spoedig mogelijk een nieuwe kosteneffectiviteitsanalyse aan te leveren.</w:t>
      </w:r>
      <w:r>
        <w:t xml:space="preserve"> </w:t>
      </w:r>
    </w:p>
    <w:p w:rsidR="008717F6" w:rsidP="00C11DD0" w:rsidRDefault="008717F6" w14:paraId="39C4CFE8" w14:textId="77777777">
      <w:pPr>
        <w:tabs>
          <w:tab w:val="left" w:pos="5540"/>
        </w:tabs>
      </w:pPr>
    </w:p>
    <w:p w:rsidR="008717F6" w:rsidP="00C11DD0" w:rsidRDefault="00000000" w14:paraId="4E68B83E" w14:textId="77777777">
      <w:r>
        <w:t>Als gevolg hiervan blijven de genoemde geneesmiddelen in de sluis. Hierdoor b</w:t>
      </w:r>
      <w:r w:rsidRPr="008D19FC">
        <w:t xml:space="preserve">lijven patiënten voorlopig aangewezen op de standaardbehandeling. </w:t>
      </w:r>
      <w:r w:rsidR="00C8146D">
        <w:t xml:space="preserve">Het kabinet </w:t>
      </w:r>
      <w:r w:rsidRPr="008D19FC">
        <w:t xml:space="preserve"> kan </w:t>
      </w:r>
      <w:r w:rsidR="00C8146D">
        <w:t>zich</w:t>
      </w:r>
      <w:r w:rsidRPr="008D19FC">
        <w:t xml:space="preserve"> voorstellen dat dit teleurstellend is voor patiënten</w:t>
      </w:r>
      <w:r>
        <w:t xml:space="preserve"> en zorgverleners</w:t>
      </w:r>
      <w:r w:rsidRPr="008D19FC">
        <w:t xml:space="preserve"> die hun hoop op deze geneesmiddelen hadden gevestigd. </w:t>
      </w:r>
      <w:r>
        <w:t xml:space="preserve">Maar het kabinet </w:t>
      </w:r>
      <w:r w:rsidRPr="008D19FC">
        <w:t>vind</w:t>
      </w:r>
      <w:r>
        <w:t>t</w:t>
      </w:r>
      <w:r w:rsidRPr="008D19FC">
        <w:t xml:space="preserve"> het van uiterst belang om alleen zorg te vergoeden uit het basispakket, die tenminste net zo effectief is als de standaardbehandeling.</w:t>
      </w:r>
      <w:r>
        <w:t xml:space="preserve"> Zo borgt het kabinet dat passende zorg de norm is. </w:t>
      </w:r>
      <w:r w:rsidR="00C11DD0">
        <w:br/>
      </w:r>
      <w:r>
        <w:t xml:space="preserve">Daarnaast kan vergoeding van niet-kosteneffectieve zorg leiden tot verdringing van andere, (kosten)effectievere zorg. Het kabinet vindt </w:t>
      </w:r>
      <w:r w:rsidR="00721EF0">
        <w:t>het belangrijk</w:t>
      </w:r>
      <w:r>
        <w:t xml:space="preserve"> dat we in de zorg, gegeven een beperkt zorgbudget en beperkte zorgcapaciteit, doelmatige en rechtvaardige keuzes maken. Bij dure geneesmiddelen is hiervoor een advies van het Zorginstituut over de kosteneffectiviteit nodig. </w:t>
      </w:r>
      <w:r w:rsidR="00C11DD0">
        <w:br/>
      </w:r>
      <w:r w:rsidR="00C8146D">
        <w:t>Het kabinet</w:t>
      </w:r>
      <w:r>
        <w:t xml:space="preserve"> wijs</w:t>
      </w:r>
      <w:r w:rsidR="00C8146D">
        <w:t>t</w:t>
      </w:r>
      <w:r>
        <w:t xml:space="preserve"> er tenslotte op dat het indienen van aanvullende of nieuwe gegevens door de leveranciers bij het Zorginstituut aanleiding kan geven tot herbeoordeling, wat kan resulteren in een aangepast advies.</w:t>
      </w:r>
    </w:p>
    <w:p w:rsidR="008717F6" w:rsidP="00C11DD0" w:rsidRDefault="008717F6" w14:paraId="22710EDF" w14:textId="77777777"/>
    <w:p w:rsidRPr="00814755" w:rsidR="008717F6" w:rsidP="00C11DD0" w:rsidRDefault="00000000" w14:paraId="66544D83" w14:textId="77777777">
      <w:pPr>
        <w:tabs>
          <w:tab w:val="left" w:pos="5540"/>
        </w:tabs>
        <w:rPr>
          <w:b/>
          <w:bCs/>
        </w:rPr>
      </w:pPr>
      <w:r w:rsidRPr="00814755">
        <w:rPr>
          <w:b/>
          <w:bCs/>
        </w:rPr>
        <w:t>Voortgangsupdate inzake Kamerbrief 2024</w:t>
      </w:r>
    </w:p>
    <w:p w:rsidR="00C11DD0" w:rsidP="00C11DD0" w:rsidRDefault="00000000" w14:paraId="4B2E85E3" w14:textId="77777777">
      <w:pPr>
        <w:tabs>
          <w:tab w:val="left" w:pos="5540"/>
        </w:tabs>
      </w:pPr>
      <w:r>
        <w:t>In de eerdere Kamerbrief uit 2024</w:t>
      </w:r>
      <w:r>
        <w:rPr>
          <w:rStyle w:val="Voetnootmarkering"/>
        </w:rPr>
        <w:footnoteReference w:id="5"/>
      </w:r>
      <w:r>
        <w:t xml:space="preserve"> is bericht dat de sluis gecontinueerd werd voor onder andere de geneesmiddelen t</w:t>
      </w:r>
      <w:r w:rsidRPr="000A194A">
        <w:t>eclistamab (merknaam: Tecvayli)</w:t>
      </w:r>
      <w:r>
        <w:t xml:space="preserve"> voor de behandeling van Multipel Myeloom (MM) en glofitamab (merknaam: Columvi) voor de behandeling van diffuus grootcellig B-cellymfoom (DLBCL). Voor teclistamab was de kosteneffectiviteitsanalyse destijds van onvoldoende kwaliteit. Voor glofitamab werd niet voldaan aan de SWP. </w:t>
      </w:r>
      <w:r>
        <w:br/>
      </w:r>
    </w:p>
    <w:p w:rsidR="008717F6" w:rsidP="00C11DD0" w:rsidRDefault="00000000" w14:paraId="52D33380" w14:textId="77777777">
      <w:pPr>
        <w:tabs>
          <w:tab w:val="left" w:pos="5540"/>
        </w:tabs>
      </w:pPr>
      <w:r>
        <w:t xml:space="preserve">Inmiddels hebben beide leveranciers nieuwe gegevens aangeleverd, welk voor teclistamab voor de genoemde indicatie tot een herbeoordeling door het Zorginstituut heeft geleid. Voor teclistamab heeft het Zorginstituut op basis van de aangepaste kosteneffectiviteitsanalyse, een prijsonderhandeling geadviseerd. Ondanks </w:t>
      </w:r>
      <w:r w:rsidRPr="00432FF0">
        <w:t>intensieve pogingen om afspraken te maken over een maatschappelijk aanvaardbare prijs, is er helaas geen akkoord bereikt met de leverancier</w:t>
      </w:r>
      <w:r>
        <w:t>, waardoor de sluis voor teclistamab wordt gecontinueerd</w:t>
      </w:r>
      <w:r w:rsidRPr="00432FF0">
        <w:t>.</w:t>
      </w:r>
      <w:r>
        <w:t xml:space="preserve"> Hier is </w:t>
      </w:r>
      <w:r w:rsidR="00C8146D">
        <w:t>de</w:t>
      </w:r>
      <w:r>
        <w:t xml:space="preserve"> Kamer reeds onlangs over geïnformeerd.</w:t>
      </w:r>
      <w:r>
        <w:rPr>
          <w:rStyle w:val="Voetnootmarkering"/>
        </w:rPr>
        <w:footnoteReference w:id="6"/>
      </w:r>
      <w:r>
        <w:t xml:space="preserve"> </w:t>
      </w:r>
      <w:r w:rsidR="00C11DD0">
        <w:br/>
      </w:r>
      <w:r w:rsidRPr="009D168D">
        <w:t>Voor glofitamab loopt, volgens het Dashboard Doorlooptijden</w:t>
      </w:r>
      <w:r>
        <w:rPr>
          <w:rStyle w:val="Voetnootmarkering"/>
        </w:rPr>
        <w:footnoteReference w:id="7"/>
      </w:r>
      <w:r w:rsidRPr="009D168D">
        <w:t>, momenteel nog een herbeoordeling door het Zorginstituut voor de betreffende indicatie</w:t>
      </w:r>
      <w:r>
        <w:t xml:space="preserve">. Voor de andere geneesmiddelen die genoemd zijn in de </w:t>
      </w:r>
      <w:r w:rsidR="00721EF0">
        <w:t>eerdergenoemde</w:t>
      </w:r>
      <w:r>
        <w:t xml:space="preserve"> Kamerbrief uit 2024 is er momenteel geen update te geven.</w:t>
      </w:r>
    </w:p>
    <w:p w:rsidR="008717F6" w:rsidP="008717F6" w:rsidRDefault="008717F6" w14:paraId="0B6B8DC5" w14:textId="77777777">
      <w:pPr>
        <w:tabs>
          <w:tab w:val="left" w:pos="5540"/>
        </w:tabs>
        <w:spacing w:line="240" w:lineRule="auto"/>
      </w:pPr>
    </w:p>
    <w:p w:rsidR="00C11DD0" w:rsidRDefault="00000000" w14:paraId="382A70FE" w14:textId="77777777">
      <w:pPr>
        <w:spacing w:line="240" w:lineRule="auto"/>
        <w:rPr>
          <w:b/>
          <w:bCs/>
          <w:u w:val="single"/>
        </w:rPr>
      </w:pPr>
      <w:r>
        <w:rPr>
          <w:b/>
          <w:bCs/>
          <w:u w:val="single"/>
        </w:rPr>
        <w:br w:type="page"/>
      </w:r>
    </w:p>
    <w:p w:rsidRPr="00814755" w:rsidR="008717F6" w:rsidP="008717F6" w:rsidRDefault="00000000" w14:paraId="4F3DA37A" w14:textId="77777777">
      <w:pPr>
        <w:tabs>
          <w:tab w:val="left" w:pos="5540"/>
        </w:tabs>
        <w:spacing w:line="240" w:lineRule="auto"/>
        <w:rPr>
          <w:b/>
          <w:bCs/>
        </w:rPr>
      </w:pPr>
      <w:r w:rsidRPr="00814755">
        <w:rPr>
          <w:b/>
          <w:bCs/>
        </w:rPr>
        <w:lastRenderedPageBreak/>
        <w:t>Sluiskandidatenbrief eind 2026</w:t>
      </w:r>
    </w:p>
    <w:p w:rsidRPr="008D59C5" w:rsidR="008717F6" w:rsidP="008717F6" w:rsidRDefault="00000000" w14:paraId="0AB56C0B" w14:textId="7852C519">
      <w:r w:rsidRPr="00036D84">
        <w:t>Met deze brief ontvangt</w:t>
      </w:r>
      <w:r w:rsidR="00B7264C">
        <w:t xml:space="preserve"> de kamer</w:t>
      </w:r>
      <w:r w:rsidRPr="00036D84">
        <w:t xml:space="preserve"> van </w:t>
      </w:r>
      <w:r w:rsidR="00C8146D">
        <w:t>het kabinet</w:t>
      </w:r>
      <w:r>
        <w:t xml:space="preserve"> bovendien</w:t>
      </w:r>
      <w:r w:rsidRPr="00036D84">
        <w:t xml:space="preserve"> een afschrift van de </w:t>
      </w:r>
      <w:r>
        <w:t>brief</w:t>
      </w:r>
      <w:r w:rsidRPr="00036D84">
        <w:t xml:space="preserve"> van het Zorginstituut Nederland over de behandelingen met geneesmiddelen die op basis van de Horizonscan Geneesmiddelen aangemerkt zijn als kandidaat voor de pakketsluis. Het gaat in de publicatie van het Zorginstituut om behandelingen met geneesmiddelen waarvan de goedkeuring voor Europese markttoelating wordt verwacht in de </w:t>
      </w:r>
      <w:r>
        <w:t>eerste helft 2026</w:t>
      </w:r>
      <w:r w:rsidRPr="00036D84">
        <w:t xml:space="preserve">. </w:t>
      </w:r>
      <w:r w:rsidRPr="009F5D3E">
        <w:t>Daarnaast licht de sluiskandidatenbrief de stand van zaken toe van de eerder aangekondigde sluiskandidaten.</w:t>
      </w:r>
    </w:p>
    <w:p w:rsidR="00713730" w:rsidP="00713730" w:rsidRDefault="00713730" w14:paraId="53031CF5" w14:textId="77777777">
      <w:pPr>
        <w:spacing w:line="240" w:lineRule="atLeast"/>
        <w:contextualSpacing/>
        <w:rPr>
          <w:rFonts w:eastAsia="Times New Roman" w:cs="Times New Roman"/>
          <w:szCs w:val="20"/>
          <w:lang w:eastAsia="nl-NL"/>
        </w:rPr>
      </w:pPr>
    </w:p>
    <w:p w:rsidRPr="007A681B" w:rsidR="00713730" w:rsidP="00713730" w:rsidRDefault="00713730" w14:paraId="56086254" w14:textId="6E6FD31E">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713730" w:rsidR="00713730" w:rsidP="00713730" w:rsidRDefault="00713730" w14:paraId="1AB123D5" w14:textId="6B920A34">
      <w:pPr>
        <w:spacing w:line="276" w:lineRule="auto"/>
        <w:contextualSpacing/>
        <w:rPr>
          <w:kern w:val="2"/>
        </w:rPr>
      </w:pPr>
    </w:p>
    <w:p w:rsidRPr="00713730" w:rsidR="00713730" w:rsidP="00713730" w:rsidRDefault="00713730" w14:paraId="18B86AC3" w14:textId="64B7DB6E">
      <w:pPr>
        <w:spacing w:line="276" w:lineRule="auto"/>
        <w:contextualSpacing/>
        <w:rPr>
          <w:kern w:val="2"/>
        </w:rPr>
      </w:pPr>
      <w:r w:rsidRPr="00713730">
        <w:rPr>
          <w:kern w:val="2"/>
        </w:rPr>
        <w:t>de minister van Volksgezondheid,</w:t>
      </w:r>
    </w:p>
    <w:p w:rsidRPr="00713730" w:rsidR="00713730" w:rsidP="00713730" w:rsidRDefault="00713730" w14:paraId="75E48025" w14:textId="42F02515">
      <w:pPr>
        <w:spacing w:line="276" w:lineRule="auto"/>
        <w:contextualSpacing/>
        <w:rPr>
          <w:kern w:val="2"/>
        </w:rPr>
      </w:pPr>
      <w:r w:rsidRPr="00713730">
        <w:rPr>
          <w:kern w:val="2"/>
        </w:rPr>
        <w:t>Welzijn en Sport,</w:t>
      </w:r>
    </w:p>
    <w:p w:rsidRPr="00713730" w:rsidR="00713730" w:rsidP="00713730" w:rsidRDefault="00713730" w14:paraId="5A150C51" w14:textId="1F509BD5">
      <w:pPr>
        <w:spacing w:line="276" w:lineRule="auto"/>
        <w:contextualSpacing/>
        <w:rPr>
          <w:kern w:val="2"/>
        </w:rPr>
      </w:pPr>
    </w:p>
    <w:p w:rsidRPr="00713730" w:rsidR="00713730" w:rsidP="00713730" w:rsidRDefault="00713730" w14:paraId="74866972" w14:textId="7FA31BAD">
      <w:pPr>
        <w:spacing w:line="276" w:lineRule="auto"/>
        <w:contextualSpacing/>
        <w:rPr>
          <w:kern w:val="2"/>
        </w:rPr>
      </w:pPr>
    </w:p>
    <w:p w:rsidRPr="00713730" w:rsidR="00713730" w:rsidP="00713730" w:rsidRDefault="00713730" w14:paraId="63883B70" w14:textId="77777777">
      <w:pPr>
        <w:spacing w:line="276" w:lineRule="auto"/>
        <w:contextualSpacing/>
        <w:rPr>
          <w:kern w:val="2"/>
        </w:rPr>
      </w:pPr>
    </w:p>
    <w:p w:rsidRPr="00713730" w:rsidR="00713730" w:rsidP="00713730" w:rsidRDefault="00713730" w14:paraId="7C5D2FCB" w14:textId="77777777">
      <w:pPr>
        <w:spacing w:line="276" w:lineRule="auto"/>
        <w:contextualSpacing/>
        <w:rPr>
          <w:kern w:val="2"/>
        </w:rPr>
      </w:pPr>
    </w:p>
    <w:p w:rsidRPr="00713730" w:rsidR="00713730" w:rsidP="00713730" w:rsidRDefault="00713730" w14:paraId="1DFF8578" w14:textId="77777777">
      <w:pPr>
        <w:spacing w:line="276" w:lineRule="auto"/>
        <w:contextualSpacing/>
        <w:rPr>
          <w:kern w:val="2"/>
        </w:rPr>
      </w:pPr>
    </w:p>
    <w:p w:rsidRPr="00713730" w:rsidR="00713730" w:rsidP="00713730" w:rsidRDefault="00713730" w14:paraId="6EB016D8" w14:textId="77777777">
      <w:pPr>
        <w:spacing w:line="276" w:lineRule="auto"/>
        <w:contextualSpacing/>
        <w:rPr>
          <w:kern w:val="2"/>
        </w:rPr>
      </w:pPr>
    </w:p>
    <w:p w:rsidRPr="00713730" w:rsidR="00713730" w:rsidP="00713730" w:rsidRDefault="00713730" w14:paraId="74695CE5" w14:textId="77777777">
      <w:pPr>
        <w:spacing w:line="276" w:lineRule="auto"/>
        <w:contextualSpacing/>
        <w:rPr>
          <w:kern w:val="2"/>
        </w:rPr>
      </w:pPr>
      <w:r w:rsidRPr="00713730">
        <w:rPr>
          <w:kern w:val="2"/>
        </w:rPr>
        <w:t>Sophie Hermans</w:t>
      </w:r>
    </w:p>
    <w:p w:rsidR="00C95CA9" w:rsidRDefault="00C95CA9" w14:paraId="6007D631" w14:textId="77777777">
      <w:pPr>
        <w:spacing w:line="240" w:lineRule="auto"/>
        <w:rPr>
          <w:noProof/>
        </w:rPr>
      </w:pPr>
    </w:p>
    <w:p w:rsidR="00235AED" w:rsidP="00463DBC" w:rsidRDefault="00235AED" w14:paraId="27B0F51D" w14:textId="77777777">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F785" w14:textId="77777777" w:rsidR="001A19BE" w:rsidRDefault="001A19BE">
      <w:pPr>
        <w:spacing w:line="240" w:lineRule="auto"/>
      </w:pPr>
      <w:r>
        <w:separator/>
      </w:r>
    </w:p>
  </w:endnote>
  <w:endnote w:type="continuationSeparator" w:id="0">
    <w:p w14:paraId="060076D7" w14:textId="77777777" w:rsidR="001A19BE" w:rsidRDefault="001A1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07EA" w14:textId="77777777" w:rsidR="00D01397" w:rsidRDefault="00D013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5D66" w14:textId="77777777" w:rsidR="00DC7639" w:rsidRDefault="00000000">
    <w:pPr>
      <w:pStyle w:val="Voettekst"/>
    </w:pPr>
    <w:r>
      <w:rPr>
        <w:noProof/>
        <w:lang w:val="en-US" w:eastAsia="en-US" w:bidi="ar-SA"/>
      </w:rPr>
      <w:pict w14:anchorId="557A0555">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4DED6B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4329" w14:textId="77777777" w:rsidR="00D01397" w:rsidRDefault="00D013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E157" w14:textId="77777777" w:rsidR="001A19BE" w:rsidRDefault="001A19BE">
      <w:pPr>
        <w:spacing w:line="240" w:lineRule="auto"/>
      </w:pPr>
      <w:r>
        <w:separator/>
      </w:r>
    </w:p>
  </w:footnote>
  <w:footnote w:type="continuationSeparator" w:id="0">
    <w:p w14:paraId="42BCD550" w14:textId="77777777" w:rsidR="001A19BE" w:rsidRDefault="001A19BE">
      <w:pPr>
        <w:spacing w:line="240" w:lineRule="auto"/>
      </w:pPr>
      <w:r>
        <w:continuationSeparator/>
      </w:r>
    </w:p>
  </w:footnote>
  <w:footnote w:id="1">
    <w:p w14:paraId="6028D874" w14:textId="77777777" w:rsidR="008717F6" w:rsidRPr="003B4A87" w:rsidRDefault="00000000" w:rsidP="008717F6">
      <w:pPr>
        <w:pStyle w:val="Voetnoottekst"/>
        <w:rPr>
          <w:sz w:val="14"/>
          <w:szCs w:val="14"/>
        </w:rPr>
      </w:pPr>
      <w:r w:rsidRPr="003B4A87">
        <w:rPr>
          <w:rStyle w:val="Voetnootmarkering"/>
          <w:sz w:val="14"/>
          <w:szCs w:val="14"/>
        </w:rPr>
        <w:footnoteRef/>
      </w:r>
      <w:r w:rsidRPr="003B4A87">
        <w:rPr>
          <w:sz w:val="14"/>
          <w:szCs w:val="14"/>
        </w:rPr>
        <w:t xml:space="preserve"> Kamerstukken II 2024/25, 29477, nr. 911.</w:t>
      </w:r>
    </w:p>
  </w:footnote>
  <w:footnote w:id="2">
    <w:p w14:paraId="1A04CAB0" w14:textId="77777777" w:rsidR="008717F6" w:rsidRDefault="00000000" w:rsidP="008717F6">
      <w:pPr>
        <w:pStyle w:val="Voetnoottekst"/>
      </w:pPr>
      <w:r w:rsidRPr="00E92FE9">
        <w:rPr>
          <w:rStyle w:val="Voetnootmarkering"/>
          <w:sz w:val="14"/>
          <w:szCs w:val="14"/>
        </w:rPr>
        <w:footnoteRef/>
      </w:r>
      <w:r w:rsidRPr="00E92FE9">
        <w:rPr>
          <w:sz w:val="14"/>
          <w:szCs w:val="14"/>
        </w:rPr>
        <w:t xml:space="preserve"> De sluisprocedure wordt toegelicht in bijlage 5.</w:t>
      </w:r>
    </w:p>
  </w:footnote>
  <w:footnote w:id="3">
    <w:p w14:paraId="44E06EAB" w14:textId="77777777" w:rsidR="008717F6" w:rsidRPr="003B4A87" w:rsidRDefault="00000000" w:rsidP="008717F6">
      <w:pPr>
        <w:pStyle w:val="Voetnoottekst"/>
        <w:rPr>
          <w:sz w:val="14"/>
          <w:szCs w:val="14"/>
        </w:rPr>
      </w:pPr>
      <w:r w:rsidRPr="003B4A87">
        <w:rPr>
          <w:rStyle w:val="Voetnootmarkering"/>
          <w:sz w:val="14"/>
          <w:szCs w:val="14"/>
        </w:rPr>
        <w:footnoteRef/>
      </w:r>
      <w:r w:rsidRPr="003B4A87">
        <w:rPr>
          <w:sz w:val="14"/>
          <w:szCs w:val="14"/>
        </w:rPr>
        <w:t xml:space="preserve"> Bij de beoordeling van geneesmiddelen beoordeelt het Zorginstituut als eerste of het geneesmiddel in voldoende mate aangetoond effectief is (voldoet aan stand van wetenschap en praktijk). Indien dit het geval is, volgt een integrale beoordeling aan de hand van de vier pakketcriteria: effectiviteit, kosteneffectiviteit, noodzakelijkheid en uitvoerbaarheid. Uit deze beoordeling kan een advies volgen van het Zorginstituut aan de Minister om te onderhandelen over de prijs.</w:t>
      </w:r>
    </w:p>
  </w:footnote>
  <w:footnote w:id="4">
    <w:p w14:paraId="710280D1" w14:textId="77777777" w:rsidR="008717F6" w:rsidRPr="003B4A87" w:rsidRDefault="00000000" w:rsidP="008717F6">
      <w:pPr>
        <w:pStyle w:val="Voetnoottekst"/>
        <w:rPr>
          <w:sz w:val="14"/>
          <w:szCs w:val="14"/>
        </w:rPr>
      </w:pPr>
      <w:r w:rsidRPr="003B4A87">
        <w:rPr>
          <w:rStyle w:val="Voetnootmarkering"/>
          <w:sz w:val="14"/>
          <w:szCs w:val="14"/>
        </w:rPr>
        <w:footnoteRef/>
      </w:r>
      <w:r w:rsidRPr="003B4A87">
        <w:rPr>
          <w:sz w:val="14"/>
          <w:szCs w:val="14"/>
        </w:rPr>
        <w:t xml:space="preserve"> Art. 2.1 lid 2 Besluit zorgverzekering.</w:t>
      </w:r>
    </w:p>
  </w:footnote>
  <w:footnote w:id="5">
    <w:p w14:paraId="0814C4F2" w14:textId="77777777" w:rsidR="008717F6" w:rsidRPr="00721EF0" w:rsidRDefault="00000000" w:rsidP="008717F6">
      <w:pPr>
        <w:pStyle w:val="Voetnoottekst"/>
        <w:rPr>
          <w:sz w:val="13"/>
          <w:szCs w:val="13"/>
        </w:rPr>
      </w:pPr>
      <w:r w:rsidRPr="00721EF0">
        <w:rPr>
          <w:rStyle w:val="Voetnootmarkering"/>
          <w:sz w:val="13"/>
          <w:szCs w:val="13"/>
        </w:rPr>
        <w:footnoteRef/>
      </w:r>
      <w:r w:rsidRPr="00721EF0">
        <w:rPr>
          <w:sz w:val="13"/>
          <w:szCs w:val="13"/>
        </w:rPr>
        <w:t xml:space="preserve"> </w:t>
      </w:r>
      <w:r w:rsidRPr="00721EF0">
        <w:rPr>
          <w:i/>
          <w:iCs/>
          <w:sz w:val="13"/>
          <w:szCs w:val="13"/>
        </w:rPr>
        <w:t>Kamerstukken II</w:t>
      </w:r>
      <w:r w:rsidRPr="00721EF0">
        <w:rPr>
          <w:sz w:val="13"/>
          <w:szCs w:val="13"/>
        </w:rPr>
        <w:t xml:space="preserve"> 2024/25, 29477, nr. 911.</w:t>
      </w:r>
    </w:p>
  </w:footnote>
  <w:footnote w:id="6">
    <w:p w14:paraId="1FD42480" w14:textId="77777777" w:rsidR="008717F6" w:rsidRPr="00721EF0" w:rsidRDefault="00000000" w:rsidP="008717F6">
      <w:pPr>
        <w:pStyle w:val="Voetnoottekst"/>
        <w:rPr>
          <w:sz w:val="13"/>
          <w:szCs w:val="13"/>
        </w:rPr>
      </w:pPr>
      <w:r w:rsidRPr="00721EF0">
        <w:rPr>
          <w:rStyle w:val="Voetnootmarkering"/>
          <w:sz w:val="13"/>
          <w:szCs w:val="13"/>
        </w:rPr>
        <w:footnoteRef/>
      </w:r>
      <w:r w:rsidRPr="00721EF0">
        <w:rPr>
          <w:sz w:val="13"/>
          <w:szCs w:val="13"/>
        </w:rPr>
        <w:t xml:space="preserve"> </w:t>
      </w:r>
      <w:r w:rsidRPr="00721EF0">
        <w:rPr>
          <w:i/>
          <w:iCs/>
          <w:sz w:val="13"/>
          <w:szCs w:val="13"/>
        </w:rPr>
        <w:t xml:space="preserve">Kamerstukken II </w:t>
      </w:r>
      <w:r w:rsidRPr="00721EF0">
        <w:rPr>
          <w:sz w:val="13"/>
          <w:szCs w:val="13"/>
        </w:rPr>
        <w:t>2025/26, 29477, nr. 972.</w:t>
      </w:r>
    </w:p>
  </w:footnote>
  <w:footnote w:id="7">
    <w:p w14:paraId="2888F8E6" w14:textId="77777777" w:rsidR="008717F6" w:rsidRDefault="00000000" w:rsidP="008717F6">
      <w:pPr>
        <w:pStyle w:val="Voetnoottekst"/>
      </w:pPr>
      <w:r w:rsidRPr="00721EF0">
        <w:rPr>
          <w:rStyle w:val="Voetnootmarkering"/>
          <w:sz w:val="13"/>
          <w:szCs w:val="13"/>
        </w:rPr>
        <w:footnoteRef/>
      </w:r>
      <w:r w:rsidRPr="00721EF0">
        <w:rPr>
          <w:sz w:val="13"/>
          <w:szCs w:val="13"/>
        </w:rPr>
        <w:t xml:space="preserve"> https://www.farmatec.nl/prijsvorming/dashboard-doorlooptijden-geneesmiddelen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D25E" w14:textId="77777777" w:rsidR="00D01397" w:rsidRDefault="00D013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A28D"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4471070A" wp14:editId="3F27ED5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9C7F85D" wp14:editId="079013F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D5B31F7">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B3761E5" w14:textId="77777777" w:rsidR="00CD5856" w:rsidRDefault="00000000">
                <w:pPr>
                  <w:pStyle w:val="Huisstijl-AfzendgegevensW1"/>
                </w:pPr>
                <w:r>
                  <w:t>Bezoekadres</w:t>
                </w:r>
              </w:p>
              <w:p w14:paraId="16B39165" w14:textId="77777777" w:rsidR="00CD5856" w:rsidRDefault="00000000">
                <w:pPr>
                  <w:pStyle w:val="Huisstijl-Afzendgegevens"/>
                </w:pPr>
                <w:r>
                  <w:t>Parnassusplein 5</w:t>
                </w:r>
              </w:p>
              <w:p w14:paraId="01DD854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A4E56AC" w14:textId="77777777" w:rsidR="00CD5856" w:rsidRDefault="00000000">
                <w:pPr>
                  <w:pStyle w:val="Huisstijl-Afzendgegevens"/>
                </w:pPr>
                <w:r w:rsidRPr="008D59C5">
                  <w:t>www.rijksoverheid.nl</w:t>
                </w:r>
              </w:p>
              <w:p w14:paraId="1A5FDD94" w14:textId="77777777" w:rsidR="00CD5856" w:rsidRDefault="00000000">
                <w:pPr>
                  <w:pStyle w:val="Huisstijl-ReferentiegegevenskopW2"/>
                </w:pPr>
                <w:r w:rsidRPr="008D59C5">
                  <w:t>Kenmerk</w:t>
                </w:r>
              </w:p>
              <w:p w14:paraId="6AC4401E" w14:textId="77777777" w:rsidR="00CD5856" w:rsidRDefault="00000000">
                <w:pPr>
                  <w:pStyle w:val="Huisstijl-Referentiegegevens"/>
                </w:pPr>
                <w:bookmarkStart w:id="0" w:name="_Hlk117784077"/>
                <w:r>
                  <w:t>4365117-1095662-GMT</w:t>
                </w:r>
              </w:p>
              <w:bookmarkEnd w:id="0"/>
              <w:p w14:paraId="05DCB870" w14:textId="77777777" w:rsidR="00CD5856" w:rsidRPr="002B504F" w:rsidRDefault="00000000">
                <w:pPr>
                  <w:pStyle w:val="Huisstijl-ReferentiegegevenskopW1"/>
                </w:pPr>
                <w:r w:rsidRPr="008D59C5">
                  <w:t>Bijlage</w:t>
                </w:r>
                <w:r w:rsidR="008717F6">
                  <w:t>n</w:t>
                </w:r>
              </w:p>
              <w:p w14:paraId="7F9C45A0" w14:textId="77777777" w:rsidR="008717F6" w:rsidRDefault="00000000" w:rsidP="008717F6">
                <w:pPr>
                  <w:pStyle w:val="Huisstijl-Referentiegegevens"/>
                </w:pPr>
                <w:r>
                  <w:t>1. Zorginstituut advies lecanemab</w:t>
                </w:r>
              </w:p>
              <w:p w14:paraId="2927FA05" w14:textId="77777777" w:rsidR="008717F6" w:rsidRDefault="00000000" w:rsidP="008717F6">
                <w:pPr>
                  <w:pStyle w:val="Huisstijl-Referentiegegevens"/>
                </w:pPr>
                <w:r>
                  <w:t>2. Zorginstituut advies upadacitinib</w:t>
                </w:r>
              </w:p>
              <w:p w14:paraId="7DAF650F" w14:textId="77777777" w:rsidR="008717F6" w:rsidRDefault="00000000" w:rsidP="008717F6">
                <w:pPr>
                  <w:pStyle w:val="Huisstijl-Referentiegegevens"/>
                </w:pPr>
                <w:r>
                  <w:t>3. Zorginstituut advies osimertinib</w:t>
                </w:r>
              </w:p>
              <w:p w14:paraId="4CC4E915" w14:textId="77777777" w:rsidR="008717F6" w:rsidRDefault="00000000" w:rsidP="008717F6">
                <w:pPr>
                  <w:pStyle w:val="Huisstijl-Referentiegegevens"/>
                </w:pPr>
                <w:r>
                  <w:t>4. Sluiskandidatenbrief</w:t>
                </w:r>
              </w:p>
              <w:p w14:paraId="392EB58D" w14:textId="77777777" w:rsidR="008717F6" w:rsidRDefault="00000000" w:rsidP="008717F6">
                <w:pPr>
                  <w:pStyle w:val="Huisstijl-Referentiegegevens"/>
                </w:pPr>
                <w:r>
                  <w:t>5. Procedure sluis</w:t>
                </w:r>
              </w:p>
              <w:p w14:paraId="4FF7C3C7" w14:textId="77777777" w:rsidR="00215CB5" w:rsidRDefault="00215CB5">
                <w:pPr>
                  <w:pStyle w:val="Huisstijl-ReferentiegegevenskopW1"/>
                </w:pPr>
              </w:p>
              <w:p w14:paraId="6F1E9629" w14:textId="77777777" w:rsidR="008717F6" w:rsidRPr="008717F6" w:rsidRDefault="008717F6" w:rsidP="008717F6">
                <w:pPr>
                  <w:pStyle w:val="Huisstijl-Referentiegegevens"/>
                </w:pPr>
              </w:p>
              <w:p w14:paraId="0373A02E" w14:textId="77777777" w:rsidR="00CD5856" w:rsidRDefault="00CD5856">
                <w:pPr>
                  <w:pStyle w:val="Huisstijl-Referentiegegevens"/>
                </w:pPr>
              </w:p>
              <w:p w14:paraId="05D4ACCD" w14:textId="77777777" w:rsidR="00CD5856" w:rsidRDefault="00000000">
                <w:pPr>
                  <w:pStyle w:val="Huisstijl-Algemenevoorwaarden"/>
                </w:pPr>
                <w:r>
                  <w:t>Correspondentie uitsluitend richten aan het retouradres met vermelding van de datum en het kenmerk van deze brief.</w:t>
                </w:r>
              </w:p>
              <w:p w14:paraId="4AF5EEC4" w14:textId="77777777" w:rsidR="00CD5856" w:rsidRDefault="00CD5856"/>
            </w:txbxContent>
          </v:textbox>
          <w10:wrap anchorx="page" anchory="page"/>
        </v:shape>
      </w:pict>
    </w:r>
    <w:r>
      <w:rPr>
        <w:lang w:eastAsia="nl-NL" w:bidi="ar-SA"/>
      </w:rPr>
      <w:pict w14:anchorId="6E98A9E5">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D7AB5B8" w14:textId="0E7CC8E5" w:rsidR="00CD5856" w:rsidRDefault="00000000">
                <w:pPr>
                  <w:pStyle w:val="Huisstijl-Datumenbetreft"/>
                  <w:tabs>
                    <w:tab w:val="clear" w:pos="737"/>
                    <w:tab w:val="left" w:pos="-5954"/>
                    <w:tab w:val="left" w:pos="-5670"/>
                    <w:tab w:val="left" w:pos="1134"/>
                  </w:tabs>
                </w:pPr>
                <w:r>
                  <w:t>Datum</w:t>
                </w:r>
                <w:r w:rsidR="00E1490C">
                  <w:tab/>
                </w:r>
                <w:r w:rsidR="00D01397">
                  <w:t>15 juni 2026</w:t>
                </w:r>
              </w:p>
              <w:p w14:paraId="279A1DCD" w14:textId="77777777" w:rsidR="008717F6" w:rsidRDefault="00000000" w:rsidP="00C11DD0">
                <w:pPr>
                  <w:ind w:left="1134" w:hanging="1134"/>
                </w:pPr>
                <w:r>
                  <w:t>Betreft</w:t>
                </w:r>
                <w:r w:rsidR="00E1490C">
                  <w:tab/>
                </w:r>
                <w:r>
                  <w:t>Sluiscontinuering lecanemab, upadacitinib en osimertinib, voortgangsupdate eerdere sluiscontinuering, en de sluiskandidatenbrief eind 2026</w:t>
                </w:r>
              </w:p>
              <w:p w14:paraId="5E75FFA9" w14:textId="77777777" w:rsidR="00CD5856" w:rsidRDefault="00CD5856" w:rsidP="008717F6">
                <w:pPr>
                  <w:pStyle w:val="Huisstijl-Datumenbetreft"/>
                  <w:tabs>
                    <w:tab w:val="clear" w:pos="737"/>
                    <w:tab w:val="left" w:pos="-5954"/>
                    <w:tab w:val="left" w:pos="-5670"/>
                    <w:tab w:val="left" w:pos="1134"/>
                  </w:tabs>
                </w:pPr>
              </w:p>
            </w:txbxContent>
          </v:textbox>
          <w10:wrap anchorx="page" anchory="page"/>
        </v:shape>
      </w:pict>
    </w:r>
    <w:r>
      <w:rPr>
        <w:lang w:eastAsia="nl-NL" w:bidi="ar-SA"/>
      </w:rPr>
      <w:pict w14:anchorId="71BA95D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FEB6D08" w14:textId="77777777" w:rsidR="00CD5856" w:rsidRDefault="00CD5856">
                <w:pPr>
                  <w:pStyle w:val="Huisstijl-Toezendgegevens"/>
                </w:pPr>
              </w:p>
            </w:txbxContent>
          </v:textbox>
          <w10:wrap anchorx="page" anchory="page"/>
        </v:shape>
      </w:pict>
    </w:r>
    <w:r>
      <w:rPr>
        <w:lang w:eastAsia="nl-NL" w:bidi="ar-SA"/>
      </w:rPr>
      <w:pict w14:anchorId="1E148A9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7E75BD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514AE9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33979C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E300" w14:textId="77777777" w:rsidR="00D01397" w:rsidRDefault="00D0139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FD35" w14:textId="77777777" w:rsidR="00CD5856" w:rsidRDefault="00000000">
    <w:pPr>
      <w:pStyle w:val="Koptekst"/>
    </w:pPr>
    <w:r>
      <w:rPr>
        <w:lang w:eastAsia="nl-NL" w:bidi="ar-SA"/>
      </w:rPr>
      <w:pict w14:anchorId="452B761B">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E4AA932" w14:textId="77777777" w:rsidR="00CD5856" w:rsidRDefault="00000000">
                <w:pPr>
                  <w:pStyle w:val="Huisstijl-ReferentiegegevenskopW2"/>
                </w:pPr>
                <w:r w:rsidRPr="008D59C5">
                  <w:t>Kenmerk</w:t>
                </w:r>
              </w:p>
              <w:p w14:paraId="0149C027" w14:textId="77777777" w:rsidR="00C95CA9" w:rsidRPr="00C95CA9" w:rsidRDefault="00000000" w:rsidP="00C95CA9">
                <w:pPr>
                  <w:pStyle w:val="Huisstijl-Referentiegegevens"/>
                </w:pPr>
                <w:r w:rsidRPr="00C95CA9">
                  <w:t>4365117-1095662-GMT</w:t>
                </w:r>
              </w:p>
              <w:p w14:paraId="055D5B9B" w14:textId="77777777" w:rsidR="00CD5856" w:rsidRDefault="00CD5856">
                <w:pPr>
                  <w:pStyle w:val="Huisstijl-Referentiegegevens"/>
                </w:pPr>
              </w:p>
            </w:txbxContent>
          </v:textbox>
          <w10:wrap anchorx="page" anchory="page"/>
        </v:shape>
      </w:pict>
    </w:r>
    <w:r>
      <w:rPr>
        <w:lang w:eastAsia="nl-NL" w:bidi="ar-SA"/>
      </w:rPr>
      <w:pict w14:anchorId="2F5EB6B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69EE8A2" w14:textId="2167BF8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14755">
                  <w:fldChar w:fldCharType="begin"/>
                </w:r>
                <w:r>
                  <w:instrText xml:space="preserve"> SECTIONPAGES  \* Arabic  \* MERGEFORMAT </w:instrText>
                </w:r>
                <w:r w:rsidR="00814755">
                  <w:fldChar w:fldCharType="separate"/>
                </w:r>
                <w:r w:rsidR="00D01397">
                  <w:rPr>
                    <w:noProof/>
                  </w:rPr>
                  <w:t>3</w:t>
                </w:r>
                <w:r w:rsidR="00814755">
                  <w:rPr>
                    <w:noProof/>
                  </w:rPr>
                  <w:fldChar w:fldCharType="end"/>
                </w:r>
              </w:p>
              <w:p w14:paraId="294F6732" w14:textId="77777777" w:rsidR="00CD5856" w:rsidRDefault="00CD5856"/>
              <w:p w14:paraId="6636A28F" w14:textId="77777777" w:rsidR="00CD5856" w:rsidRDefault="00CD5856">
                <w:pPr>
                  <w:pStyle w:val="Huisstijl-Paginanummer"/>
                </w:pPr>
              </w:p>
              <w:p w14:paraId="59072708"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065E" w14:textId="77777777" w:rsidR="00CD5856" w:rsidRDefault="00000000">
    <w:pPr>
      <w:pStyle w:val="Koptekst"/>
    </w:pPr>
    <w:r>
      <w:rPr>
        <w:lang w:eastAsia="nl-NL" w:bidi="ar-SA"/>
      </w:rPr>
      <w:pict w14:anchorId="5F933F5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F572AD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13730">
                      <w:t>26 juni 2014</w:t>
                    </w:r>
                  </w:sdtContent>
                </w:sdt>
              </w:p>
              <w:p w14:paraId="5E12A2BD" w14:textId="77777777" w:rsidR="00CD5856" w:rsidRDefault="00000000">
                <w:pPr>
                  <w:pStyle w:val="Huisstijl-Datumenbetreft"/>
                  <w:tabs>
                    <w:tab w:val="left" w:pos="-5954"/>
                    <w:tab w:val="left" w:pos="-5670"/>
                  </w:tabs>
                </w:pPr>
                <w:r>
                  <w:t>Betreft</w:t>
                </w:r>
                <w:r>
                  <w:tab/>
                </w:r>
                <w:r w:rsidR="008D59C5">
                  <w:t>BETREFT</w:t>
                </w:r>
              </w:p>
              <w:p w14:paraId="0BFA2573"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EF22920" wp14:editId="1B208AC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A784862" wp14:editId="037DC6E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B4328BD">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508FC38" w14:textId="77777777" w:rsidR="00CD5856" w:rsidRDefault="00000000">
                <w:pPr>
                  <w:pStyle w:val="Huisstijl-Afzendgegevens"/>
                </w:pPr>
                <w:r w:rsidRPr="008D59C5">
                  <w:t>Rijnstraat 50</w:t>
                </w:r>
              </w:p>
              <w:p w14:paraId="14C0BFD8" w14:textId="77777777" w:rsidR="00CD5856" w:rsidRDefault="00000000">
                <w:pPr>
                  <w:pStyle w:val="Huisstijl-Afzendgegevens"/>
                </w:pPr>
                <w:r w:rsidRPr="008D59C5">
                  <w:t>Den Haag</w:t>
                </w:r>
              </w:p>
              <w:p w14:paraId="418C9098" w14:textId="77777777" w:rsidR="00CD5856" w:rsidRDefault="00000000">
                <w:pPr>
                  <w:pStyle w:val="Huisstijl-Afzendgegevens"/>
                </w:pPr>
                <w:r w:rsidRPr="008D59C5">
                  <w:t>www.rijksoverheid.nl</w:t>
                </w:r>
              </w:p>
              <w:p w14:paraId="4893E9DD" w14:textId="77777777" w:rsidR="00CD5856" w:rsidRDefault="00000000">
                <w:pPr>
                  <w:pStyle w:val="Huisstijl-AfzendgegevenskopW1"/>
                </w:pPr>
                <w:r>
                  <w:t>Contactpersoon</w:t>
                </w:r>
              </w:p>
              <w:p w14:paraId="6D7FAA89" w14:textId="77777777" w:rsidR="00CD5856" w:rsidRDefault="00000000">
                <w:pPr>
                  <w:pStyle w:val="Huisstijl-Afzendgegevens"/>
                </w:pPr>
                <w:r w:rsidRPr="008D59C5">
                  <w:t>ing. J.A. Ramlal</w:t>
                </w:r>
              </w:p>
              <w:p w14:paraId="55BE2F26" w14:textId="77777777" w:rsidR="00CD5856" w:rsidRDefault="00000000">
                <w:pPr>
                  <w:pStyle w:val="Huisstijl-Afzendgegevens"/>
                </w:pPr>
                <w:r w:rsidRPr="008D59C5">
                  <w:t>ja.ramlal@minvws.nl</w:t>
                </w:r>
              </w:p>
              <w:p w14:paraId="7C239580" w14:textId="77777777" w:rsidR="00CD5856" w:rsidRDefault="00000000">
                <w:pPr>
                  <w:pStyle w:val="Huisstijl-ReferentiegegevenskopW2"/>
                </w:pPr>
                <w:r>
                  <w:t>Ons kenmerk</w:t>
                </w:r>
              </w:p>
              <w:p w14:paraId="7C2B4163" w14:textId="77777777" w:rsidR="00CD5856" w:rsidRDefault="00000000">
                <w:pPr>
                  <w:pStyle w:val="Huisstijl-Referentiegegevens"/>
                </w:pPr>
                <w:r>
                  <w:t>KENMERK</w:t>
                </w:r>
              </w:p>
              <w:p w14:paraId="227876C4" w14:textId="77777777" w:rsidR="00CD5856" w:rsidRDefault="00000000">
                <w:pPr>
                  <w:pStyle w:val="Huisstijl-ReferentiegegevenskopW1"/>
                </w:pPr>
                <w:r>
                  <w:t>Uw kenmerk</w:t>
                </w:r>
              </w:p>
              <w:p w14:paraId="0271042A" w14:textId="77777777" w:rsidR="00CD5856" w:rsidRDefault="00000000">
                <w:pPr>
                  <w:pStyle w:val="Huisstijl-Referentiegegevens"/>
                </w:pPr>
                <w:r>
                  <w:t>UW BRIEF</w:t>
                </w:r>
              </w:p>
            </w:txbxContent>
          </v:textbox>
          <w10:wrap anchorx="page" anchory="page"/>
        </v:shape>
      </w:pict>
    </w:r>
    <w:r>
      <w:rPr>
        <w:lang w:eastAsia="nl-NL" w:bidi="ar-SA"/>
      </w:rPr>
      <w:pict w14:anchorId="2A7E985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987871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5A694C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AEC02F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2A73E7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46AFF63" w14:textId="77777777" w:rsidR="00CD5856" w:rsidRDefault="00CD5856">
                <w:pPr>
                  <w:pStyle w:val="Huisstijl-Toezendgegevens"/>
                </w:pPr>
              </w:p>
            </w:txbxContent>
          </v:textbox>
          <w10:wrap anchorx="page" anchory="page"/>
        </v:shape>
      </w:pict>
    </w:r>
    <w:r>
      <w:rPr>
        <w:lang w:eastAsia="nl-NL" w:bidi="ar-SA"/>
      </w:rPr>
      <w:pict w14:anchorId="1514F5DD">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83731FA"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736C"/>
    <w:multiLevelType w:val="hybridMultilevel"/>
    <w:tmpl w:val="B114BE9A"/>
    <w:lvl w:ilvl="0" w:tplc="A48C40D4">
      <w:start w:val="1"/>
      <w:numFmt w:val="bullet"/>
      <w:lvlText w:val=""/>
      <w:lvlJc w:val="left"/>
      <w:pPr>
        <w:ind w:left="720" w:hanging="360"/>
      </w:pPr>
      <w:rPr>
        <w:rFonts w:ascii="Symbol" w:hAnsi="Symbol" w:hint="default"/>
      </w:rPr>
    </w:lvl>
    <w:lvl w:ilvl="1" w:tplc="8E189BB4" w:tentative="1">
      <w:start w:val="1"/>
      <w:numFmt w:val="bullet"/>
      <w:lvlText w:val="o"/>
      <w:lvlJc w:val="left"/>
      <w:pPr>
        <w:ind w:left="1440" w:hanging="360"/>
      </w:pPr>
      <w:rPr>
        <w:rFonts w:ascii="Courier New" w:hAnsi="Courier New" w:cs="Courier New" w:hint="default"/>
      </w:rPr>
    </w:lvl>
    <w:lvl w:ilvl="2" w:tplc="E4AAFC78" w:tentative="1">
      <w:start w:val="1"/>
      <w:numFmt w:val="bullet"/>
      <w:lvlText w:val=""/>
      <w:lvlJc w:val="left"/>
      <w:pPr>
        <w:ind w:left="2160" w:hanging="360"/>
      </w:pPr>
      <w:rPr>
        <w:rFonts w:ascii="Wingdings" w:hAnsi="Wingdings" w:hint="default"/>
      </w:rPr>
    </w:lvl>
    <w:lvl w:ilvl="3" w:tplc="4A4EFB0A" w:tentative="1">
      <w:start w:val="1"/>
      <w:numFmt w:val="bullet"/>
      <w:lvlText w:val=""/>
      <w:lvlJc w:val="left"/>
      <w:pPr>
        <w:ind w:left="2880" w:hanging="360"/>
      </w:pPr>
      <w:rPr>
        <w:rFonts w:ascii="Symbol" w:hAnsi="Symbol" w:hint="default"/>
      </w:rPr>
    </w:lvl>
    <w:lvl w:ilvl="4" w:tplc="324C17D2" w:tentative="1">
      <w:start w:val="1"/>
      <w:numFmt w:val="bullet"/>
      <w:lvlText w:val="o"/>
      <w:lvlJc w:val="left"/>
      <w:pPr>
        <w:ind w:left="3600" w:hanging="360"/>
      </w:pPr>
      <w:rPr>
        <w:rFonts w:ascii="Courier New" w:hAnsi="Courier New" w:cs="Courier New" w:hint="default"/>
      </w:rPr>
    </w:lvl>
    <w:lvl w:ilvl="5" w:tplc="160AC7E2" w:tentative="1">
      <w:start w:val="1"/>
      <w:numFmt w:val="bullet"/>
      <w:lvlText w:val=""/>
      <w:lvlJc w:val="left"/>
      <w:pPr>
        <w:ind w:left="4320" w:hanging="360"/>
      </w:pPr>
      <w:rPr>
        <w:rFonts w:ascii="Wingdings" w:hAnsi="Wingdings" w:hint="default"/>
      </w:rPr>
    </w:lvl>
    <w:lvl w:ilvl="6" w:tplc="CA74759E" w:tentative="1">
      <w:start w:val="1"/>
      <w:numFmt w:val="bullet"/>
      <w:lvlText w:val=""/>
      <w:lvlJc w:val="left"/>
      <w:pPr>
        <w:ind w:left="5040" w:hanging="360"/>
      </w:pPr>
      <w:rPr>
        <w:rFonts w:ascii="Symbol" w:hAnsi="Symbol" w:hint="default"/>
      </w:rPr>
    </w:lvl>
    <w:lvl w:ilvl="7" w:tplc="9DF07B8A" w:tentative="1">
      <w:start w:val="1"/>
      <w:numFmt w:val="bullet"/>
      <w:lvlText w:val="o"/>
      <w:lvlJc w:val="left"/>
      <w:pPr>
        <w:ind w:left="5760" w:hanging="360"/>
      </w:pPr>
      <w:rPr>
        <w:rFonts w:ascii="Courier New" w:hAnsi="Courier New" w:cs="Courier New" w:hint="default"/>
      </w:rPr>
    </w:lvl>
    <w:lvl w:ilvl="8" w:tplc="C60C6352"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0F00CD9C">
      <w:numFmt w:val="bullet"/>
      <w:lvlText w:val=""/>
      <w:lvlJc w:val="left"/>
      <w:pPr>
        <w:ind w:left="720" w:hanging="360"/>
      </w:pPr>
      <w:rPr>
        <w:rFonts w:ascii="Wingdings" w:eastAsia="DejaVu Sans" w:hAnsi="Wingdings" w:cs="Lohit Hindi" w:hint="default"/>
      </w:rPr>
    </w:lvl>
    <w:lvl w:ilvl="1" w:tplc="652CE7D8" w:tentative="1">
      <w:start w:val="1"/>
      <w:numFmt w:val="bullet"/>
      <w:lvlText w:val="o"/>
      <w:lvlJc w:val="left"/>
      <w:pPr>
        <w:ind w:left="1440" w:hanging="360"/>
      </w:pPr>
      <w:rPr>
        <w:rFonts w:ascii="Courier New" w:hAnsi="Courier New" w:cs="Courier New" w:hint="default"/>
      </w:rPr>
    </w:lvl>
    <w:lvl w:ilvl="2" w:tplc="E17CFE34" w:tentative="1">
      <w:start w:val="1"/>
      <w:numFmt w:val="bullet"/>
      <w:lvlText w:val=""/>
      <w:lvlJc w:val="left"/>
      <w:pPr>
        <w:ind w:left="2160" w:hanging="360"/>
      </w:pPr>
      <w:rPr>
        <w:rFonts w:ascii="Wingdings" w:hAnsi="Wingdings" w:hint="default"/>
      </w:rPr>
    </w:lvl>
    <w:lvl w:ilvl="3" w:tplc="C8202B9A" w:tentative="1">
      <w:start w:val="1"/>
      <w:numFmt w:val="bullet"/>
      <w:lvlText w:val=""/>
      <w:lvlJc w:val="left"/>
      <w:pPr>
        <w:ind w:left="2880" w:hanging="360"/>
      </w:pPr>
      <w:rPr>
        <w:rFonts w:ascii="Symbol" w:hAnsi="Symbol" w:hint="default"/>
      </w:rPr>
    </w:lvl>
    <w:lvl w:ilvl="4" w:tplc="1FE4EB7E" w:tentative="1">
      <w:start w:val="1"/>
      <w:numFmt w:val="bullet"/>
      <w:lvlText w:val="o"/>
      <w:lvlJc w:val="left"/>
      <w:pPr>
        <w:ind w:left="3600" w:hanging="360"/>
      </w:pPr>
      <w:rPr>
        <w:rFonts w:ascii="Courier New" w:hAnsi="Courier New" w:cs="Courier New" w:hint="default"/>
      </w:rPr>
    </w:lvl>
    <w:lvl w:ilvl="5" w:tplc="F4BEE5F8" w:tentative="1">
      <w:start w:val="1"/>
      <w:numFmt w:val="bullet"/>
      <w:lvlText w:val=""/>
      <w:lvlJc w:val="left"/>
      <w:pPr>
        <w:ind w:left="4320" w:hanging="360"/>
      </w:pPr>
      <w:rPr>
        <w:rFonts w:ascii="Wingdings" w:hAnsi="Wingdings" w:hint="default"/>
      </w:rPr>
    </w:lvl>
    <w:lvl w:ilvl="6" w:tplc="119C0A14" w:tentative="1">
      <w:start w:val="1"/>
      <w:numFmt w:val="bullet"/>
      <w:lvlText w:val=""/>
      <w:lvlJc w:val="left"/>
      <w:pPr>
        <w:ind w:left="5040" w:hanging="360"/>
      </w:pPr>
      <w:rPr>
        <w:rFonts w:ascii="Symbol" w:hAnsi="Symbol" w:hint="default"/>
      </w:rPr>
    </w:lvl>
    <w:lvl w:ilvl="7" w:tplc="F1F28FCC" w:tentative="1">
      <w:start w:val="1"/>
      <w:numFmt w:val="bullet"/>
      <w:lvlText w:val="o"/>
      <w:lvlJc w:val="left"/>
      <w:pPr>
        <w:ind w:left="5760" w:hanging="360"/>
      </w:pPr>
      <w:rPr>
        <w:rFonts w:ascii="Courier New" w:hAnsi="Courier New" w:cs="Courier New" w:hint="default"/>
      </w:rPr>
    </w:lvl>
    <w:lvl w:ilvl="8" w:tplc="20D84F7C" w:tentative="1">
      <w:start w:val="1"/>
      <w:numFmt w:val="bullet"/>
      <w:lvlText w:val=""/>
      <w:lvlJc w:val="left"/>
      <w:pPr>
        <w:ind w:left="6480" w:hanging="360"/>
      </w:pPr>
      <w:rPr>
        <w:rFonts w:ascii="Wingdings" w:hAnsi="Wingdings" w:hint="default"/>
      </w:rPr>
    </w:lvl>
  </w:abstractNum>
  <w:num w:numId="1" w16cid:durableId="1973438900">
    <w:abstractNumId w:val="1"/>
  </w:num>
  <w:num w:numId="2" w16cid:durableId="119381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30E"/>
    <w:rsid w:val="00034261"/>
    <w:rsid w:val="000344CB"/>
    <w:rsid w:val="00036D84"/>
    <w:rsid w:val="00050D5B"/>
    <w:rsid w:val="00074C15"/>
    <w:rsid w:val="00092133"/>
    <w:rsid w:val="000A194A"/>
    <w:rsid w:val="000B1832"/>
    <w:rsid w:val="000B45B1"/>
    <w:rsid w:val="000B7FB0"/>
    <w:rsid w:val="000C29E1"/>
    <w:rsid w:val="000D0CCB"/>
    <w:rsid w:val="000D6D8A"/>
    <w:rsid w:val="000E2F12"/>
    <w:rsid w:val="000E54B6"/>
    <w:rsid w:val="00113778"/>
    <w:rsid w:val="00125BDF"/>
    <w:rsid w:val="00172CD9"/>
    <w:rsid w:val="00194116"/>
    <w:rsid w:val="001A19BE"/>
    <w:rsid w:val="001A7EDA"/>
    <w:rsid w:val="001B41E1"/>
    <w:rsid w:val="001B7303"/>
    <w:rsid w:val="00215CB5"/>
    <w:rsid w:val="00235AED"/>
    <w:rsid w:val="00241BB9"/>
    <w:rsid w:val="00271A0C"/>
    <w:rsid w:val="00297795"/>
    <w:rsid w:val="002A1BB4"/>
    <w:rsid w:val="002A57D0"/>
    <w:rsid w:val="002B1D9F"/>
    <w:rsid w:val="002B504F"/>
    <w:rsid w:val="002F4886"/>
    <w:rsid w:val="00334C45"/>
    <w:rsid w:val="00336B4B"/>
    <w:rsid w:val="003451E2"/>
    <w:rsid w:val="00347F1B"/>
    <w:rsid w:val="00365D64"/>
    <w:rsid w:val="00384BEB"/>
    <w:rsid w:val="003B287C"/>
    <w:rsid w:val="003B48D4"/>
    <w:rsid w:val="003B4A87"/>
    <w:rsid w:val="003C472B"/>
    <w:rsid w:val="003C6ED5"/>
    <w:rsid w:val="003C700C"/>
    <w:rsid w:val="003C7185"/>
    <w:rsid w:val="003D27F8"/>
    <w:rsid w:val="003E5D0B"/>
    <w:rsid w:val="003F3A47"/>
    <w:rsid w:val="004020E2"/>
    <w:rsid w:val="00432FF0"/>
    <w:rsid w:val="0043480A"/>
    <w:rsid w:val="00437B5F"/>
    <w:rsid w:val="004509BE"/>
    <w:rsid w:val="0045486D"/>
    <w:rsid w:val="00463DBC"/>
    <w:rsid w:val="004918B1"/>
    <w:rsid w:val="004934A8"/>
    <w:rsid w:val="004F0B09"/>
    <w:rsid w:val="005005C5"/>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13730"/>
    <w:rsid w:val="00721EF0"/>
    <w:rsid w:val="0074764C"/>
    <w:rsid w:val="00763E81"/>
    <w:rsid w:val="00767097"/>
    <w:rsid w:val="00776965"/>
    <w:rsid w:val="007911AC"/>
    <w:rsid w:val="007A4F37"/>
    <w:rsid w:val="007B028B"/>
    <w:rsid w:val="007B4274"/>
    <w:rsid w:val="007B6A41"/>
    <w:rsid w:val="007D0F21"/>
    <w:rsid w:val="007D23C6"/>
    <w:rsid w:val="007E36BA"/>
    <w:rsid w:val="007F380D"/>
    <w:rsid w:val="007F4A98"/>
    <w:rsid w:val="00814755"/>
    <w:rsid w:val="008717F6"/>
    <w:rsid w:val="00874560"/>
    <w:rsid w:val="0087691C"/>
    <w:rsid w:val="00893C24"/>
    <w:rsid w:val="008A21F4"/>
    <w:rsid w:val="008B7F68"/>
    <w:rsid w:val="008D19FC"/>
    <w:rsid w:val="008D59C5"/>
    <w:rsid w:val="008D618A"/>
    <w:rsid w:val="008E210E"/>
    <w:rsid w:val="008E4B89"/>
    <w:rsid w:val="008F33AD"/>
    <w:rsid w:val="00930396"/>
    <w:rsid w:val="00960E2B"/>
    <w:rsid w:val="00985A65"/>
    <w:rsid w:val="009A31BF"/>
    <w:rsid w:val="009B2459"/>
    <w:rsid w:val="009C4777"/>
    <w:rsid w:val="009D168D"/>
    <w:rsid w:val="009D3C77"/>
    <w:rsid w:val="009D7D63"/>
    <w:rsid w:val="009F419D"/>
    <w:rsid w:val="009F5D3E"/>
    <w:rsid w:val="00A31AF6"/>
    <w:rsid w:val="00A52DBE"/>
    <w:rsid w:val="00A83BE3"/>
    <w:rsid w:val="00AA61EA"/>
    <w:rsid w:val="00AF6BEC"/>
    <w:rsid w:val="00B443F2"/>
    <w:rsid w:val="00B7264C"/>
    <w:rsid w:val="00B8296E"/>
    <w:rsid w:val="00B82F43"/>
    <w:rsid w:val="00BA56F3"/>
    <w:rsid w:val="00BA7566"/>
    <w:rsid w:val="00BC481F"/>
    <w:rsid w:val="00BD339F"/>
    <w:rsid w:val="00BD75C1"/>
    <w:rsid w:val="00BE1398"/>
    <w:rsid w:val="00C11DD0"/>
    <w:rsid w:val="00C3438D"/>
    <w:rsid w:val="00C421CA"/>
    <w:rsid w:val="00C53A61"/>
    <w:rsid w:val="00C53DFB"/>
    <w:rsid w:val="00C62B6C"/>
    <w:rsid w:val="00C81260"/>
    <w:rsid w:val="00C8146D"/>
    <w:rsid w:val="00C843D9"/>
    <w:rsid w:val="00C85BAC"/>
    <w:rsid w:val="00C95CA9"/>
    <w:rsid w:val="00CA061B"/>
    <w:rsid w:val="00CB76AA"/>
    <w:rsid w:val="00CD4AED"/>
    <w:rsid w:val="00CD5856"/>
    <w:rsid w:val="00CF0F2E"/>
    <w:rsid w:val="00CF3E82"/>
    <w:rsid w:val="00D01397"/>
    <w:rsid w:val="00D4304A"/>
    <w:rsid w:val="00D47B59"/>
    <w:rsid w:val="00D5443E"/>
    <w:rsid w:val="00D54679"/>
    <w:rsid w:val="00D67BAF"/>
    <w:rsid w:val="00DA15A1"/>
    <w:rsid w:val="00DC7639"/>
    <w:rsid w:val="00E1490C"/>
    <w:rsid w:val="00E37122"/>
    <w:rsid w:val="00E85195"/>
    <w:rsid w:val="00E92FE9"/>
    <w:rsid w:val="00EA275E"/>
    <w:rsid w:val="00EE23CE"/>
    <w:rsid w:val="00EE2A9D"/>
    <w:rsid w:val="00F32EA9"/>
    <w:rsid w:val="00F56EBE"/>
    <w:rsid w:val="00F72360"/>
    <w:rsid w:val="00F847BF"/>
    <w:rsid w:val="00F87E88"/>
    <w:rsid w:val="00F93130"/>
    <w:rsid w:val="00FA3E5B"/>
    <w:rsid w:val="00FC776C"/>
    <w:rsid w:val="00FC7C51"/>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6A1D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8717F6"/>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unhideWhenUsed/>
    <w:rsid w:val="008717F6"/>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8717F6"/>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871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827</ap:Words>
  <ap:Characters>4554</ap:Characters>
  <ap:DocSecurity>0</ap:DocSecurity>
  <ap:Lines>37</ap:Lines>
  <ap:Paragraphs>10</ap:Paragraphs>
  <ap:ScaleCrop>false</ap:ScaleCrop>
  <ap:LinksUpToDate>false</ap:LinksUpToDate>
  <ap:CharactersWithSpaces>5371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2026-06-15T10:18:00.0000000Z</dcterms:created>
  <dcterms:modified xsi:type="dcterms:W3CDTF">2026-06-15T10:20:00.0000000Z</dcterms:modified>
  <dc:description>------------------------</dc:description>
  <dc:subject/>
  <dc:title/>
  <keywords/>
  <version/>
  <category/>
</coreProperties>
</file>