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3530" w:rsidR="00AB4271" w:rsidRDefault="00453BF6" w14:paraId="1873E95E" w14:textId="4803C8F6">
      <w:pPr>
        <w:rPr>
          <w:rFonts w:ascii="Verdana" w:hAnsi="Verdana"/>
          <w:b/>
          <w:bCs/>
          <w:sz w:val="18"/>
          <w:szCs w:val="18"/>
        </w:rPr>
      </w:pPr>
      <w:r w:rsidRPr="006A3530">
        <w:rPr>
          <w:rFonts w:ascii="Verdana" w:hAnsi="Verdana"/>
          <w:b/>
          <w:bCs/>
          <w:sz w:val="18"/>
          <w:szCs w:val="18"/>
        </w:rPr>
        <w:t xml:space="preserve">Bijlage 1. Reactie per aanbeveling (bij: </w:t>
      </w:r>
      <w:r w:rsidRPr="006A3530" w:rsidR="0068487F">
        <w:rPr>
          <w:rFonts w:ascii="Verdana" w:hAnsi="Verdana"/>
          <w:b/>
          <w:bCs/>
          <w:sz w:val="18"/>
          <w:szCs w:val="18"/>
        </w:rPr>
        <w:t xml:space="preserve">brief </w:t>
      </w:r>
      <w:r w:rsidRPr="006A3530">
        <w:rPr>
          <w:rFonts w:ascii="Verdana" w:hAnsi="Verdana"/>
          <w:b/>
          <w:bCs/>
          <w:sz w:val="18"/>
          <w:szCs w:val="18"/>
        </w:rPr>
        <w:t>beleidsreactie op de evaluatie Wazv)</w:t>
      </w:r>
    </w:p>
    <w:tbl>
      <w:tblPr>
        <w:tblStyle w:val="Tabelraster"/>
        <w:tblW w:w="0" w:type="auto"/>
        <w:tblLook w:val="04A0" w:firstRow="1" w:lastRow="0" w:firstColumn="1" w:lastColumn="0" w:noHBand="0" w:noVBand="1"/>
      </w:tblPr>
      <w:tblGrid>
        <w:gridCol w:w="1087"/>
        <w:gridCol w:w="3987"/>
        <w:gridCol w:w="3988"/>
      </w:tblGrid>
      <w:tr w:rsidRPr="006A3530" w:rsidR="007C4C1E" w:rsidTr="007C4C1E" w14:paraId="47F1050D" w14:textId="77777777">
        <w:tc>
          <w:tcPr>
            <w:tcW w:w="1087" w:type="dxa"/>
          </w:tcPr>
          <w:p w:rsidRPr="006A3530" w:rsidR="007C4C1E" w:rsidRDefault="007C4C1E" w14:paraId="3021AE33" w14:textId="74340766">
            <w:pPr>
              <w:rPr>
                <w:rFonts w:ascii="Verdana" w:hAnsi="Verdana"/>
                <w:b/>
                <w:bCs/>
                <w:sz w:val="18"/>
                <w:szCs w:val="18"/>
              </w:rPr>
            </w:pPr>
            <w:r w:rsidRPr="006A3530">
              <w:rPr>
                <w:rFonts w:ascii="Verdana" w:hAnsi="Verdana"/>
                <w:b/>
                <w:bCs/>
                <w:sz w:val="18"/>
                <w:szCs w:val="18"/>
              </w:rPr>
              <w:t>Nummer</w:t>
            </w:r>
          </w:p>
        </w:tc>
        <w:tc>
          <w:tcPr>
            <w:tcW w:w="3987" w:type="dxa"/>
          </w:tcPr>
          <w:p w:rsidRPr="006A3530" w:rsidR="007C4C1E" w:rsidRDefault="007C4C1E" w14:paraId="1724B15F" w14:textId="06B06B75">
            <w:pPr>
              <w:rPr>
                <w:rFonts w:ascii="Verdana" w:hAnsi="Verdana"/>
                <w:b/>
                <w:bCs/>
                <w:sz w:val="18"/>
                <w:szCs w:val="18"/>
              </w:rPr>
            </w:pPr>
            <w:r w:rsidRPr="006A3530">
              <w:rPr>
                <w:rFonts w:ascii="Verdana" w:hAnsi="Verdana"/>
                <w:b/>
                <w:bCs/>
                <w:sz w:val="18"/>
                <w:szCs w:val="18"/>
              </w:rPr>
              <w:t>Aanbeveling</w:t>
            </w:r>
          </w:p>
        </w:tc>
        <w:tc>
          <w:tcPr>
            <w:tcW w:w="3988" w:type="dxa"/>
          </w:tcPr>
          <w:p w:rsidRPr="006A3530" w:rsidR="007C4C1E" w:rsidRDefault="007C4C1E" w14:paraId="75B550FE" w14:textId="3096F5DD">
            <w:pPr>
              <w:rPr>
                <w:rFonts w:ascii="Verdana" w:hAnsi="Verdana"/>
                <w:b/>
                <w:bCs/>
                <w:sz w:val="18"/>
                <w:szCs w:val="18"/>
              </w:rPr>
            </w:pPr>
            <w:r w:rsidRPr="006A3530">
              <w:rPr>
                <w:rFonts w:ascii="Verdana" w:hAnsi="Verdana"/>
                <w:b/>
                <w:bCs/>
                <w:sz w:val="18"/>
                <w:szCs w:val="18"/>
              </w:rPr>
              <w:t>Reactie</w:t>
            </w:r>
          </w:p>
        </w:tc>
      </w:tr>
      <w:tr w:rsidRPr="006A3530" w:rsidR="007C4C1E" w:rsidTr="007C4C1E" w14:paraId="25D94F74" w14:textId="77777777">
        <w:tc>
          <w:tcPr>
            <w:tcW w:w="1087" w:type="dxa"/>
          </w:tcPr>
          <w:p w:rsidRPr="006A3530" w:rsidR="007C4C1E" w:rsidRDefault="007C4C1E" w14:paraId="045BA968" w14:textId="7A7C4C3A">
            <w:pPr>
              <w:rPr>
                <w:rFonts w:ascii="Verdana" w:hAnsi="Verdana"/>
                <w:sz w:val="18"/>
                <w:szCs w:val="18"/>
              </w:rPr>
            </w:pPr>
            <w:r w:rsidRPr="006A3530">
              <w:rPr>
                <w:rFonts w:ascii="Verdana" w:hAnsi="Verdana"/>
                <w:sz w:val="18"/>
                <w:szCs w:val="18"/>
              </w:rPr>
              <w:t>1.</w:t>
            </w:r>
          </w:p>
        </w:tc>
        <w:tc>
          <w:tcPr>
            <w:tcW w:w="3987" w:type="dxa"/>
          </w:tcPr>
          <w:p w:rsidRPr="006A3530" w:rsidR="007C4C1E" w:rsidRDefault="006A3530" w14:paraId="4B7E9A8D" w14:textId="6DB469D0">
            <w:pPr>
              <w:rPr>
                <w:rFonts w:ascii="Verdana" w:hAnsi="Verdana"/>
                <w:sz w:val="18"/>
                <w:szCs w:val="18"/>
              </w:rPr>
            </w:pPr>
            <w:r w:rsidRPr="006A3530">
              <w:rPr>
                <w:rFonts w:ascii="Verdana" w:hAnsi="Verdana"/>
                <w:sz w:val="18"/>
                <w:szCs w:val="18"/>
              </w:rPr>
              <w:t>Het is van belang dat de ruimte die de definitie voor deze ontwikkeling en samenwerking biedt behouden blijft en dat ambulancezorg (vooralsnog) niet verder afgebakend wordt.</w:t>
            </w:r>
          </w:p>
        </w:tc>
        <w:tc>
          <w:tcPr>
            <w:tcW w:w="3988" w:type="dxa"/>
          </w:tcPr>
          <w:p w:rsidRPr="006A3530" w:rsidR="007C4C1E" w:rsidRDefault="001B4ADA" w14:paraId="52FBEDA9" w14:textId="63B7D33E">
            <w:pPr>
              <w:rPr>
                <w:rFonts w:ascii="Verdana" w:hAnsi="Verdana"/>
                <w:sz w:val="18"/>
                <w:szCs w:val="18"/>
              </w:rPr>
            </w:pPr>
            <w:r>
              <w:rPr>
                <w:rFonts w:ascii="Verdana" w:hAnsi="Verdana"/>
                <w:sz w:val="18"/>
                <w:szCs w:val="18"/>
              </w:rPr>
              <w:t>Aanbeveling is overgenomen.</w:t>
            </w:r>
          </w:p>
        </w:tc>
      </w:tr>
      <w:tr w:rsidRPr="006A3530" w:rsidR="0003599D" w:rsidTr="007C4C1E" w14:paraId="26C04412" w14:textId="77777777">
        <w:tc>
          <w:tcPr>
            <w:tcW w:w="1087" w:type="dxa"/>
          </w:tcPr>
          <w:p w:rsidRPr="006A3530" w:rsidR="0003599D" w:rsidP="0003599D" w:rsidRDefault="0003599D" w14:paraId="1CC9CD90" w14:textId="4C90B802">
            <w:pPr>
              <w:rPr>
                <w:rFonts w:ascii="Verdana" w:hAnsi="Verdana"/>
                <w:sz w:val="18"/>
                <w:szCs w:val="18"/>
              </w:rPr>
            </w:pPr>
            <w:r w:rsidRPr="006A3530">
              <w:rPr>
                <w:rFonts w:ascii="Verdana" w:hAnsi="Verdana"/>
                <w:sz w:val="18"/>
                <w:szCs w:val="18"/>
              </w:rPr>
              <w:t>2.</w:t>
            </w:r>
          </w:p>
        </w:tc>
        <w:tc>
          <w:tcPr>
            <w:tcW w:w="3987" w:type="dxa"/>
          </w:tcPr>
          <w:p w:rsidRPr="006A3530" w:rsidR="0003599D" w:rsidP="0003599D" w:rsidRDefault="0003599D" w14:paraId="04DFDE8A" w14:textId="080C0B27">
            <w:pPr>
              <w:rPr>
                <w:rFonts w:ascii="Verdana" w:hAnsi="Verdana"/>
                <w:sz w:val="18"/>
                <w:szCs w:val="18"/>
              </w:rPr>
            </w:pPr>
            <w:r>
              <w:rPr>
                <w:rFonts w:ascii="Verdana" w:hAnsi="Verdana"/>
                <w:sz w:val="18"/>
                <w:szCs w:val="18"/>
              </w:rPr>
              <w:t>D</w:t>
            </w:r>
            <w:r w:rsidRPr="006A3530">
              <w:rPr>
                <w:rFonts w:ascii="Verdana" w:hAnsi="Verdana"/>
                <w:sz w:val="18"/>
                <w:szCs w:val="18"/>
              </w:rPr>
              <w:t xml:space="preserve">e precieze formulering van de definitie van ambulancezorg in de Wazv, met betrekking tot welke partijen ambulancezorg mogen leveren, </w:t>
            </w:r>
            <w:r>
              <w:rPr>
                <w:rFonts w:ascii="Verdana" w:hAnsi="Verdana"/>
                <w:sz w:val="18"/>
                <w:szCs w:val="18"/>
              </w:rPr>
              <w:t>kan tot</w:t>
            </w:r>
            <w:r w:rsidRPr="006A3530">
              <w:rPr>
                <w:rFonts w:ascii="Verdana" w:hAnsi="Verdana"/>
                <w:sz w:val="18"/>
                <w:szCs w:val="18"/>
              </w:rPr>
              <w:t xml:space="preserve"> verwarring leiden. De betreffende formulering aanpassen in de Wazv.</w:t>
            </w:r>
          </w:p>
        </w:tc>
        <w:tc>
          <w:tcPr>
            <w:tcW w:w="3988" w:type="dxa"/>
          </w:tcPr>
          <w:p w:rsidRPr="006A3530" w:rsidR="0003599D" w:rsidP="0003599D" w:rsidRDefault="00BC2FB6" w14:paraId="1B6903B7" w14:textId="64EA4EFD">
            <w:pPr>
              <w:rPr>
                <w:rFonts w:ascii="Verdana" w:hAnsi="Verdana"/>
                <w:sz w:val="18"/>
                <w:szCs w:val="18"/>
              </w:rPr>
            </w:pPr>
            <w:r>
              <w:rPr>
                <w:rFonts w:ascii="Verdana" w:hAnsi="Verdana"/>
                <w:sz w:val="18"/>
                <w:szCs w:val="18"/>
              </w:rPr>
              <w:t>De voorgestelde tekstuele wijziging uit deze aanbeveling wordt niet overgenomen.</w:t>
            </w:r>
            <w:r w:rsidR="0003599D">
              <w:rPr>
                <w:rFonts w:ascii="Verdana" w:hAnsi="Verdana"/>
                <w:sz w:val="18"/>
                <w:szCs w:val="18"/>
              </w:rPr>
              <w:t xml:space="preserve"> A</w:t>
            </w:r>
            <w:r w:rsidRPr="006536B1" w:rsidR="0003599D">
              <w:rPr>
                <w:rFonts w:ascii="Verdana" w:hAnsi="Verdana"/>
                <w:sz w:val="18"/>
                <w:szCs w:val="18"/>
              </w:rPr>
              <w:t xml:space="preserve">rtikel 6, lid 1 van de Wazv </w:t>
            </w:r>
            <w:r w:rsidR="0003599D">
              <w:rPr>
                <w:rFonts w:ascii="Verdana" w:hAnsi="Verdana"/>
                <w:sz w:val="18"/>
                <w:szCs w:val="18"/>
              </w:rPr>
              <w:t>stelt dat</w:t>
            </w:r>
            <w:r w:rsidRPr="006536B1" w:rsidR="0003599D">
              <w:rPr>
                <w:rFonts w:ascii="Verdana" w:hAnsi="Verdana"/>
                <w:sz w:val="18"/>
                <w:szCs w:val="18"/>
              </w:rPr>
              <w:t xml:space="preserve"> het anderen dan de RAV</w:t>
            </w:r>
            <w:r w:rsidR="0003599D">
              <w:rPr>
                <w:rFonts w:ascii="Verdana" w:hAnsi="Verdana"/>
                <w:sz w:val="18"/>
                <w:szCs w:val="18"/>
              </w:rPr>
              <w:t>’</w:t>
            </w:r>
            <w:r w:rsidRPr="006536B1" w:rsidR="0003599D">
              <w:rPr>
                <w:rFonts w:ascii="Verdana" w:hAnsi="Verdana"/>
                <w:sz w:val="18"/>
                <w:szCs w:val="18"/>
              </w:rPr>
              <w:t xml:space="preserve">s </w:t>
            </w:r>
            <w:r w:rsidR="0003599D">
              <w:rPr>
                <w:rFonts w:ascii="Verdana" w:hAnsi="Verdana"/>
                <w:sz w:val="18"/>
                <w:szCs w:val="18"/>
              </w:rPr>
              <w:t xml:space="preserve">is </w:t>
            </w:r>
            <w:r w:rsidRPr="006536B1" w:rsidR="0003599D">
              <w:rPr>
                <w:rFonts w:ascii="Verdana" w:hAnsi="Verdana"/>
                <w:sz w:val="18"/>
                <w:szCs w:val="18"/>
              </w:rPr>
              <w:t>verboden om ambulancezorg te leveren</w:t>
            </w:r>
            <w:r w:rsidR="0003599D">
              <w:rPr>
                <w:rFonts w:ascii="Verdana" w:hAnsi="Verdana"/>
                <w:sz w:val="18"/>
                <w:szCs w:val="18"/>
              </w:rPr>
              <w:t>, met de uitzonderingen genoemd in het derde lid van artikel 6 en in artikel 20</w:t>
            </w:r>
            <w:r w:rsidRPr="006536B1" w:rsidR="0003599D">
              <w:rPr>
                <w:rFonts w:ascii="Verdana" w:hAnsi="Verdana"/>
                <w:sz w:val="18"/>
                <w:szCs w:val="18"/>
              </w:rPr>
              <w:t xml:space="preserve">. Dat wordt niet tegengesproken </w:t>
            </w:r>
            <w:r w:rsidR="0003599D">
              <w:rPr>
                <w:rFonts w:ascii="Verdana" w:hAnsi="Verdana"/>
                <w:sz w:val="18"/>
                <w:szCs w:val="18"/>
              </w:rPr>
              <w:t>door</w:t>
            </w:r>
            <w:r w:rsidRPr="006536B1" w:rsidR="0003599D">
              <w:rPr>
                <w:rFonts w:ascii="Verdana" w:hAnsi="Verdana"/>
                <w:sz w:val="18"/>
                <w:szCs w:val="18"/>
              </w:rPr>
              <w:t xml:space="preserve"> artikel 5, lid 2 van de Wazv. Dat lid stelt alleen dat er in de Razv opleidings- of deskundigheidseisen gesteld kunnen worden aan de verschillende categorieën ambulancezorgprofessionals</w:t>
            </w:r>
            <w:r w:rsidR="0003599D">
              <w:rPr>
                <w:rFonts w:ascii="Verdana" w:hAnsi="Verdana"/>
                <w:sz w:val="18"/>
                <w:szCs w:val="18"/>
              </w:rPr>
              <w:t xml:space="preserve"> voor ambulancezorg die aan de RAV is voorbehouden of die in opdracht van de RAV wordt verleend</w:t>
            </w:r>
            <w:r w:rsidRPr="006536B1" w:rsidR="0003599D">
              <w:rPr>
                <w:rFonts w:ascii="Verdana" w:hAnsi="Verdana"/>
                <w:sz w:val="18"/>
                <w:szCs w:val="18"/>
              </w:rPr>
              <w:t>.</w:t>
            </w:r>
            <w:r>
              <w:rPr>
                <w:rFonts w:ascii="Verdana" w:hAnsi="Verdana"/>
                <w:sz w:val="18"/>
                <w:szCs w:val="18"/>
              </w:rPr>
              <w:t xml:space="preserve"> Wel zal worden onderzocht op welke manier explicieter kan worden gemaakt dat iemand die geen ambulancezorgprofessional is, geen ambulancezorg mag aanbieden of leveren.</w:t>
            </w:r>
          </w:p>
        </w:tc>
      </w:tr>
      <w:tr w:rsidRPr="006A3530" w:rsidR="0003599D" w:rsidTr="007C4C1E" w14:paraId="7270F94A" w14:textId="77777777">
        <w:tc>
          <w:tcPr>
            <w:tcW w:w="1087" w:type="dxa"/>
          </w:tcPr>
          <w:p w:rsidRPr="006A3530" w:rsidR="0003599D" w:rsidP="0003599D" w:rsidRDefault="0003599D" w14:paraId="3900300B" w14:textId="212DE507">
            <w:pPr>
              <w:rPr>
                <w:rFonts w:ascii="Verdana" w:hAnsi="Verdana"/>
                <w:sz w:val="18"/>
                <w:szCs w:val="18"/>
              </w:rPr>
            </w:pPr>
            <w:r w:rsidRPr="006A3530">
              <w:rPr>
                <w:rFonts w:ascii="Verdana" w:hAnsi="Verdana"/>
                <w:sz w:val="18"/>
                <w:szCs w:val="18"/>
              </w:rPr>
              <w:t>3.</w:t>
            </w:r>
          </w:p>
        </w:tc>
        <w:tc>
          <w:tcPr>
            <w:tcW w:w="3987" w:type="dxa"/>
          </w:tcPr>
          <w:p w:rsidRPr="006A3530" w:rsidR="0003599D" w:rsidP="0003599D" w:rsidRDefault="0003599D" w14:paraId="573FF71A" w14:textId="3E8C4938">
            <w:pPr>
              <w:rPr>
                <w:rFonts w:ascii="Verdana" w:hAnsi="Verdana"/>
                <w:sz w:val="18"/>
                <w:szCs w:val="18"/>
              </w:rPr>
            </w:pPr>
            <w:r w:rsidRPr="006A3530">
              <w:rPr>
                <w:rFonts w:ascii="Verdana" w:hAnsi="Verdana"/>
                <w:sz w:val="18"/>
                <w:szCs w:val="18"/>
              </w:rPr>
              <w:t>Vasthouden aan de in de wet opgenomen</w:t>
            </w:r>
            <w:r>
              <w:rPr>
                <w:rFonts w:ascii="Verdana" w:hAnsi="Verdana"/>
                <w:sz w:val="18"/>
                <w:szCs w:val="18"/>
              </w:rPr>
              <w:t xml:space="preserve"> </w:t>
            </w:r>
            <w:r w:rsidRPr="006A3530">
              <w:rPr>
                <w:rFonts w:ascii="Verdana" w:hAnsi="Verdana"/>
                <w:sz w:val="18"/>
                <w:szCs w:val="18"/>
              </w:rPr>
              <w:t>waarborgen voor continuïteit. Dit</w:t>
            </w:r>
            <w:r>
              <w:rPr>
                <w:rFonts w:ascii="Verdana" w:hAnsi="Verdana"/>
                <w:sz w:val="18"/>
                <w:szCs w:val="18"/>
              </w:rPr>
              <w:t xml:space="preserve"> </w:t>
            </w:r>
            <w:r w:rsidRPr="006A3530">
              <w:rPr>
                <w:rFonts w:ascii="Verdana" w:hAnsi="Verdana"/>
                <w:sz w:val="18"/>
                <w:szCs w:val="18"/>
              </w:rPr>
              <w:t>betreffen de vergunningen voor</w:t>
            </w:r>
            <w:r>
              <w:rPr>
                <w:rFonts w:ascii="Verdana" w:hAnsi="Verdana"/>
                <w:sz w:val="18"/>
                <w:szCs w:val="18"/>
              </w:rPr>
              <w:t xml:space="preserve"> </w:t>
            </w:r>
            <w:r w:rsidRPr="006A3530">
              <w:rPr>
                <w:rFonts w:ascii="Verdana" w:hAnsi="Verdana"/>
                <w:sz w:val="18"/>
                <w:szCs w:val="18"/>
              </w:rPr>
              <w:t>onbepaalde tijd aan de aanbieders die bij</w:t>
            </w:r>
            <w:r>
              <w:rPr>
                <w:rFonts w:ascii="Verdana" w:hAnsi="Verdana"/>
                <w:sz w:val="18"/>
                <w:szCs w:val="18"/>
              </w:rPr>
              <w:t xml:space="preserve"> </w:t>
            </w:r>
            <w:r w:rsidRPr="006A3530">
              <w:rPr>
                <w:rFonts w:ascii="Verdana" w:hAnsi="Verdana"/>
                <w:sz w:val="18"/>
                <w:szCs w:val="18"/>
              </w:rPr>
              <w:t>de totstandkoming van de Wazv</w:t>
            </w:r>
            <w:r>
              <w:rPr>
                <w:rFonts w:ascii="Verdana" w:hAnsi="Verdana"/>
                <w:sz w:val="18"/>
                <w:szCs w:val="18"/>
              </w:rPr>
              <w:t xml:space="preserve"> </w:t>
            </w:r>
            <w:r w:rsidRPr="006A3530">
              <w:rPr>
                <w:rFonts w:ascii="Verdana" w:hAnsi="Verdana"/>
                <w:sz w:val="18"/>
                <w:szCs w:val="18"/>
              </w:rPr>
              <w:t>ambulancezorg leverden en de inkoop in</w:t>
            </w:r>
            <w:r>
              <w:rPr>
                <w:rFonts w:ascii="Verdana" w:hAnsi="Verdana"/>
                <w:sz w:val="18"/>
                <w:szCs w:val="18"/>
              </w:rPr>
              <w:t xml:space="preserve"> </w:t>
            </w:r>
            <w:r w:rsidRPr="006A3530">
              <w:rPr>
                <w:rFonts w:ascii="Verdana" w:hAnsi="Verdana"/>
                <w:sz w:val="18"/>
                <w:szCs w:val="18"/>
              </w:rPr>
              <w:t>representatie door zorgverzekeraars.</w:t>
            </w:r>
          </w:p>
        </w:tc>
        <w:tc>
          <w:tcPr>
            <w:tcW w:w="3988" w:type="dxa"/>
          </w:tcPr>
          <w:p w:rsidRPr="006A3530" w:rsidR="0003599D" w:rsidP="0003599D" w:rsidRDefault="0003599D" w14:paraId="4BF789DE" w14:textId="2C5FAC06">
            <w:pPr>
              <w:rPr>
                <w:rFonts w:ascii="Verdana" w:hAnsi="Verdana"/>
                <w:sz w:val="18"/>
                <w:szCs w:val="18"/>
              </w:rPr>
            </w:pPr>
            <w:r>
              <w:rPr>
                <w:rFonts w:ascii="Verdana" w:hAnsi="Verdana"/>
                <w:sz w:val="18"/>
                <w:szCs w:val="18"/>
              </w:rPr>
              <w:t>Aanbeveling is overgenomen.</w:t>
            </w:r>
          </w:p>
        </w:tc>
      </w:tr>
      <w:tr w:rsidRPr="006A3530" w:rsidR="0003599D" w:rsidTr="007C4C1E" w14:paraId="57436CE3" w14:textId="77777777">
        <w:tc>
          <w:tcPr>
            <w:tcW w:w="1087" w:type="dxa"/>
          </w:tcPr>
          <w:p w:rsidRPr="006A3530" w:rsidR="0003599D" w:rsidP="0003599D" w:rsidRDefault="0003599D" w14:paraId="73187E72" w14:textId="2521CC4C">
            <w:pPr>
              <w:rPr>
                <w:rFonts w:ascii="Verdana" w:hAnsi="Verdana"/>
                <w:sz w:val="18"/>
                <w:szCs w:val="18"/>
              </w:rPr>
            </w:pPr>
            <w:r w:rsidRPr="006A3530">
              <w:rPr>
                <w:rFonts w:ascii="Verdana" w:hAnsi="Verdana"/>
                <w:sz w:val="18"/>
                <w:szCs w:val="18"/>
              </w:rPr>
              <w:t>4.</w:t>
            </w:r>
          </w:p>
        </w:tc>
        <w:tc>
          <w:tcPr>
            <w:tcW w:w="3987" w:type="dxa"/>
          </w:tcPr>
          <w:p w:rsidRPr="006A3530" w:rsidR="0003599D" w:rsidP="0003599D" w:rsidRDefault="0003599D" w14:paraId="0DB7D148" w14:textId="004C6179">
            <w:pPr>
              <w:rPr>
                <w:rFonts w:ascii="Verdana" w:hAnsi="Verdana"/>
                <w:sz w:val="18"/>
                <w:szCs w:val="18"/>
              </w:rPr>
            </w:pPr>
            <w:r w:rsidRPr="006A3530">
              <w:rPr>
                <w:rFonts w:ascii="Verdana" w:hAnsi="Verdana"/>
                <w:sz w:val="18"/>
                <w:szCs w:val="18"/>
              </w:rPr>
              <w:t>Op termijn kan overwogen worden om</w:t>
            </w:r>
            <w:r>
              <w:rPr>
                <w:rFonts w:ascii="Verdana" w:hAnsi="Verdana"/>
                <w:sz w:val="18"/>
                <w:szCs w:val="18"/>
              </w:rPr>
              <w:t xml:space="preserve"> </w:t>
            </w:r>
            <w:r w:rsidRPr="006A3530">
              <w:rPr>
                <w:rFonts w:ascii="Verdana" w:hAnsi="Verdana"/>
                <w:sz w:val="18"/>
                <w:szCs w:val="18"/>
              </w:rPr>
              <w:t>de aanvullende waarborgen voor</w:t>
            </w:r>
            <w:r>
              <w:rPr>
                <w:rFonts w:ascii="Verdana" w:hAnsi="Verdana"/>
                <w:sz w:val="18"/>
                <w:szCs w:val="18"/>
              </w:rPr>
              <w:t xml:space="preserve"> </w:t>
            </w:r>
            <w:r w:rsidRPr="006A3530">
              <w:rPr>
                <w:rFonts w:ascii="Verdana" w:hAnsi="Verdana"/>
                <w:sz w:val="18"/>
                <w:szCs w:val="18"/>
              </w:rPr>
              <w:t>kwaliteit uit de wet te halen en de Wazv</w:t>
            </w:r>
            <w:r>
              <w:rPr>
                <w:rFonts w:ascii="Verdana" w:hAnsi="Verdana"/>
                <w:sz w:val="18"/>
                <w:szCs w:val="18"/>
              </w:rPr>
              <w:t xml:space="preserve"> </w:t>
            </w:r>
            <w:r w:rsidRPr="006A3530">
              <w:rPr>
                <w:rFonts w:ascii="Verdana" w:hAnsi="Verdana"/>
                <w:sz w:val="18"/>
                <w:szCs w:val="18"/>
              </w:rPr>
              <w:t>en Razv meer in lijn te brengen met</w:t>
            </w:r>
            <w:r>
              <w:rPr>
                <w:rFonts w:ascii="Verdana" w:hAnsi="Verdana"/>
                <w:sz w:val="18"/>
                <w:szCs w:val="18"/>
              </w:rPr>
              <w:t xml:space="preserve"> </w:t>
            </w:r>
            <w:r w:rsidRPr="006A3530">
              <w:rPr>
                <w:rFonts w:ascii="Verdana" w:hAnsi="Verdana"/>
                <w:sz w:val="18"/>
                <w:szCs w:val="18"/>
              </w:rPr>
              <w:t>andere wet- en regelgeving in de zorg.</w:t>
            </w:r>
            <w:r>
              <w:rPr>
                <w:rFonts w:ascii="Verdana" w:hAnsi="Verdana"/>
                <w:sz w:val="18"/>
                <w:szCs w:val="18"/>
              </w:rPr>
              <w:t xml:space="preserve"> </w:t>
            </w:r>
            <w:r w:rsidRPr="006A3530">
              <w:rPr>
                <w:rFonts w:ascii="Verdana" w:hAnsi="Verdana"/>
                <w:sz w:val="18"/>
                <w:szCs w:val="18"/>
              </w:rPr>
              <w:t>Daarbij ligt het voor de hand om</w:t>
            </w:r>
            <w:r>
              <w:rPr>
                <w:rFonts w:ascii="Verdana" w:hAnsi="Verdana"/>
                <w:sz w:val="18"/>
                <w:szCs w:val="18"/>
              </w:rPr>
              <w:t xml:space="preserve"> </w:t>
            </w:r>
            <w:r w:rsidRPr="006A3530">
              <w:rPr>
                <w:rFonts w:ascii="Verdana" w:hAnsi="Verdana"/>
                <w:sz w:val="18"/>
                <w:szCs w:val="18"/>
              </w:rPr>
              <w:t>afwegingen hieromtrent onderdeel te</w:t>
            </w:r>
            <w:r>
              <w:rPr>
                <w:rFonts w:ascii="Verdana" w:hAnsi="Verdana"/>
                <w:sz w:val="18"/>
                <w:szCs w:val="18"/>
              </w:rPr>
              <w:t xml:space="preserve"> </w:t>
            </w:r>
            <w:r w:rsidRPr="006A3530">
              <w:rPr>
                <w:rFonts w:ascii="Verdana" w:hAnsi="Verdana"/>
                <w:sz w:val="18"/>
                <w:szCs w:val="18"/>
              </w:rPr>
              <w:t>laten uitmaken van een meer</w:t>
            </w:r>
            <w:r>
              <w:rPr>
                <w:rFonts w:ascii="Verdana" w:hAnsi="Verdana"/>
                <w:sz w:val="18"/>
                <w:szCs w:val="18"/>
              </w:rPr>
              <w:t xml:space="preserve"> </w:t>
            </w:r>
            <w:r w:rsidRPr="006A3530">
              <w:rPr>
                <w:rFonts w:ascii="Verdana" w:hAnsi="Verdana"/>
                <w:sz w:val="18"/>
                <w:szCs w:val="18"/>
              </w:rPr>
              <w:t>fundamentele heroverweging van (de</w:t>
            </w:r>
            <w:r>
              <w:rPr>
                <w:rFonts w:ascii="Verdana" w:hAnsi="Verdana"/>
                <w:sz w:val="18"/>
                <w:szCs w:val="18"/>
              </w:rPr>
              <w:t xml:space="preserve"> </w:t>
            </w:r>
            <w:r w:rsidRPr="006A3530">
              <w:rPr>
                <w:rFonts w:ascii="Verdana" w:hAnsi="Verdana"/>
                <w:sz w:val="18"/>
                <w:szCs w:val="18"/>
              </w:rPr>
              <w:t>positionering van) de Wazv ten opzichte</w:t>
            </w:r>
            <w:r>
              <w:rPr>
                <w:rFonts w:ascii="Verdana" w:hAnsi="Verdana"/>
                <w:sz w:val="18"/>
                <w:szCs w:val="18"/>
              </w:rPr>
              <w:t xml:space="preserve"> </w:t>
            </w:r>
            <w:r w:rsidRPr="006A3530">
              <w:rPr>
                <w:rFonts w:ascii="Verdana" w:hAnsi="Verdana"/>
                <w:sz w:val="18"/>
                <w:szCs w:val="18"/>
              </w:rPr>
              <w:t>van andere wet- en regelgeving (zoals de</w:t>
            </w:r>
            <w:r>
              <w:rPr>
                <w:rFonts w:ascii="Verdana" w:hAnsi="Verdana"/>
                <w:sz w:val="18"/>
                <w:szCs w:val="18"/>
              </w:rPr>
              <w:t xml:space="preserve"> </w:t>
            </w:r>
            <w:r w:rsidRPr="006A3530">
              <w:rPr>
                <w:rFonts w:ascii="Verdana" w:hAnsi="Verdana"/>
                <w:sz w:val="18"/>
                <w:szCs w:val="18"/>
              </w:rPr>
              <w:t>Politiewet en Wkkgz) en de actualiteit</w:t>
            </w:r>
            <w:r>
              <w:rPr>
                <w:rFonts w:ascii="Verdana" w:hAnsi="Verdana"/>
                <w:sz w:val="18"/>
                <w:szCs w:val="18"/>
              </w:rPr>
              <w:t xml:space="preserve"> </w:t>
            </w:r>
            <w:r w:rsidRPr="006A3530">
              <w:rPr>
                <w:rFonts w:ascii="Verdana" w:hAnsi="Verdana"/>
                <w:sz w:val="18"/>
                <w:szCs w:val="18"/>
              </w:rPr>
              <w:t>van bredere ontwikkelingen in de acute</w:t>
            </w:r>
            <w:r>
              <w:rPr>
                <w:rFonts w:ascii="Verdana" w:hAnsi="Verdana"/>
                <w:sz w:val="18"/>
                <w:szCs w:val="18"/>
              </w:rPr>
              <w:t xml:space="preserve"> </w:t>
            </w:r>
            <w:r w:rsidRPr="006A3530">
              <w:rPr>
                <w:rFonts w:ascii="Verdana" w:hAnsi="Verdana"/>
                <w:sz w:val="18"/>
                <w:szCs w:val="18"/>
              </w:rPr>
              <w:t>zorg.</w:t>
            </w:r>
          </w:p>
        </w:tc>
        <w:tc>
          <w:tcPr>
            <w:tcW w:w="3988" w:type="dxa"/>
          </w:tcPr>
          <w:p w:rsidRPr="006A3530" w:rsidR="0003599D" w:rsidP="0003599D" w:rsidRDefault="0003599D" w14:paraId="5FE45FFE" w14:textId="4151052B">
            <w:pPr>
              <w:rPr>
                <w:rFonts w:ascii="Verdana" w:hAnsi="Verdana"/>
                <w:sz w:val="18"/>
                <w:szCs w:val="18"/>
              </w:rPr>
            </w:pPr>
            <w:r>
              <w:rPr>
                <w:rFonts w:ascii="Verdana" w:hAnsi="Verdana"/>
                <w:sz w:val="18"/>
                <w:szCs w:val="18"/>
              </w:rPr>
              <w:t>Deze aanbeveling vraagt niet direct om een wijziging. Gezien het grote maatschappelijke belang van kwalitatief goede en tijdige ambulancezorg, wordt er op dit moment veel waarde gehecht aan het behouden van de bestaande kwaliteitswaarborgen in de Wazv en Razv.</w:t>
            </w:r>
          </w:p>
        </w:tc>
      </w:tr>
      <w:tr w:rsidRPr="006A3530" w:rsidR="0003599D" w:rsidTr="007C4C1E" w14:paraId="55848844" w14:textId="77777777">
        <w:tc>
          <w:tcPr>
            <w:tcW w:w="1087" w:type="dxa"/>
          </w:tcPr>
          <w:p w:rsidRPr="006A3530" w:rsidR="0003599D" w:rsidP="0003599D" w:rsidRDefault="0003599D" w14:paraId="50B52398" w14:textId="5A89E92C">
            <w:pPr>
              <w:rPr>
                <w:rFonts w:ascii="Verdana" w:hAnsi="Verdana"/>
                <w:sz w:val="18"/>
                <w:szCs w:val="18"/>
              </w:rPr>
            </w:pPr>
            <w:r w:rsidRPr="006A3530">
              <w:rPr>
                <w:rFonts w:ascii="Verdana" w:hAnsi="Verdana"/>
                <w:sz w:val="18"/>
                <w:szCs w:val="18"/>
              </w:rPr>
              <w:t>5.</w:t>
            </w:r>
          </w:p>
        </w:tc>
        <w:tc>
          <w:tcPr>
            <w:tcW w:w="3987" w:type="dxa"/>
          </w:tcPr>
          <w:p w:rsidRPr="006A3530" w:rsidR="0003599D" w:rsidP="0003599D" w:rsidRDefault="0003599D" w14:paraId="502363F9" w14:textId="1DC55133">
            <w:pPr>
              <w:rPr>
                <w:rFonts w:ascii="Verdana" w:hAnsi="Verdana"/>
                <w:sz w:val="18"/>
                <w:szCs w:val="18"/>
              </w:rPr>
            </w:pPr>
            <w:r w:rsidRPr="006A3530">
              <w:rPr>
                <w:rFonts w:ascii="Verdana" w:hAnsi="Verdana"/>
                <w:sz w:val="18"/>
                <w:szCs w:val="18"/>
              </w:rPr>
              <w:t>De IGJ kan in haar beleidsregels opnemen dat zij voor deze dubbelingen het handhavingstraject van de Wazv volgt. Dit is gemakkelijker dan het wijzigen van wet- en regelgeving.</w:t>
            </w:r>
          </w:p>
        </w:tc>
        <w:tc>
          <w:tcPr>
            <w:tcW w:w="3988" w:type="dxa"/>
          </w:tcPr>
          <w:p w:rsidRPr="006A3530" w:rsidR="0003599D" w:rsidP="0003599D" w:rsidRDefault="0003599D" w14:paraId="78BF148E" w14:textId="3F867603">
            <w:pPr>
              <w:rPr>
                <w:rFonts w:ascii="Verdana" w:hAnsi="Verdana"/>
                <w:sz w:val="18"/>
                <w:szCs w:val="18"/>
              </w:rPr>
            </w:pPr>
            <w:r>
              <w:rPr>
                <w:rFonts w:ascii="Verdana" w:hAnsi="Verdana"/>
                <w:sz w:val="18"/>
                <w:szCs w:val="18"/>
              </w:rPr>
              <w:t>De aanbeveling is gericht aan de IGJ. Het staat de IGJ vrij om desgewenst haar beleidsregels aan te passen naar aanleiding van deze aanbeveling.</w:t>
            </w:r>
          </w:p>
        </w:tc>
      </w:tr>
      <w:tr w:rsidRPr="006A3530" w:rsidR="0003599D" w:rsidTr="007C4C1E" w14:paraId="0D2E822A" w14:textId="77777777">
        <w:tc>
          <w:tcPr>
            <w:tcW w:w="1087" w:type="dxa"/>
          </w:tcPr>
          <w:p w:rsidRPr="006A3530" w:rsidR="0003599D" w:rsidP="0003599D" w:rsidRDefault="0003599D" w14:paraId="6132E87A" w14:textId="159C884E">
            <w:pPr>
              <w:rPr>
                <w:rFonts w:ascii="Verdana" w:hAnsi="Verdana"/>
                <w:sz w:val="18"/>
                <w:szCs w:val="18"/>
              </w:rPr>
            </w:pPr>
            <w:r w:rsidRPr="006A3530">
              <w:rPr>
                <w:rFonts w:ascii="Verdana" w:hAnsi="Verdana"/>
                <w:sz w:val="18"/>
                <w:szCs w:val="18"/>
              </w:rPr>
              <w:t>6.</w:t>
            </w:r>
          </w:p>
        </w:tc>
        <w:tc>
          <w:tcPr>
            <w:tcW w:w="3987" w:type="dxa"/>
          </w:tcPr>
          <w:p w:rsidRPr="006A3530" w:rsidR="0003599D" w:rsidP="0003599D" w:rsidRDefault="0003599D" w14:paraId="790D6E34" w14:textId="6975CD26">
            <w:pPr>
              <w:rPr>
                <w:rFonts w:ascii="Verdana" w:hAnsi="Verdana"/>
                <w:sz w:val="18"/>
                <w:szCs w:val="18"/>
              </w:rPr>
            </w:pPr>
            <w:r w:rsidRPr="006A3530">
              <w:rPr>
                <w:rFonts w:ascii="Verdana" w:hAnsi="Verdana"/>
                <w:sz w:val="18"/>
                <w:szCs w:val="18"/>
              </w:rPr>
              <w:t>De streefnorm responstijden aanpassen aan de verbeterde urgentie</w:t>
            </w:r>
            <w:r>
              <w:rPr>
                <w:rFonts w:ascii="Verdana" w:hAnsi="Verdana"/>
                <w:sz w:val="18"/>
                <w:szCs w:val="18"/>
              </w:rPr>
              <w:t>-</w:t>
            </w:r>
            <w:r w:rsidRPr="006A3530">
              <w:rPr>
                <w:rFonts w:ascii="Verdana" w:hAnsi="Verdana"/>
                <w:sz w:val="18"/>
                <w:szCs w:val="18"/>
              </w:rPr>
              <w:t>indeling. De uitwerking hiervan vraagt om een</w:t>
            </w:r>
            <w:r>
              <w:rPr>
                <w:rFonts w:ascii="Verdana" w:hAnsi="Verdana"/>
                <w:sz w:val="18"/>
                <w:szCs w:val="18"/>
              </w:rPr>
              <w:t xml:space="preserve"> </w:t>
            </w:r>
            <w:r w:rsidRPr="006A3530">
              <w:rPr>
                <w:rFonts w:ascii="Verdana" w:hAnsi="Verdana"/>
                <w:sz w:val="18"/>
                <w:szCs w:val="18"/>
              </w:rPr>
              <w:t>separaat onderzoek. Daarbij is het advies</w:t>
            </w:r>
            <w:r>
              <w:rPr>
                <w:rFonts w:ascii="Verdana" w:hAnsi="Verdana"/>
                <w:sz w:val="18"/>
                <w:szCs w:val="18"/>
              </w:rPr>
              <w:t xml:space="preserve"> </w:t>
            </w:r>
            <w:r w:rsidRPr="006A3530">
              <w:rPr>
                <w:rFonts w:ascii="Verdana" w:hAnsi="Verdana"/>
                <w:sz w:val="18"/>
                <w:szCs w:val="18"/>
              </w:rPr>
              <w:t>om in de</w:t>
            </w:r>
            <w:r>
              <w:rPr>
                <w:rFonts w:ascii="Verdana" w:hAnsi="Verdana"/>
                <w:sz w:val="18"/>
                <w:szCs w:val="18"/>
              </w:rPr>
              <w:t xml:space="preserve"> </w:t>
            </w:r>
            <w:r w:rsidRPr="006A3530">
              <w:rPr>
                <w:rFonts w:ascii="Verdana" w:hAnsi="Verdana"/>
                <w:sz w:val="18"/>
                <w:szCs w:val="18"/>
              </w:rPr>
              <w:t>komende jaren verdere</w:t>
            </w:r>
            <w:r>
              <w:rPr>
                <w:rFonts w:ascii="Verdana" w:hAnsi="Verdana"/>
                <w:sz w:val="18"/>
                <w:szCs w:val="18"/>
              </w:rPr>
              <w:t xml:space="preserve"> </w:t>
            </w:r>
            <w:r w:rsidRPr="006A3530">
              <w:rPr>
                <w:rFonts w:ascii="Verdana" w:hAnsi="Verdana"/>
                <w:sz w:val="18"/>
                <w:szCs w:val="18"/>
              </w:rPr>
              <w:t>differentiatie van tijdigheid naar type</w:t>
            </w:r>
            <w:r>
              <w:rPr>
                <w:rFonts w:ascii="Verdana" w:hAnsi="Verdana"/>
                <w:sz w:val="18"/>
                <w:szCs w:val="18"/>
              </w:rPr>
              <w:t xml:space="preserve"> </w:t>
            </w:r>
            <w:r w:rsidRPr="006A3530">
              <w:rPr>
                <w:rFonts w:ascii="Verdana" w:hAnsi="Verdana"/>
                <w:sz w:val="18"/>
                <w:szCs w:val="18"/>
              </w:rPr>
              <w:t>hulpvraag te verkennen. Hiervoor is</w:t>
            </w:r>
            <w:r>
              <w:rPr>
                <w:rFonts w:ascii="Verdana" w:hAnsi="Verdana"/>
                <w:sz w:val="18"/>
                <w:szCs w:val="18"/>
              </w:rPr>
              <w:t xml:space="preserve"> </w:t>
            </w:r>
            <w:r w:rsidRPr="006A3530">
              <w:rPr>
                <w:rFonts w:ascii="Verdana" w:hAnsi="Verdana"/>
                <w:sz w:val="18"/>
                <w:szCs w:val="18"/>
              </w:rPr>
              <w:lastRenderedPageBreak/>
              <w:t>(wetenschappelijke) kennisontwikkeling</w:t>
            </w:r>
            <w:r>
              <w:rPr>
                <w:rFonts w:ascii="Verdana" w:hAnsi="Verdana"/>
                <w:sz w:val="18"/>
                <w:szCs w:val="18"/>
              </w:rPr>
              <w:t xml:space="preserve"> </w:t>
            </w:r>
            <w:r w:rsidRPr="006A3530">
              <w:rPr>
                <w:rFonts w:ascii="Verdana" w:hAnsi="Verdana"/>
                <w:sz w:val="18"/>
                <w:szCs w:val="18"/>
              </w:rPr>
              <w:t>nodig vanuit de sector.</w:t>
            </w:r>
          </w:p>
        </w:tc>
        <w:tc>
          <w:tcPr>
            <w:tcW w:w="3988" w:type="dxa"/>
          </w:tcPr>
          <w:p w:rsidRPr="006A3530" w:rsidR="0003599D" w:rsidP="0003599D" w:rsidRDefault="0003599D" w14:paraId="1349B196" w14:textId="1B165AD8">
            <w:pPr>
              <w:rPr>
                <w:rFonts w:ascii="Verdana" w:hAnsi="Verdana"/>
                <w:sz w:val="18"/>
                <w:szCs w:val="18"/>
              </w:rPr>
            </w:pPr>
            <w:r>
              <w:rPr>
                <w:rFonts w:ascii="Verdana" w:hAnsi="Verdana"/>
                <w:sz w:val="18"/>
                <w:szCs w:val="18"/>
              </w:rPr>
              <w:lastRenderedPageBreak/>
              <w:t>Aanbeveling wordt overgenomen. De streefnorm in de Razv zal aangepast worden naar de verbeterde urgentie-indeling. Het doorontwikkelen van de A1-urgentie zal gedaan worden door de sector zelf.</w:t>
            </w:r>
          </w:p>
        </w:tc>
      </w:tr>
      <w:tr w:rsidRPr="006A3530" w:rsidR="0003599D" w:rsidTr="007C4C1E" w14:paraId="2093A45F" w14:textId="77777777">
        <w:tc>
          <w:tcPr>
            <w:tcW w:w="1087" w:type="dxa"/>
          </w:tcPr>
          <w:p w:rsidRPr="006A3530" w:rsidR="0003599D" w:rsidP="0003599D" w:rsidRDefault="0003599D" w14:paraId="2E113E97" w14:textId="145EA156">
            <w:pPr>
              <w:rPr>
                <w:rFonts w:ascii="Verdana" w:hAnsi="Verdana"/>
                <w:sz w:val="18"/>
                <w:szCs w:val="18"/>
              </w:rPr>
            </w:pPr>
            <w:r w:rsidRPr="006A3530">
              <w:rPr>
                <w:rFonts w:ascii="Verdana" w:hAnsi="Verdana"/>
                <w:sz w:val="18"/>
                <w:szCs w:val="18"/>
              </w:rPr>
              <w:t>7.</w:t>
            </w:r>
          </w:p>
        </w:tc>
        <w:tc>
          <w:tcPr>
            <w:tcW w:w="3987" w:type="dxa"/>
          </w:tcPr>
          <w:p w:rsidRPr="006A3530" w:rsidR="0003599D" w:rsidP="0003599D" w:rsidRDefault="0003599D" w14:paraId="669B039D" w14:textId="33AF325A">
            <w:pPr>
              <w:rPr>
                <w:rFonts w:ascii="Verdana" w:hAnsi="Verdana"/>
                <w:sz w:val="18"/>
                <w:szCs w:val="18"/>
              </w:rPr>
            </w:pPr>
            <w:r w:rsidRPr="007A27E6">
              <w:rPr>
                <w:rFonts w:ascii="Verdana" w:hAnsi="Verdana"/>
                <w:sz w:val="18"/>
                <w:szCs w:val="18"/>
              </w:rPr>
              <w:t>In de interviews werd door respondenten aangegeven dat de vereiste BIG-registratie van meldkamercentralisten de ontwikkeling van de sector kan belemmeren, bijvoorbeeld in het omgaan met personeelsschaarste. Geadviseerd wordt om de gestelde vereisten aan de meldkamercentralist ambulancezorg meer open te omschrijven.</w:t>
            </w:r>
          </w:p>
        </w:tc>
        <w:tc>
          <w:tcPr>
            <w:tcW w:w="3988" w:type="dxa"/>
          </w:tcPr>
          <w:p w:rsidRPr="006A3530" w:rsidR="0003599D" w:rsidP="0003599D" w:rsidRDefault="0003599D" w14:paraId="63E6994A" w14:textId="07EFE9FF">
            <w:pPr>
              <w:rPr>
                <w:rFonts w:ascii="Verdana" w:hAnsi="Verdana"/>
                <w:sz w:val="18"/>
                <w:szCs w:val="18"/>
              </w:rPr>
            </w:pPr>
            <w:r>
              <w:rPr>
                <w:rFonts w:ascii="Verdana" w:hAnsi="Verdana"/>
                <w:sz w:val="18"/>
                <w:szCs w:val="18"/>
              </w:rPr>
              <w:t xml:space="preserve">Aanbeveling is overgenomen. </w:t>
            </w:r>
            <w:r w:rsidRPr="00B40A7B">
              <w:rPr>
                <w:rFonts w:ascii="Verdana" w:hAnsi="Verdana"/>
                <w:sz w:val="18"/>
                <w:szCs w:val="18"/>
              </w:rPr>
              <w:t xml:space="preserve">Het betreffende </w:t>
            </w:r>
            <w:r>
              <w:rPr>
                <w:rFonts w:ascii="Verdana" w:hAnsi="Verdana"/>
                <w:sz w:val="18"/>
                <w:szCs w:val="18"/>
              </w:rPr>
              <w:t>artikel</w:t>
            </w:r>
            <w:r w:rsidRPr="00B40A7B">
              <w:rPr>
                <w:rFonts w:ascii="Verdana" w:hAnsi="Verdana"/>
                <w:sz w:val="18"/>
                <w:szCs w:val="18"/>
              </w:rPr>
              <w:t xml:space="preserve"> in de Razv is per 1 januari 2026 aangepast.</w:t>
            </w:r>
            <w:r>
              <w:rPr>
                <w:rFonts w:ascii="Verdana" w:hAnsi="Verdana"/>
                <w:sz w:val="18"/>
                <w:szCs w:val="18"/>
              </w:rPr>
              <w:t xml:space="preserve"> De </w:t>
            </w:r>
            <w:r w:rsidRPr="007A27E6">
              <w:rPr>
                <w:rFonts w:ascii="Verdana" w:hAnsi="Verdana"/>
                <w:sz w:val="18"/>
                <w:szCs w:val="18"/>
              </w:rPr>
              <w:t>Kamers zijn daarover in september 2025 geïnformeerd.</w:t>
            </w:r>
            <w:r w:rsidRPr="007A27E6">
              <w:rPr>
                <w:rFonts w:ascii="Verdana" w:hAnsi="Verdana"/>
                <w:sz w:val="18"/>
                <w:szCs w:val="18"/>
                <w:vertAlign w:val="superscript"/>
              </w:rPr>
              <w:footnoteReference w:id="1"/>
            </w:r>
            <w:r>
              <w:rPr>
                <w:rFonts w:ascii="Verdana" w:hAnsi="Verdana"/>
                <w:sz w:val="18"/>
                <w:szCs w:val="18"/>
              </w:rPr>
              <w:t xml:space="preserve"> </w:t>
            </w:r>
            <w:r w:rsidRPr="00B40A7B">
              <w:rPr>
                <w:rFonts w:ascii="Verdana" w:hAnsi="Verdana"/>
                <w:sz w:val="18"/>
                <w:szCs w:val="18"/>
              </w:rPr>
              <w:t>Daarmee worden de vereisten voor een meldkamercentralist meer open omschreven naar ‘een ambulancezorgprofessional die voldoet aan de vaardigheden en deskundigheden uit het Kwaliteitskader Inzet van ambulancezorgprofessionals op de meldkamer ambulancezorg’.</w:t>
            </w:r>
          </w:p>
        </w:tc>
      </w:tr>
      <w:tr w:rsidRPr="006A3530" w:rsidR="0003599D" w:rsidTr="007C4C1E" w14:paraId="75D98221" w14:textId="77777777">
        <w:tc>
          <w:tcPr>
            <w:tcW w:w="1087" w:type="dxa"/>
          </w:tcPr>
          <w:p w:rsidRPr="006A3530" w:rsidR="0003599D" w:rsidP="0003599D" w:rsidRDefault="0003599D" w14:paraId="1629FFA8" w14:textId="3D95E0D7">
            <w:pPr>
              <w:rPr>
                <w:rFonts w:ascii="Verdana" w:hAnsi="Verdana"/>
                <w:sz w:val="18"/>
                <w:szCs w:val="18"/>
              </w:rPr>
            </w:pPr>
            <w:r w:rsidRPr="006A3530">
              <w:rPr>
                <w:rFonts w:ascii="Verdana" w:hAnsi="Verdana"/>
                <w:sz w:val="18"/>
                <w:szCs w:val="18"/>
              </w:rPr>
              <w:t>8.</w:t>
            </w:r>
          </w:p>
        </w:tc>
        <w:tc>
          <w:tcPr>
            <w:tcW w:w="3987" w:type="dxa"/>
          </w:tcPr>
          <w:p w:rsidRPr="006A3530" w:rsidR="0003599D" w:rsidP="0003599D" w:rsidRDefault="0003599D" w14:paraId="64418202" w14:textId="35DD9C0D">
            <w:pPr>
              <w:rPr>
                <w:rFonts w:ascii="Verdana" w:hAnsi="Verdana"/>
                <w:sz w:val="18"/>
                <w:szCs w:val="18"/>
              </w:rPr>
            </w:pPr>
            <w:r>
              <w:rPr>
                <w:rFonts w:ascii="Verdana" w:hAnsi="Verdana"/>
                <w:sz w:val="18"/>
                <w:szCs w:val="18"/>
              </w:rPr>
              <w:t>De Wazv en Razv vormen geen belemmering voor het maken van de vereiste samenwerkingsafspraken binnen de acute zorgketen en met het regionale veiligheidsdomein. Wel is er op bestuurlijk niveau soms sprake van spanning tussen ambulancezorg en het regionale veiligheidsdomein. Zet in</w:t>
            </w:r>
            <w:r w:rsidRPr="006A3530">
              <w:rPr>
                <w:rFonts w:ascii="Verdana" w:hAnsi="Verdana"/>
                <w:sz w:val="18"/>
                <w:szCs w:val="18"/>
              </w:rPr>
              <w:t xml:space="preserve"> op verdere concretisering en betere invulling van de reeds vereiste samenwerkingsafspraken tussen de ambulancezorg en het </w:t>
            </w:r>
            <w:r>
              <w:rPr>
                <w:rFonts w:ascii="Verdana" w:hAnsi="Verdana"/>
                <w:sz w:val="18"/>
                <w:szCs w:val="18"/>
              </w:rPr>
              <w:t xml:space="preserve">regionale </w:t>
            </w:r>
            <w:r w:rsidRPr="006A3530">
              <w:rPr>
                <w:rFonts w:ascii="Verdana" w:hAnsi="Verdana"/>
                <w:sz w:val="18"/>
                <w:szCs w:val="18"/>
              </w:rPr>
              <w:t>veiligheidsdomein.</w:t>
            </w:r>
          </w:p>
        </w:tc>
        <w:tc>
          <w:tcPr>
            <w:tcW w:w="3988" w:type="dxa"/>
          </w:tcPr>
          <w:p w:rsidRPr="00B40A7B" w:rsidR="0003599D" w:rsidP="0003599D" w:rsidRDefault="0003599D" w14:paraId="4025667C" w14:textId="771D2B66">
            <w:pPr>
              <w:rPr>
                <w:rFonts w:ascii="Verdana" w:hAnsi="Verdana"/>
                <w:b/>
                <w:bCs/>
                <w:sz w:val="18"/>
                <w:szCs w:val="18"/>
              </w:rPr>
            </w:pPr>
            <w:r w:rsidRPr="00C15921">
              <w:rPr>
                <w:rFonts w:ascii="Verdana" w:hAnsi="Verdana"/>
                <w:sz w:val="18"/>
                <w:szCs w:val="18"/>
              </w:rPr>
              <w:t>De samenwerking tussen ambulancezorg en het</w:t>
            </w:r>
            <w:r>
              <w:rPr>
                <w:rFonts w:ascii="Verdana" w:hAnsi="Verdana"/>
                <w:sz w:val="18"/>
                <w:szCs w:val="18"/>
              </w:rPr>
              <w:t xml:space="preserve"> regionale</w:t>
            </w:r>
            <w:r w:rsidRPr="00C15921">
              <w:rPr>
                <w:rFonts w:ascii="Verdana" w:hAnsi="Verdana"/>
                <w:sz w:val="18"/>
                <w:szCs w:val="18"/>
              </w:rPr>
              <w:t xml:space="preserve"> veiligheidsdomein is formeel vastgelegd in regionale crisisplannen</w:t>
            </w:r>
            <w:r>
              <w:rPr>
                <w:rFonts w:ascii="Verdana" w:hAnsi="Verdana"/>
                <w:sz w:val="18"/>
                <w:szCs w:val="18"/>
              </w:rPr>
              <w:t xml:space="preserve"> op basis van de </w:t>
            </w:r>
            <w:proofErr w:type="spellStart"/>
            <w:r>
              <w:rPr>
                <w:rFonts w:ascii="Verdana" w:hAnsi="Verdana"/>
                <w:sz w:val="18"/>
                <w:szCs w:val="18"/>
              </w:rPr>
              <w:t>Wazv</w:t>
            </w:r>
            <w:proofErr w:type="spellEnd"/>
            <w:r>
              <w:rPr>
                <w:rFonts w:ascii="Verdana" w:hAnsi="Verdana"/>
                <w:sz w:val="18"/>
                <w:szCs w:val="18"/>
              </w:rPr>
              <w:t>/</w:t>
            </w:r>
            <w:proofErr w:type="spellStart"/>
            <w:r>
              <w:rPr>
                <w:rFonts w:ascii="Verdana" w:hAnsi="Verdana"/>
                <w:sz w:val="18"/>
                <w:szCs w:val="18"/>
              </w:rPr>
              <w:t>Razv</w:t>
            </w:r>
            <w:proofErr w:type="spellEnd"/>
            <w:r>
              <w:rPr>
                <w:rFonts w:ascii="Verdana" w:hAnsi="Verdana"/>
                <w:sz w:val="18"/>
                <w:szCs w:val="18"/>
              </w:rPr>
              <w:t xml:space="preserve"> en de </w:t>
            </w:r>
            <w:proofErr w:type="spellStart"/>
            <w:r>
              <w:rPr>
                <w:rFonts w:ascii="Verdana" w:hAnsi="Verdana"/>
                <w:sz w:val="18"/>
                <w:szCs w:val="18"/>
              </w:rPr>
              <w:t>Wvr</w:t>
            </w:r>
            <w:proofErr w:type="spellEnd"/>
            <w:r w:rsidRPr="00C15921">
              <w:rPr>
                <w:rFonts w:ascii="Verdana" w:hAnsi="Verdana"/>
                <w:sz w:val="18"/>
                <w:szCs w:val="18"/>
              </w:rPr>
              <w:t xml:space="preserve"> en convenanten. De concrete invulling verschilt per regio en hangt samen met bestuurlijke verhoudingen, regionale kenmerken en bestaande overlegstructuren. Er bestaat een landelijk modelconvenant tussen AZN en GGD GHOR NL. </w:t>
            </w:r>
            <w:r w:rsidRPr="00867C4C">
              <w:rPr>
                <w:rFonts w:ascii="Verdana" w:hAnsi="Verdana"/>
                <w:sz w:val="18"/>
                <w:szCs w:val="18"/>
              </w:rPr>
              <w:t>De Wazv en Razv bieden reeds een toereikende basis voor samenwerking met het regionale veiligheidsdomein. Verdere verbetering ligt daarom niet in aanvullende regelgeving, maar in het binnen bestaande kaders concreter vastleggen en eenduidiger toepassen van samenwerkingsafspraken. Daarbij gaat het met name om het expliciteren van rolverdeling, besluitvorming en informatie-uitwisseling bij opschaling, en het versterken van bovenregionale uniformiteit, onder meer door gebruik te maken van bestaande landelijke kaders en (boven)regionale modelafspraken.</w:t>
            </w:r>
          </w:p>
        </w:tc>
      </w:tr>
      <w:tr w:rsidRPr="006A3530" w:rsidR="0003599D" w:rsidTr="007C4C1E" w14:paraId="751AC1A4" w14:textId="77777777">
        <w:tc>
          <w:tcPr>
            <w:tcW w:w="1087" w:type="dxa"/>
          </w:tcPr>
          <w:p w:rsidRPr="006A3530" w:rsidR="0003599D" w:rsidP="0003599D" w:rsidRDefault="0003599D" w14:paraId="7DFD7CD9" w14:textId="497CC11B">
            <w:pPr>
              <w:rPr>
                <w:rFonts w:ascii="Verdana" w:hAnsi="Verdana"/>
                <w:sz w:val="18"/>
                <w:szCs w:val="18"/>
              </w:rPr>
            </w:pPr>
            <w:r w:rsidRPr="006A3530">
              <w:rPr>
                <w:rFonts w:ascii="Verdana" w:hAnsi="Verdana"/>
                <w:sz w:val="18"/>
                <w:szCs w:val="18"/>
              </w:rPr>
              <w:t>9.</w:t>
            </w:r>
          </w:p>
        </w:tc>
        <w:tc>
          <w:tcPr>
            <w:tcW w:w="3987" w:type="dxa"/>
          </w:tcPr>
          <w:p w:rsidRPr="006A3530" w:rsidR="0003599D" w:rsidP="0003599D" w:rsidRDefault="0003599D" w14:paraId="00AB929D" w14:textId="2E5F138D">
            <w:pPr>
              <w:rPr>
                <w:rFonts w:ascii="Verdana" w:hAnsi="Verdana"/>
                <w:sz w:val="18"/>
                <w:szCs w:val="18"/>
              </w:rPr>
            </w:pPr>
            <w:r>
              <w:rPr>
                <w:rFonts w:ascii="Verdana" w:hAnsi="Verdana"/>
                <w:sz w:val="18"/>
                <w:szCs w:val="18"/>
              </w:rPr>
              <w:t xml:space="preserve">Er is onduidelijkheid over de flexibiliteit van kwaliteitseisen in het geval van tekorten bij grootschalige en langdurige rampsituaties. </w:t>
            </w:r>
            <w:r w:rsidRPr="006A3530">
              <w:rPr>
                <w:rFonts w:ascii="Verdana" w:hAnsi="Verdana"/>
                <w:sz w:val="18"/>
                <w:szCs w:val="18"/>
              </w:rPr>
              <w:t>K</w:t>
            </w:r>
            <w:r>
              <w:rPr>
                <w:rFonts w:ascii="Verdana" w:hAnsi="Verdana"/>
                <w:sz w:val="18"/>
                <w:szCs w:val="18"/>
              </w:rPr>
              <w:t>ijk k</w:t>
            </w:r>
            <w:r w:rsidRPr="006A3530">
              <w:rPr>
                <w:rFonts w:ascii="Verdana" w:hAnsi="Verdana"/>
                <w:sz w:val="18"/>
                <w:szCs w:val="18"/>
              </w:rPr>
              <w:t>ritisch naar de bepalingen met</w:t>
            </w:r>
            <w:r>
              <w:rPr>
                <w:rFonts w:ascii="Verdana" w:hAnsi="Verdana"/>
                <w:sz w:val="18"/>
                <w:szCs w:val="18"/>
              </w:rPr>
              <w:t xml:space="preserve"> </w:t>
            </w:r>
            <w:r w:rsidRPr="006A3530">
              <w:rPr>
                <w:rFonts w:ascii="Verdana" w:hAnsi="Verdana"/>
                <w:sz w:val="18"/>
                <w:szCs w:val="18"/>
              </w:rPr>
              <w:t xml:space="preserve">betrekking tot crisisplannen. </w:t>
            </w:r>
          </w:p>
        </w:tc>
        <w:tc>
          <w:tcPr>
            <w:tcW w:w="3988" w:type="dxa"/>
          </w:tcPr>
          <w:p w:rsidRPr="006A3530" w:rsidR="0003599D" w:rsidP="0003599D" w:rsidRDefault="0003599D" w14:paraId="5124353A" w14:textId="329E8611">
            <w:pPr>
              <w:rPr>
                <w:rFonts w:ascii="Verdana" w:hAnsi="Verdana"/>
                <w:sz w:val="18"/>
                <w:szCs w:val="18"/>
              </w:rPr>
            </w:pPr>
            <w:r w:rsidRPr="00867C4C">
              <w:rPr>
                <w:rFonts w:ascii="Verdana" w:hAnsi="Verdana"/>
                <w:sz w:val="18"/>
                <w:szCs w:val="18"/>
              </w:rPr>
              <w:t xml:space="preserve">De stuurgroep grootschalig bijzonder geneeskundig optreden, bestaande uit </w:t>
            </w:r>
            <w:r w:rsidRPr="00867C4C" w:rsidR="00D72C8B">
              <w:rPr>
                <w:rFonts w:ascii="Verdana" w:hAnsi="Verdana"/>
                <w:sz w:val="18"/>
                <w:szCs w:val="18"/>
              </w:rPr>
              <w:t>GGD GHOR Nederland, AZN,</w:t>
            </w:r>
            <w:r w:rsidR="00D72C8B">
              <w:rPr>
                <w:rFonts w:ascii="Verdana" w:hAnsi="Verdana"/>
                <w:sz w:val="18"/>
                <w:szCs w:val="18"/>
              </w:rPr>
              <w:t xml:space="preserve"> </w:t>
            </w:r>
            <w:r w:rsidRPr="00867C4C">
              <w:rPr>
                <w:rFonts w:ascii="Verdana" w:hAnsi="Verdana"/>
                <w:sz w:val="18"/>
                <w:szCs w:val="18"/>
              </w:rPr>
              <w:t xml:space="preserve">LNAZ, Rode Kruis, NIPV en de ministeries van </w:t>
            </w:r>
            <w:proofErr w:type="spellStart"/>
            <w:r w:rsidRPr="00867C4C">
              <w:rPr>
                <w:rFonts w:ascii="Verdana" w:hAnsi="Verdana"/>
                <w:sz w:val="18"/>
                <w:szCs w:val="18"/>
              </w:rPr>
              <w:t>J</w:t>
            </w:r>
            <w:r>
              <w:rPr>
                <w:rFonts w:ascii="Verdana" w:hAnsi="Verdana"/>
                <w:sz w:val="18"/>
                <w:szCs w:val="18"/>
              </w:rPr>
              <w:t>en</w:t>
            </w:r>
            <w:r w:rsidRPr="00867C4C">
              <w:rPr>
                <w:rFonts w:ascii="Verdana" w:hAnsi="Verdana"/>
                <w:sz w:val="18"/>
                <w:szCs w:val="18"/>
              </w:rPr>
              <w:t>V</w:t>
            </w:r>
            <w:proofErr w:type="spellEnd"/>
            <w:r w:rsidRPr="00867C4C">
              <w:rPr>
                <w:rFonts w:ascii="Verdana" w:hAnsi="Verdana"/>
                <w:sz w:val="18"/>
                <w:szCs w:val="18"/>
              </w:rPr>
              <w:t xml:space="preserve"> en VWS</w:t>
            </w:r>
            <w:r>
              <w:rPr>
                <w:rFonts w:ascii="Verdana" w:hAnsi="Verdana"/>
                <w:sz w:val="18"/>
                <w:szCs w:val="18"/>
              </w:rPr>
              <w:t>,</w:t>
            </w:r>
            <w:r w:rsidRPr="00867C4C">
              <w:rPr>
                <w:rFonts w:ascii="Verdana" w:hAnsi="Verdana"/>
                <w:sz w:val="18"/>
                <w:szCs w:val="18"/>
              </w:rPr>
              <w:t xml:space="preserve"> werkt aan een algemeen opschalingsplan op basis van de ervaringen met COVID-19. Thans is er geen concrete aanleiding om de bepaling in de Razv, waarin een crisisplan wordt verplicht of andere wettelijke bepalingen met betrekking tot crisisplannen, aan te passen. Het bestaande stelsel biedt hiermee dus ruimte om in grootschalige en langdurige crises verantwoord te handelen. Wel </w:t>
            </w:r>
            <w:r w:rsidRPr="004D35F8" w:rsidR="004D35F8">
              <w:rPr>
                <w:rFonts w:ascii="Verdana" w:hAnsi="Verdana"/>
                <w:sz w:val="18"/>
                <w:szCs w:val="18"/>
              </w:rPr>
              <w:t xml:space="preserve">roept het kabinet de ambulancesector en de ketenpartners in het veiligheidsdomein op om binnen de crisisplannen en opschalingskaders explicieter vast te leggen in welke situaties en onder welke voorwaarden afwijking van reguliere kwaliteitseisen </w:t>
            </w:r>
            <w:r w:rsidRPr="004D35F8" w:rsidR="004D35F8">
              <w:rPr>
                <w:rFonts w:ascii="Verdana" w:hAnsi="Verdana"/>
                <w:sz w:val="18"/>
                <w:szCs w:val="18"/>
              </w:rPr>
              <w:lastRenderedPageBreak/>
              <w:t>aan de orde kan zijn, en hoe besluitvorming en verantwoording daarbij plaatsvinden</w:t>
            </w:r>
            <w:r w:rsidRPr="00867C4C">
              <w:rPr>
                <w:rFonts w:ascii="Verdana" w:hAnsi="Verdana"/>
                <w:sz w:val="18"/>
                <w:szCs w:val="18"/>
              </w:rPr>
              <w:t>. Hiermee kan de duidelijkheid voor professionals en bestuur in situaties van schaarste worden vergroot, zonder dat aanpassing van de wettelijke bepalingen noodzakelijk is.</w:t>
            </w:r>
          </w:p>
        </w:tc>
      </w:tr>
      <w:tr w:rsidRPr="006A3530" w:rsidR="0003599D" w:rsidTr="007C4C1E" w14:paraId="745FA192" w14:textId="77777777">
        <w:tc>
          <w:tcPr>
            <w:tcW w:w="1087" w:type="dxa"/>
          </w:tcPr>
          <w:p w:rsidRPr="006A3530" w:rsidR="0003599D" w:rsidP="0003599D" w:rsidRDefault="0003599D" w14:paraId="15F5082D" w14:textId="5133C555">
            <w:pPr>
              <w:rPr>
                <w:rFonts w:ascii="Verdana" w:hAnsi="Verdana"/>
                <w:sz w:val="18"/>
                <w:szCs w:val="18"/>
              </w:rPr>
            </w:pPr>
            <w:r w:rsidRPr="006A3530">
              <w:rPr>
                <w:rFonts w:ascii="Verdana" w:hAnsi="Verdana"/>
                <w:sz w:val="18"/>
                <w:szCs w:val="18"/>
              </w:rPr>
              <w:lastRenderedPageBreak/>
              <w:t>10.</w:t>
            </w:r>
          </w:p>
        </w:tc>
        <w:tc>
          <w:tcPr>
            <w:tcW w:w="3987" w:type="dxa"/>
          </w:tcPr>
          <w:p w:rsidRPr="006A3530" w:rsidR="0003599D" w:rsidP="0003599D" w:rsidRDefault="0003599D" w14:paraId="74476163" w14:textId="0E1D8209">
            <w:pPr>
              <w:rPr>
                <w:rFonts w:ascii="Verdana" w:hAnsi="Verdana"/>
                <w:sz w:val="18"/>
                <w:szCs w:val="18"/>
              </w:rPr>
            </w:pPr>
            <w:r w:rsidRPr="0086375D">
              <w:rPr>
                <w:rFonts w:ascii="Verdana" w:hAnsi="Verdana"/>
                <w:sz w:val="18"/>
                <w:szCs w:val="18"/>
              </w:rPr>
              <w:t>Meer en betere landelijke sturing en regie op innovatie in de ambulancesector (en op de RAV-overstijgende samenwerking daarbij) door de zorgverzekeraars en de AZN hierin een sterkere rol te laten vervullen.</w:t>
            </w:r>
          </w:p>
        </w:tc>
        <w:tc>
          <w:tcPr>
            <w:tcW w:w="3988" w:type="dxa"/>
          </w:tcPr>
          <w:p w:rsidRPr="006A3530" w:rsidR="0003599D" w:rsidP="0003599D" w:rsidRDefault="0003599D" w14:paraId="71701842" w14:textId="403FDD19">
            <w:pPr>
              <w:rPr>
                <w:rFonts w:ascii="Verdana" w:hAnsi="Verdana"/>
                <w:sz w:val="18"/>
                <w:szCs w:val="18"/>
              </w:rPr>
            </w:pPr>
            <w:r>
              <w:rPr>
                <w:rFonts w:ascii="Verdana" w:hAnsi="Verdana"/>
                <w:sz w:val="18"/>
                <w:szCs w:val="18"/>
              </w:rPr>
              <w:t>Aanbeveling betreft een oproep aan AZN en ZN. Dit is met positief advies doorgeleid aan deze partijen.</w:t>
            </w:r>
          </w:p>
        </w:tc>
      </w:tr>
      <w:tr w:rsidRPr="006A3530" w:rsidR="0003599D" w:rsidTr="007C4C1E" w14:paraId="3BDDD4B4" w14:textId="77777777">
        <w:tc>
          <w:tcPr>
            <w:tcW w:w="1087" w:type="dxa"/>
          </w:tcPr>
          <w:p w:rsidRPr="006A3530" w:rsidR="0003599D" w:rsidP="0003599D" w:rsidRDefault="0003599D" w14:paraId="55C89EEA" w14:textId="051E2A75">
            <w:pPr>
              <w:rPr>
                <w:rFonts w:ascii="Verdana" w:hAnsi="Verdana"/>
                <w:sz w:val="18"/>
                <w:szCs w:val="18"/>
              </w:rPr>
            </w:pPr>
            <w:r w:rsidRPr="006A3530">
              <w:rPr>
                <w:rFonts w:ascii="Verdana" w:hAnsi="Verdana"/>
                <w:sz w:val="18"/>
                <w:szCs w:val="18"/>
              </w:rPr>
              <w:t>11.</w:t>
            </w:r>
          </w:p>
        </w:tc>
        <w:tc>
          <w:tcPr>
            <w:tcW w:w="3987" w:type="dxa"/>
          </w:tcPr>
          <w:p w:rsidRPr="006A3530" w:rsidR="0003599D" w:rsidP="0003599D" w:rsidRDefault="0003599D" w14:paraId="0C854C6E" w14:textId="51910274">
            <w:pPr>
              <w:rPr>
                <w:rFonts w:ascii="Verdana" w:hAnsi="Verdana"/>
                <w:sz w:val="18"/>
                <w:szCs w:val="18"/>
              </w:rPr>
            </w:pPr>
            <w:r>
              <w:rPr>
                <w:rFonts w:ascii="Verdana" w:hAnsi="Verdana"/>
                <w:sz w:val="18"/>
                <w:szCs w:val="18"/>
              </w:rPr>
              <w:t>O</w:t>
            </w:r>
            <w:r w:rsidRPr="00CC6553">
              <w:rPr>
                <w:rFonts w:ascii="Verdana" w:hAnsi="Verdana"/>
                <w:sz w:val="18"/>
                <w:szCs w:val="18"/>
              </w:rPr>
              <w:t>verwegen om een kennisagenda op te zetten voor de positionering en rolinvulling van ambulancezorg in de bredere acute zorg</w:t>
            </w:r>
            <w:r>
              <w:rPr>
                <w:rFonts w:ascii="Verdana" w:hAnsi="Verdana"/>
                <w:sz w:val="18"/>
                <w:szCs w:val="18"/>
              </w:rPr>
              <w:t>.</w:t>
            </w:r>
          </w:p>
        </w:tc>
        <w:tc>
          <w:tcPr>
            <w:tcW w:w="3988" w:type="dxa"/>
          </w:tcPr>
          <w:p w:rsidRPr="006A3530" w:rsidR="0003599D" w:rsidP="0003599D" w:rsidRDefault="0003599D" w14:paraId="70D1CE22" w14:textId="2CEB1AAB">
            <w:pPr>
              <w:rPr>
                <w:rFonts w:ascii="Verdana" w:hAnsi="Verdana"/>
                <w:sz w:val="18"/>
                <w:szCs w:val="18"/>
              </w:rPr>
            </w:pPr>
            <w:r>
              <w:rPr>
                <w:rFonts w:ascii="Verdana" w:hAnsi="Verdana"/>
                <w:sz w:val="18"/>
                <w:szCs w:val="18"/>
              </w:rPr>
              <w:t>Aanbeveling betreft een oproep aan AZN. Dit is met positief advies doorgeleid aan AZN.</w:t>
            </w:r>
          </w:p>
        </w:tc>
      </w:tr>
      <w:tr w:rsidRPr="006A3530" w:rsidR="0003599D" w:rsidTr="007C4C1E" w14:paraId="12CC070C" w14:textId="77777777">
        <w:tc>
          <w:tcPr>
            <w:tcW w:w="1087" w:type="dxa"/>
          </w:tcPr>
          <w:p w:rsidRPr="006A3530" w:rsidR="0003599D" w:rsidP="0003599D" w:rsidRDefault="0003599D" w14:paraId="4C1594BB" w14:textId="76839797">
            <w:pPr>
              <w:rPr>
                <w:rFonts w:ascii="Verdana" w:hAnsi="Verdana"/>
                <w:sz w:val="18"/>
                <w:szCs w:val="18"/>
              </w:rPr>
            </w:pPr>
            <w:r w:rsidRPr="006A3530">
              <w:rPr>
                <w:rFonts w:ascii="Verdana" w:hAnsi="Verdana"/>
                <w:sz w:val="18"/>
                <w:szCs w:val="18"/>
              </w:rPr>
              <w:t>12.</w:t>
            </w:r>
          </w:p>
        </w:tc>
        <w:tc>
          <w:tcPr>
            <w:tcW w:w="3987" w:type="dxa"/>
          </w:tcPr>
          <w:p w:rsidRPr="006A3530" w:rsidR="0003599D" w:rsidP="0003599D" w:rsidRDefault="0003599D" w14:paraId="72F79A7B" w14:textId="15C4DF53">
            <w:pPr>
              <w:rPr>
                <w:rFonts w:ascii="Verdana" w:hAnsi="Verdana"/>
                <w:sz w:val="18"/>
                <w:szCs w:val="18"/>
              </w:rPr>
            </w:pPr>
            <w:r w:rsidRPr="0086375D">
              <w:rPr>
                <w:rFonts w:ascii="Verdana" w:hAnsi="Verdana"/>
                <w:sz w:val="18"/>
                <w:szCs w:val="18"/>
              </w:rPr>
              <w:t>Kijken naar alternatieve financieringsvormen, mocht vanuit de vrije marge onvoldoende budget beschikbaar zijn voor innovatie.</w:t>
            </w:r>
          </w:p>
        </w:tc>
        <w:tc>
          <w:tcPr>
            <w:tcW w:w="3988" w:type="dxa"/>
          </w:tcPr>
          <w:p w:rsidRPr="006A3530" w:rsidR="0003599D" w:rsidP="0003599D" w:rsidRDefault="0003599D" w14:paraId="1FEE44A4" w14:textId="5F3CEF5C">
            <w:pPr>
              <w:rPr>
                <w:rFonts w:ascii="Verdana" w:hAnsi="Verdana"/>
                <w:sz w:val="18"/>
                <w:szCs w:val="18"/>
              </w:rPr>
            </w:pPr>
            <w:r w:rsidRPr="00EF52C7">
              <w:rPr>
                <w:rFonts w:ascii="Verdana" w:hAnsi="Verdana"/>
                <w:sz w:val="18"/>
                <w:szCs w:val="18"/>
              </w:rPr>
              <w:t xml:space="preserve">De </w:t>
            </w:r>
            <w:r>
              <w:rPr>
                <w:rFonts w:ascii="Verdana" w:hAnsi="Verdana"/>
                <w:sz w:val="18"/>
                <w:szCs w:val="18"/>
              </w:rPr>
              <w:t xml:space="preserve">ruimte in de vrije marge die hiervoor kan worden aangewend </w:t>
            </w:r>
            <w:r w:rsidRPr="00EF52C7">
              <w:rPr>
                <w:rFonts w:ascii="Verdana" w:hAnsi="Verdana"/>
                <w:sz w:val="18"/>
                <w:szCs w:val="18"/>
              </w:rPr>
              <w:t>is niet per se ontoereikend. Wel merkt AZN op dat deze bekostiging vaak tijdelijk en projectmatig is, terwijl structurele vernieuwing meerjarige investeringen vraagt. De huidige bekostiging hoeft de RAV en de zorgverzekeraar er echter niet van te weerhouden om meerjarige afspraken te maken over een innovatie.</w:t>
            </w:r>
            <w:r>
              <w:t xml:space="preserve"> </w:t>
            </w:r>
            <w:r w:rsidRPr="006A3B97">
              <w:rPr>
                <w:rFonts w:ascii="Verdana" w:hAnsi="Verdana"/>
                <w:sz w:val="18"/>
                <w:szCs w:val="18"/>
              </w:rPr>
              <w:t xml:space="preserve"> </w:t>
            </w:r>
            <w:r>
              <w:rPr>
                <w:rFonts w:ascii="Verdana" w:hAnsi="Verdana"/>
                <w:sz w:val="18"/>
                <w:szCs w:val="18"/>
              </w:rPr>
              <w:t xml:space="preserve"> </w:t>
            </w:r>
          </w:p>
        </w:tc>
      </w:tr>
      <w:tr w:rsidRPr="006A3530" w:rsidR="0003599D" w:rsidTr="007C4C1E" w14:paraId="05F12B42" w14:textId="77777777">
        <w:tc>
          <w:tcPr>
            <w:tcW w:w="1087" w:type="dxa"/>
          </w:tcPr>
          <w:p w:rsidRPr="006A3530" w:rsidR="0003599D" w:rsidP="0003599D" w:rsidRDefault="0003599D" w14:paraId="6825822A" w14:textId="46C6797E">
            <w:pPr>
              <w:rPr>
                <w:rFonts w:ascii="Verdana" w:hAnsi="Verdana"/>
                <w:sz w:val="18"/>
                <w:szCs w:val="18"/>
              </w:rPr>
            </w:pPr>
            <w:r w:rsidRPr="006A3530">
              <w:rPr>
                <w:rFonts w:ascii="Verdana" w:hAnsi="Verdana"/>
                <w:sz w:val="18"/>
                <w:szCs w:val="18"/>
              </w:rPr>
              <w:t>13.</w:t>
            </w:r>
          </w:p>
        </w:tc>
        <w:tc>
          <w:tcPr>
            <w:tcW w:w="3987" w:type="dxa"/>
          </w:tcPr>
          <w:p w:rsidRPr="0086375D" w:rsidR="0003599D" w:rsidP="0003599D" w:rsidRDefault="0003599D" w14:paraId="1FF49133" w14:textId="77777777">
            <w:pPr>
              <w:rPr>
                <w:rFonts w:ascii="Verdana" w:hAnsi="Verdana"/>
                <w:sz w:val="18"/>
                <w:szCs w:val="18"/>
              </w:rPr>
            </w:pPr>
            <w:r w:rsidRPr="0086375D">
              <w:rPr>
                <w:rFonts w:ascii="Verdana" w:hAnsi="Verdana"/>
                <w:sz w:val="18"/>
                <w:szCs w:val="18"/>
              </w:rPr>
              <w:t>Overwegen om experimenteerbepalingen in de Wazv op te nemen om experimenteerruimte te bieden bij de</w:t>
            </w:r>
          </w:p>
          <w:p w:rsidRPr="006A3530" w:rsidR="0003599D" w:rsidP="0003599D" w:rsidRDefault="0003599D" w14:paraId="01FF7A00" w14:textId="047304A2">
            <w:pPr>
              <w:rPr>
                <w:rFonts w:ascii="Verdana" w:hAnsi="Verdana"/>
                <w:sz w:val="18"/>
                <w:szCs w:val="18"/>
              </w:rPr>
            </w:pPr>
            <w:r w:rsidRPr="0086375D">
              <w:rPr>
                <w:rFonts w:ascii="Verdana" w:hAnsi="Verdana"/>
                <w:sz w:val="18"/>
                <w:szCs w:val="18"/>
              </w:rPr>
              <w:t>vereisten met betrekking tot kwaliteit van zorg en governance opgenomen in de Wazv en Razv.</w:t>
            </w:r>
          </w:p>
        </w:tc>
        <w:tc>
          <w:tcPr>
            <w:tcW w:w="3988" w:type="dxa"/>
          </w:tcPr>
          <w:p w:rsidRPr="006A3530" w:rsidR="0003599D" w:rsidP="0003599D" w:rsidRDefault="0003599D" w14:paraId="40F80553" w14:textId="06E910AF">
            <w:pPr>
              <w:rPr>
                <w:rFonts w:ascii="Verdana" w:hAnsi="Verdana"/>
                <w:sz w:val="18"/>
                <w:szCs w:val="18"/>
              </w:rPr>
            </w:pPr>
            <w:r>
              <w:rPr>
                <w:rFonts w:ascii="Verdana" w:hAnsi="Verdana"/>
                <w:sz w:val="18"/>
                <w:szCs w:val="18"/>
              </w:rPr>
              <w:t xml:space="preserve">Aanbeveling wordt niet overgenomen. In wetten wordt slechts bij hoge uitzondering een experimenteerbepaling voor regelgeving opgenomen. Bovendien is er op dit moment geen aanleiding toe. Indien er een wens is om te experimenteren met bepalingen in de regeling, dan kan de betreffende bepaling in de regeling (tijdelijk) aangepast worden. </w:t>
            </w:r>
          </w:p>
        </w:tc>
      </w:tr>
      <w:tr w:rsidRPr="006A3530" w:rsidR="0003599D" w:rsidTr="007C4C1E" w14:paraId="28AA4246" w14:textId="77777777">
        <w:tc>
          <w:tcPr>
            <w:tcW w:w="1087" w:type="dxa"/>
          </w:tcPr>
          <w:p w:rsidRPr="006A3530" w:rsidR="0003599D" w:rsidP="0003599D" w:rsidRDefault="0003599D" w14:paraId="3DA24763" w14:textId="3DF356AD">
            <w:pPr>
              <w:rPr>
                <w:rFonts w:ascii="Verdana" w:hAnsi="Verdana"/>
                <w:sz w:val="18"/>
                <w:szCs w:val="18"/>
              </w:rPr>
            </w:pPr>
            <w:r w:rsidRPr="006A3530">
              <w:rPr>
                <w:rFonts w:ascii="Verdana" w:hAnsi="Verdana"/>
                <w:sz w:val="18"/>
                <w:szCs w:val="18"/>
              </w:rPr>
              <w:t>14.</w:t>
            </w:r>
          </w:p>
        </w:tc>
        <w:tc>
          <w:tcPr>
            <w:tcW w:w="3987" w:type="dxa"/>
          </w:tcPr>
          <w:p w:rsidRPr="006A3530" w:rsidR="0003599D" w:rsidP="0003599D" w:rsidRDefault="0003599D" w14:paraId="15997723" w14:textId="3649560D">
            <w:pPr>
              <w:rPr>
                <w:rFonts w:ascii="Verdana" w:hAnsi="Verdana"/>
                <w:sz w:val="18"/>
                <w:szCs w:val="18"/>
              </w:rPr>
            </w:pPr>
            <w:r w:rsidRPr="006A3530">
              <w:rPr>
                <w:rFonts w:ascii="Verdana" w:hAnsi="Verdana"/>
                <w:sz w:val="18"/>
                <w:szCs w:val="18"/>
              </w:rPr>
              <w:t>Handhaven van de huidige situatie met RAV’s met verschillende rechtsvormen.</w:t>
            </w:r>
          </w:p>
        </w:tc>
        <w:tc>
          <w:tcPr>
            <w:tcW w:w="3988" w:type="dxa"/>
          </w:tcPr>
          <w:p w:rsidRPr="006A3530" w:rsidR="0003599D" w:rsidP="0003599D" w:rsidRDefault="0003599D" w14:paraId="3B7C3FD9" w14:textId="46BD5C74">
            <w:pPr>
              <w:rPr>
                <w:rFonts w:ascii="Verdana" w:hAnsi="Verdana"/>
                <w:sz w:val="18"/>
                <w:szCs w:val="18"/>
              </w:rPr>
            </w:pPr>
            <w:r>
              <w:rPr>
                <w:rFonts w:ascii="Verdana" w:hAnsi="Verdana"/>
                <w:sz w:val="18"/>
                <w:szCs w:val="18"/>
              </w:rPr>
              <w:t>Aanbeveling is overgenomen.</w:t>
            </w:r>
          </w:p>
        </w:tc>
      </w:tr>
      <w:tr w:rsidRPr="006A3530" w:rsidR="0003599D" w:rsidTr="007C4C1E" w14:paraId="62EF75CA" w14:textId="77777777">
        <w:tc>
          <w:tcPr>
            <w:tcW w:w="1087" w:type="dxa"/>
          </w:tcPr>
          <w:p w:rsidRPr="006A3530" w:rsidR="0003599D" w:rsidP="0003599D" w:rsidRDefault="0003599D" w14:paraId="3446DB13" w14:textId="3C5419AA">
            <w:pPr>
              <w:rPr>
                <w:rFonts w:ascii="Verdana" w:hAnsi="Verdana"/>
                <w:sz w:val="18"/>
                <w:szCs w:val="18"/>
              </w:rPr>
            </w:pPr>
            <w:r w:rsidRPr="006A3530">
              <w:rPr>
                <w:rFonts w:ascii="Verdana" w:hAnsi="Verdana"/>
                <w:sz w:val="18"/>
                <w:szCs w:val="18"/>
              </w:rPr>
              <w:t>15.</w:t>
            </w:r>
          </w:p>
        </w:tc>
        <w:tc>
          <w:tcPr>
            <w:tcW w:w="3987" w:type="dxa"/>
          </w:tcPr>
          <w:p w:rsidR="0003599D" w:rsidP="0003599D" w:rsidRDefault="0003599D" w14:paraId="0A77EF58" w14:textId="77777777">
            <w:pPr>
              <w:rPr>
                <w:rFonts w:ascii="Verdana" w:hAnsi="Verdana"/>
                <w:sz w:val="18"/>
                <w:szCs w:val="18"/>
              </w:rPr>
            </w:pPr>
            <w:r w:rsidRPr="0086375D">
              <w:rPr>
                <w:rFonts w:ascii="Verdana" w:hAnsi="Verdana"/>
                <w:sz w:val="18"/>
                <w:szCs w:val="18"/>
              </w:rPr>
              <w:t>Onderzoeken of en hoe de uitsluiting van onderaannemerschap in de MKA (artikel 6 lid 3, Wazv) kan</w:t>
            </w:r>
            <w:r>
              <w:rPr>
                <w:rFonts w:ascii="Verdana" w:hAnsi="Verdana"/>
                <w:sz w:val="18"/>
                <w:szCs w:val="18"/>
              </w:rPr>
              <w:t xml:space="preserve"> </w:t>
            </w:r>
            <w:r w:rsidRPr="0086375D">
              <w:rPr>
                <w:rFonts w:ascii="Verdana" w:hAnsi="Verdana"/>
                <w:sz w:val="18"/>
                <w:szCs w:val="18"/>
              </w:rPr>
              <w:t>worden losgelaten</w:t>
            </w:r>
            <w:r>
              <w:rPr>
                <w:rFonts w:ascii="Verdana" w:hAnsi="Verdana"/>
                <w:sz w:val="18"/>
                <w:szCs w:val="18"/>
              </w:rPr>
              <w:t>.</w:t>
            </w:r>
          </w:p>
          <w:p w:rsidRPr="006A3530" w:rsidR="0003599D" w:rsidP="0003599D" w:rsidRDefault="0003599D" w14:paraId="1D4F2891" w14:textId="7C84B746">
            <w:pPr>
              <w:rPr>
                <w:rFonts w:ascii="Verdana" w:hAnsi="Verdana"/>
                <w:sz w:val="18"/>
                <w:szCs w:val="18"/>
              </w:rPr>
            </w:pPr>
            <w:r w:rsidRPr="0086375D">
              <w:rPr>
                <w:rFonts w:ascii="Verdana" w:hAnsi="Verdana"/>
                <w:sz w:val="18"/>
                <w:szCs w:val="18"/>
              </w:rPr>
              <w:t xml:space="preserve"> </w:t>
            </w:r>
          </w:p>
        </w:tc>
        <w:tc>
          <w:tcPr>
            <w:tcW w:w="3988" w:type="dxa"/>
          </w:tcPr>
          <w:p w:rsidRPr="003D6CAF" w:rsidR="0003599D" w:rsidP="0003599D" w:rsidRDefault="0003599D" w14:paraId="00D41327" w14:textId="685798A1">
            <w:pPr>
              <w:rPr>
                <w:rFonts w:ascii="Verdana" w:hAnsi="Verdana"/>
                <w:sz w:val="18"/>
                <w:szCs w:val="18"/>
              </w:rPr>
            </w:pPr>
            <w:r w:rsidRPr="00BB1204">
              <w:rPr>
                <w:rFonts w:ascii="Verdana" w:hAnsi="Verdana"/>
                <w:sz w:val="18"/>
                <w:szCs w:val="18"/>
              </w:rPr>
              <w:t xml:space="preserve">Kabinet is voornemens </w:t>
            </w:r>
            <w:r>
              <w:rPr>
                <w:rFonts w:ascii="Verdana" w:hAnsi="Verdana"/>
                <w:sz w:val="18"/>
                <w:szCs w:val="18"/>
              </w:rPr>
              <w:t>dit te onderzoeken</w:t>
            </w:r>
            <w:r w:rsidRPr="00BB1204">
              <w:rPr>
                <w:rFonts w:ascii="Verdana" w:hAnsi="Verdana"/>
                <w:sz w:val="18"/>
                <w:szCs w:val="18"/>
              </w:rPr>
              <w:t>.</w:t>
            </w:r>
          </w:p>
        </w:tc>
      </w:tr>
      <w:tr w:rsidRPr="006A3530" w:rsidR="0003599D" w:rsidTr="007C4C1E" w14:paraId="1B7356AC" w14:textId="77777777">
        <w:tc>
          <w:tcPr>
            <w:tcW w:w="1087" w:type="dxa"/>
          </w:tcPr>
          <w:p w:rsidRPr="006A3530" w:rsidR="0003599D" w:rsidP="0003599D" w:rsidRDefault="0003599D" w14:paraId="4CBEA625" w14:textId="54E0C8D6">
            <w:pPr>
              <w:rPr>
                <w:rFonts w:ascii="Verdana" w:hAnsi="Verdana"/>
                <w:sz w:val="18"/>
                <w:szCs w:val="18"/>
              </w:rPr>
            </w:pPr>
            <w:r w:rsidRPr="006A3530">
              <w:rPr>
                <w:rFonts w:ascii="Verdana" w:hAnsi="Verdana"/>
                <w:sz w:val="18"/>
                <w:szCs w:val="18"/>
              </w:rPr>
              <w:t>16.</w:t>
            </w:r>
          </w:p>
        </w:tc>
        <w:tc>
          <w:tcPr>
            <w:tcW w:w="3987" w:type="dxa"/>
          </w:tcPr>
          <w:p w:rsidRPr="006A3530" w:rsidR="0003599D" w:rsidP="0003599D" w:rsidRDefault="0003599D" w14:paraId="48F8B05C" w14:textId="07742353">
            <w:pPr>
              <w:rPr>
                <w:rFonts w:ascii="Verdana" w:hAnsi="Verdana"/>
                <w:sz w:val="18"/>
                <w:szCs w:val="18"/>
              </w:rPr>
            </w:pPr>
            <w:r w:rsidRPr="0086375D">
              <w:rPr>
                <w:rFonts w:ascii="Verdana" w:hAnsi="Verdana"/>
                <w:sz w:val="18"/>
                <w:szCs w:val="18"/>
              </w:rPr>
              <w:t>Hoe om te gaan met het dilemma met betrekking tot de fysieke locatie van de MKA valt buiten de scope van de Wazv en de Razv en verdient verder onderzoek. Hiervoor is nodig dat vanuit een bredere blik naar dit dilemma gekeken wordt om alle wettelijke kaders mee te nemen en alle belangen (vanuit zowel het veiligheidsdomein als de acute zorg) mee te wegen. Daarnaast is het belangrijk dat in het onderzoek de organisatorische en technische (on)mogelijkheden voor</w:t>
            </w:r>
            <w:r>
              <w:rPr>
                <w:rFonts w:ascii="Verdana" w:hAnsi="Verdana"/>
                <w:sz w:val="18"/>
                <w:szCs w:val="18"/>
              </w:rPr>
              <w:t xml:space="preserve"> </w:t>
            </w:r>
            <w:r w:rsidRPr="0086375D">
              <w:rPr>
                <w:rFonts w:ascii="Verdana" w:hAnsi="Verdana"/>
                <w:sz w:val="18"/>
                <w:szCs w:val="18"/>
              </w:rPr>
              <w:t>hoe om te gaan met dit dilemma verder uitgezocht worden en of deze om een eventuele aanpassing van de (Politie)wet vragen.</w:t>
            </w:r>
          </w:p>
        </w:tc>
        <w:tc>
          <w:tcPr>
            <w:tcW w:w="3988" w:type="dxa"/>
          </w:tcPr>
          <w:p w:rsidRPr="006A3530" w:rsidR="0003599D" w:rsidP="0003599D" w:rsidRDefault="0003599D" w14:paraId="079287E0" w14:textId="2037AB87">
            <w:pPr>
              <w:rPr>
                <w:rFonts w:ascii="Verdana" w:hAnsi="Verdana"/>
                <w:sz w:val="18"/>
                <w:szCs w:val="18"/>
              </w:rPr>
            </w:pPr>
            <w:r>
              <w:rPr>
                <w:rFonts w:ascii="Verdana" w:hAnsi="Verdana"/>
                <w:sz w:val="18"/>
                <w:szCs w:val="18"/>
              </w:rPr>
              <w:t>Aanbeveling is onderdeel van beleid. D</w:t>
            </w:r>
            <w:r w:rsidRPr="00B40A7B">
              <w:rPr>
                <w:rFonts w:ascii="Verdana" w:hAnsi="Verdana"/>
                <w:sz w:val="18"/>
                <w:szCs w:val="18"/>
              </w:rPr>
              <w:t>e betrokken meldkamerpartijen in het Bestuurlijk Meldkamer Beraad</w:t>
            </w:r>
            <w:r>
              <w:rPr>
                <w:rFonts w:ascii="Verdana" w:hAnsi="Verdana"/>
                <w:sz w:val="18"/>
                <w:szCs w:val="18"/>
              </w:rPr>
              <w:t xml:space="preserve"> hebben</w:t>
            </w:r>
            <w:r w:rsidRPr="00B40A7B">
              <w:rPr>
                <w:rFonts w:ascii="Verdana" w:hAnsi="Verdana"/>
                <w:sz w:val="18"/>
                <w:szCs w:val="18"/>
              </w:rPr>
              <w:t xml:space="preserve"> gezamenlijk kaders en randvoorwaarden vastgesteld voor het uitvoeren van pilots waarin wordt onderzocht of het mogelijk en wenselijk is de meldkamerfunctie ambulancezorg geheel of gedeeltelijk buiten de meldkamer uit te voeren.</w:t>
            </w:r>
            <w:r>
              <w:rPr>
                <w:rFonts w:ascii="Verdana" w:hAnsi="Verdana"/>
                <w:sz w:val="18"/>
                <w:szCs w:val="18"/>
              </w:rPr>
              <w:t xml:space="preserve"> </w:t>
            </w:r>
            <w:r w:rsidRPr="00B40A7B">
              <w:rPr>
                <w:rFonts w:ascii="Verdana" w:hAnsi="Verdana"/>
                <w:sz w:val="18"/>
                <w:szCs w:val="18"/>
              </w:rPr>
              <w:t>De resultaten van d</w:t>
            </w:r>
            <w:r>
              <w:rPr>
                <w:rFonts w:ascii="Verdana" w:hAnsi="Verdana"/>
                <w:sz w:val="18"/>
                <w:szCs w:val="18"/>
              </w:rPr>
              <w:t xml:space="preserve">e pilots </w:t>
            </w:r>
            <w:r w:rsidRPr="00B40A7B">
              <w:rPr>
                <w:rFonts w:ascii="Verdana" w:hAnsi="Verdana"/>
                <w:sz w:val="18"/>
                <w:szCs w:val="18"/>
              </w:rPr>
              <w:t>worden begin 2027 verwacht.</w:t>
            </w:r>
          </w:p>
        </w:tc>
      </w:tr>
      <w:tr w:rsidRPr="006A3530" w:rsidR="0003599D" w:rsidTr="007C4C1E" w14:paraId="359C784B" w14:textId="77777777">
        <w:tc>
          <w:tcPr>
            <w:tcW w:w="1087" w:type="dxa"/>
          </w:tcPr>
          <w:p w:rsidRPr="006A3530" w:rsidR="0003599D" w:rsidP="0003599D" w:rsidRDefault="0003599D" w14:paraId="2205C441" w14:textId="353DAEFE">
            <w:pPr>
              <w:rPr>
                <w:rFonts w:ascii="Verdana" w:hAnsi="Verdana"/>
                <w:sz w:val="18"/>
                <w:szCs w:val="18"/>
              </w:rPr>
            </w:pPr>
            <w:r w:rsidRPr="006A3530">
              <w:rPr>
                <w:rFonts w:ascii="Verdana" w:hAnsi="Verdana"/>
                <w:sz w:val="18"/>
                <w:szCs w:val="18"/>
              </w:rPr>
              <w:t>17.</w:t>
            </w:r>
          </w:p>
        </w:tc>
        <w:tc>
          <w:tcPr>
            <w:tcW w:w="3987" w:type="dxa"/>
          </w:tcPr>
          <w:p w:rsidRPr="006A3530" w:rsidR="0003599D" w:rsidP="0003599D" w:rsidRDefault="0003599D" w14:paraId="5246C24F" w14:textId="33AF6AD9">
            <w:pPr>
              <w:rPr>
                <w:rFonts w:ascii="Verdana" w:hAnsi="Verdana"/>
                <w:sz w:val="18"/>
                <w:szCs w:val="18"/>
              </w:rPr>
            </w:pPr>
            <w:r w:rsidRPr="00CC6553">
              <w:rPr>
                <w:rFonts w:ascii="Verdana" w:hAnsi="Verdana"/>
                <w:sz w:val="18"/>
                <w:szCs w:val="18"/>
              </w:rPr>
              <w:t xml:space="preserve">We adviseren om een verdiepend, cijfermatig beeld van de doelmatigheid van de ambulancezorg te verkrijgen. </w:t>
            </w:r>
            <w:r w:rsidRPr="00CC6553">
              <w:rPr>
                <w:rFonts w:ascii="Verdana" w:hAnsi="Verdana"/>
                <w:sz w:val="18"/>
                <w:szCs w:val="18"/>
              </w:rPr>
              <w:lastRenderedPageBreak/>
              <w:t>Mogelijk volgen daaruit mogelijkheden voor doelmatigheidswinst.</w:t>
            </w:r>
          </w:p>
        </w:tc>
        <w:tc>
          <w:tcPr>
            <w:tcW w:w="3988" w:type="dxa"/>
          </w:tcPr>
          <w:p w:rsidRPr="006A3530" w:rsidR="0003599D" w:rsidP="0003599D" w:rsidRDefault="0003599D" w14:paraId="7F994296" w14:textId="7C2C00DF">
            <w:pPr>
              <w:rPr>
                <w:rFonts w:ascii="Verdana" w:hAnsi="Verdana"/>
                <w:sz w:val="18"/>
                <w:szCs w:val="18"/>
              </w:rPr>
            </w:pPr>
            <w:r>
              <w:rPr>
                <w:rFonts w:ascii="Verdana" w:hAnsi="Verdana"/>
                <w:sz w:val="18"/>
                <w:szCs w:val="18"/>
              </w:rPr>
              <w:lastRenderedPageBreak/>
              <w:t xml:space="preserve">Aanbeveling wordt niet overgenomen. </w:t>
            </w:r>
            <w:r w:rsidRPr="00B40A7B">
              <w:rPr>
                <w:rFonts w:ascii="Verdana" w:hAnsi="Verdana"/>
                <w:sz w:val="18"/>
                <w:szCs w:val="18"/>
              </w:rPr>
              <w:t>Voor een sector waarbij de NZa reeds de belangrijkste budgettaire kaders bepaal</w:t>
            </w:r>
            <w:r>
              <w:rPr>
                <w:rFonts w:ascii="Verdana" w:hAnsi="Verdana"/>
                <w:sz w:val="18"/>
                <w:szCs w:val="18"/>
              </w:rPr>
              <w:t>t</w:t>
            </w:r>
            <w:r w:rsidRPr="00B40A7B">
              <w:rPr>
                <w:rFonts w:ascii="Verdana" w:hAnsi="Verdana"/>
                <w:sz w:val="18"/>
                <w:szCs w:val="18"/>
              </w:rPr>
              <w:t xml:space="preserve"> </w:t>
            </w:r>
            <w:r w:rsidRPr="00B40A7B">
              <w:rPr>
                <w:rFonts w:ascii="Verdana" w:hAnsi="Verdana"/>
                <w:sz w:val="18"/>
                <w:szCs w:val="18"/>
              </w:rPr>
              <w:lastRenderedPageBreak/>
              <w:t>en zorgverzekeraars vervolgens toetsen of daar doelmatig mee wordt omgegaan</w:t>
            </w:r>
            <w:r>
              <w:rPr>
                <w:rFonts w:ascii="Verdana" w:hAnsi="Verdana"/>
                <w:sz w:val="18"/>
                <w:szCs w:val="18"/>
              </w:rPr>
              <w:t>, zien zowel VWS als ZN geen aanleiding om extra onderzoek te doen naar de doelmatigheid in de ambulancezorg.</w:t>
            </w:r>
          </w:p>
        </w:tc>
      </w:tr>
      <w:tr w:rsidRPr="006A3530" w:rsidR="0003599D" w:rsidTr="007C4C1E" w14:paraId="70CDDA78" w14:textId="77777777">
        <w:tc>
          <w:tcPr>
            <w:tcW w:w="1087" w:type="dxa"/>
          </w:tcPr>
          <w:p w:rsidRPr="006A3530" w:rsidR="0003599D" w:rsidP="0003599D" w:rsidRDefault="0003599D" w14:paraId="38B7E3EF" w14:textId="3046F71D">
            <w:pPr>
              <w:rPr>
                <w:rFonts w:ascii="Verdana" w:hAnsi="Verdana"/>
                <w:sz w:val="18"/>
                <w:szCs w:val="18"/>
              </w:rPr>
            </w:pPr>
            <w:r w:rsidRPr="006A3530">
              <w:rPr>
                <w:rFonts w:ascii="Verdana" w:hAnsi="Verdana"/>
                <w:sz w:val="18"/>
                <w:szCs w:val="18"/>
              </w:rPr>
              <w:lastRenderedPageBreak/>
              <w:t>18.</w:t>
            </w:r>
          </w:p>
        </w:tc>
        <w:tc>
          <w:tcPr>
            <w:tcW w:w="3987" w:type="dxa"/>
          </w:tcPr>
          <w:p w:rsidRPr="006A3530" w:rsidR="0003599D" w:rsidP="0003599D" w:rsidRDefault="0003599D" w14:paraId="01B018AD" w14:textId="39FB6E41">
            <w:pPr>
              <w:rPr>
                <w:rFonts w:ascii="Verdana" w:hAnsi="Verdana"/>
                <w:sz w:val="18"/>
                <w:szCs w:val="18"/>
              </w:rPr>
            </w:pPr>
            <w:r w:rsidRPr="00CC6553">
              <w:rPr>
                <w:rFonts w:ascii="Verdana" w:hAnsi="Verdana"/>
                <w:sz w:val="18"/>
                <w:szCs w:val="18"/>
              </w:rPr>
              <w:t>Mogelijkheden onderzoeken om vanuit ketenperspectief naar doelmatigheid in de acute zorg te kijken.</w:t>
            </w:r>
          </w:p>
        </w:tc>
        <w:tc>
          <w:tcPr>
            <w:tcW w:w="3988" w:type="dxa"/>
          </w:tcPr>
          <w:p w:rsidRPr="006A3530" w:rsidR="0003599D" w:rsidP="0003599D" w:rsidRDefault="0003599D" w14:paraId="5BAF57F3" w14:textId="58E1746B">
            <w:pPr>
              <w:rPr>
                <w:rFonts w:ascii="Verdana" w:hAnsi="Verdana"/>
                <w:sz w:val="18"/>
                <w:szCs w:val="18"/>
              </w:rPr>
            </w:pPr>
            <w:r>
              <w:rPr>
                <w:rFonts w:ascii="Verdana" w:hAnsi="Verdana"/>
                <w:sz w:val="18"/>
                <w:szCs w:val="18"/>
              </w:rPr>
              <w:t xml:space="preserve">Aanbeveling is overgenomen, in die zin dat de sector al bezig is om </w:t>
            </w:r>
            <w:r w:rsidRPr="0014591C">
              <w:rPr>
                <w:rFonts w:ascii="Verdana" w:hAnsi="Verdana"/>
                <w:sz w:val="18"/>
                <w:szCs w:val="18"/>
              </w:rPr>
              <w:t>in de zorgketen doelmatiger om te gaan met de beperkte middelen.</w:t>
            </w:r>
            <w:r>
              <w:rPr>
                <w:rFonts w:ascii="Verdana" w:hAnsi="Verdana"/>
                <w:sz w:val="18"/>
                <w:szCs w:val="18"/>
              </w:rPr>
              <w:t xml:space="preserve"> Hiervoor lopen reeds verschillende projecten. </w:t>
            </w:r>
          </w:p>
        </w:tc>
      </w:tr>
      <w:tr w:rsidRPr="006A3530" w:rsidR="0003599D" w:rsidTr="007C4C1E" w14:paraId="342A8DF6" w14:textId="77777777">
        <w:tc>
          <w:tcPr>
            <w:tcW w:w="1087" w:type="dxa"/>
          </w:tcPr>
          <w:p w:rsidRPr="006A3530" w:rsidR="0003599D" w:rsidP="0003599D" w:rsidRDefault="0003599D" w14:paraId="17C2F774" w14:textId="181FA48C">
            <w:pPr>
              <w:rPr>
                <w:rFonts w:ascii="Verdana" w:hAnsi="Verdana"/>
                <w:sz w:val="18"/>
                <w:szCs w:val="18"/>
              </w:rPr>
            </w:pPr>
            <w:r w:rsidRPr="006A3530">
              <w:rPr>
                <w:rFonts w:ascii="Verdana" w:hAnsi="Verdana"/>
                <w:sz w:val="18"/>
                <w:szCs w:val="18"/>
              </w:rPr>
              <w:t>19.</w:t>
            </w:r>
          </w:p>
        </w:tc>
        <w:tc>
          <w:tcPr>
            <w:tcW w:w="3987" w:type="dxa"/>
          </w:tcPr>
          <w:p w:rsidRPr="006A3530" w:rsidR="0003599D" w:rsidP="0003599D" w:rsidRDefault="0003599D" w14:paraId="2D9BEE11" w14:textId="1024673B">
            <w:pPr>
              <w:rPr>
                <w:rFonts w:ascii="Verdana" w:hAnsi="Verdana"/>
                <w:sz w:val="18"/>
                <w:szCs w:val="18"/>
              </w:rPr>
            </w:pPr>
            <w:r w:rsidRPr="0086375D">
              <w:rPr>
                <w:rFonts w:ascii="Verdana" w:hAnsi="Verdana"/>
                <w:sz w:val="18"/>
                <w:szCs w:val="18"/>
              </w:rPr>
              <w:t>Geen aanpassingen doorvoeren in het niveau waarop de ambulancezorg georganiseerd is, vasthouden aan de indeling op het niveau van de veiligheidsregio.</w:t>
            </w:r>
          </w:p>
        </w:tc>
        <w:tc>
          <w:tcPr>
            <w:tcW w:w="3988" w:type="dxa"/>
          </w:tcPr>
          <w:p w:rsidRPr="006A3530" w:rsidR="0003599D" w:rsidP="0003599D" w:rsidRDefault="0003599D" w14:paraId="5208BC3F" w14:textId="6D573C9E">
            <w:pPr>
              <w:rPr>
                <w:rFonts w:ascii="Verdana" w:hAnsi="Verdana"/>
                <w:sz w:val="18"/>
                <w:szCs w:val="18"/>
              </w:rPr>
            </w:pPr>
            <w:r>
              <w:rPr>
                <w:rFonts w:ascii="Verdana" w:hAnsi="Verdana"/>
                <w:sz w:val="18"/>
                <w:szCs w:val="18"/>
              </w:rPr>
              <w:t>Aanbeveling is overgenomen.</w:t>
            </w:r>
          </w:p>
        </w:tc>
      </w:tr>
    </w:tbl>
    <w:p w:rsidRPr="006A3530" w:rsidR="0068487F" w:rsidRDefault="0068487F" w14:paraId="117CCDBF" w14:textId="77777777">
      <w:pPr>
        <w:rPr>
          <w:rFonts w:ascii="Verdana" w:hAnsi="Verdana"/>
          <w:b/>
          <w:bCs/>
          <w:sz w:val="18"/>
          <w:szCs w:val="18"/>
        </w:rPr>
      </w:pPr>
    </w:p>
    <w:p w:rsidRPr="006A3530" w:rsidR="00453BF6" w:rsidRDefault="00453BF6" w14:paraId="33B606F4" w14:textId="77777777">
      <w:pPr>
        <w:rPr>
          <w:rFonts w:ascii="Verdana" w:hAnsi="Verdana"/>
          <w:b/>
          <w:bCs/>
          <w:sz w:val="18"/>
          <w:szCs w:val="18"/>
        </w:rPr>
      </w:pPr>
    </w:p>
    <w:sectPr w:rsidRPr="006A3530" w:rsidR="00453B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5A42" w14:textId="77777777" w:rsidR="004B36CA" w:rsidRDefault="004B36CA" w:rsidP="00B40A7B">
      <w:pPr>
        <w:spacing w:after="0" w:line="240" w:lineRule="auto"/>
      </w:pPr>
      <w:r>
        <w:separator/>
      </w:r>
    </w:p>
  </w:endnote>
  <w:endnote w:type="continuationSeparator" w:id="0">
    <w:p w14:paraId="7478F826" w14:textId="77777777" w:rsidR="004B36CA" w:rsidRDefault="004B36CA" w:rsidP="00B4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00000000"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F610" w14:textId="77777777" w:rsidR="004B36CA" w:rsidRDefault="004B36CA" w:rsidP="00B40A7B">
      <w:pPr>
        <w:spacing w:after="0" w:line="240" w:lineRule="auto"/>
      </w:pPr>
      <w:r>
        <w:separator/>
      </w:r>
    </w:p>
  </w:footnote>
  <w:footnote w:type="continuationSeparator" w:id="0">
    <w:p w14:paraId="0B595572" w14:textId="77777777" w:rsidR="004B36CA" w:rsidRDefault="004B36CA" w:rsidP="00B40A7B">
      <w:pPr>
        <w:spacing w:after="0" w:line="240" w:lineRule="auto"/>
      </w:pPr>
      <w:r>
        <w:continuationSeparator/>
      </w:r>
    </w:p>
  </w:footnote>
  <w:footnote w:id="1">
    <w:p w14:paraId="5006F641" w14:textId="77777777" w:rsidR="0003599D" w:rsidRPr="000F3E2F" w:rsidRDefault="0003599D" w:rsidP="007A27E6">
      <w:pPr>
        <w:pStyle w:val="Voetnoottekst"/>
        <w:rPr>
          <w:sz w:val="16"/>
          <w:szCs w:val="16"/>
        </w:rPr>
      </w:pPr>
      <w:r w:rsidRPr="000F3E2F">
        <w:rPr>
          <w:rStyle w:val="Voetnootmarkering"/>
          <w:sz w:val="16"/>
          <w:szCs w:val="16"/>
        </w:rPr>
        <w:footnoteRef/>
      </w:r>
      <w:r w:rsidRPr="000F3E2F">
        <w:rPr>
          <w:sz w:val="16"/>
          <w:szCs w:val="16"/>
        </w:rPr>
        <w:t xml:space="preserve"> Kamerstukken II, 2024/25, 35471, nr. 40</w:t>
      </w:r>
      <w:r>
        <w:rPr>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71"/>
    <w:rsid w:val="0003599D"/>
    <w:rsid w:val="000A0DC6"/>
    <w:rsid w:val="000C3D91"/>
    <w:rsid w:val="000E662F"/>
    <w:rsid w:val="0014591C"/>
    <w:rsid w:val="00172D4C"/>
    <w:rsid w:val="001B4ADA"/>
    <w:rsid w:val="001C5CC8"/>
    <w:rsid w:val="00250211"/>
    <w:rsid w:val="002C615E"/>
    <w:rsid w:val="002D6FAB"/>
    <w:rsid w:val="002F3719"/>
    <w:rsid w:val="00375DB6"/>
    <w:rsid w:val="003D6CAF"/>
    <w:rsid w:val="00427A93"/>
    <w:rsid w:val="00453BF6"/>
    <w:rsid w:val="00457BDC"/>
    <w:rsid w:val="004655ED"/>
    <w:rsid w:val="00482A31"/>
    <w:rsid w:val="004B36CA"/>
    <w:rsid w:val="004C571B"/>
    <w:rsid w:val="004D35F8"/>
    <w:rsid w:val="00511B0F"/>
    <w:rsid w:val="00522E9E"/>
    <w:rsid w:val="0052370F"/>
    <w:rsid w:val="006103A3"/>
    <w:rsid w:val="006536B1"/>
    <w:rsid w:val="0066568C"/>
    <w:rsid w:val="0068487F"/>
    <w:rsid w:val="006A3530"/>
    <w:rsid w:val="006A3B97"/>
    <w:rsid w:val="006B422C"/>
    <w:rsid w:val="00703CB9"/>
    <w:rsid w:val="00717589"/>
    <w:rsid w:val="00764CED"/>
    <w:rsid w:val="00784700"/>
    <w:rsid w:val="0079034A"/>
    <w:rsid w:val="007A27E6"/>
    <w:rsid w:val="007A2C09"/>
    <w:rsid w:val="007C4C1E"/>
    <w:rsid w:val="00834990"/>
    <w:rsid w:val="0086375D"/>
    <w:rsid w:val="00867C4C"/>
    <w:rsid w:val="008702EB"/>
    <w:rsid w:val="008720E1"/>
    <w:rsid w:val="008A7C35"/>
    <w:rsid w:val="009B6B94"/>
    <w:rsid w:val="00A74B57"/>
    <w:rsid w:val="00A9047F"/>
    <w:rsid w:val="00AB4271"/>
    <w:rsid w:val="00AD3069"/>
    <w:rsid w:val="00B40A7B"/>
    <w:rsid w:val="00B63E29"/>
    <w:rsid w:val="00BB1204"/>
    <w:rsid w:val="00BC2FB6"/>
    <w:rsid w:val="00BC6C33"/>
    <w:rsid w:val="00C1075B"/>
    <w:rsid w:val="00C15921"/>
    <w:rsid w:val="00C21535"/>
    <w:rsid w:val="00CC0C71"/>
    <w:rsid w:val="00CC6553"/>
    <w:rsid w:val="00CD6F26"/>
    <w:rsid w:val="00D61923"/>
    <w:rsid w:val="00D72C8B"/>
    <w:rsid w:val="00DD5DA0"/>
    <w:rsid w:val="00DE1D7E"/>
    <w:rsid w:val="00DE4CCF"/>
    <w:rsid w:val="00E11EF7"/>
    <w:rsid w:val="00E36C11"/>
    <w:rsid w:val="00EA6B2E"/>
    <w:rsid w:val="00EE7C1D"/>
    <w:rsid w:val="00EF52C7"/>
    <w:rsid w:val="00F856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44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0C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C0C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C0C7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C0C7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C0C7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C0C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0C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0C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0C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0C7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C0C7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C0C7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C0C7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C0C7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C0C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0C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0C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0C71"/>
    <w:rPr>
      <w:rFonts w:eastAsiaTheme="majorEastAsia" w:cstheme="majorBidi"/>
      <w:color w:val="272727" w:themeColor="text1" w:themeTint="D8"/>
    </w:rPr>
  </w:style>
  <w:style w:type="paragraph" w:styleId="Titel">
    <w:name w:val="Title"/>
    <w:basedOn w:val="Standaard"/>
    <w:next w:val="Standaard"/>
    <w:link w:val="TitelChar"/>
    <w:uiPriority w:val="10"/>
    <w:qFormat/>
    <w:rsid w:val="00CC0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0C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0C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0C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0C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0C71"/>
    <w:rPr>
      <w:i/>
      <w:iCs/>
      <w:color w:val="404040" w:themeColor="text1" w:themeTint="BF"/>
    </w:rPr>
  </w:style>
  <w:style w:type="paragraph" w:styleId="Lijstalinea">
    <w:name w:val="List Paragraph"/>
    <w:basedOn w:val="Standaard"/>
    <w:uiPriority w:val="34"/>
    <w:qFormat/>
    <w:rsid w:val="00CC0C71"/>
    <w:pPr>
      <w:ind w:left="720"/>
      <w:contextualSpacing/>
    </w:pPr>
  </w:style>
  <w:style w:type="character" w:styleId="Intensievebenadrukking">
    <w:name w:val="Intense Emphasis"/>
    <w:basedOn w:val="Standaardalinea-lettertype"/>
    <w:uiPriority w:val="21"/>
    <w:qFormat/>
    <w:rsid w:val="00CC0C71"/>
    <w:rPr>
      <w:i/>
      <w:iCs/>
      <w:color w:val="2F5496" w:themeColor="accent1" w:themeShade="BF"/>
    </w:rPr>
  </w:style>
  <w:style w:type="paragraph" w:styleId="Duidelijkcitaat">
    <w:name w:val="Intense Quote"/>
    <w:basedOn w:val="Standaard"/>
    <w:next w:val="Standaard"/>
    <w:link w:val="DuidelijkcitaatChar"/>
    <w:uiPriority w:val="30"/>
    <w:qFormat/>
    <w:rsid w:val="00CC0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C0C71"/>
    <w:rPr>
      <w:i/>
      <w:iCs/>
      <w:color w:val="2F5496" w:themeColor="accent1" w:themeShade="BF"/>
    </w:rPr>
  </w:style>
  <w:style w:type="character" w:styleId="Intensieveverwijzing">
    <w:name w:val="Intense Reference"/>
    <w:basedOn w:val="Standaardalinea-lettertype"/>
    <w:uiPriority w:val="32"/>
    <w:qFormat/>
    <w:rsid w:val="00CC0C71"/>
    <w:rPr>
      <w:b/>
      <w:bCs/>
      <w:smallCaps/>
      <w:color w:val="2F5496" w:themeColor="accent1" w:themeShade="BF"/>
      <w:spacing w:val="5"/>
    </w:rPr>
  </w:style>
  <w:style w:type="table" w:styleId="Tabelraster">
    <w:name w:val="Table Grid"/>
    <w:basedOn w:val="Standaardtabel"/>
    <w:uiPriority w:val="39"/>
    <w:rsid w:val="007C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7A27E6"/>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7A27E6"/>
    <w:rPr>
      <w:rFonts w:ascii="Verdana" w:eastAsia="DejaVu Sans" w:hAnsi="Verdana" w:cs="Mangal"/>
      <w:kern w:val="3"/>
      <w:sz w:val="20"/>
      <w:szCs w:val="18"/>
      <w:lang w:eastAsia="zh-CN" w:bidi="hi-IN"/>
      <w14:ligatures w14:val="none"/>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basedOn w:val="Standaardalinea-lettertype"/>
    <w:uiPriority w:val="99"/>
    <w:semiHidden/>
    <w:unhideWhenUsed/>
    <w:rsid w:val="007A27E6"/>
    <w:rPr>
      <w:vertAlign w:val="superscript"/>
    </w:rPr>
  </w:style>
  <w:style w:type="paragraph" w:styleId="Revisie">
    <w:name w:val="Revision"/>
    <w:hidden/>
    <w:uiPriority w:val="99"/>
    <w:semiHidden/>
    <w:rsid w:val="00DE4C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1582</ap:Words>
  <ap:Characters>8705</ap:Characters>
  <ap:DocSecurity>0</ap:DocSecurity>
  <ap:Lines>72</ap:Lines>
  <ap:Paragraphs>20</ap:Paragraphs>
  <ap:ScaleCrop>false</ap:ScaleCrop>
  <ap:LinksUpToDate>false</ap:LinksUpToDate>
  <ap:CharactersWithSpaces>10267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2026-06-15T10:08:00.0000000Z</dcterms:created>
  <dcterms:modified xsi:type="dcterms:W3CDTF">2026-06-15T10:08:00.0000000Z</dcterms:modified>
  <version/>
  <category/>
</coreProperties>
</file>