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6268" w:rsidR="005F6268" w:rsidP="005F6268" w:rsidRDefault="005F6268" w14:paraId="19AC1888" w14:textId="77777777">
      <w:pPr>
        <w:pStyle w:val="StandaardAanhef"/>
        <w:suppressAutoHyphens/>
      </w:pPr>
    </w:p>
    <w:p w:rsidRPr="005F6268" w:rsidR="00871EF3" w:rsidP="005F6268" w:rsidRDefault="00871EF3" w14:paraId="3BD4D52F" w14:textId="2CF3A274">
      <w:pPr>
        <w:pStyle w:val="StandaardAanhef"/>
        <w:suppressAutoHyphens/>
      </w:pPr>
      <w:r w:rsidRPr="005F6268">
        <w:t>Geachte voorzitter,</w:t>
      </w:r>
    </w:p>
    <w:p w:rsidRPr="005F6268" w:rsidR="00871EF3" w:rsidP="005F6268" w:rsidRDefault="00871EF3" w14:paraId="6F0342D7" w14:textId="77777777">
      <w:pPr>
        <w:suppressAutoHyphens/>
        <w:spacing w:line="246" w:lineRule="atLeast"/>
      </w:pPr>
      <w:r w:rsidRPr="005F6268">
        <w:t>Met deze brief bied</w:t>
      </w:r>
      <w:r w:rsidRPr="005F6268" w:rsidR="003B2233">
        <w:t>t het kabinet</w:t>
      </w:r>
      <w:r w:rsidRPr="005F6268">
        <w:t xml:space="preserve"> u de vijfde serie van de Standen van de Uitvoering op het VWS-domein aan.</w:t>
      </w:r>
      <w:r w:rsidRPr="005F6268">
        <w:rPr>
          <w:rStyle w:val="Voetnootmarkering"/>
        </w:rPr>
        <w:footnoteReference w:id="1"/>
      </w:r>
      <w:r w:rsidRPr="005F6268">
        <w:t xml:space="preserve"> </w:t>
      </w:r>
      <w:r w:rsidRPr="005F6268" w:rsidR="0023339C">
        <w:t>Het doel van de Standen van de Uitvoering is om knelpunten in de uitvoering structureel zichtbaar te maken, zodat gerichte verbeteringen kunnen worden doorgevoerd die de publieke dienstverlening versterken.</w:t>
      </w:r>
      <w:r w:rsidRPr="005F6268" w:rsidR="00046156">
        <w:t xml:space="preserve"> </w:t>
      </w:r>
      <w:r w:rsidRPr="005F6268">
        <w:t xml:space="preserve">Eenzelfde brief </w:t>
      </w:r>
      <w:r w:rsidRPr="005F6268" w:rsidR="00FF4CBD">
        <w:t>wordt gestuurd</w:t>
      </w:r>
      <w:r w:rsidRPr="005F6268">
        <w:t xml:space="preserve"> naar de voorzitter van de Eerste Kamer.</w:t>
      </w:r>
    </w:p>
    <w:p w:rsidRPr="005F6268" w:rsidR="00871EF3" w:rsidP="005F6268" w:rsidRDefault="00871EF3" w14:paraId="6B2818FB" w14:textId="77777777">
      <w:pPr>
        <w:suppressAutoHyphens/>
        <w:spacing w:line="246" w:lineRule="atLeast"/>
      </w:pPr>
    </w:p>
    <w:p w:rsidRPr="005F6268" w:rsidR="003569C2" w:rsidP="005F6268" w:rsidRDefault="00871EF3" w14:paraId="7C533E28" w14:textId="77777777">
      <w:pPr>
        <w:suppressAutoHyphens/>
        <w:spacing w:after="160" w:line="259" w:lineRule="auto"/>
      </w:pPr>
      <w:r w:rsidRPr="005F6268">
        <w:t>In de Standen van de Uitvoering delen organisaties ongefilterd signalen en knelpunten uit de uitvoeringspraktijk met het parlement</w:t>
      </w:r>
      <w:r w:rsidRPr="005F6268" w:rsidR="00890D6F">
        <w:t xml:space="preserve"> </w:t>
      </w:r>
      <w:r w:rsidRPr="005F6268">
        <w:t>en het bredere publiek. Het uitbrengen van een Stand per domein of organisatie is een kabinets</w:t>
      </w:r>
      <w:r w:rsidRPr="005F6268" w:rsidR="00377C90">
        <w:t>-</w:t>
      </w:r>
      <w:r w:rsidRPr="005F6268">
        <w:t>toezegging.</w:t>
      </w:r>
      <w:r w:rsidRPr="005F6268">
        <w:rPr>
          <w:rStyle w:val="Voetnootmarkering"/>
        </w:rPr>
        <w:footnoteReference w:id="2"/>
      </w:r>
      <w:r w:rsidRPr="005F6268">
        <w:t xml:space="preserve"> Jaarlijks word</w:t>
      </w:r>
      <w:r w:rsidRPr="005F6268" w:rsidR="003B2233">
        <w:t>t</w:t>
      </w:r>
      <w:r w:rsidRPr="005F6268">
        <w:t xml:space="preserve"> uitvoeringsorganisaties de mogelijkheid geboden hun signalen op deze manier met de Kamer en het brede publiek te delen. </w:t>
      </w:r>
    </w:p>
    <w:p w:rsidRPr="005F6268" w:rsidR="00871EF3" w:rsidP="005F6268" w:rsidRDefault="00871EF3" w14:paraId="208470CE" w14:textId="77777777">
      <w:pPr>
        <w:suppressAutoHyphens/>
        <w:spacing w:after="160" w:line="259" w:lineRule="auto"/>
      </w:pPr>
      <w:r w:rsidRPr="005F6268">
        <w:t>Dit jaar publiceren de organisaties</w:t>
      </w:r>
      <w:r w:rsidRPr="005F6268" w:rsidR="00377C90">
        <w:t>:</w:t>
      </w:r>
      <w:r w:rsidRPr="005F6268">
        <w:t xml:space="preserve"> CAK, </w:t>
      </w:r>
      <w:r w:rsidRPr="005F6268" w:rsidR="002F2B2A">
        <w:t>Centrum Indicatiestelling Zorg (</w:t>
      </w:r>
      <w:r w:rsidRPr="005F6268">
        <w:t>CIZ</w:t>
      </w:r>
      <w:r w:rsidRPr="005F6268" w:rsidR="002F2B2A">
        <w:t>)</w:t>
      </w:r>
      <w:r w:rsidRPr="005F6268">
        <w:t xml:space="preserve">, </w:t>
      </w:r>
      <w:r w:rsidRPr="005F6268" w:rsidR="002F2B2A">
        <w:t>agentschap College ter Beoordeling van Geneesmiddelen (</w:t>
      </w:r>
      <w:proofErr w:type="spellStart"/>
      <w:r w:rsidRPr="005F6268">
        <w:t>aCBG</w:t>
      </w:r>
      <w:proofErr w:type="spellEnd"/>
      <w:r w:rsidRPr="005F6268" w:rsidR="002F2B2A">
        <w:t>)</w:t>
      </w:r>
      <w:r w:rsidRPr="005F6268">
        <w:t xml:space="preserve">, </w:t>
      </w:r>
      <w:r w:rsidRPr="005F6268" w:rsidR="00EC089C">
        <w:t>CIBG</w:t>
      </w:r>
      <w:r w:rsidRPr="005F6268">
        <w:t xml:space="preserve">, </w:t>
      </w:r>
      <w:r w:rsidRPr="005F6268" w:rsidR="002F2B2A">
        <w:t>Rijksinstituut voor Volksgezondheid en Milieu (</w:t>
      </w:r>
      <w:r w:rsidRPr="005F6268">
        <w:t>RIVM</w:t>
      </w:r>
      <w:r w:rsidRPr="005F6268" w:rsidR="002F2B2A">
        <w:t>)</w:t>
      </w:r>
      <w:r w:rsidRPr="005F6268">
        <w:t xml:space="preserve"> en </w:t>
      </w:r>
      <w:r w:rsidRPr="005F6268" w:rsidR="002F2B2A">
        <w:t>de Sociale Verzekeringsbank (</w:t>
      </w:r>
      <w:r w:rsidRPr="005F6268">
        <w:t>SVB</w:t>
      </w:r>
      <w:r w:rsidRPr="005F6268" w:rsidR="002F2B2A">
        <w:t>)</w:t>
      </w:r>
      <w:r w:rsidRPr="005F6268" w:rsidR="002F2B2A">
        <w:rPr>
          <w:rStyle w:val="Voetnootmarkering"/>
        </w:rPr>
        <w:footnoteReference w:id="3"/>
      </w:r>
      <w:r w:rsidRPr="005F6268">
        <w:t xml:space="preserve"> een Stand van de Uitvoering. Alle organisaties hebben één of meerdere keren in de afgelopen jaren een Stand uitgebracht. </w:t>
      </w:r>
    </w:p>
    <w:p w:rsidRPr="005F6268" w:rsidR="003B2233" w:rsidP="005F6268" w:rsidRDefault="00E908D4" w14:paraId="13E85473" w14:textId="77777777">
      <w:pPr>
        <w:suppressAutoHyphens/>
        <w:spacing w:after="160" w:line="259" w:lineRule="auto"/>
      </w:pPr>
      <w:r w:rsidRPr="005F6268">
        <w:t>Ook dit jaar hebben de deelnemende organisatie</w:t>
      </w:r>
      <w:r w:rsidRPr="005F6268" w:rsidR="002F5EF5">
        <w:t>s</w:t>
      </w:r>
      <w:r w:rsidRPr="005F6268">
        <w:t xml:space="preserve"> weer veel energie gestoken in het inzichtelijk maken van de knelpunten die burgers, zijzelf en/of organisaties waar zij voor werken</w:t>
      </w:r>
      <w:r w:rsidRPr="005F6268" w:rsidR="003B2233">
        <w:t xml:space="preserve"> </w:t>
      </w:r>
      <w:r w:rsidRPr="005F6268">
        <w:t xml:space="preserve">in de dagelijkse praktijk ervaren. </w:t>
      </w:r>
      <w:r w:rsidRPr="005F6268" w:rsidR="00785A4B">
        <w:t>Dit wordt door het kabinet zeer op prijs gesteld.</w:t>
      </w:r>
    </w:p>
    <w:p w:rsidRPr="005F6268" w:rsidR="005F6268" w:rsidP="005F6268" w:rsidRDefault="005F6268" w14:paraId="7CCB2E3A" w14:textId="77777777">
      <w:pPr>
        <w:suppressAutoHyphens/>
        <w:spacing w:after="160" w:line="259" w:lineRule="auto"/>
      </w:pPr>
    </w:p>
    <w:p w:rsidRPr="005F6268" w:rsidR="0061640E" w:rsidP="005F6268" w:rsidRDefault="0023339C" w14:paraId="3D9B9C40" w14:textId="7A35CB75">
      <w:pPr>
        <w:suppressAutoHyphens/>
        <w:spacing w:after="160" w:line="259" w:lineRule="auto"/>
      </w:pPr>
      <w:r w:rsidRPr="005F6268">
        <w:lastRenderedPageBreak/>
        <w:t>Mede dankzij de inzichten uit de Standen van de Uitvoering zijn de afgelopen jaren</w:t>
      </w:r>
      <w:r w:rsidRPr="005F6268" w:rsidR="00FD061A">
        <w:t xml:space="preserve"> merkbare verbeteringen gerealiseerd en knelpunten opgelost. Tegelijkertijd </w:t>
      </w:r>
      <w:r w:rsidRPr="005F6268" w:rsidR="004161F0">
        <w:t>zijn</w:t>
      </w:r>
      <w:r w:rsidRPr="005F6268" w:rsidR="00FD061A">
        <w:t xml:space="preserve"> knelpunten vaak weerbarstig, waarbij een oplossing niet altijd eenvoudig</w:t>
      </w:r>
      <w:r w:rsidRPr="005F6268" w:rsidR="002F5EF5">
        <w:t xml:space="preserve"> of snel</w:t>
      </w:r>
      <w:r w:rsidRPr="005F6268" w:rsidR="00FD061A">
        <w:t xml:space="preserve"> voorhanden is. </w:t>
      </w:r>
      <w:r w:rsidRPr="005F6268" w:rsidR="0082266D">
        <w:t>Alleen als alle betrokken partijen hun eigen rol en verantwoordelijkheid nemen en elkaar daarin versterken, kunnen we knelpunten wegnemen en de publieke dienstverlening duurzaam verbeteren.</w:t>
      </w:r>
    </w:p>
    <w:p w:rsidRPr="005F6268" w:rsidR="0061640E" w:rsidP="005F6268" w:rsidRDefault="0061640E" w14:paraId="270FA79A" w14:textId="3B58757E">
      <w:pPr>
        <w:suppressAutoHyphens/>
        <w:spacing w:after="160" w:line="259" w:lineRule="auto"/>
      </w:pPr>
      <w:r w:rsidRPr="005F6268">
        <w:t>Omdat onderwerpen met elkaar concurreren op voorrang, zeker in het licht van de bezuinigingen bij de Rijksoverheid</w:t>
      </w:r>
      <w:r w:rsidRPr="005F6268" w:rsidR="006975DA">
        <w:t>,</w:t>
      </w:r>
      <w:r w:rsidRPr="005F6268">
        <w:t xml:space="preserve"> is er in de brief ook aandacht voor prioritering. In de brief wordt eerst ingegaan op de grootste knelpunten die de Staat van de Uitvoering signaleert in haar </w:t>
      </w:r>
      <w:proofErr w:type="spellStart"/>
      <w:r w:rsidRPr="005F6268">
        <w:t>rijksbrede</w:t>
      </w:r>
      <w:proofErr w:type="spellEnd"/>
      <w:r w:rsidRPr="005F6268">
        <w:t xml:space="preserve"> analyse van de Standen van de Uitvoering</w:t>
      </w:r>
      <w:r w:rsidRPr="005F6268">
        <w:rPr>
          <w:rStyle w:val="Voetnootmarkering"/>
        </w:rPr>
        <w:footnoteReference w:id="4"/>
      </w:r>
      <w:r w:rsidRPr="005F6268">
        <w:t>: overkoepelende knelpunten gegevensdeling en complexiteit van regelgeving. Daarna wordt gereageerd op de knelpunten per organisatie.</w:t>
      </w:r>
    </w:p>
    <w:p w:rsidRPr="005F6268" w:rsidR="004875C6" w:rsidP="005F6268" w:rsidRDefault="004875C6" w14:paraId="09AC3950" w14:textId="77777777">
      <w:pPr>
        <w:suppressAutoHyphens/>
        <w:spacing w:line="246" w:lineRule="atLeast"/>
        <w:rPr>
          <w:b/>
          <w:bCs/>
        </w:rPr>
      </w:pPr>
      <w:r w:rsidRPr="005F6268">
        <w:rPr>
          <w:b/>
          <w:bCs/>
        </w:rPr>
        <w:t>Overkoepelend knelpunt: gegevensdeling</w:t>
      </w:r>
    </w:p>
    <w:p w:rsidRPr="005F6268" w:rsidR="008C7ABD" w:rsidP="005F6268" w:rsidRDefault="008C7ABD" w14:paraId="2F1F586D" w14:textId="77FA6CE6">
      <w:pPr>
        <w:suppressAutoHyphens/>
        <w:spacing w:line="246" w:lineRule="atLeast"/>
      </w:pPr>
      <w:r w:rsidRPr="005F6268">
        <w:t xml:space="preserve">Knelpunten in gegevensdeling en de problematiek die daarbij hoort </w:t>
      </w:r>
      <w:r w:rsidRPr="005F6268" w:rsidR="00361DBD">
        <w:t>is</w:t>
      </w:r>
      <w:r w:rsidRPr="005F6268">
        <w:t xml:space="preserve"> onverminderd actueel. Zo worden gegevens</w:t>
      </w:r>
      <w:r w:rsidRPr="005F6268" w:rsidR="00F90BA5">
        <w:t>,</w:t>
      </w:r>
      <w:r w:rsidRPr="005F6268">
        <w:t xml:space="preserve"> die </w:t>
      </w:r>
      <w:r w:rsidRPr="005F6268" w:rsidR="00407BA4">
        <w:t xml:space="preserve">individuele organisaties binnen de </w:t>
      </w:r>
      <w:r w:rsidRPr="005F6268">
        <w:t xml:space="preserve">overheid </w:t>
      </w:r>
      <w:r w:rsidRPr="005F6268" w:rsidR="00407BA4">
        <w:t xml:space="preserve">al </w:t>
      </w:r>
      <w:r w:rsidRPr="005F6268">
        <w:t>hebben</w:t>
      </w:r>
      <w:r w:rsidRPr="005F6268" w:rsidR="00F90BA5">
        <w:t>,</w:t>
      </w:r>
      <w:r w:rsidRPr="005F6268">
        <w:t xml:space="preserve"> vaak nog niet hergebruikt, waardoor burgers bij verschillende loketten steeds weer hun </w:t>
      </w:r>
      <w:r w:rsidRPr="005F6268" w:rsidR="00407BA4">
        <w:t xml:space="preserve">gegevens of </w:t>
      </w:r>
      <w:r w:rsidRPr="005F6268">
        <w:t>dossier moeten aanleveren. We zien dat bijvoorbeeld bij CIZ waar informatie over de aanvraag voor toegang tot de W</w:t>
      </w:r>
      <w:r w:rsidRPr="005F6268" w:rsidR="00377C90">
        <w:t>et langdurige zorg (</w:t>
      </w:r>
      <w:proofErr w:type="spellStart"/>
      <w:r w:rsidRPr="005F6268" w:rsidR="00377C90">
        <w:t>Wlz</w:t>
      </w:r>
      <w:proofErr w:type="spellEnd"/>
      <w:r w:rsidRPr="005F6268" w:rsidR="00377C90">
        <w:t>)</w:t>
      </w:r>
      <w:r w:rsidRPr="005F6268">
        <w:t xml:space="preserve"> niet gedeeld kan worden met gemeenten</w:t>
      </w:r>
      <w:r w:rsidRPr="005F6268" w:rsidR="00407BA4">
        <w:t xml:space="preserve">. </w:t>
      </w:r>
      <w:r w:rsidRPr="005F6268" w:rsidR="00F90BA5">
        <w:t>En bij het</w:t>
      </w:r>
      <w:r w:rsidRPr="005F6268" w:rsidR="00032D85">
        <w:t xml:space="preserve"> </w:t>
      </w:r>
      <w:r w:rsidRPr="005F6268">
        <w:t xml:space="preserve">CAK, dat </w:t>
      </w:r>
      <w:r w:rsidRPr="005F6268" w:rsidR="00407BA4">
        <w:t>voor cliënten met een</w:t>
      </w:r>
      <w:r w:rsidRPr="005F6268">
        <w:t xml:space="preserve"> achterstand in betaling</w:t>
      </w:r>
      <w:r w:rsidRPr="005F6268" w:rsidR="00032D85">
        <w:t xml:space="preserve"> </w:t>
      </w:r>
      <w:r w:rsidRPr="005F6268">
        <w:t xml:space="preserve">met andere </w:t>
      </w:r>
      <w:r w:rsidRPr="005F6268" w:rsidR="00407BA4">
        <w:t xml:space="preserve">schuldeisers binnen de </w:t>
      </w:r>
      <w:r w:rsidRPr="005F6268">
        <w:t>overhe</w:t>
      </w:r>
      <w:r w:rsidRPr="005F6268" w:rsidR="00407BA4">
        <w:t>i</w:t>
      </w:r>
      <w:r w:rsidRPr="005F6268">
        <w:t xml:space="preserve">d een gezamenlijke betalingsregeling zou willen treffen om </w:t>
      </w:r>
      <w:r w:rsidRPr="005F6268" w:rsidR="00407BA4">
        <w:t xml:space="preserve">deze </w:t>
      </w:r>
      <w:r w:rsidRPr="005F6268">
        <w:t xml:space="preserve">burgers beter te helpen. Het </w:t>
      </w:r>
      <w:proofErr w:type="spellStart"/>
      <w:r w:rsidRPr="005F6268">
        <w:t>aCBG</w:t>
      </w:r>
      <w:proofErr w:type="spellEnd"/>
      <w:r w:rsidRPr="005F6268">
        <w:t xml:space="preserve"> meldt een knelpunt rondom de uitwisseling van gegevens in de geneesmiddelenketen</w:t>
      </w:r>
      <w:r w:rsidRPr="005F6268" w:rsidR="00F90BA5">
        <w:t xml:space="preserve"> e</w:t>
      </w:r>
      <w:r w:rsidRPr="005F6268">
        <w:t xml:space="preserve">n het RIVM vraagt aandacht voor de lange doorlooptijden om grondslagen in </w:t>
      </w:r>
      <w:r w:rsidRPr="005F6268" w:rsidR="00407BA4">
        <w:t xml:space="preserve">de </w:t>
      </w:r>
      <w:r w:rsidRPr="005F6268">
        <w:t xml:space="preserve">wetgeving vast te leggen. </w:t>
      </w:r>
      <w:r w:rsidRPr="005F6268" w:rsidR="00A94643">
        <w:t>O</w:t>
      </w:r>
      <w:r w:rsidRPr="005F6268">
        <w:t>ok het CIBG benoemt knelpunten</w:t>
      </w:r>
      <w:r w:rsidRPr="005F6268" w:rsidR="000A3799">
        <w:t xml:space="preserve"> in</w:t>
      </w:r>
      <w:r w:rsidRPr="005F6268">
        <w:t xml:space="preserve"> </w:t>
      </w:r>
      <w:r w:rsidRPr="005F6268" w:rsidR="000A3799">
        <w:t xml:space="preserve">gegevensdeling </w:t>
      </w:r>
      <w:r w:rsidRPr="005F6268">
        <w:t>waar zij extra aandacht voor vragen.</w:t>
      </w:r>
    </w:p>
    <w:p w:rsidRPr="005F6268" w:rsidR="008C7ABD" w:rsidP="005F6268" w:rsidRDefault="008C7ABD" w14:paraId="6090276F" w14:textId="77777777">
      <w:pPr>
        <w:suppressAutoHyphens/>
        <w:spacing w:line="246" w:lineRule="atLeast"/>
      </w:pPr>
    </w:p>
    <w:p w:rsidRPr="005F6268" w:rsidR="003C26FE" w:rsidP="005F6268" w:rsidRDefault="003C26FE" w14:paraId="13A207F5" w14:textId="77777777">
      <w:pPr>
        <w:suppressAutoHyphens/>
        <w:spacing w:line="246" w:lineRule="atLeast"/>
      </w:pPr>
      <w:r w:rsidRPr="005F6268">
        <w:t xml:space="preserve">Het kabinet herkent het signaal. Binnen het ministerie van VWS worden knelpunten rondom gegevensdeling als een samenhangend vraagstuk opgepakt. Daarbij wordt onder andere samengewerkt met de Interbestuurlijke Datastrategie (IBDS). Vanuit de Adviesfunctie van de IBDS is afgelopen periode bijvoorbeeld een advies ontvangen over het hergebruik van gegevens binnen CIZ ten behoeve van doelgroepenonderzoek. Daarnaast stelt het ministerie van VWS jaarlijks een Verzamelwet gegevensverwerking VWS op. Hierin worden grondslagen voor het verwerken van (bijzondere) persoonsgegevens opgenomen, daar waar dit beleidsarme wijzigingen betreft. Zo is de Verzamelwetgeving gegevensdeling </w:t>
      </w:r>
      <w:proofErr w:type="spellStart"/>
      <w:r w:rsidRPr="005F6268">
        <w:t>IIb</w:t>
      </w:r>
      <w:proofErr w:type="spellEnd"/>
      <w:r w:rsidRPr="005F6268">
        <w:t xml:space="preserve"> op 27 mei jl. plenair in de Tweede Kamer besproken. Hierin is onder andere een wijziging opgenomen, zodat CIZ en zorgkantoren informatie kunnen delen met gemeenten om beter te kunnen beoordelen of jeugdhulp of voorzieningen op grond van de Wet maatschappelijke ondersteuning (</w:t>
      </w:r>
      <w:proofErr w:type="spellStart"/>
      <w:r w:rsidRPr="005F6268">
        <w:t>Wmo</w:t>
      </w:r>
      <w:proofErr w:type="spellEnd"/>
      <w:r w:rsidRPr="005F6268">
        <w:t>) nodig zijn.</w:t>
      </w:r>
    </w:p>
    <w:p w:rsidRPr="005F6268" w:rsidR="003C26FE" w:rsidP="005F6268" w:rsidRDefault="003C26FE" w14:paraId="4A1808A9" w14:textId="67C77859">
      <w:pPr>
        <w:suppressAutoHyphens/>
        <w:spacing w:line="246" w:lineRule="atLeast"/>
      </w:pPr>
      <w:r w:rsidRPr="005F6268">
        <w:t xml:space="preserve">Prioriteit geven aan het oplossen van een knelpunt betekent overigens niet dat er altijd op korte termijn een oplossing voorhanden is. </w:t>
      </w:r>
      <w:bookmarkStart w:name="_Hlk231981110" w:id="0"/>
      <w:r w:rsidRPr="005F6268">
        <w:t>Hiervoor zijn verschillende redenen, zoals juridisch-technische complexiteit of omdat er verschillende zienswijzen bestaan op de oplossingsrichtingen of de wenselijkheid ervan. Het thema gegevensdeling zal de komende jaren dan ook extra aandacht blijven vragen.</w:t>
      </w:r>
    </w:p>
    <w:bookmarkEnd w:id="0"/>
    <w:p w:rsidRPr="005F6268" w:rsidR="00D06F3C" w:rsidP="005F6268" w:rsidRDefault="00D06F3C" w14:paraId="68DC570F" w14:textId="77777777">
      <w:pPr>
        <w:suppressAutoHyphens/>
        <w:spacing w:line="246" w:lineRule="atLeast"/>
      </w:pPr>
    </w:p>
    <w:p w:rsidRPr="005F6268" w:rsidR="005F6268" w:rsidP="005F6268" w:rsidRDefault="005F6268" w14:paraId="78E9B81B" w14:textId="77777777">
      <w:pPr>
        <w:suppressAutoHyphens/>
        <w:spacing w:line="246" w:lineRule="atLeast"/>
      </w:pPr>
    </w:p>
    <w:p w:rsidRPr="005F6268" w:rsidR="005F6268" w:rsidP="005F6268" w:rsidRDefault="005F6268" w14:paraId="39385D41" w14:textId="77777777">
      <w:pPr>
        <w:suppressAutoHyphens/>
        <w:spacing w:line="246" w:lineRule="atLeast"/>
      </w:pPr>
    </w:p>
    <w:p w:rsidRPr="005F6268" w:rsidR="005F6268" w:rsidP="005F6268" w:rsidRDefault="005F6268" w14:paraId="36FDD277" w14:textId="77777777">
      <w:pPr>
        <w:suppressAutoHyphens/>
        <w:spacing w:line="246" w:lineRule="atLeast"/>
      </w:pPr>
    </w:p>
    <w:p w:rsidRPr="005F6268" w:rsidR="00D06F3C" w:rsidP="005F6268" w:rsidRDefault="00D06F3C" w14:paraId="6804CA04" w14:textId="77777777">
      <w:pPr>
        <w:suppressAutoHyphens/>
        <w:spacing w:line="246" w:lineRule="atLeast"/>
        <w:rPr>
          <w:b/>
          <w:bCs/>
        </w:rPr>
      </w:pPr>
      <w:r w:rsidRPr="005F6268">
        <w:rPr>
          <w:b/>
          <w:bCs/>
        </w:rPr>
        <w:lastRenderedPageBreak/>
        <w:t>Overkoepelend knelpunt: stapeling en complexiteit van regelgeving</w:t>
      </w:r>
    </w:p>
    <w:p w:rsidRPr="005F6268" w:rsidR="0061640E" w:rsidP="005F6268" w:rsidRDefault="0061640E" w14:paraId="15E3F9E9" w14:textId="06DB4987">
      <w:pPr>
        <w:suppressAutoHyphens/>
        <w:spacing w:line="246" w:lineRule="atLeast"/>
      </w:pPr>
      <w:r w:rsidRPr="005F6268">
        <w:t xml:space="preserve">Regels stapelen zich op, sluiten niet goed op elkaar aan en zijn in de uitvoering steeds lastiger uitvoerbaar. In de Stand van de SVB is dit goed zichtbaar: daar wordt gesteld dat de grenzen van de uitvoering van de pgb-regeling zijn bereikt. Ook het CAK wijst op de noodzaak van vereenvoudiging van wet- en regelgeving om de uitvoering werkbaar te houden. Bij CIZ wordt zichtbaar dat zorgprofielen steeds minder goed aansluiten op de praktijk en dat verschillende domeinen binnen het zorgstelsel onvoldoende op elkaar aansluiten. Het </w:t>
      </w:r>
      <w:proofErr w:type="spellStart"/>
      <w:r w:rsidRPr="005F6268">
        <w:t>aCBG</w:t>
      </w:r>
      <w:proofErr w:type="spellEnd"/>
      <w:r w:rsidRPr="005F6268">
        <w:t xml:space="preserve"> laat zien dat nieuwe Europese regelgeving zorgt voor een forse toename in complexiteit en uitvoeringsdruk, onder andere door extra eisen aan capaciteit, expertise en ICT. Het RIVM benadrukt de behoefte aan stabiele kaders en duidelijke randvoorwaarden om beleid uitvoerbaar te houden.</w:t>
      </w:r>
    </w:p>
    <w:p w:rsidRPr="005F6268" w:rsidR="00B1189B" w:rsidP="005F6268" w:rsidRDefault="00B1189B" w14:paraId="5B9AB144" w14:textId="77777777">
      <w:pPr>
        <w:suppressAutoHyphens/>
        <w:rPr>
          <w:highlight w:val="yellow"/>
        </w:rPr>
      </w:pPr>
    </w:p>
    <w:p w:rsidRPr="005F6268" w:rsidR="00B1189B" w:rsidP="005F6268" w:rsidRDefault="00B1189B" w14:paraId="588F6BD9" w14:textId="1531A20B">
      <w:pPr>
        <w:suppressAutoHyphens/>
      </w:pPr>
      <w:r w:rsidRPr="005F6268">
        <w:t xml:space="preserve">Het kabinet herkent dit signaal en onderkent dat de complexiteit van regelgeving de uitvoerbaarheid onder druk kan zetten. Het kabinet werkt aan een slagvaardige overheid. </w:t>
      </w:r>
      <w:r w:rsidRPr="005F6268" w:rsidR="00347F82">
        <w:t>Het</w:t>
      </w:r>
      <w:r w:rsidRPr="005F6268">
        <w:t xml:space="preserve"> vereenvoudigen van regelgeving en de vermindering van onnodige regeldruk</w:t>
      </w:r>
      <w:r w:rsidRPr="005F6268" w:rsidR="00943AC8">
        <w:t xml:space="preserve"> </w:t>
      </w:r>
      <w:r w:rsidRPr="005F6268" w:rsidR="00347F82">
        <w:t xml:space="preserve">is dan ook </w:t>
      </w:r>
      <w:r w:rsidRPr="005F6268" w:rsidR="00943AC8">
        <w:t>e</w:t>
      </w:r>
      <w:r w:rsidRPr="005F6268" w:rsidR="00747B64">
        <w:t>e</w:t>
      </w:r>
      <w:r w:rsidRPr="005F6268" w:rsidR="00943AC8">
        <w:t>n belangrijk onderdeel van de Taskforce Slagvaardige Overheid</w:t>
      </w:r>
      <w:r w:rsidRPr="005F6268">
        <w:t>. Er wordt</w:t>
      </w:r>
      <w:r w:rsidRPr="005F6268" w:rsidR="00943AC8">
        <w:t xml:space="preserve"> door VWS</w:t>
      </w:r>
      <w:r w:rsidRPr="005F6268">
        <w:t xml:space="preserve">, waar mogelijk, aangesloten bij </w:t>
      </w:r>
      <w:proofErr w:type="spellStart"/>
      <w:r w:rsidRPr="005F6268">
        <w:t>rijksbrede</w:t>
      </w:r>
      <w:proofErr w:type="spellEnd"/>
      <w:r w:rsidRPr="005F6268">
        <w:t xml:space="preserve"> initiatieven zoals de jaarlijkse Vereenvoudigingswet.</w:t>
      </w:r>
      <w:r w:rsidRPr="005F6268" w:rsidR="00FC0F81">
        <w:t xml:space="preserve"> </w:t>
      </w:r>
      <w:r w:rsidRPr="005F6268" w:rsidR="005B46A4">
        <w:t>Ook is de inzet van VWS dat zoveel mogelijk met het Beleidskompas wordt gewerkt.</w:t>
      </w:r>
      <w:r w:rsidRPr="005F6268" w:rsidR="00A94EA7">
        <w:t xml:space="preserve"> </w:t>
      </w:r>
      <w:r w:rsidRPr="005F6268" w:rsidR="005B46A4">
        <w:t>Een van de uitgangspunten van het Beleidskompas is het structureel vroegtijdig betrekken van uitvoerings- en toezichtorganisaties bij het maken van beleid.</w:t>
      </w:r>
    </w:p>
    <w:p w:rsidRPr="005F6268" w:rsidR="004875C6" w:rsidP="005F6268" w:rsidRDefault="004875C6" w14:paraId="11293E20" w14:textId="77777777">
      <w:pPr>
        <w:suppressAutoHyphens/>
        <w:spacing w:line="246" w:lineRule="atLeast"/>
        <w:rPr>
          <w:b/>
          <w:bCs/>
        </w:rPr>
      </w:pPr>
    </w:p>
    <w:p w:rsidRPr="005F6268" w:rsidR="00871EF3" w:rsidP="005F6268" w:rsidRDefault="00871EF3" w14:paraId="76410061" w14:textId="77777777">
      <w:pPr>
        <w:suppressAutoHyphens/>
        <w:spacing w:line="246" w:lineRule="atLeast"/>
        <w:rPr>
          <w:b/>
          <w:bCs/>
        </w:rPr>
      </w:pPr>
      <w:r w:rsidRPr="005F6268">
        <w:rPr>
          <w:b/>
          <w:bCs/>
        </w:rPr>
        <w:t xml:space="preserve">Reactie per organisatie </w:t>
      </w:r>
    </w:p>
    <w:p w:rsidRPr="005F6268" w:rsidR="00871EF3" w:rsidP="005F6268" w:rsidRDefault="00871EF3" w14:paraId="36B87044" w14:textId="77777777">
      <w:pPr>
        <w:suppressAutoHyphens/>
        <w:spacing w:line="246" w:lineRule="atLeast"/>
        <w:rPr>
          <w:i/>
          <w:iCs/>
        </w:rPr>
      </w:pPr>
      <w:r w:rsidRPr="005F6268">
        <w:rPr>
          <w:noProof/>
        </w:rPr>
        <mc:AlternateContent>
          <mc:Choice Requires="wps">
            <w:drawing>
              <wp:anchor distT="45720" distB="45720" distL="114300" distR="114300" simplePos="0" relativeHeight="251659264" behindDoc="0" locked="0" layoutInCell="1" allowOverlap="1" wp14:editId="50B540FE" wp14:anchorId="5EE9F6FD">
                <wp:simplePos x="0" y="0"/>
                <wp:positionH relativeFrom="margin">
                  <wp:align>right</wp:align>
                </wp:positionH>
                <wp:positionV relativeFrom="paragraph">
                  <wp:posOffset>245083</wp:posOffset>
                </wp:positionV>
                <wp:extent cx="4762500" cy="1064895"/>
                <wp:effectExtent l="0" t="0" r="19050" b="2095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064895"/>
                        </a:xfrm>
                        <a:prstGeom prst="rect">
                          <a:avLst/>
                        </a:prstGeom>
                        <a:solidFill>
                          <a:srgbClr val="FFFFFF"/>
                        </a:solidFill>
                        <a:ln w="9525">
                          <a:solidFill>
                            <a:srgbClr val="000000"/>
                          </a:solidFill>
                          <a:miter lim="800000"/>
                          <a:headEnd/>
                          <a:tailEnd/>
                        </a:ln>
                      </wps:spPr>
                      <wps:txbx>
                        <w:txbxContent>
                          <w:p w:rsidRPr="00F50E7C" w:rsidR="00871EF3" w:rsidP="00871EF3" w:rsidRDefault="00871EF3" w14:paraId="78101B50" w14:textId="77777777">
                            <w:pPr>
                              <w:suppressAutoHyphens/>
                              <w:spacing w:line="246" w:lineRule="atLeast"/>
                              <w:rPr>
                                <w:sz w:val="16"/>
                                <w:szCs w:val="16"/>
                              </w:rPr>
                            </w:pPr>
                            <w:r w:rsidRPr="00F50E7C">
                              <w:rPr>
                                <w:sz w:val="16"/>
                                <w:szCs w:val="16"/>
                              </w:rPr>
                              <w:t xml:space="preserve">Het CAK is </w:t>
                            </w:r>
                            <w:r>
                              <w:rPr>
                                <w:sz w:val="16"/>
                                <w:szCs w:val="16"/>
                              </w:rPr>
                              <w:t xml:space="preserve">onder andere </w:t>
                            </w:r>
                            <w:r w:rsidRPr="00F50E7C">
                              <w:rPr>
                                <w:sz w:val="16"/>
                                <w:szCs w:val="16"/>
                              </w:rPr>
                              <w:t>verantwoordelijk voor het vaststellen en innen van de eigen bijdrage voor maatschappelijke ondersteuning, verblijf in een zorginstelling of een persoonsgebonden budget. Ook verricht het CAK betalingen aan zorgaanbieders op grond van de Wet langdurige zorg (</w:t>
                            </w:r>
                            <w:proofErr w:type="spellStart"/>
                            <w:r w:rsidRPr="00F50E7C">
                              <w:rPr>
                                <w:sz w:val="16"/>
                                <w:szCs w:val="16"/>
                              </w:rPr>
                              <w:t>Wlz</w:t>
                            </w:r>
                            <w:proofErr w:type="spellEnd"/>
                            <w:r w:rsidRPr="00F50E7C">
                              <w:rPr>
                                <w:sz w:val="16"/>
                                <w:szCs w:val="16"/>
                              </w:rPr>
                              <w:t>). Daarnaast voert het CAK regelingen uit voor mensen die anders buiten het Nederlandse zorgstelsel vallen, zoals regelingen voor onverzekerden en burgers met een premieachterstand.</w:t>
                            </w:r>
                          </w:p>
                          <w:p w:rsidR="00871EF3" w:rsidP="00871EF3" w:rsidRDefault="00871EF3" w14:paraId="1CF4D14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E9F6FD">
                <v:stroke joinstyle="miter"/>
                <v:path gradientshapeok="t" o:connecttype="rect"/>
              </v:shapetype>
              <v:shape id="Tekstvak 2" style="position:absolute;margin-left:323.8pt;margin-top:19.3pt;width:375pt;height:8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9GEAIAACA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">
                <v:textbox>
                  <w:txbxContent>
                    <w:p w:rsidRPr="00F50E7C" w:rsidR="00871EF3" w:rsidP="00871EF3" w:rsidRDefault="00871EF3" w14:paraId="78101B50" w14:textId="77777777">
                      <w:pPr>
                        <w:suppressAutoHyphens/>
                        <w:spacing w:line="246" w:lineRule="atLeast"/>
                        <w:rPr>
                          <w:sz w:val="16"/>
                          <w:szCs w:val="16"/>
                        </w:rPr>
                      </w:pPr>
                      <w:r w:rsidRPr="00F50E7C">
                        <w:rPr>
                          <w:sz w:val="16"/>
                          <w:szCs w:val="16"/>
                        </w:rPr>
                        <w:t xml:space="preserve">Het CAK is </w:t>
                      </w:r>
                      <w:r>
                        <w:rPr>
                          <w:sz w:val="16"/>
                          <w:szCs w:val="16"/>
                        </w:rPr>
                        <w:t xml:space="preserve">onder andere </w:t>
                      </w:r>
                      <w:r w:rsidRPr="00F50E7C">
                        <w:rPr>
                          <w:sz w:val="16"/>
                          <w:szCs w:val="16"/>
                        </w:rPr>
                        <w:t>verantwoordelijk voor het vaststellen en innen van de eigen bijdrage voor maatschappelijke ondersteuning, verblijf in een zorginstelling of een persoonsgebonden budget. Ook verricht het CAK betalingen aan zorgaanbieders op grond van de Wet langdurige zorg (</w:t>
                      </w:r>
                      <w:proofErr w:type="spellStart"/>
                      <w:r w:rsidRPr="00F50E7C">
                        <w:rPr>
                          <w:sz w:val="16"/>
                          <w:szCs w:val="16"/>
                        </w:rPr>
                        <w:t>Wlz</w:t>
                      </w:r>
                      <w:proofErr w:type="spellEnd"/>
                      <w:r w:rsidRPr="00F50E7C">
                        <w:rPr>
                          <w:sz w:val="16"/>
                          <w:szCs w:val="16"/>
                        </w:rPr>
                        <w:t>). Daarnaast voert het CAK regelingen uit voor mensen die anders buiten het Nederlandse zorgstelsel vallen, zoals regelingen voor onverzekerden en burgers met een premieachterstand.</w:t>
                      </w:r>
                    </w:p>
                    <w:p w:rsidR="00871EF3" w:rsidP="00871EF3" w:rsidRDefault="00871EF3" w14:paraId="1CF4D14A" w14:textId="77777777"/>
                  </w:txbxContent>
                </v:textbox>
                <w10:wrap type="square" anchorx="margin"/>
              </v:shape>
            </w:pict>
          </mc:Fallback>
        </mc:AlternateContent>
      </w:r>
      <w:r w:rsidRPr="005F6268">
        <w:rPr>
          <w:i/>
          <w:iCs/>
        </w:rPr>
        <w:t>CAK</w:t>
      </w:r>
    </w:p>
    <w:p w:rsidRPr="005F6268" w:rsidR="0061640E" w:rsidP="005F6268" w:rsidRDefault="0061640E" w14:paraId="066ACA12" w14:textId="77777777">
      <w:pPr>
        <w:suppressAutoHyphens/>
        <w:spacing w:line="246" w:lineRule="atLeast"/>
      </w:pPr>
      <w:r w:rsidRPr="005F6268">
        <w:t xml:space="preserve">Het CAK vraagt in haar Stand van de Uitvoering 2026 aandacht voor zes knelpunten die ze eerder benoemd heeft en die het CAK graag opgelost ziet. VWS voert hierover het gesprek en samen met het CAK en ketenpartijen wordt gewerkt aan het oplossen van enkele knelpunten. Het afgelopen jaar zijn er twee knelpunten opgelost. Dit is een mooi resultaat. Naast de knelpunten die het CAK in eerdere standen benoemd heeft vraagt zij aandacht voor de aangekondigde beleidswijzigingen in recente besluitvorming en het Coalitieakkoord. </w:t>
      </w:r>
    </w:p>
    <w:p w:rsidRPr="005F6268" w:rsidR="00377C90" w:rsidP="005F6268" w:rsidRDefault="00377C90" w14:paraId="0E17C835" w14:textId="77777777">
      <w:pPr>
        <w:suppressAutoHyphens/>
        <w:spacing w:line="246" w:lineRule="atLeast"/>
      </w:pPr>
    </w:p>
    <w:p w:rsidRPr="005F6268" w:rsidR="00377C90" w:rsidP="005F6268" w:rsidRDefault="00377C90" w14:paraId="41685892" w14:textId="39096D23">
      <w:pPr>
        <w:suppressAutoHyphens/>
        <w:spacing w:line="246" w:lineRule="atLeast"/>
      </w:pPr>
      <w:r w:rsidRPr="005F6268">
        <w:t xml:space="preserve">Het CAK signaleert dat er de komende jaren veel nieuwe taken en wijzigingen op hen afkomen. Het CAK geeft aan niet alle voorgestelde maatregelen tegelijk te kunnen invoeren. </w:t>
      </w:r>
      <w:bookmarkStart w:name="_Hlk231819399" w:id="1"/>
      <w:r w:rsidRPr="005F6268">
        <w:t>Ook vra</w:t>
      </w:r>
      <w:r w:rsidRPr="005F6268" w:rsidR="0061640E">
        <w:t>agt het CAK</w:t>
      </w:r>
      <w:r w:rsidRPr="005F6268">
        <w:t xml:space="preserve"> </w:t>
      </w:r>
      <w:bookmarkEnd w:id="1"/>
      <w:r w:rsidRPr="005F6268">
        <w:t xml:space="preserve">om bij de nieuw in te voeren eigen bijdragen, waar mogelijk, rekening te houden met een goede onderlinge samenhang in de systematiek. </w:t>
      </w:r>
      <w:r w:rsidRPr="005F6268" w:rsidR="005B1FB8">
        <w:t>Het kabinet begrijpt</w:t>
      </w:r>
      <w:r w:rsidRPr="005F6268">
        <w:t xml:space="preserve"> deze oproep en </w:t>
      </w:r>
      <w:r w:rsidRPr="005F6268" w:rsidR="005B1FB8">
        <w:t xml:space="preserve">zal </w:t>
      </w:r>
      <w:r w:rsidRPr="005F6268">
        <w:t xml:space="preserve">oog </w:t>
      </w:r>
      <w:r w:rsidRPr="005F6268" w:rsidR="00EB47CA">
        <w:t xml:space="preserve">houden </w:t>
      </w:r>
      <w:r w:rsidRPr="005F6268">
        <w:t>voor cumulatie van nieuwe en gewijzigde taken die op het CAK afkomen en z</w:t>
      </w:r>
      <w:r w:rsidRPr="005F6268" w:rsidR="00DD6619">
        <w:t>al</w:t>
      </w:r>
      <w:r w:rsidRPr="005F6268">
        <w:t>, indien nodig, hierover het gesprek voeren met het CAK en betrokken partijen</w:t>
      </w:r>
      <w:r w:rsidRPr="005F6268" w:rsidR="00EB47CA">
        <w:t>,</w:t>
      </w:r>
      <w:r w:rsidRPr="005F6268">
        <w:t xml:space="preserve"> zodat hierover passende </w:t>
      </w:r>
      <w:r w:rsidRPr="005F6268" w:rsidR="0023339C">
        <w:t xml:space="preserve">en vooral werkbare </w:t>
      </w:r>
      <w:r w:rsidRPr="005F6268">
        <w:t>afspraken gemaakt kunnen worden.</w:t>
      </w:r>
    </w:p>
    <w:p w:rsidRPr="005F6268" w:rsidR="00377C90" w:rsidP="005F6268" w:rsidRDefault="00377C90" w14:paraId="5B1A9F2C" w14:textId="77777777">
      <w:pPr>
        <w:suppressAutoHyphens/>
        <w:spacing w:line="246" w:lineRule="atLeast"/>
      </w:pPr>
    </w:p>
    <w:p w:rsidRPr="005F6268" w:rsidR="00871EF3" w:rsidP="005F6268" w:rsidRDefault="00871EF3" w14:paraId="2759356D" w14:textId="77777777">
      <w:pPr>
        <w:suppressAutoHyphens/>
        <w:spacing w:line="246" w:lineRule="atLeast"/>
        <w:rPr>
          <w:b/>
          <w:bCs/>
        </w:rPr>
      </w:pPr>
      <w:r w:rsidRPr="005F6268">
        <w:rPr>
          <w:noProof/>
        </w:rPr>
        <w:lastRenderedPageBreak/>
        <mc:AlternateContent>
          <mc:Choice Requires="wps">
            <w:drawing>
              <wp:anchor distT="45720" distB="45720" distL="114300" distR="114300" simplePos="0" relativeHeight="251666432" behindDoc="0" locked="0" layoutInCell="1" allowOverlap="1" wp14:editId="7CE94907" wp14:anchorId="548B3E7E">
                <wp:simplePos x="0" y="0"/>
                <wp:positionH relativeFrom="margin">
                  <wp:posOffset>0</wp:posOffset>
                </wp:positionH>
                <wp:positionV relativeFrom="paragraph">
                  <wp:posOffset>207010</wp:posOffset>
                </wp:positionV>
                <wp:extent cx="4773295" cy="920115"/>
                <wp:effectExtent l="0" t="0" r="27305" b="1333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920115"/>
                        </a:xfrm>
                        <a:prstGeom prst="rect">
                          <a:avLst/>
                        </a:prstGeom>
                        <a:solidFill>
                          <a:srgbClr val="FFFFFF"/>
                        </a:solidFill>
                        <a:ln w="9525">
                          <a:solidFill>
                            <a:srgbClr val="000000"/>
                          </a:solidFill>
                          <a:miter lim="800000"/>
                          <a:headEnd/>
                          <a:tailEnd/>
                        </a:ln>
                      </wps:spPr>
                      <wps:txbx>
                        <w:txbxContent>
                          <w:p w:rsidRPr="00F50E7C" w:rsidR="00871EF3" w:rsidP="00871EF3" w:rsidRDefault="00871EF3" w14:paraId="640698AE" w14:textId="074B3D07">
                            <w:pPr>
                              <w:suppressAutoHyphens/>
                              <w:spacing w:line="246" w:lineRule="atLeast"/>
                              <w:rPr>
                                <w:sz w:val="16"/>
                                <w:szCs w:val="16"/>
                              </w:rPr>
                            </w:pPr>
                            <w:r w:rsidRPr="00F50E7C">
                              <w:rPr>
                                <w:sz w:val="16"/>
                                <w:szCs w:val="16"/>
                              </w:rPr>
                              <w:t>CIZ stelt indicaties voor de Wet langdurige zorg (</w:t>
                            </w:r>
                            <w:proofErr w:type="spellStart"/>
                            <w:r w:rsidRPr="00F50E7C">
                              <w:rPr>
                                <w:sz w:val="16"/>
                                <w:szCs w:val="16"/>
                              </w:rPr>
                              <w:t>Wlz</w:t>
                            </w:r>
                            <w:proofErr w:type="spellEnd"/>
                            <w:r w:rsidRPr="00F50E7C">
                              <w:rPr>
                                <w:sz w:val="16"/>
                                <w:szCs w:val="16"/>
                              </w:rPr>
                              <w:t>) en toetst het besluit tot opname en verblijf in het kader van de Wet zorg en dwang (</w:t>
                            </w:r>
                            <w:proofErr w:type="spellStart"/>
                            <w:r w:rsidRPr="00F50E7C">
                              <w:rPr>
                                <w:sz w:val="16"/>
                                <w:szCs w:val="16"/>
                              </w:rPr>
                              <w:t>Wzd</w:t>
                            </w:r>
                            <w:proofErr w:type="spellEnd"/>
                            <w:r w:rsidRPr="00F50E7C">
                              <w:rPr>
                                <w:sz w:val="16"/>
                                <w:szCs w:val="16"/>
                              </w:rPr>
                              <w:t>). Ook brengt CIZ, in opdracht van het ministerie van SZW, een advies uit aan de S</w:t>
                            </w:r>
                            <w:r w:rsidR="0061640E">
                              <w:rPr>
                                <w:sz w:val="16"/>
                                <w:szCs w:val="16"/>
                              </w:rPr>
                              <w:t>VB</w:t>
                            </w:r>
                            <w:r w:rsidRPr="00F50E7C">
                              <w:rPr>
                                <w:sz w:val="16"/>
                                <w:szCs w:val="16"/>
                              </w:rPr>
                              <w:t xml:space="preserve"> over de zorgbehoefte van kinderen, wanneer ouders een aanvraag indienen voor dubbele kinderbijslag bij intensieve zorg.</w:t>
                            </w:r>
                          </w:p>
                          <w:p w:rsidRPr="00F50E7C" w:rsidR="00871EF3" w:rsidP="00871EF3" w:rsidRDefault="00871EF3" w14:paraId="6C1C2A71"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16.3pt;width:375.85pt;height:72.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" w14:anchorId="548B3E7E">
                <v:textbox>
                  <w:txbxContent>
                    <w:p w:rsidRPr="00F50E7C" w:rsidR="00871EF3" w:rsidP="00871EF3" w:rsidRDefault="00871EF3" w14:paraId="640698AE" w14:textId="074B3D07">
                      <w:pPr>
                        <w:suppressAutoHyphens/>
                        <w:spacing w:line="246" w:lineRule="atLeast"/>
                        <w:rPr>
                          <w:sz w:val="16"/>
                          <w:szCs w:val="16"/>
                        </w:rPr>
                      </w:pPr>
                      <w:r w:rsidRPr="00F50E7C">
                        <w:rPr>
                          <w:sz w:val="16"/>
                          <w:szCs w:val="16"/>
                        </w:rPr>
                        <w:t>CIZ stelt indicaties voor de Wet langdurige zorg (</w:t>
                      </w:r>
                      <w:proofErr w:type="spellStart"/>
                      <w:r w:rsidRPr="00F50E7C">
                        <w:rPr>
                          <w:sz w:val="16"/>
                          <w:szCs w:val="16"/>
                        </w:rPr>
                        <w:t>Wlz</w:t>
                      </w:r>
                      <w:proofErr w:type="spellEnd"/>
                      <w:r w:rsidRPr="00F50E7C">
                        <w:rPr>
                          <w:sz w:val="16"/>
                          <w:szCs w:val="16"/>
                        </w:rPr>
                        <w:t>) en toetst het besluit tot opname en verblijf in het kader van de Wet zorg en dwang (</w:t>
                      </w:r>
                      <w:proofErr w:type="spellStart"/>
                      <w:r w:rsidRPr="00F50E7C">
                        <w:rPr>
                          <w:sz w:val="16"/>
                          <w:szCs w:val="16"/>
                        </w:rPr>
                        <w:t>Wzd</w:t>
                      </w:r>
                      <w:proofErr w:type="spellEnd"/>
                      <w:r w:rsidRPr="00F50E7C">
                        <w:rPr>
                          <w:sz w:val="16"/>
                          <w:szCs w:val="16"/>
                        </w:rPr>
                        <w:t>). Ook brengt CIZ, in opdracht van het ministerie van SZW, een advies uit aan de S</w:t>
                      </w:r>
                      <w:r w:rsidR="0061640E">
                        <w:rPr>
                          <w:sz w:val="16"/>
                          <w:szCs w:val="16"/>
                        </w:rPr>
                        <w:t>VB</w:t>
                      </w:r>
                      <w:r w:rsidRPr="00F50E7C">
                        <w:rPr>
                          <w:sz w:val="16"/>
                          <w:szCs w:val="16"/>
                        </w:rPr>
                        <w:t xml:space="preserve"> over de zorgbehoefte van kinderen, wanneer ouders een aanvraag indienen voor dubbele kinderbijslag bij intensieve zorg.</w:t>
                      </w:r>
                    </w:p>
                    <w:p w:rsidRPr="00F50E7C" w:rsidR="00871EF3" w:rsidP="00871EF3" w:rsidRDefault="00871EF3" w14:paraId="6C1C2A71" w14:textId="77777777">
                      <w:pPr>
                        <w:rPr>
                          <w:sz w:val="16"/>
                          <w:szCs w:val="16"/>
                        </w:rPr>
                      </w:pPr>
                    </w:p>
                  </w:txbxContent>
                </v:textbox>
                <w10:wrap type="square" anchorx="margin"/>
              </v:shape>
            </w:pict>
          </mc:Fallback>
        </mc:AlternateContent>
      </w:r>
      <w:r w:rsidRPr="005F6268">
        <w:rPr>
          <w:i/>
          <w:iCs/>
        </w:rPr>
        <w:t>CIZ</w:t>
      </w:r>
    </w:p>
    <w:p w:rsidRPr="005F6268" w:rsidR="00802231" w:rsidP="005F6268" w:rsidRDefault="00802231" w14:paraId="2463534B" w14:textId="4A622DC6">
      <w:pPr>
        <w:suppressAutoHyphens/>
        <w:spacing w:line="246" w:lineRule="atLeast"/>
      </w:pPr>
      <w:r w:rsidRPr="005F6268">
        <w:t xml:space="preserve">CIZ licht </w:t>
      </w:r>
      <w:r w:rsidRPr="005F6268" w:rsidR="0061640E">
        <w:t xml:space="preserve">er </w:t>
      </w:r>
      <w:r w:rsidRPr="005F6268">
        <w:t>in de Stand van de Uitvoering twee hoofdknelpunten uit die zij tegenkomt in de uitvoering: gegevensuitwisseling en een conflicterend zorgstelsel. Daarnaast benoemt CIZ drie successen: wijziging beleid dubbele kinderbijslag, ingang indicatie met terugwerkende kracht en het handtekeningenbeleid.</w:t>
      </w:r>
    </w:p>
    <w:p w:rsidRPr="005F6268" w:rsidR="00802231" w:rsidP="005F6268" w:rsidRDefault="00802231" w14:paraId="117F1CAC" w14:textId="77777777">
      <w:pPr>
        <w:suppressAutoHyphens/>
        <w:spacing w:line="246" w:lineRule="atLeast"/>
      </w:pPr>
    </w:p>
    <w:p w:rsidRPr="005F6268" w:rsidR="0061640E" w:rsidP="005F6268" w:rsidRDefault="0061640E" w14:paraId="17F7C52E" w14:textId="3C572A8B">
      <w:pPr>
        <w:suppressAutoHyphens/>
      </w:pPr>
      <w:r w:rsidRPr="005F6268">
        <w:t>Het kabinet is doorlopend met CIZ in gesprek over uitdagingen in hun rol als poortwachter van de langdurige zorg. Het is goed om te lezen dat CIZ dit jaar in de Stand ook successen benoemt, zoals het wetsvoorstel handtekeningenbeleid dat in behandeling is in de Tweede Kamer. Dit voorstel maakt het mogelijk dat ook een familielid een aanvraag kan doen namens de cliënt als er nog geen wettelijke vertegenwoordiging is aangesteld wanneer dit nodig is. Daarnaast benoemt CIZ het belang van administratieve lastenverlichting voor cliënten en professionals. Zo implementeert CIZ dit jaar een nieuw cliëntsysteem dat moet bijdragen aan een betere en efficiëntere dienstverlening. Ook werkt CIZ aan passend beleid op het gebied van artificiële intelligentie (AI). Het kabinet onderschrijft de inzet van CIZ op deze punten. Verder benadrukt CIZ opnieuw het belang van een eenduidig zorgstelsel. De punten die CIZ hierover aandraagt zijn onderdeel van het Hoofdlijnenakkoord Ouderenzorg en de bredere gesprekken over de toekomst van de langdurige zorg, waarin het ministerie van VWS en CIZ nauw samenwerken.</w:t>
      </w:r>
    </w:p>
    <w:p w:rsidRPr="005F6268" w:rsidR="00871EF3" w:rsidP="005F6268" w:rsidRDefault="00871EF3" w14:paraId="25500EEA" w14:textId="77777777">
      <w:pPr>
        <w:suppressAutoHyphens/>
        <w:spacing w:line="246" w:lineRule="atLeast"/>
      </w:pPr>
    </w:p>
    <w:p w:rsidRPr="005F6268" w:rsidR="00871EF3" w:rsidP="005F6268" w:rsidRDefault="00D65FEA" w14:paraId="0B58E799" w14:textId="77777777">
      <w:pPr>
        <w:suppressAutoHyphens/>
        <w:spacing w:line="246" w:lineRule="atLeast"/>
        <w:rPr>
          <w:i/>
          <w:iCs/>
        </w:rPr>
      </w:pPr>
      <w:r w:rsidRPr="005F6268">
        <w:rPr>
          <w:noProof/>
        </w:rPr>
        <mc:AlternateContent>
          <mc:Choice Requires="wps">
            <w:drawing>
              <wp:anchor distT="45720" distB="45720" distL="114300" distR="114300" simplePos="0" relativeHeight="251668480" behindDoc="0" locked="0" layoutInCell="1" allowOverlap="1" wp14:editId="48C7ED65" wp14:anchorId="1CA388E8">
                <wp:simplePos x="0" y="0"/>
                <wp:positionH relativeFrom="margin">
                  <wp:posOffset>-4445</wp:posOffset>
                </wp:positionH>
                <wp:positionV relativeFrom="paragraph">
                  <wp:posOffset>236855</wp:posOffset>
                </wp:positionV>
                <wp:extent cx="4773295" cy="749300"/>
                <wp:effectExtent l="0" t="0" r="27305" b="12700"/>
                <wp:wrapSquare wrapText="bothSides"/>
                <wp:docPr id="20596839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49300"/>
                        </a:xfrm>
                        <a:prstGeom prst="rect">
                          <a:avLst/>
                        </a:prstGeom>
                        <a:solidFill>
                          <a:srgbClr val="FFFFFF"/>
                        </a:solidFill>
                        <a:ln w="9525">
                          <a:solidFill>
                            <a:srgbClr val="000000"/>
                          </a:solidFill>
                          <a:miter lim="800000"/>
                          <a:headEnd/>
                          <a:tailEnd/>
                        </a:ln>
                      </wps:spPr>
                      <wps:txbx>
                        <w:txbxContent>
                          <w:p w:rsidRPr="006D7E42" w:rsidR="006D7E42" w:rsidP="003B2233" w:rsidRDefault="006D7E42" w14:paraId="68C9055B" w14:textId="77777777">
                            <w:pPr>
                              <w:rPr>
                                <w:sz w:val="16"/>
                                <w:szCs w:val="16"/>
                              </w:rPr>
                            </w:pPr>
                            <w:r w:rsidRPr="006D7E42">
                              <w:rPr>
                                <w:sz w:val="16"/>
                                <w:szCs w:val="16"/>
                              </w:rPr>
                              <w:t xml:space="preserve">Het </w:t>
                            </w:r>
                            <w:proofErr w:type="spellStart"/>
                            <w:r w:rsidR="002F2B2A">
                              <w:rPr>
                                <w:sz w:val="16"/>
                                <w:szCs w:val="16"/>
                              </w:rPr>
                              <w:t>aCBG</w:t>
                            </w:r>
                            <w:proofErr w:type="spellEnd"/>
                            <w:r w:rsidRPr="006D7E42">
                              <w:rPr>
                                <w:sz w:val="16"/>
                                <w:szCs w:val="16"/>
                              </w:rPr>
                              <w:t xml:space="preserve"> ondersteunt het </w:t>
                            </w:r>
                            <w:r w:rsidR="002F2B2A">
                              <w:rPr>
                                <w:sz w:val="16"/>
                                <w:szCs w:val="16"/>
                              </w:rPr>
                              <w:t>College (</w:t>
                            </w:r>
                            <w:r w:rsidRPr="006D7E42">
                              <w:rPr>
                                <w:sz w:val="16"/>
                                <w:szCs w:val="16"/>
                              </w:rPr>
                              <w:t>CBG</w:t>
                            </w:r>
                            <w:r w:rsidR="002F2B2A">
                              <w:rPr>
                                <w:sz w:val="16"/>
                                <w:szCs w:val="16"/>
                              </w:rPr>
                              <w:t>)</w:t>
                            </w:r>
                            <w:r w:rsidRPr="006D7E42">
                              <w:rPr>
                                <w:sz w:val="16"/>
                                <w:szCs w:val="16"/>
                              </w:rPr>
                              <w:t xml:space="preserve"> bij het voorbereiden en uitvoeren van besluiten en adviezen over geneesmiddelen. Daarnaast houdt het </w:t>
                            </w:r>
                            <w:proofErr w:type="spellStart"/>
                            <w:r w:rsidR="00352D26">
                              <w:rPr>
                                <w:sz w:val="16"/>
                                <w:szCs w:val="16"/>
                              </w:rPr>
                              <w:t>aCBG</w:t>
                            </w:r>
                            <w:proofErr w:type="spellEnd"/>
                            <w:r w:rsidR="00352D26">
                              <w:rPr>
                                <w:sz w:val="16"/>
                                <w:szCs w:val="16"/>
                              </w:rPr>
                              <w:t xml:space="preserve"> </w:t>
                            </w:r>
                            <w:r w:rsidRPr="006D7E42">
                              <w:rPr>
                                <w:sz w:val="16"/>
                                <w:szCs w:val="16"/>
                              </w:rPr>
                              <w:t>toezicht op de veiligheid van medicijnen</w:t>
                            </w:r>
                            <w:r w:rsidR="00352D26">
                              <w:rPr>
                                <w:sz w:val="16"/>
                                <w:szCs w:val="16"/>
                              </w:rPr>
                              <w:t xml:space="preserve"> en biedt het ondersteuning aan </w:t>
                            </w:r>
                            <w:r w:rsidRPr="006D7E42">
                              <w:rPr>
                                <w:sz w:val="16"/>
                                <w:szCs w:val="16"/>
                              </w:rPr>
                              <w:t>Nederlandse</w:t>
                            </w:r>
                            <w:r>
                              <w:rPr>
                                <w:sz w:val="16"/>
                                <w:szCs w:val="16"/>
                              </w:rPr>
                              <w:t xml:space="preserve"> comitéleden</w:t>
                            </w:r>
                            <w:r w:rsidRPr="006D7E42">
                              <w:rPr>
                                <w:sz w:val="16"/>
                                <w:szCs w:val="16"/>
                              </w:rPr>
                              <w:t xml:space="preserve"> die deelnemen aan wetenschappelijke comités van het Europese geneesmiddelenagentschap </w:t>
                            </w:r>
                            <w:r>
                              <w:rPr>
                                <w:sz w:val="16"/>
                                <w:szCs w:val="16"/>
                              </w:rPr>
                              <w:t>(EMA)</w:t>
                            </w:r>
                            <w:r w:rsidR="002F2B2A">
                              <w:rPr>
                                <w:sz w:val="16"/>
                                <w:szCs w:val="16"/>
                              </w:rPr>
                              <w:t>.</w:t>
                            </w:r>
                          </w:p>
                          <w:p w:rsidRPr="00F50E7C" w:rsidR="00120C7C" w:rsidP="00120C7C" w:rsidRDefault="00120C7C" w14:paraId="02DF6B33"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pt;margin-top:18.65pt;width:375.85pt;height:5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" w14:anchorId="1CA388E8">
                <v:textbox>
                  <w:txbxContent>
                    <w:p w:rsidRPr="006D7E42" w:rsidR="006D7E42" w:rsidP="003B2233" w:rsidRDefault="006D7E42" w14:paraId="68C9055B" w14:textId="77777777">
                      <w:pPr>
                        <w:rPr>
                          <w:sz w:val="16"/>
                          <w:szCs w:val="16"/>
                        </w:rPr>
                      </w:pPr>
                      <w:r w:rsidRPr="006D7E42">
                        <w:rPr>
                          <w:sz w:val="16"/>
                          <w:szCs w:val="16"/>
                        </w:rPr>
                        <w:t xml:space="preserve">Het </w:t>
                      </w:r>
                      <w:proofErr w:type="spellStart"/>
                      <w:r w:rsidR="002F2B2A">
                        <w:rPr>
                          <w:sz w:val="16"/>
                          <w:szCs w:val="16"/>
                        </w:rPr>
                        <w:t>aCBG</w:t>
                      </w:r>
                      <w:proofErr w:type="spellEnd"/>
                      <w:r w:rsidRPr="006D7E42">
                        <w:rPr>
                          <w:sz w:val="16"/>
                          <w:szCs w:val="16"/>
                        </w:rPr>
                        <w:t xml:space="preserve"> ondersteunt het </w:t>
                      </w:r>
                      <w:r w:rsidR="002F2B2A">
                        <w:rPr>
                          <w:sz w:val="16"/>
                          <w:szCs w:val="16"/>
                        </w:rPr>
                        <w:t>College (</w:t>
                      </w:r>
                      <w:r w:rsidRPr="006D7E42">
                        <w:rPr>
                          <w:sz w:val="16"/>
                          <w:szCs w:val="16"/>
                        </w:rPr>
                        <w:t>CBG</w:t>
                      </w:r>
                      <w:r w:rsidR="002F2B2A">
                        <w:rPr>
                          <w:sz w:val="16"/>
                          <w:szCs w:val="16"/>
                        </w:rPr>
                        <w:t>)</w:t>
                      </w:r>
                      <w:r w:rsidRPr="006D7E42">
                        <w:rPr>
                          <w:sz w:val="16"/>
                          <w:szCs w:val="16"/>
                        </w:rPr>
                        <w:t xml:space="preserve"> bij het voorbereiden en uitvoeren van besluiten en adviezen over geneesmiddelen. Daarnaast houdt het </w:t>
                      </w:r>
                      <w:proofErr w:type="spellStart"/>
                      <w:r w:rsidR="00352D26">
                        <w:rPr>
                          <w:sz w:val="16"/>
                          <w:szCs w:val="16"/>
                        </w:rPr>
                        <w:t>aCBG</w:t>
                      </w:r>
                      <w:proofErr w:type="spellEnd"/>
                      <w:r w:rsidR="00352D26">
                        <w:rPr>
                          <w:sz w:val="16"/>
                          <w:szCs w:val="16"/>
                        </w:rPr>
                        <w:t xml:space="preserve"> </w:t>
                      </w:r>
                      <w:r w:rsidRPr="006D7E42">
                        <w:rPr>
                          <w:sz w:val="16"/>
                          <w:szCs w:val="16"/>
                        </w:rPr>
                        <w:t>toezicht op de veiligheid van medicijnen</w:t>
                      </w:r>
                      <w:r w:rsidR="00352D26">
                        <w:rPr>
                          <w:sz w:val="16"/>
                          <w:szCs w:val="16"/>
                        </w:rPr>
                        <w:t xml:space="preserve"> en biedt het ondersteuning aan </w:t>
                      </w:r>
                      <w:r w:rsidRPr="006D7E42">
                        <w:rPr>
                          <w:sz w:val="16"/>
                          <w:szCs w:val="16"/>
                        </w:rPr>
                        <w:t>Nederlandse</w:t>
                      </w:r>
                      <w:r>
                        <w:rPr>
                          <w:sz w:val="16"/>
                          <w:szCs w:val="16"/>
                        </w:rPr>
                        <w:t xml:space="preserve"> comitéleden</w:t>
                      </w:r>
                      <w:r w:rsidRPr="006D7E42">
                        <w:rPr>
                          <w:sz w:val="16"/>
                          <w:szCs w:val="16"/>
                        </w:rPr>
                        <w:t xml:space="preserve"> die deelnemen aan wetenschappelijke comités van het Europese geneesmiddelenagentschap </w:t>
                      </w:r>
                      <w:r>
                        <w:rPr>
                          <w:sz w:val="16"/>
                          <w:szCs w:val="16"/>
                        </w:rPr>
                        <w:t>(EMA)</w:t>
                      </w:r>
                      <w:r w:rsidR="002F2B2A">
                        <w:rPr>
                          <w:sz w:val="16"/>
                          <w:szCs w:val="16"/>
                        </w:rPr>
                        <w:t>.</w:t>
                      </w:r>
                    </w:p>
                    <w:p w:rsidRPr="00F50E7C" w:rsidR="00120C7C" w:rsidP="00120C7C" w:rsidRDefault="00120C7C" w14:paraId="02DF6B33" w14:textId="77777777">
                      <w:pPr>
                        <w:rPr>
                          <w:sz w:val="16"/>
                          <w:szCs w:val="16"/>
                        </w:rPr>
                      </w:pPr>
                    </w:p>
                  </w:txbxContent>
                </v:textbox>
                <w10:wrap type="square" anchorx="margin"/>
              </v:shape>
            </w:pict>
          </mc:Fallback>
        </mc:AlternateContent>
      </w:r>
      <w:proofErr w:type="spellStart"/>
      <w:r w:rsidRPr="005F6268" w:rsidR="00871EF3">
        <w:rPr>
          <w:i/>
          <w:iCs/>
        </w:rPr>
        <w:t>aCBG</w:t>
      </w:r>
      <w:proofErr w:type="spellEnd"/>
    </w:p>
    <w:p w:rsidRPr="005F6268" w:rsidR="00802231" w:rsidP="005F6268" w:rsidRDefault="00802231" w14:paraId="6CB9A216" w14:textId="0EA2F6D0">
      <w:pPr>
        <w:suppressAutoHyphens/>
        <w:spacing w:line="246" w:lineRule="atLeast"/>
      </w:pPr>
      <w:r w:rsidRPr="005F6268">
        <w:t xml:space="preserve">Het </w:t>
      </w:r>
      <w:proofErr w:type="spellStart"/>
      <w:r w:rsidRPr="005F6268">
        <w:t>aCBG</w:t>
      </w:r>
      <w:proofErr w:type="spellEnd"/>
      <w:r w:rsidRPr="005F6268">
        <w:t xml:space="preserve"> vraagt opnieuw aandacht voor de beschikbaarheid van geneesmiddelen. Ze roept op om een toekomstbestendig landschap voor gegevensuitwisseling voor geneesmiddelentekorten in te richten.</w:t>
      </w:r>
    </w:p>
    <w:p w:rsidRPr="005F6268" w:rsidR="00EB5136" w:rsidP="005F6268" w:rsidRDefault="00EB5136" w14:paraId="555BB249" w14:textId="77777777">
      <w:pPr>
        <w:suppressAutoHyphens/>
        <w:spacing w:line="246" w:lineRule="atLeast"/>
      </w:pPr>
    </w:p>
    <w:p w:rsidRPr="005F6268" w:rsidR="004875C6" w:rsidP="005F6268" w:rsidRDefault="00802231" w14:paraId="288C071A" w14:textId="31EBBB6E">
      <w:pPr>
        <w:suppressAutoHyphens/>
        <w:spacing w:line="246" w:lineRule="atLeast"/>
      </w:pPr>
      <w:r w:rsidRPr="005F6268">
        <w:t xml:space="preserve">De samenwerking tussen het </w:t>
      </w:r>
      <w:proofErr w:type="spellStart"/>
      <w:r w:rsidRPr="005F6268">
        <w:t>aCBG</w:t>
      </w:r>
      <w:proofErr w:type="spellEnd"/>
      <w:r w:rsidRPr="005F6268">
        <w:t xml:space="preserve"> en andere betrokken partijen in de keten heeft ertoe geleid dat het aantal gemelde geneesmiddelentekorten in Nederland in 2025 voor het tweede jaar op rij aanzienlijk is gedaald. De afname van tekorten toont aan dat de gezamenlijke inspanningen effect hebben. Om toekomstige geneesmiddelentekorten tijdig te signaleren en gerichter maatregelen te kunnen nemen, onderzoekt het kabinet samen met partijen onder het Aanvullend Zorg- en Welzijnsakkoord (AZWA) de haalbaarheid van het ontwikkelen van één informatiepunt over geneesmiddeltekorten. Onlangs is </w:t>
      </w:r>
      <w:r w:rsidRPr="005F6268" w:rsidR="00EB5136">
        <w:t>de</w:t>
      </w:r>
      <w:r w:rsidRPr="005F6268">
        <w:t xml:space="preserve"> Kamer geïnformeerd dat dit een complex traject is, waarbij veel verschillende belangen spelen en zorgvuldigheid is vereist. Dat maakt dat de realisatie van een informatiepunt niet op korte termijn is te verwachten.</w:t>
      </w:r>
      <w:r w:rsidRPr="005F6268">
        <w:rPr>
          <w:rStyle w:val="Voetnootmarkering"/>
        </w:rPr>
        <w:footnoteReference w:id="5"/>
      </w:r>
    </w:p>
    <w:p w:rsidRPr="005F6268" w:rsidR="00871EF3" w:rsidP="005F6268" w:rsidRDefault="00871EF3" w14:paraId="1EF93382" w14:textId="77777777">
      <w:pPr>
        <w:suppressAutoHyphens/>
        <w:spacing w:line="246" w:lineRule="atLeast"/>
        <w:rPr>
          <w:i/>
          <w:iCs/>
        </w:rPr>
      </w:pPr>
    </w:p>
    <w:p w:rsidRPr="005F6268" w:rsidR="00871EF3" w:rsidP="005F6268" w:rsidRDefault="00871EF3" w14:paraId="5939CB81" w14:textId="77777777">
      <w:pPr>
        <w:suppressAutoHyphens/>
        <w:spacing w:line="246" w:lineRule="atLeast"/>
        <w:rPr>
          <w:b/>
          <w:bCs/>
        </w:rPr>
      </w:pPr>
      <w:r w:rsidRPr="005F6268">
        <w:rPr>
          <w:noProof/>
        </w:rPr>
        <mc:AlternateContent>
          <mc:Choice Requires="wps">
            <w:drawing>
              <wp:anchor distT="45720" distB="45720" distL="114300" distR="114300" simplePos="0" relativeHeight="251661312" behindDoc="0" locked="0" layoutInCell="1" allowOverlap="1" wp14:editId="2CC2BE4C" wp14:anchorId="38EB0F9D">
                <wp:simplePos x="0" y="0"/>
                <wp:positionH relativeFrom="margin">
                  <wp:posOffset>0</wp:posOffset>
                </wp:positionH>
                <wp:positionV relativeFrom="paragraph">
                  <wp:posOffset>205509</wp:posOffset>
                </wp:positionV>
                <wp:extent cx="4773295" cy="723900"/>
                <wp:effectExtent l="0" t="0" r="27305" b="1905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23900"/>
                        </a:xfrm>
                        <a:prstGeom prst="rect">
                          <a:avLst/>
                        </a:prstGeom>
                        <a:solidFill>
                          <a:srgbClr val="FFFFFF"/>
                        </a:solidFill>
                        <a:ln w="9525">
                          <a:solidFill>
                            <a:srgbClr val="000000"/>
                          </a:solidFill>
                          <a:miter lim="800000"/>
                          <a:headEnd/>
                          <a:tailEnd/>
                        </a:ln>
                      </wps:spPr>
                      <wps:txbx>
                        <w:txbxContent>
                          <w:p w:rsidRPr="00F50E7C" w:rsidR="00871EF3" w:rsidP="00871EF3" w:rsidRDefault="00871EF3" w14:paraId="7DD13FB5" w14:textId="77777777">
                            <w:pPr>
                              <w:suppressAutoHyphens/>
                              <w:spacing w:line="246" w:lineRule="atLeast"/>
                              <w:rPr>
                                <w:sz w:val="16"/>
                                <w:szCs w:val="16"/>
                              </w:rPr>
                            </w:pPr>
                            <w:r w:rsidRPr="00F50E7C">
                              <w:rPr>
                                <w:sz w:val="16"/>
                                <w:szCs w:val="16"/>
                              </w:rPr>
                              <w:t>Het CIBG biedt burgers, (zorg)professionals en (</w:t>
                            </w:r>
                            <w:proofErr w:type="spellStart"/>
                            <w:r w:rsidRPr="00F50E7C">
                              <w:rPr>
                                <w:sz w:val="16"/>
                                <w:szCs w:val="16"/>
                              </w:rPr>
                              <w:t>overheids</w:t>
                            </w:r>
                            <w:proofErr w:type="spellEnd"/>
                            <w:r w:rsidRPr="00F50E7C">
                              <w:rPr>
                                <w:sz w:val="16"/>
                                <w:szCs w:val="16"/>
                              </w:rPr>
                              <w:t>)organisaties transparante en betrouwbare data over zorg en welzijn. Het CIBG geeft inzicht in wie is wie, wie kan wat en wie mag wat bij taken, onder andere via registers en knooppunten zoals het Donor- en BIG-register.</w:t>
                            </w:r>
                          </w:p>
                          <w:p w:rsidRPr="00F50E7C" w:rsidR="00871EF3" w:rsidP="00871EF3" w:rsidRDefault="00871EF3" w14:paraId="5F860760"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6.2pt;width:375.8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" w14:anchorId="38EB0F9D">
                <v:textbox>
                  <w:txbxContent>
                    <w:p w:rsidRPr="00F50E7C" w:rsidR="00871EF3" w:rsidP="00871EF3" w:rsidRDefault="00871EF3" w14:paraId="7DD13FB5" w14:textId="77777777">
                      <w:pPr>
                        <w:suppressAutoHyphens/>
                        <w:spacing w:line="246" w:lineRule="atLeast"/>
                        <w:rPr>
                          <w:sz w:val="16"/>
                          <w:szCs w:val="16"/>
                        </w:rPr>
                      </w:pPr>
                      <w:r w:rsidRPr="00F50E7C">
                        <w:rPr>
                          <w:sz w:val="16"/>
                          <w:szCs w:val="16"/>
                        </w:rPr>
                        <w:t>Het CIBG biedt burgers, (zorg)professionals en (</w:t>
                      </w:r>
                      <w:proofErr w:type="spellStart"/>
                      <w:r w:rsidRPr="00F50E7C">
                        <w:rPr>
                          <w:sz w:val="16"/>
                          <w:szCs w:val="16"/>
                        </w:rPr>
                        <w:t>overheids</w:t>
                      </w:r>
                      <w:proofErr w:type="spellEnd"/>
                      <w:r w:rsidRPr="00F50E7C">
                        <w:rPr>
                          <w:sz w:val="16"/>
                          <w:szCs w:val="16"/>
                        </w:rPr>
                        <w:t>)organisaties transparante en betrouwbare data over zorg en welzijn. Het CIBG geeft inzicht in wie is wie, wie kan wat en wie mag wat bij taken, onder andere via registers en knooppunten zoals het Donor- en BIG-register.</w:t>
                      </w:r>
                    </w:p>
                    <w:p w:rsidRPr="00F50E7C" w:rsidR="00871EF3" w:rsidP="00871EF3" w:rsidRDefault="00871EF3" w14:paraId="5F860760" w14:textId="77777777">
                      <w:pPr>
                        <w:rPr>
                          <w:sz w:val="16"/>
                          <w:szCs w:val="16"/>
                        </w:rPr>
                      </w:pPr>
                    </w:p>
                  </w:txbxContent>
                </v:textbox>
                <w10:wrap type="square" anchorx="margin"/>
              </v:shape>
            </w:pict>
          </mc:Fallback>
        </mc:AlternateContent>
      </w:r>
      <w:r w:rsidRPr="005F6268">
        <w:rPr>
          <w:i/>
          <w:iCs/>
        </w:rPr>
        <w:t>CIBG</w:t>
      </w:r>
    </w:p>
    <w:p w:rsidRPr="005F6268" w:rsidR="00802231" w:rsidP="005F6268" w:rsidRDefault="00802231" w14:paraId="1941066E" w14:textId="6D7DD00A">
      <w:pPr>
        <w:suppressAutoHyphens/>
        <w:spacing w:line="246" w:lineRule="atLeast"/>
        <w:rPr>
          <w:rFonts w:eastAsia="Aptos" w:cs="Calibri"/>
        </w:rPr>
      </w:pPr>
      <w:r w:rsidRPr="005F6268">
        <w:rPr>
          <w:rFonts w:eastAsia="Aptos" w:cs="Calibri"/>
        </w:rPr>
        <w:t xml:space="preserve">De in de vorige Stand van de uitvoering genoemde verbeterpunten zijn </w:t>
      </w:r>
      <w:r w:rsidRPr="005F6268" w:rsidR="005B1FB8">
        <w:rPr>
          <w:rFonts w:eastAsia="Aptos" w:cs="Calibri"/>
        </w:rPr>
        <w:t xml:space="preserve">in de Stand van de Uitvoering 2026 </w:t>
      </w:r>
      <w:r w:rsidRPr="005F6268">
        <w:rPr>
          <w:rFonts w:eastAsia="Aptos" w:cs="Calibri"/>
        </w:rPr>
        <w:t xml:space="preserve">geobjectiveerd, geprioriteerd en inmiddels voor een deel opgelost. Er wordt samengewerkt aan het oplossen van de nog openstaande verbeterpunten. Het CIBG vraagt specifiek aandacht voor samenwerking met ketenpartners. </w:t>
      </w:r>
    </w:p>
    <w:p w:rsidRPr="005F6268" w:rsidR="00802231" w:rsidP="005F6268" w:rsidRDefault="00802231" w14:paraId="6EA07962" w14:textId="77777777">
      <w:pPr>
        <w:suppressAutoHyphens/>
        <w:spacing w:line="246" w:lineRule="atLeast"/>
        <w:rPr>
          <w:rFonts w:eastAsia="Aptos" w:cs="Calibri"/>
        </w:rPr>
      </w:pPr>
    </w:p>
    <w:p w:rsidRPr="005F6268" w:rsidR="00802231" w:rsidP="005F6268" w:rsidRDefault="00802231" w14:paraId="1D5D9320" w14:textId="77777777">
      <w:pPr>
        <w:widowControl w:val="0"/>
        <w:suppressAutoHyphens/>
        <w:spacing w:line="246" w:lineRule="atLeast"/>
        <w:rPr>
          <w:rFonts w:eastAsia="Aptos" w:cs="Calibri"/>
        </w:rPr>
      </w:pPr>
      <w:r w:rsidRPr="005F6268">
        <w:rPr>
          <w:rFonts w:eastAsia="Aptos" w:cs="Calibri"/>
        </w:rPr>
        <w:t>Ten opzichte van de vorige Stand van de uitvoering meldt het CIBG verbeteringen in de procedure en de onderlinge afstemming tussen hun opdrachtgevers en het CIBG. Zij constateren hierbij de volgende verbeterstappen, namelijk</w:t>
      </w:r>
      <w:r w:rsidRPr="005F6268" w:rsidR="00986DE2">
        <w:rPr>
          <w:rFonts w:eastAsia="Aptos" w:cs="Calibri"/>
        </w:rPr>
        <w:t>:</w:t>
      </w:r>
    </w:p>
    <w:p w:rsidRPr="005F6268" w:rsidR="00802231" w:rsidP="005F6268" w:rsidRDefault="00802231" w14:paraId="29E1E31B" w14:textId="77777777">
      <w:pPr>
        <w:pStyle w:val="Lijstalinea"/>
        <w:widowControl w:val="0"/>
        <w:numPr>
          <w:ilvl w:val="0"/>
          <w:numId w:val="4"/>
        </w:numPr>
        <w:suppressAutoHyphens/>
        <w:autoSpaceDN/>
        <w:spacing w:line="246" w:lineRule="atLeast"/>
        <w:textAlignment w:val="auto"/>
        <w:rPr>
          <w:rFonts w:eastAsia="Aptos" w:cs="Calibri"/>
        </w:rPr>
      </w:pPr>
      <w:r w:rsidRPr="005F6268">
        <w:rPr>
          <w:rFonts w:eastAsia="Aptos" w:cs="Calibri"/>
        </w:rPr>
        <w:t xml:space="preserve">Het verbeteren van de beleidsmatige integraliteit, waarbij de opdrachtgevers hun opdrachten beter met elkaar afstemmen voor wat betreft beleidsonderwerpen en wet- en regelgeving die elkaar inhoudelijk raken. Dit helpt het CIBG zich intern effectiever, efficiënter en meer integraal te organiseren. </w:t>
      </w:r>
    </w:p>
    <w:p w:rsidRPr="005F6268" w:rsidR="00802231" w:rsidP="005F6268" w:rsidRDefault="00802231" w14:paraId="59D24A4A" w14:textId="77777777">
      <w:pPr>
        <w:pStyle w:val="Lijstalinea"/>
        <w:widowControl w:val="0"/>
        <w:numPr>
          <w:ilvl w:val="0"/>
          <w:numId w:val="4"/>
        </w:numPr>
        <w:suppressAutoHyphens/>
        <w:autoSpaceDN/>
        <w:spacing w:line="246" w:lineRule="atLeast"/>
        <w:textAlignment w:val="auto"/>
        <w:rPr>
          <w:rFonts w:eastAsia="Aptos" w:cs="Calibri"/>
        </w:rPr>
      </w:pPr>
      <w:r w:rsidRPr="005F6268">
        <w:rPr>
          <w:rFonts w:eastAsia="Aptos" w:cs="Calibri"/>
        </w:rPr>
        <w:t xml:space="preserve">Het nog vaker vroegtijdig betrekken van het CIBG, waardoor de kennis en ervaring van het CIBG over benodigde randvoorwaarden voor de uitvoering in de praktijk vroegtijdig wordt meegenomen in beleidsontwikkeling. Hier zijn afgelopen jaar al mooie stappen gezet. </w:t>
      </w:r>
    </w:p>
    <w:p w:rsidRPr="005F6268" w:rsidR="00802231" w:rsidP="005F6268" w:rsidRDefault="00802231" w14:paraId="7378DDA9" w14:textId="77777777">
      <w:pPr>
        <w:suppressAutoHyphens/>
        <w:spacing w:line="246" w:lineRule="atLeast"/>
        <w:rPr>
          <w:rFonts w:eastAsia="Aptos" w:cs="Calibri"/>
        </w:rPr>
      </w:pPr>
    </w:p>
    <w:p w:rsidRPr="005F6268" w:rsidR="00802231" w:rsidP="005F6268" w:rsidRDefault="00314597" w14:paraId="7EDC81FE" w14:textId="269EFB4C">
      <w:pPr>
        <w:suppressAutoHyphens/>
        <w:spacing w:line="246" w:lineRule="atLeast"/>
        <w:rPr>
          <w:rFonts w:eastAsia="Aptos" w:cs="Calibri"/>
        </w:rPr>
      </w:pPr>
      <w:r w:rsidRPr="005F6268">
        <w:rPr>
          <w:rFonts w:eastAsia="Aptos" w:cs="Calibri"/>
        </w:rPr>
        <w:t>Het kabinet ziet</w:t>
      </w:r>
      <w:r w:rsidRPr="005F6268" w:rsidR="00802231">
        <w:rPr>
          <w:rFonts w:eastAsia="Aptos" w:cs="Calibri"/>
        </w:rPr>
        <w:t xml:space="preserve"> de voortgang in de verbetering van de samenwerking en onderschrijf</w:t>
      </w:r>
      <w:r w:rsidRPr="005F6268" w:rsidR="00F16CFD">
        <w:rPr>
          <w:rFonts w:eastAsia="Aptos" w:cs="Calibri"/>
        </w:rPr>
        <w:t>t</w:t>
      </w:r>
      <w:r w:rsidRPr="005F6268" w:rsidR="00802231">
        <w:rPr>
          <w:rFonts w:eastAsia="Aptos" w:cs="Calibri"/>
        </w:rPr>
        <w:t xml:space="preserve"> de door het CIBG geformuleerde verbeterpunten en gezette stappen. </w:t>
      </w:r>
      <w:r w:rsidRPr="005F6268" w:rsidR="00986DE2">
        <w:rPr>
          <w:rFonts w:eastAsia="Aptos" w:cs="Calibri"/>
        </w:rPr>
        <w:t>D</w:t>
      </w:r>
      <w:r w:rsidRPr="005F6268" w:rsidR="00802231">
        <w:rPr>
          <w:rFonts w:eastAsia="Aptos" w:cs="Calibri"/>
        </w:rPr>
        <w:t xml:space="preserve">e komende periode </w:t>
      </w:r>
      <w:r w:rsidRPr="005F6268" w:rsidR="00986DE2">
        <w:rPr>
          <w:rFonts w:eastAsia="Aptos" w:cs="Calibri"/>
        </w:rPr>
        <w:t xml:space="preserve">blijft er </w:t>
      </w:r>
      <w:r w:rsidRPr="005F6268" w:rsidR="00802231">
        <w:rPr>
          <w:rFonts w:eastAsia="Aptos" w:cs="Calibri"/>
        </w:rPr>
        <w:t xml:space="preserve">aandacht </w:t>
      </w:r>
      <w:r w:rsidRPr="005F6268" w:rsidR="00986DE2">
        <w:rPr>
          <w:rFonts w:eastAsia="Aptos" w:cs="Calibri"/>
        </w:rPr>
        <w:t xml:space="preserve">nodig om </w:t>
      </w:r>
      <w:r w:rsidRPr="005F6268" w:rsidR="0033330D">
        <w:rPr>
          <w:rFonts w:eastAsia="Aptos" w:cs="Calibri"/>
        </w:rPr>
        <w:t xml:space="preserve">met het CIBG </w:t>
      </w:r>
      <w:r w:rsidRPr="005F6268" w:rsidR="00986DE2">
        <w:rPr>
          <w:rFonts w:eastAsia="Aptos" w:cs="Calibri"/>
        </w:rPr>
        <w:t xml:space="preserve">te </w:t>
      </w:r>
      <w:r w:rsidRPr="005F6268" w:rsidR="0033330D">
        <w:rPr>
          <w:rFonts w:eastAsia="Aptos" w:cs="Calibri"/>
        </w:rPr>
        <w:t xml:space="preserve">kijken </w:t>
      </w:r>
      <w:r w:rsidRPr="005F6268" w:rsidR="00986DE2">
        <w:rPr>
          <w:rFonts w:eastAsia="Aptos" w:cs="Calibri"/>
        </w:rPr>
        <w:t xml:space="preserve">naar </w:t>
      </w:r>
      <w:r w:rsidRPr="005F6268" w:rsidR="0033330D">
        <w:rPr>
          <w:rFonts w:eastAsia="Aptos" w:cs="Calibri"/>
        </w:rPr>
        <w:t xml:space="preserve">welke verbeterstappen </w:t>
      </w:r>
      <w:r w:rsidRPr="005F6268" w:rsidR="00986DE2">
        <w:rPr>
          <w:rFonts w:eastAsia="Aptos" w:cs="Calibri"/>
        </w:rPr>
        <w:t xml:space="preserve">er nog </w:t>
      </w:r>
      <w:r w:rsidRPr="005F6268" w:rsidR="0033330D">
        <w:rPr>
          <w:rFonts w:eastAsia="Aptos" w:cs="Calibri"/>
        </w:rPr>
        <w:t>gezamenlijk</w:t>
      </w:r>
      <w:r w:rsidRPr="005F6268">
        <w:rPr>
          <w:rFonts w:eastAsia="Aptos" w:cs="Calibri"/>
        </w:rPr>
        <w:t xml:space="preserve"> met </w:t>
      </w:r>
      <w:r w:rsidRPr="005F6268" w:rsidR="00EB5136">
        <w:rPr>
          <w:rFonts w:eastAsia="Aptos" w:cs="Calibri"/>
        </w:rPr>
        <w:t xml:space="preserve">het ministerie van </w:t>
      </w:r>
      <w:r w:rsidRPr="005F6268">
        <w:rPr>
          <w:rFonts w:eastAsia="Aptos" w:cs="Calibri"/>
        </w:rPr>
        <w:t>VWS</w:t>
      </w:r>
      <w:r w:rsidRPr="005F6268" w:rsidR="0033330D">
        <w:rPr>
          <w:rFonts w:eastAsia="Aptos" w:cs="Calibri"/>
        </w:rPr>
        <w:t xml:space="preserve"> kunnen </w:t>
      </w:r>
      <w:r w:rsidRPr="005F6268" w:rsidR="00986DE2">
        <w:rPr>
          <w:rFonts w:eastAsia="Aptos" w:cs="Calibri"/>
        </w:rPr>
        <w:t>worden gezet</w:t>
      </w:r>
      <w:r w:rsidRPr="005F6268" w:rsidR="00802231">
        <w:rPr>
          <w:rFonts w:eastAsia="Aptos" w:cs="Calibri"/>
        </w:rPr>
        <w:t xml:space="preserve">. </w:t>
      </w:r>
    </w:p>
    <w:p w:rsidRPr="005F6268" w:rsidR="00871EF3" w:rsidP="005F6268" w:rsidRDefault="00871EF3" w14:paraId="6C73F92A" w14:textId="77777777">
      <w:pPr>
        <w:suppressAutoHyphens/>
      </w:pPr>
    </w:p>
    <w:p w:rsidRPr="005F6268" w:rsidR="00871EF3" w:rsidP="005F6268" w:rsidRDefault="00DF2FF5" w14:paraId="382A9EE5" w14:textId="77777777">
      <w:pPr>
        <w:suppressAutoHyphens/>
        <w:rPr>
          <w:i/>
          <w:iCs/>
        </w:rPr>
      </w:pPr>
      <w:r w:rsidRPr="005F6268">
        <w:rPr>
          <w:noProof/>
        </w:rPr>
        <mc:AlternateContent>
          <mc:Choice Requires="wps">
            <w:drawing>
              <wp:anchor distT="45720" distB="45720" distL="114300" distR="114300" simplePos="0" relativeHeight="251670528" behindDoc="0" locked="0" layoutInCell="1" allowOverlap="1" wp14:editId="3622273D" wp14:anchorId="460B2F4B">
                <wp:simplePos x="0" y="0"/>
                <wp:positionH relativeFrom="margin">
                  <wp:posOffset>-1905</wp:posOffset>
                </wp:positionH>
                <wp:positionV relativeFrom="paragraph">
                  <wp:posOffset>200660</wp:posOffset>
                </wp:positionV>
                <wp:extent cx="4773295" cy="1066800"/>
                <wp:effectExtent l="0" t="0" r="27305" b="19050"/>
                <wp:wrapSquare wrapText="bothSides"/>
                <wp:docPr id="1985156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1066800"/>
                        </a:xfrm>
                        <a:prstGeom prst="rect">
                          <a:avLst/>
                        </a:prstGeom>
                        <a:solidFill>
                          <a:srgbClr val="FFFFFF"/>
                        </a:solidFill>
                        <a:ln w="9525">
                          <a:solidFill>
                            <a:srgbClr val="000000"/>
                          </a:solidFill>
                          <a:miter lim="800000"/>
                          <a:headEnd/>
                          <a:tailEnd/>
                        </a:ln>
                      </wps:spPr>
                      <wps:txbx>
                        <w:txbxContent>
                          <w:p w:rsidRPr="00DF2FF5" w:rsidR="00DF2FF5" w:rsidP="00DF2FF5" w:rsidRDefault="00DF2FF5" w14:paraId="2E46E787" w14:textId="43E60E4C">
                            <w:pPr>
                              <w:rPr>
                                <w:sz w:val="16"/>
                                <w:szCs w:val="16"/>
                              </w:rPr>
                            </w:pPr>
                            <w:r w:rsidRPr="00DF2FF5">
                              <w:rPr>
                                <w:sz w:val="16"/>
                                <w:szCs w:val="16"/>
                              </w:rPr>
                              <w:t xml:space="preserve">Het </w:t>
                            </w:r>
                            <w:r w:rsidR="002F2B2A">
                              <w:rPr>
                                <w:sz w:val="16"/>
                                <w:szCs w:val="16"/>
                              </w:rPr>
                              <w:t>RIVM voorziet</w:t>
                            </w:r>
                            <w:r>
                              <w:rPr>
                                <w:sz w:val="16"/>
                                <w:szCs w:val="16"/>
                              </w:rPr>
                              <w:t xml:space="preserve"> </w:t>
                            </w:r>
                            <w:r w:rsidRPr="00DF2FF5">
                              <w:rPr>
                                <w:sz w:val="16"/>
                                <w:szCs w:val="16"/>
                              </w:rPr>
                              <w:t xml:space="preserve">de overheid en samenleving van onafhankelijke kennis op het gebied van gezondheid, milieu en veiligheid. Het gaat daarbij om vraagstukken rondom infectieziekten, vaccinaties, bevolkingsonderzoeken, leefstijl, voeding, geneesmiddelen, milieu, duurzaamheid en veiligheid. Dat </w:t>
                            </w:r>
                            <w:r w:rsidR="00352D26">
                              <w:rPr>
                                <w:sz w:val="16"/>
                                <w:szCs w:val="16"/>
                              </w:rPr>
                              <w:t>doet het RIVM</w:t>
                            </w:r>
                            <w:r w:rsidRPr="00DF2FF5">
                              <w:rPr>
                                <w:sz w:val="16"/>
                                <w:szCs w:val="16"/>
                              </w:rPr>
                              <w:t xml:space="preserve"> via kennissynthese, </w:t>
                            </w:r>
                            <w:r w:rsidR="00352D26">
                              <w:rPr>
                                <w:sz w:val="16"/>
                                <w:szCs w:val="16"/>
                              </w:rPr>
                              <w:t xml:space="preserve">onafhankelijk </w:t>
                            </w:r>
                            <w:r w:rsidRPr="00DF2FF5">
                              <w:rPr>
                                <w:sz w:val="16"/>
                                <w:szCs w:val="16"/>
                              </w:rPr>
                              <w:t>onderzoek</w:t>
                            </w:r>
                            <w:r w:rsidR="004A376D">
                              <w:rPr>
                                <w:sz w:val="16"/>
                                <w:szCs w:val="16"/>
                              </w:rPr>
                              <w:t xml:space="preserve"> </w:t>
                            </w:r>
                            <w:r w:rsidR="003137E0">
                              <w:rPr>
                                <w:sz w:val="16"/>
                                <w:szCs w:val="16"/>
                              </w:rPr>
                              <w:t xml:space="preserve">en </w:t>
                            </w:r>
                            <w:r w:rsidRPr="00DF2FF5">
                              <w:rPr>
                                <w:sz w:val="16"/>
                                <w:szCs w:val="16"/>
                              </w:rPr>
                              <w:t>advies</w:t>
                            </w:r>
                            <w:r w:rsidR="003137E0">
                              <w:rPr>
                                <w:sz w:val="16"/>
                                <w:szCs w:val="16"/>
                              </w:rPr>
                              <w:t>. Daarnaast voert het RIVM</w:t>
                            </w:r>
                            <w:r w:rsidRPr="00DF2FF5">
                              <w:rPr>
                                <w:sz w:val="16"/>
                                <w:szCs w:val="16"/>
                              </w:rPr>
                              <w:t xml:space="preserve"> (regie op) </w:t>
                            </w:r>
                            <w:r w:rsidR="003137E0">
                              <w:rPr>
                                <w:sz w:val="16"/>
                                <w:szCs w:val="16"/>
                              </w:rPr>
                              <w:t xml:space="preserve">de </w:t>
                            </w:r>
                            <w:r w:rsidRPr="00DF2FF5">
                              <w:rPr>
                                <w:sz w:val="16"/>
                                <w:szCs w:val="16"/>
                              </w:rPr>
                              <w:t>uitvoering</w:t>
                            </w:r>
                            <w:r w:rsidR="003137E0">
                              <w:rPr>
                                <w:sz w:val="16"/>
                                <w:szCs w:val="16"/>
                              </w:rPr>
                              <w:t xml:space="preserve"> van programma’s voor vaccinatie en screening.</w:t>
                            </w:r>
                          </w:p>
                          <w:p w:rsidRPr="00F50E7C" w:rsidR="00DF2FF5" w:rsidP="006D7E42" w:rsidRDefault="00DF2FF5" w14:paraId="712D0221" w14:textId="7777777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5pt;margin-top:15.8pt;width:375.85pt;height:8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" w14:anchorId="460B2F4B">
                <v:textbox>
                  <w:txbxContent>
                    <w:p w:rsidRPr="00DF2FF5" w:rsidR="00DF2FF5" w:rsidP="00DF2FF5" w:rsidRDefault="00DF2FF5" w14:paraId="2E46E787" w14:textId="43E60E4C">
                      <w:pPr>
                        <w:rPr>
                          <w:sz w:val="16"/>
                          <w:szCs w:val="16"/>
                        </w:rPr>
                      </w:pPr>
                      <w:r w:rsidRPr="00DF2FF5">
                        <w:rPr>
                          <w:sz w:val="16"/>
                          <w:szCs w:val="16"/>
                        </w:rPr>
                        <w:t xml:space="preserve">Het </w:t>
                      </w:r>
                      <w:r w:rsidR="002F2B2A">
                        <w:rPr>
                          <w:sz w:val="16"/>
                          <w:szCs w:val="16"/>
                        </w:rPr>
                        <w:t>RIVM voorziet</w:t>
                      </w:r>
                      <w:r>
                        <w:rPr>
                          <w:sz w:val="16"/>
                          <w:szCs w:val="16"/>
                        </w:rPr>
                        <w:t xml:space="preserve"> </w:t>
                      </w:r>
                      <w:r w:rsidRPr="00DF2FF5">
                        <w:rPr>
                          <w:sz w:val="16"/>
                          <w:szCs w:val="16"/>
                        </w:rPr>
                        <w:t xml:space="preserve">de overheid en samenleving van onafhankelijke kennis op het gebied van gezondheid, milieu en veiligheid. Het gaat daarbij om vraagstukken rondom infectieziekten, vaccinaties, bevolkingsonderzoeken, leefstijl, voeding, geneesmiddelen, milieu, duurzaamheid en veiligheid. Dat </w:t>
                      </w:r>
                      <w:r w:rsidR="00352D26">
                        <w:rPr>
                          <w:sz w:val="16"/>
                          <w:szCs w:val="16"/>
                        </w:rPr>
                        <w:t>doet het RIVM</w:t>
                      </w:r>
                      <w:r w:rsidRPr="00DF2FF5">
                        <w:rPr>
                          <w:sz w:val="16"/>
                          <w:szCs w:val="16"/>
                        </w:rPr>
                        <w:t xml:space="preserve"> via kennissynthese, </w:t>
                      </w:r>
                      <w:r w:rsidR="00352D26">
                        <w:rPr>
                          <w:sz w:val="16"/>
                          <w:szCs w:val="16"/>
                        </w:rPr>
                        <w:t xml:space="preserve">onafhankelijk </w:t>
                      </w:r>
                      <w:r w:rsidRPr="00DF2FF5">
                        <w:rPr>
                          <w:sz w:val="16"/>
                          <w:szCs w:val="16"/>
                        </w:rPr>
                        <w:t>onderzoek</w:t>
                      </w:r>
                      <w:r w:rsidR="004A376D">
                        <w:rPr>
                          <w:sz w:val="16"/>
                          <w:szCs w:val="16"/>
                        </w:rPr>
                        <w:t xml:space="preserve"> </w:t>
                      </w:r>
                      <w:r w:rsidR="003137E0">
                        <w:rPr>
                          <w:sz w:val="16"/>
                          <w:szCs w:val="16"/>
                        </w:rPr>
                        <w:t xml:space="preserve">en </w:t>
                      </w:r>
                      <w:r w:rsidRPr="00DF2FF5">
                        <w:rPr>
                          <w:sz w:val="16"/>
                          <w:szCs w:val="16"/>
                        </w:rPr>
                        <w:t>advies</w:t>
                      </w:r>
                      <w:r w:rsidR="003137E0">
                        <w:rPr>
                          <w:sz w:val="16"/>
                          <w:szCs w:val="16"/>
                        </w:rPr>
                        <w:t>. Daarnaast voert het RIVM</w:t>
                      </w:r>
                      <w:r w:rsidRPr="00DF2FF5">
                        <w:rPr>
                          <w:sz w:val="16"/>
                          <w:szCs w:val="16"/>
                        </w:rPr>
                        <w:t xml:space="preserve"> (regie op) </w:t>
                      </w:r>
                      <w:r w:rsidR="003137E0">
                        <w:rPr>
                          <w:sz w:val="16"/>
                          <w:szCs w:val="16"/>
                        </w:rPr>
                        <w:t xml:space="preserve">de </w:t>
                      </w:r>
                      <w:r w:rsidRPr="00DF2FF5">
                        <w:rPr>
                          <w:sz w:val="16"/>
                          <w:szCs w:val="16"/>
                        </w:rPr>
                        <w:t>uitvoering</w:t>
                      </w:r>
                      <w:r w:rsidR="003137E0">
                        <w:rPr>
                          <w:sz w:val="16"/>
                          <w:szCs w:val="16"/>
                        </w:rPr>
                        <w:t xml:space="preserve"> van programma’s voor vaccinatie en screening.</w:t>
                      </w:r>
                    </w:p>
                    <w:p w:rsidRPr="00F50E7C" w:rsidR="00DF2FF5" w:rsidP="006D7E42" w:rsidRDefault="00DF2FF5" w14:paraId="712D0221" w14:textId="77777777">
                      <w:pPr>
                        <w:rPr>
                          <w:sz w:val="16"/>
                          <w:szCs w:val="16"/>
                        </w:rPr>
                      </w:pPr>
                    </w:p>
                  </w:txbxContent>
                </v:textbox>
                <w10:wrap type="square" anchorx="margin"/>
              </v:shape>
            </w:pict>
          </mc:Fallback>
        </mc:AlternateContent>
      </w:r>
      <w:r w:rsidRPr="005F6268" w:rsidR="00871EF3">
        <w:rPr>
          <w:i/>
          <w:iCs/>
        </w:rPr>
        <w:t>RIVM</w:t>
      </w:r>
    </w:p>
    <w:p w:rsidRPr="005F6268" w:rsidR="003137E0" w:rsidP="005F6268" w:rsidRDefault="003137E0" w14:paraId="561E7A8D" w14:textId="4366C8AA">
      <w:pPr>
        <w:suppressAutoHyphens/>
      </w:pPr>
      <w:r w:rsidRPr="005F6268">
        <w:t xml:space="preserve">In </w:t>
      </w:r>
      <w:r w:rsidRPr="005F6268" w:rsidR="009E5680">
        <w:t>de</w:t>
      </w:r>
      <w:r w:rsidRPr="005F6268">
        <w:t xml:space="preserve"> Stand van de Uitvoering benoemt het RIVM een aantal belangrijke </w:t>
      </w:r>
      <w:r w:rsidRPr="005F6268" w:rsidR="000E7155">
        <w:t>uitgangs</w:t>
      </w:r>
      <w:r w:rsidRPr="005F6268">
        <w:t>punten, waaronder het belang van lange</w:t>
      </w:r>
      <w:r w:rsidRPr="005F6268" w:rsidR="005F778C">
        <w:t xml:space="preserve"> </w:t>
      </w:r>
      <w:r w:rsidRPr="005F6268">
        <w:t>termijn</w:t>
      </w:r>
      <w:r w:rsidRPr="005F6268" w:rsidR="005F778C">
        <w:t xml:space="preserve"> </w:t>
      </w:r>
      <w:r w:rsidRPr="005F6268">
        <w:t xml:space="preserve">ambities vanuit de politiek, met stabiele financiering en voldoende tijd voor implementatie. Ook benoemt het RIVM het belang van internationale samenwerking rondom de uitvoering van crisistaken. De knelpunten die het RIVM benoemt zijn herkenbaar voor </w:t>
      </w:r>
      <w:r w:rsidRPr="005F6268" w:rsidR="00EB5136">
        <w:t xml:space="preserve">het ministerie van </w:t>
      </w:r>
      <w:r w:rsidRPr="005F6268">
        <w:t xml:space="preserve">VWS en op alle punten wordt gezamenlijk gewerkt aan oplossingen. De voortgang hiervan is in veel gevallen afhankelijk van internationale samenwerking en (internationale) wetgeving. </w:t>
      </w:r>
    </w:p>
    <w:p w:rsidRPr="005F6268" w:rsidR="0018160E" w:rsidP="005F6268" w:rsidRDefault="0018160E" w14:paraId="6A505860" w14:textId="77777777">
      <w:pPr>
        <w:suppressAutoHyphens/>
      </w:pPr>
    </w:p>
    <w:p w:rsidRPr="005F6268" w:rsidR="005F6268" w:rsidP="005F6268" w:rsidRDefault="005F6268" w14:paraId="3F557DCF" w14:textId="77777777">
      <w:pPr>
        <w:suppressAutoHyphens/>
      </w:pPr>
    </w:p>
    <w:p w:rsidRPr="005F6268" w:rsidR="0018160E" w:rsidP="005F6268" w:rsidRDefault="0018160E" w14:paraId="275B3CF5" w14:textId="427FE3DD">
      <w:pPr>
        <w:suppressAutoHyphens/>
      </w:pPr>
      <w:r w:rsidRPr="005F6268">
        <w:lastRenderedPageBreak/>
        <w:t xml:space="preserve">Specifiek over de beschikbaarheid van vaccins en aanverwante medische producten voor bestrijding van ernstige gezondheidsbedreigingen zoals infectieziekten, is het kabinet in gesprek met relevante Europese partners. Samen met deze partners bekijken we voor welke bedreigingen de leveringszekerheid van specifieke medische producten geborgd moet worden, en welke maatregelen genomen kunnen worden om risico’s op verstoring te mitigeren. Het RIVM wordt hierbij nauw betrokken. </w:t>
      </w:r>
    </w:p>
    <w:p w:rsidRPr="005F6268" w:rsidR="0018160E" w:rsidP="005F6268" w:rsidRDefault="0018160E" w14:paraId="723E53EC" w14:textId="77777777">
      <w:pPr>
        <w:suppressAutoHyphens/>
      </w:pPr>
    </w:p>
    <w:p w:rsidRPr="005F6268" w:rsidR="004875C6" w:rsidP="005F6268" w:rsidRDefault="0018160E" w14:paraId="5C268B87" w14:textId="77777777">
      <w:pPr>
        <w:suppressAutoHyphens/>
      </w:pPr>
      <w:r w:rsidRPr="005F6268">
        <w:t xml:space="preserve">Daarnaast herkent het kabinet het knelpunt dat er momenteel geen toereikende wettelijke grondslag bestaat voor het delen van diagnostische gegevens vanuit ziekenhuizen met de screeningsorganisaties ten behoeve van bevolkingsonderzoeken en screeningsprogramma’s. Om onder andere dit probleem te adresseren is de Verzamelwet </w:t>
      </w:r>
      <w:proofErr w:type="spellStart"/>
      <w:r w:rsidRPr="005F6268">
        <w:t>IIb</w:t>
      </w:r>
      <w:proofErr w:type="spellEnd"/>
      <w:r w:rsidRPr="005F6268">
        <w:t xml:space="preserve"> in gang gezet, die voorziet in een wettelijke grondslag voor de uitwisseling van gegevens ten behoeve van monitoring en evaluatie door het RIVM. Zodra het voorstel is aangenomen in beide Kamers, zullen er zo spoedig mogelijk stappen worden gezet om de gegevensuitwisseling zorgvuldig en doelmatig in te richten. </w:t>
      </w:r>
    </w:p>
    <w:p w:rsidRPr="005F6268" w:rsidR="00871EF3" w:rsidP="005F6268" w:rsidRDefault="00871EF3" w14:paraId="4DC3B18E" w14:textId="77777777">
      <w:pPr>
        <w:suppressAutoHyphens/>
        <w:spacing w:line="246" w:lineRule="atLeast"/>
      </w:pPr>
    </w:p>
    <w:p w:rsidRPr="005F6268" w:rsidR="00871EF3" w:rsidP="005F6268" w:rsidRDefault="00871EF3" w14:paraId="677F638F" w14:textId="77777777">
      <w:pPr>
        <w:suppressAutoHyphens/>
        <w:spacing w:line="246" w:lineRule="atLeast"/>
        <w:rPr>
          <w:b/>
          <w:bCs/>
        </w:rPr>
      </w:pPr>
      <w:r w:rsidRPr="005F6268">
        <w:rPr>
          <w:noProof/>
        </w:rPr>
        <mc:AlternateContent>
          <mc:Choice Requires="wps">
            <w:drawing>
              <wp:anchor distT="45720" distB="45720" distL="114300" distR="114300" simplePos="0" relativeHeight="251664384" behindDoc="0" locked="0" layoutInCell="1" allowOverlap="1" wp14:editId="05B01E4E" wp14:anchorId="57482494">
                <wp:simplePos x="0" y="0"/>
                <wp:positionH relativeFrom="margin">
                  <wp:posOffset>-9525</wp:posOffset>
                </wp:positionH>
                <wp:positionV relativeFrom="paragraph">
                  <wp:posOffset>227330</wp:posOffset>
                </wp:positionV>
                <wp:extent cx="4773295" cy="739140"/>
                <wp:effectExtent l="0" t="0" r="27305" b="2286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739140"/>
                        </a:xfrm>
                        <a:prstGeom prst="rect">
                          <a:avLst/>
                        </a:prstGeom>
                        <a:solidFill>
                          <a:srgbClr val="FFFFFF"/>
                        </a:solidFill>
                        <a:ln w="9525">
                          <a:solidFill>
                            <a:srgbClr val="000000"/>
                          </a:solidFill>
                          <a:miter lim="800000"/>
                          <a:headEnd/>
                          <a:tailEnd/>
                        </a:ln>
                      </wps:spPr>
                      <wps:txbx>
                        <w:txbxContent>
                          <w:p w:rsidRPr="00F50E7C" w:rsidR="00871EF3" w:rsidP="00871EF3" w:rsidRDefault="00871EF3" w14:paraId="2AF1B80A" w14:textId="77777777">
                            <w:pPr>
                              <w:rPr>
                                <w:sz w:val="16"/>
                                <w:szCs w:val="16"/>
                              </w:rPr>
                            </w:pPr>
                            <w:r>
                              <w:rPr>
                                <w:sz w:val="16"/>
                                <w:szCs w:val="16"/>
                              </w:rPr>
                              <w:t xml:space="preserve">De </w:t>
                            </w:r>
                            <w:r w:rsidR="002F2B2A">
                              <w:rPr>
                                <w:sz w:val="16"/>
                                <w:szCs w:val="16"/>
                              </w:rPr>
                              <w:t>SVB</w:t>
                            </w:r>
                            <w:r>
                              <w:rPr>
                                <w:sz w:val="16"/>
                                <w:szCs w:val="16"/>
                              </w:rPr>
                              <w:t xml:space="preserve"> is een </w:t>
                            </w:r>
                            <w:proofErr w:type="spellStart"/>
                            <w:r>
                              <w:rPr>
                                <w:sz w:val="16"/>
                                <w:szCs w:val="16"/>
                              </w:rPr>
                              <w:t>zbo</w:t>
                            </w:r>
                            <w:proofErr w:type="spellEnd"/>
                            <w:r>
                              <w:rPr>
                                <w:sz w:val="16"/>
                                <w:szCs w:val="16"/>
                              </w:rPr>
                              <w:t xml:space="preserve"> met </w:t>
                            </w:r>
                            <w:r w:rsidR="00352D26">
                              <w:rPr>
                                <w:sz w:val="16"/>
                                <w:szCs w:val="16"/>
                              </w:rPr>
                              <w:t xml:space="preserve">als </w:t>
                            </w:r>
                            <w:r>
                              <w:rPr>
                                <w:sz w:val="16"/>
                                <w:szCs w:val="16"/>
                              </w:rPr>
                              <w:t>hoofdopdrachtgever</w:t>
                            </w:r>
                            <w:r w:rsidR="00352D26">
                              <w:rPr>
                                <w:sz w:val="16"/>
                                <w:szCs w:val="16"/>
                              </w:rPr>
                              <w:t xml:space="preserve"> het ministerie van</w:t>
                            </w:r>
                            <w:r>
                              <w:rPr>
                                <w:sz w:val="16"/>
                                <w:szCs w:val="16"/>
                              </w:rPr>
                              <w:t xml:space="preserve"> SZW, en is verantwoordelijk voor het uitvoeren van verschillende regelingen in de sociale zekerheid en zorg, zoals de AOW, kinderbijslag en het </w:t>
                            </w:r>
                            <w:r w:rsidR="00F16CFD">
                              <w:rPr>
                                <w:sz w:val="16"/>
                                <w:szCs w:val="16"/>
                              </w:rPr>
                              <w:t>p</w:t>
                            </w:r>
                            <w:r>
                              <w:rPr>
                                <w:sz w:val="16"/>
                                <w:szCs w:val="16"/>
                              </w:rPr>
                              <w:t>ersoonsgebonden budget (</w:t>
                            </w:r>
                            <w:r w:rsidR="00F16CFD">
                              <w:rPr>
                                <w:sz w:val="16"/>
                                <w:szCs w:val="16"/>
                              </w:rPr>
                              <w:t>pgb</w:t>
                            </w:r>
                            <w:r>
                              <w:rPr>
                                <w:sz w:val="16"/>
                                <w:szCs w:val="16"/>
                              </w:rPr>
                              <w:t xml:space="preserve">). </w:t>
                            </w:r>
                            <w:r w:rsidRPr="001177C1">
                              <w:rPr>
                                <w:sz w:val="16"/>
                                <w:szCs w:val="16"/>
                              </w:rPr>
                              <w:t>De Stand 202</w:t>
                            </w:r>
                            <w:r w:rsidR="009E1967">
                              <w:rPr>
                                <w:sz w:val="16"/>
                                <w:szCs w:val="16"/>
                              </w:rPr>
                              <w:t>6</w:t>
                            </w:r>
                            <w:r w:rsidRPr="001177C1">
                              <w:rPr>
                                <w:sz w:val="16"/>
                                <w:szCs w:val="16"/>
                              </w:rPr>
                              <w:t xml:space="preserve"> is specifiek uitgebracht over het </w:t>
                            </w:r>
                            <w:r w:rsidR="00F16CFD">
                              <w:rPr>
                                <w:sz w:val="16"/>
                                <w:szCs w:val="16"/>
                              </w:rPr>
                              <w:t>pgb</w:t>
                            </w:r>
                            <w:r w:rsidRPr="001177C1">
                              <w:rPr>
                                <w:sz w:val="16"/>
                                <w:szCs w:val="16"/>
                              </w:rPr>
                              <w:t xml:space="preserve">. VWS is opdrachtgever van het </w:t>
                            </w:r>
                            <w:r w:rsidR="00F16CFD">
                              <w:rPr>
                                <w:sz w:val="16"/>
                                <w:szCs w:val="16"/>
                              </w:rPr>
                              <w:t>pgb</w:t>
                            </w:r>
                            <w:r w:rsidRPr="001177C1">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75pt;margin-top:17.9pt;width:375.85pt;height:58.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" w14:anchorId="57482494">
                <v:textbox>
                  <w:txbxContent>
                    <w:p w:rsidRPr="00F50E7C" w:rsidR="00871EF3" w:rsidP="00871EF3" w:rsidRDefault="00871EF3" w14:paraId="2AF1B80A" w14:textId="77777777">
                      <w:pPr>
                        <w:rPr>
                          <w:sz w:val="16"/>
                          <w:szCs w:val="16"/>
                        </w:rPr>
                      </w:pPr>
                      <w:r>
                        <w:rPr>
                          <w:sz w:val="16"/>
                          <w:szCs w:val="16"/>
                        </w:rPr>
                        <w:t xml:space="preserve">De </w:t>
                      </w:r>
                      <w:r w:rsidR="002F2B2A">
                        <w:rPr>
                          <w:sz w:val="16"/>
                          <w:szCs w:val="16"/>
                        </w:rPr>
                        <w:t>SVB</w:t>
                      </w:r>
                      <w:r>
                        <w:rPr>
                          <w:sz w:val="16"/>
                          <w:szCs w:val="16"/>
                        </w:rPr>
                        <w:t xml:space="preserve"> is een </w:t>
                      </w:r>
                      <w:proofErr w:type="spellStart"/>
                      <w:r>
                        <w:rPr>
                          <w:sz w:val="16"/>
                          <w:szCs w:val="16"/>
                        </w:rPr>
                        <w:t>zbo</w:t>
                      </w:r>
                      <w:proofErr w:type="spellEnd"/>
                      <w:r>
                        <w:rPr>
                          <w:sz w:val="16"/>
                          <w:szCs w:val="16"/>
                        </w:rPr>
                        <w:t xml:space="preserve"> met </w:t>
                      </w:r>
                      <w:r w:rsidR="00352D26">
                        <w:rPr>
                          <w:sz w:val="16"/>
                          <w:szCs w:val="16"/>
                        </w:rPr>
                        <w:t xml:space="preserve">als </w:t>
                      </w:r>
                      <w:r>
                        <w:rPr>
                          <w:sz w:val="16"/>
                          <w:szCs w:val="16"/>
                        </w:rPr>
                        <w:t>hoofdopdrachtgever</w:t>
                      </w:r>
                      <w:r w:rsidR="00352D26">
                        <w:rPr>
                          <w:sz w:val="16"/>
                          <w:szCs w:val="16"/>
                        </w:rPr>
                        <w:t xml:space="preserve"> het ministerie van</w:t>
                      </w:r>
                      <w:r>
                        <w:rPr>
                          <w:sz w:val="16"/>
                          <w:szCs w:val="16"/>
                        </w:rPr>
                        <w:t xml:space="preserve"> SZW, en is verantwoordelijk voor het uitvoeren van verschillende regelingen in de sociale zekerheid en zorg, zoals de AOW, kinderbijslag en het </w:t>
                      </w:r>
                      <w:r w:rsidR="00F16CFD">
                        <w:rPr>
                          <w:sz w:val="16"/>
                          <w:szCs w:val="16"/>
                        </w:rPr>
                        <w:t>p</w:t>
                      </w:r>
                      <w:r>
                        <w:rPr>
                          <w:sz w:val="16"/>
                          <w:szCs w:val="16"/>
                        </w:rPr>
                        <w:t>ersoonsgebonden budget (</w:t>
                      </w:r>
                      <w:r w:rsidR="00F16CFD">
                        <w:rPr>
                          <w:sz w:val="16"/>
                          <w:szCs w:val="16"/>
                        </w:rPr>
                        <w:t>pgb</w:t>
                      </w:r>
                      <w:r>
                        <w:rPr>
                          <w:sz w:val="16"/>
                          <w:szCs w:val="16"/>
                        </w:rPr>
                        <w:t xml:space="preserve">). </w:t>
                      </w:r>
                      <w:r w:rsidRPr="001177C1">
                        <w:rPr>
                          <w:sz w:val="16"/>
                          <w:szCs w:val="16"/>
                        </w:rPr>
                        <w:t>De Stand 202</w:t>
                      </w:r>
                      <w:r w:rsidR="009E1967">
                        <w:rPr>
                          <w:sz w:val="16"/>
                          <w:szCs w:val="16"/>
                        </w:rPr>
                        <w:t>6</w:t>
                      </w:r>
                      <w:r w:rsidRPr="001177C1">
                        <w:rPr>
                          <w:sz w:val="16"/>
                          <w:szCs w:val="16"/>
                        </w:rPr>
                        <w:t xml:space="preserve"> is specifiek uitgebracht over het </w:t>
                      </w:r>
                      <w:r w:rsidR="00F16CFD">
                        <w:rPr>
                          <w:sz w:val="16"/>
                          <w:szCs w:val="16"/>
                        </w:rPr>
                        <w:t>pgb</w:t>
                      </w:r>
                      <w:r w:rsidRPr="001177C1">
                        <w:rPr>
                          <w:sz w:val="16"/>
                          <w:szCs w:val="16"/>
                        </w:rPr>
                        <w:t xml:space="preserve">. VWS is opdrachtgever van het </w:t>
                      </w:r>
                      <w:r w:rsidR="00F16CFD">
                        <w:rPr>
                          <w:sz w:val="16"/>
                          <w:szCs w:val="16"/>
                        </w:rPr>
                        <w:t>pgb</w:t>
                      </w:r>
                      <w:r w:rsidRPr="001177C1">
                        <w:rPr>
                          <w:sz w:val="16"/>
                          <w:szCs w:val="16"/>
                        </w:rPr>
                        <w:t xml:space="preserve">. </w:t>
                      </w:r>
                    </w:p>
                  </w:txbxContent>
                </v:textbox>
                <w10:wrap type="square" anchorx="margin"/>
              </v:shape>
            </w:pict>
          </mc:Fallback>
        </mc:AlternateContent>
      </w:r>
      <w:r w:rsidRPr="005F6268">
        <w:rPr>
          <w:i/>
          <w:iCs/>
        </w:rPr>
        <w:t>SVB - PGB</w:t>
      </w:r>
    </w:p>
    <w:p w:rsidRPr="005F6268" w:rsidR="00802231" w:rsidP="005F6268" w:rsidRDefault="00802231" w14:paraId="1D1B5006" w14:textId="35961C71">
      <w:pPr>
        <w:suppressAutoHyphens/>
      </w:pPr>
      <w:r w:rsidRPr="005F6268">
        <w:t xml:space="preserve">De SVB schetst in haar </w:t>
      </w:r>
      <w:r w:rsidRPr="005F6268" w:rsidR="00747B64">
        <w:t>S</w:t>
      </w:r>
      <w:r w:rsidRPr="005F6268">
        <w:t xml:space="preserve">tand van de </w:t>
      </w:r>
      <w:r w:rsidRPr="005F6268" w:rsidR="00747B64">
        <w:t>U</w:t>
      </w:r>
      <w:r w:rsidRPr="005F6268">
        <w:t xml:space="preserve">itvoering dat een deel van de </w:t>
      </w:r>
      <w:r w:rsidRPr="005F6268" w:rsidR="005F6268">
        <w:t>budgethouders</w:t>
      </w:r>
      <w:r w:rsidRPr="005F6268">
        <w:t xml:space="preserve"> in het pgb in toenemende mate last he</w:t>
      </w:r>
      <w:r w:rsidRPr="005F6268" w:rsidR="006D225A">
        <w:t>eft</w:t>
      </w:r>
      <w:r w:rsidRPr="005F6268">
        <w:t xml:space="preserve"> van </w:t>
      </w:r>
      <w:r w:rsidRPr="005F6268" w:rsidR="00EA3B96">
        <w:t xml:space="preserve">de consequenties die </w:t>
      </w:r>
      <w:r w:rsidRPr="005F6268">
        <w:t>het werkgeverschap</w:t>
      </w:r>
      <w:r w:rsidRPr="005F6268" w:rsidR="00EA3B96">
        <w:t xml:space="preserve"> met zich meebreng</w:t>
      </w:r>
      <w:r w:rsidRPr="005F6268" w:rsidR="008E0C30">
        <w:t>t</w:t>
      </w:r>
      <w:r w:rsidRPr="005F6268">
        <w:t xml:space="preserve">. Het kabinet herkent deze signalen en erkent dat het werkgeverschap soms voor ingewikkelde dilemma’s zorgt in het pgb. In </w:t>
      </w:r>
      <w:r w:rsidRPr="005F6268" w:rsidR="004A376D">
        <w:t xml:space="preserve">de </w:t>
      </w:r>
      <w:r w:rsidRPr="005F6268" w:rsidR="00747B64">
        <w:t>S</w:t>
      </w:r>
      <w:r w:rsidRPr="005F6268">
        <w:t xml:space="preserve">tand van de </w:t>
      </w:r>
      <w:r w:rsidRPr="005F6268" w:rsidR="00747B64">
        <w:t>U</w:t>
      </w:r>
      <w:r w:rsidRPr="005F6268">
        <w:t xml:space="preserve">itvoering schetst de SVB een aantal oplossingsrichtingen die mede zijn ingegeven door een onderzoek </w:t>
      </w:r>
      <w:r w:rsidRPr="005F6268" w:rsidR="00747B64">
        <w:t>d</w:t>
      </w:r>
      <w:r w:rsidRPr="005F6268">
        <w:t>at zij heeft laten uitvoeren. Dit onderzoek en de expertise van de SVB betrekt het kabinet in een verkenning naar een oplossing voor de problematiek. Onder aanvoering van de ministers van SZW en LJS, wordt alle relevante wet- en regelgeving tegen het licht gehouden om te komen tot een oplossing waarbij de plichten van de budgethouders minder zwaar worden terwijl de rechten van de zorgverlener als werknemer in tact blijven. De minister van LJS informeert uw Kamer breder op dit onderwerp in een brief over het pgb. Deze wordt voor de zomer aan uw Kamer verzonden.</w:t>
      </w:r>
    </w:p>
    <w:p w:rsidRPr="005F6268" w:rsidR="00871EF3" w:rsidP="005F6268" w:rsidRDefault="00871EF3" w14:paraId="3BD9BF4F" w14:textId="77777777">
      <w:pPr>
        <w:suppressAutoHyphens/>
        <w:spacing w:line="246" w:lineRule="atLeast"/>
      </w:pPr>
      <w:r w:rsidRPr="005F6268">
        <w:t xml:space="preserve"> </w:t>
      </w:r>
    </w:p>
    <w:p w:rsidRPr="005F6268" w:rsidR="004875C6" w:rsidP="005F6268" w:rsidRDefault="004875C6" w14:paraId="2B8D1E54" w14:textId="77777777">
      <w:pPr>
        <w:suppressAutoHyphens/>
        <w:spacing w:line="246" w:lineRule="atLeast"/>
        <w:rPr>
          <w:b/>
          <w:bCs/>
        </w:rPr>
      </w:pPr>
      <w:r w:rsidRPr="005F6268">
        <w:rPr>
          <w:b/>
          <w:bCs/>
        </w:rPr>
        <w:t>Tot slot</w:t>
      </w:r>
    </w:p>
    <w:p w:rsidRPr="005F6268" w:rsidR="001F7D24" w:rsidP="005F6268" w:rsidRDefault="003B2233" w14:paraId="5FD1542E" w14:textId="77777777">
      <w:pPr>
        <w:suppressAutoHyphens/>
        <w:spacing w:after="160" w:line="259" w:lineRule="auto"/>
      </w:pPr>
      <w:r w:rsidRPr="005F6268">
        <w:t>Het kabinet</w:t>
      </w:r>
      <w:r w:rsidRPr="005F6268" w:rsidR="001F7D24">
        <w:t xml:space="preserve"> vind</w:t>
      </w:r>
      <w:r w:rsidRPr="005F6268" w:rsidR="00CF324B">
        <w:t>t</w:t>
      </w:r>
      <w:r w:rsidRPr="005F6268" w:rsidR="001F7D24">
        <w:t xml:space="preserve"> het belangrijk dat uitvoeringsorganisaties een Stand van de Uitvoering uitbrengen, zodat knelpunten en signalen uit de praktijk zichtbaar worden gemaakt en ongefilterd kunnen worden gedeeld met het parlement en het bredere publiek. </w:t>
      </w:r>
      <w:r w:rsidRPr="005F6268" w:rsidR="0024000F">
        <w:t>Dit sluit aan bij het coalitieakkoord</w:t>
      </w:r>
      <w:r w:rsidRPr="005F6268" w:rsidR="0024000F">
        <w:rPr>
          <w:rStyle w:val="Voetnootmarkering"/>
        </w:rPr>
        <w:footnoteReference w:id="6"/>
      </w:r>
      <w:r w:rsidRPr="005F6268" w:rsidR="0024000F">
        <w:t>, waarin</w:t>
      </w:r>
      <w:r w:rsidRPr="005F6268" w:rsidR="00EF101F">
        <w:t xml:space="preserve"> wordt benadrukt dat</w:t>
      </w:r>
      <w:r w:rsidRPr="005F6268" w:rsidR="0024000F">
        <w:t xml:space="preserve"> de uitvoering het gezicht van de overheid is en het werken aan een eenvoudiger en beter functionerende overheid centraal staat.</w:t>
      </w:r>
    </w:p>
    <w:p w:rsidRPr="005F6268" w:rsidR="00871EF3" w:rsidP="005F6268" w:rsidRDefault="00C26803" w14:paraId="7C97567A" w14:textId="52D31AF0">
      <w:pPr>
        <w:suppressAutoHyphens/>
        <w:spacing w:after="160" w:line="259" w:lineRule="auto"/>
      </w:pPr>
      <w:r w:rsidRPr="005F6268">
        <w:t xml:space="preserve">Deze brief laat zien dat er de afgelopen vijf jaar in nauwe samenwerking met de uitvoering successen zijn geboekt </w:t>
      </w:r>
      <w:r w:rsidRPr="005F6268" w:rsidR="002E3B25">
        <w:t>bij</w:t>
      </w:r>
      <w:r w:rsidRPr="005F6268">
        <w:t xml:space="preserve"> het oplossen van knelpunten. </w:t>
      </w:r>
      <w:r w:rsidRPr="005F6268" w:rsidR="00352D26">
        <w:t>Tegelijkertijd</w:t>
      </w:r>
      <w:r w:rsidRPr="005F6268">
        <w:t xml:space="preserve"> is er nog </w:t>
      </w:r>
      <w:r w:rsidRPr="005F6268" w:rsidR="00EA3B96">
        <w:t xml:space="preserve">veel </w:t>
      </w:r>
      <w:r w:rsidRPr="005F6268">
        <w:t>werk te verrichten, met name op de thema’s gegevensdeling en vereenvoudiging van wet</w:t>
      </w:r>
      <w:r w:rsidRPr="005F6268" w:rsidR="00352D26">
        <w:t>-</w:t>
      </w:r>
      <w:r w:rsidRPr="005F6268">
        <w:t xml:space="preserve"> en regelgeving</w:t>
      </w:r>
      <w:r w:rsidRPr="005F6268" w:rsidR="004A376D">
        <w:t xml:space="preserve">. </w:t>
      </w:r>
      <w:r w:rsidRPr="005F6268" w:rsidR="003B2233">
        <w:t>Het kabinet</w:t>
      </w:r>
      <w:r w:rsidRPr="005F6268">
        <w:t xml:space="preserve"> blijf</w:t>
      </w:r>
      <w:r w:rsidRPr="005F6268" w:rsidR="008C20C6">
        <w:t>t zich</w:t>
      </w:r>
      <w:r w:rsidRPr="005F6268">
        <w:t xml:space="preserve"> inzetten voor oplossingen die de uitvoering verder verbeteren</w:t>
      </w:r>
      <w:r w:rsidRPr="005F6268" w:rsidR="00352D26">
        <w:t xml:space="preserve">, met </w:t>
      </w:r>
      <w:r w:rsidRPr="005F6268">
        <w:t xml:space="preserve">aandacht voor zowel de </w:t>
      </w:r>
      <w:r w:rsidRPr="005F6268">
        <w:lastRenderedPageBreak/>
        <w:t>kleine doorbraken als de grotere uitdagingen. In de bestuurlijke overleggen wordt per organisatie besproken welke concrete acties nodig zijn en</w:t>
      </w:r>
      <w:r w:rsidRPr="005F6268" w:rsidR="00352D26">
        <w:t xml:space="preserve"> wordt</w:t>
      </w:r>
      <w:r w:rsidRPr="005F6268">
        <w:t xml:space="preserve"> de voortgang gemonitord.</w:t>
      </w:r>
      <w:r w:rsidRPr="005F6268" w:rsidR="00432536">
        <w:t xml:space="preserve"> De Standen dienen tevens als input voor de Staat van de Uitvoering</w:t>
      </w:r>
      <w:r w:rsidRPr="005F6268" w:rsidR="00943066">
        <w:t>.</w:t>
      </w:r>
    </w:p>
    <w:p w:rsidRPr="005F6268" w:rsidR="00871EF3" w:rsidP="005F6268" w:rsidRDefault="00871EF3" w14:paraId="54DD8A7E" w14:textId="77777777">
      <w:pPr>
        <w:suppressAutoHyphens/>
        <w:spacing w:line="246" w:lineRule="atLeast"/>
      </w:pPr>
      <w:r w:rsidRPr="005F6268">
        <w:t>Vanuit de besch</w:t>
      </w:r>
      <w:r w:rsidRPr="005F6268" w:rsidR="008C20C6">
        <w:t>ikbare</w:t>
      </w:r>
      <w:r w:rsidRPr="005F6268">
        <w:t xml:space="preserve"> middelen voor Werk aan Uitvoering zijn tijdens de voorjaarsbesluitvorming aanvullende plannen goedgekeurd voor </w:t>
      </w:r>
      <w:r w:rsidRPr="005F6268" w:rsidR="00546A62">
        <w:t xml:space="preserve">het </w:t>
      </w:r>
      <w:proofErr w:type="spellStart"/>
      <w:r w:rsidRPr="005F6268" w:rsidR="008A53FB">
        <w:t>aCBG</w:t>
      </w:r>
      <w:proofErr w:type="spellEnd"/>
      <w:r w:rsidRPr="005F6268" w:rsidR="008A53FB">
        <w:t>, CAK, RIVM, Inspectie Gezondheidszorg en Jeugd (IGJ) en de directie Eenheid Secretariaten Tuchtcolleges en Toetsingscommissie (ESTT).</w:t>
      </w:r>
      <w:r w:rsidRPr="005F6268">
        <w:t xml:space="preserve"> </w:t>
      </w:r>
      <w:r w:rsidRPr="005F6268" w:rsidR="008A53FB">
        <w:t>Met de toegekende middelen wordt een gerichte impuls gegeven aan het verder verbeteren van de uitvoering en de kwaliteit van de dienstverlening.</w:t>
      </w:r>
    </w:p>
    <w:p w:rsidRPr="005F6268" w:rsidR="00624DB3" w:rsidP="005F6268" w:rsidRDefault="00624DB3" w14:paraId="5216ED7F" w14:textId="77777777">
      <w:pPr>
        <w:suppressAutoHyphens/>
        <w:spacing w:line="246" w:lineRule="atLeast"/>
      </w:pPr>
    </w:p>
    <w:p w:rsidRPr="00CB2360" w:rsidR="00A46551" w:rsidP="00A46551" w:rsidRDefault="00A46551" w14:paraId="5206A955" w14:textId="77777777">
      <w:pPr>
        <w:suppressAutoHyphens/>
        <w:spacing w:line="246" w:lineRule="atLeast"/>
      </w:pPr>
      <w:r w:rsidRPr="00CB2360">
        <w:t xml:space="preserve">Het kabinet nodigt </w:t>
      </w:r>
      <w:r>
        <w:t>de Kamer</w:t>
      </w:r>
      <w:r w:rsidRPr="00CB2360">
        <w:t xml:space="preserve"> uit de afzonderlijke Standen te lezen. De betrokken organisaties zijn graag bereid hierover met </w:t>
      </w:r>
      <w:r>
        <w:t>de Kamer</w:t>
      </w:r>
      <w:r w:rsidRPr="00CB2360">
        <w:t xml:space="preserve"> in gesprek te gaan. Ook </w:t>
      </w:r>
      <w:r>
        <w:t xml:space="preserve">is de Kamer </w:t>
      </w:r>
      <w:r w:rsidRPr="00CB2360">
        <w:t>van harte welkom om bij de organisaties een werkbezoek af te leggen.</w:t>
      </w:r>
    </w:p>
    <w:p w:rsidRPr="005F6268" w:rsidR="00871EF3" w:rsidP="005F6268" w:rsidRDefault="00871EF3" w14:paraId="0D5BA2A8" w14:textId="77777777">
      <w:pPr>
        <w:suppressAutoHyphens/>
        <w:spacing w:line="246" w:lineRule="atLeast"/>
      </w:pPr>
    </w:p>
    <w:p w:rsidRPr="005F6268" w:rsidR="00B9466C" w:rsidP="005F6268" w:rsidRDefault="00B9466C" w14:paraId="0F7BC11B" w14:textId="77777777">
      <w:pPr>
        <w:suppressAutoHyphens/>
      </w:pPr>
      <w:r w:rsidRPr="005F6268">
        <w:t>Hoogachtend,</w:t>
      </w:r>
    </w:p>
    <w:p w:rsidRPr="005F6268" w:rsidR="00B9466C" w:rsidP="005F6268" w:rsidRDefault="00B9466C" w14:paraId="19ABD385" w14:textId="77777777">
      <w:pPr>
        <w:suppressAutoHyphens/>
      </w:pPr>
    </w:p>
    <w:p w:rsidRPr="005F6268" w:rsidR="009C2D13" w:rsidP="005F6268" w:rsidRDefault="005F6268" w14:paraId="6FDE5D52" w14:textId="2484FDDC">
      <w:pPr>
        <w:suppressAutoHyphens/>
      </w:pPr>
      <w:r w:rsidRPr="005F6268">
        <w:t>d</w:t>
      </w:r>
      <w:r w:rsidRPr="005F6268" w:rsidR="00B9466C">
        <w:t>e</w:t>
      </w:r>
      <w:r w:rsidRPr="005F6268">
        <w:t xml:space="preserve"> </w:t>
      </w:r>
      <w:r w:rsidRPr="005F6268" w:rsidR="009C2D13">
        <w:t>m</w:t>
      </w:r>
      <w:r w:rsidRPr="005F6268" w:rsidR="00B9466C">
        <w:t xml:space="preserve">inister van Volksgezondheid, </w:t>
      </w:r>
    </w:p>
    <w:p w:rsidRPr="005F6268" w:rsidR="00B9466C" w:rsidP="005F6268" w:rsidRDefault="00B9466C" w14:paraId="40AF01FC" w14:textId="77777777">
      <w:pPr>
        <w:suppressAutoHyphens/>
      </w:pPr>
      <w:r w:rsidRPr="005F6268">
        <w:t>Welzijn en Sport</w:t>
      </w:r>
      <w:r w:rsidRPr="005F6268">
        <w:rPr>
          <w:i/>
        </w:rPr>
        <w:t>,</w:t>
      </w:r>
    </w:p>
    <w:p w:rsidRPr="005F6268" w:rsidR="00C2024C" w:rsidP="005F6268" w:rsidRDefault="00C2024C" w14:paraId="14EBE94E" w14:textId="77777777">
      <w:pPr>
        <w:suppressAutoHyphens/>
      </w:pPr>
    </w:p>
    <w:p w:rsidRPr="005F6268" w:rsidR="00B9466C" w:rsidP="005F6268" w:rsidRDefault="00B9466C" w14:paraId="39621720" w14:textId="77777777">
      <w:pPr>
        <w:suppressAutoHyphens/>
      </w:pPr>
    </w:p>
    <w:p w:rsidRPr="005F6268" w:rsidR="005F6268" w:rsidP="005F6268" w:rsidRDefault="005F6268" w14:paraId="3CFAE084" w14:textId="77777777">
      <w:pPr>
        <w:suppressAutoHyphens/>
      </w:pPr>
    </w:p>
    <w:p w:rsidRPr="005F6268" w:rsidR="005F6268" w:rsidP="005F6268" w:rsidRDefault="005F6268" w14:paraId="0514E821" w14:textId="77777777">
      <w:pPr>
        <w:suppressAutoHyphens/>
      </w:pPr>
    </w:p>
    <w:p w:rsidRPr="005F6268" w:rsidR="005F6268" w:rsidP="005F6268" w:rsidRDefault="005F6268" w14:paraId="15DFA713" w14:textId="77777777">
      <w:pPr>
        <w:suppressAutoHyphens/>
      </w:pPr>
    </w:p>
    <w:p w:rsidRPr="005F6268" w:rsidR="00B9466C" w:rsidP="005F6268" w:rsidRDefault="00B9466C" w14:paraId="031DEC8A" w14:textId="77777777">
      <w:pPr>
        <w:suppressAutoHyphens/>
      </w:pPr>
    </w:p>
    <w:p w:rsidRPr="005F6268" w:rsidR="00B9466C" w:rsidP="005F6268" w:rsidRDefault="00B9466C" w14:paraId="2E08094E" w14:textId="77777777">
      <w:pPr>
        <w:suppressAutoHyphens/>
      </w:pPr>
      <w:r w:rsidRPr="005F6268">
        <w:t>S</w:t>
      </w:r>
      <w:r w:rsidRPr="005F6268" w:rsidR="009C2D13">
        <w:t xml:space="preserve">ophie </w:t>
      </w:r>
      <w:r w:rsidRPr="005F6268">
        <w:t>Hermans</w:t>
      </w:r>
    </w:p>
    <w:p w:rsidRPr="005F6268" w:rsidR="005E4144" w:rsidP="005F6268" w:rsidRDefault="005E4144" w14:paraId="0559BE66" w14:textId="77777777">
      <w:pPr>
        <w:suppressAutoHyphens/>
      </w:pPr>
    </w:p>
    <w:sectPr w:rsidRPr="005F6268" w:rsidR="005E4144" w:rsidSect="00871EF3">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E63A" w14:textId="77777777" w:rsidR="00454805" w:rsidRDefault="00454805" w:rsidP="00871EF3">
      <w:pPr>
        <w:spacing w:line="240" w:lineRule="auto"/>
      </w:pPr>
      <w:r>
        <w:separator/>
      </w:r>
    </w:p>
  </w:endnote>
  <w:endnote w:type="continuationSeparator" w:id="0">
    <w:p w14:paraId="4E277010" w14:textId="77777777" w:rsidR="00454805" w:rsidRDefault="00454805" w:rsidP="00871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517E" w14:textId="77777777" w:rsidR="00454805" w:rsidRDefault="00454805" w:rsidP="00871EF3">
      <w:pPr>
        <w:spacing w:line="240" w:lineRule="auto"/>
      </w:pPr>
      <w:r>
        <w:separator/>
      </w:r>
    </w:p>
  </w:footnote>
  <w:footnote w:type="continuationSeparator" w:id="0">
    <w:p w14:paraId="2B8C8EC0" w14:textId="77777777" w:rsidR="00454805" w:rsidRDefault="00454805" w:rsidP="00871EF3">
      <w:pPr>
        <w:spacing w:line="240" w:lineRule="auto"/>
      </w:pPr>
      <w:r>
        <w:continuationSeparator/>
      </w:r>
    </w:p>
  </w:footnote>
  <w:footnote w:id="1">
    <w:p w14:paraId="2340F8DF" w14:textId="77777777" w:rsidR="00871EF3" w:rsidRPr="003B2233" w:rsidRDefault="00871EF3" w:rsidP="00871EF3">
      <w:pPr>
        <w:pStyle w:val="Voetnoottekst"/>
        <w:rPr>
          <w:sz w:val="14"/>
          <w:szCs w:val="14"/>
        </w:rPr>
      </w:pPr>
      <w:r w:rsidRPr="006C0E88">
        <w:rPr>
          <w:rStyle w:val="Voetnootmarkering"/>
          <w:sz w:val="16"/>
          <w:szCs w:val="16"/>
        </w:rPr>
        <w:footnoteRef/>
      </w:r>
      <w:r w:rsidRPr="006C0E88">
        <w:rPr>
          <w:sz w:val="16"/>
          <w:szCs w:val="16"/>
        </w:rPr>
        <w:t xml:space="preserve"> </w:t>
      </w:r>
      <w:r w:rsidRPr="003B2233">
        <w:rPr>
          <w:sz w:val="14"/>
          <w:szCs w:val="14"/>
        </w:rPr>
        <w:t>Voor eerdere brieven zie Kamerstukken 2021/2022, 29 362, nr. 307; 2022/2023, 29 362, nr. 329</w:t>
      </w:r>
      <w:r w:rsidR="004875C6" w:rsidRPr="003B2233">
        <w:rPr>
          <w:sz w:val="14"/>
          <w:szCs w:val="14"/>
        </w:rPr>
        <w:t>;</w:t>
      </w:r>
      <w:r w:rsidR="00A94EA7">
        <w:rPr>
          <w:sz w:val="14"/>
          <w:szCs w:val="14"/>
        </w:rPr>
        <w:t xml:space="preserve"> </w:t>
      </w:r>
      <w:r w:rsidR="004875C6" w:rsidRPr="003B2233">
        <w:rPr>
          <w:sz w:val="14"/>
          <w:szCs w:val="14"/>
        </w:rPr>
        <w:t xml:space="preserve">2023/2024, 29 362, nr. 360 en </w:t>
      </w:r>
      <w:r w:rsidR="001A3A76" w:rsidRPr="003B2233">
        <w:rPr>
          <w:sz w:val="14"/>
          <w:szCs w:val="14"/>
        </w:rPr>
        <w:t>2024/2025, 29 362, nr. 379</w:t>
      </w:r>
    </w:p>
  </w:footnote>
  <w:footnote w:id="2">
    <w:p w14:paraId="0E985643" w14:textId="77777777" w:rsidR="00871EF3" w:rsidRPr="003B2233" w:rsidRDefault="00871EF3" w:rsidP="00871EF3">
      <w:pPr>
        <w:pStyle w:val="Voetnoottekst"/>
        <w:rPr>
          <w:sz w:val="14"/>
          <w:szCs w:val="14"/>
        </w:rPr>
      </w:pPr>
      <w:r w:rsidRPr="003B2233">
        <w:rPr>
          <w:rStyle w:val="Voetnootmarkering"/>
          <w:sz w:val="14"/>
          <w:szCs w:val="14"/>
        </w:rPr>
        <w:footnoteRef/>
      </w:r>
      <w:r w:rsidRPr="003B2233">
        <w:rPr>
          <w:sz w:val="14"/>
          <w:szCs w:val="14"/>
        </w:rPr>
        <w:t xml:space="preserve"> Zie Kabinetsreactie rapporten Werk aan Uitvoering: het versterken van de publieke dienstverlening, d.d. 5 maart 2021.</w:t>
      </w:r>
    </w:p>
  </w:footnote>
  <w:footnote w:id="3">
    <w:p w14:paraId="0531F440" w14:textId="77777777" w:rsidR="002F2B2A" w:rsidRPr="003B2233" w:rsidRDefault="002F2B2A" w:rsidP="003B2233">
      <w:pPr>
        <w:spacing w:after="160" w:line="259" w:lineRule="auto"/>
        <w:rPr>
          <w:sz w:val="13"/>
          <w:szCs w:val="13"/>
        </w:rPr>
      </w:pPr>
      <w:r w:rsidRPr="003B2233">
        <w:rPr>
          <w:rStyle w:val="Voetnootmarkering"/>
          <w:sz w:val="14"/>
          <w:szCs w:val="14"/>
        </w:rPr>
        <w:footnoteRef/>
      </w:r>
      <w:r w:rsidRPr="003B2233">
        <w:rPr>
          <w:sz w:val="14"/>
          <w:szCs w:val="14"/>
        </w:rPr>
        <w:t xml:space="preserve"> De SVB is een </w:t>
      </w:r>
      <w:proofErr w:type="spellStart"/>
      <w:r w:rsidRPr="003B2233">
        <w:rPr>
          <w:sz w:val="14"/>
          <w:szCs w:val="14"/>
        </w:rPr>
        <w:t>zbo</w:t>
      </w:r>
      <w:proofErr w:type="spellEnd"/>
      <w:r w:rsidRPr="003B2233">
        <w:rPr>
          <w:sz w:val="14"/>
          <w:szCs w:val="14"/>
        </w:rPr>
        <w:t xml:space="preserve"> onder het ministerie van Sociale Zaken en Werkgelegenheid en heeft een Stand uitgebracht uitsluitend voor het PGB-deel</w:t>
      </w:r>
      <w:r w:rsidR="00032D85">
        <w:rPr>
          <w:sz w:val="14"/>
          <w:szCs w:val="14"/>
        </w:rPr>
        <w:t xml:space="preserve"> </w:t>
      </w:r>
      <w:r w:rsidRPr="003B2233">
        <w:rPr>
          <w:sz w:val="14"/>
          <w:szCs w:val="14"/>
        </w:rPr>
        <w:t>van haar werkzaamheden</w:t>
      </w:r>
      <w:r w:rsidR="00032D85">
        <w:rPr>
          <w:sz w:val="14"/>
          <w:szCs w:val="14"/>
        </w:rPr>
        <w:t>, waarvoor het ministerie van VWS verantwoordelijk is</w:t>
      </w:r>
      <w:r w:rsidRPr="003B2233">
        <w:rPr>
          <w:sz w:val="14"/>
          <w:szCs w:val="14"/>
        </w:rPr>
        <w:t>.</w:t>
      </w:r>
    </w:p>
  </w:footnote>
  <w:footnote w:id="4">
    <w:p w14:paraId="1E9D903F" w14:textId="77777777" w:rsidR="0061640E" w:rsidRPr="004031ED" w:rsidRDefault="0061640E" w:rsidP="0061640E">
      <w:pPr>
        <w:pStyle w:val="Voetnoottekst"/>
        <w:rPr>
          <w:sz w:val="14"/>
          <w:szCs w:val="14"/>
        </w:rPr>
      </w:pPr>
      <w:r w:rsidRPr="004031ED">
        <w:rPr>
          <w:rStyle w:val="Voetnootmarkering"/>
          <w:sz w:val="14"/>
          <w:szCs w:val="14"/>
        </w:rPr>
        <w:footnoteRef/>
      </w:r>
      <w:r w:rsidRPr="004031ED">
        <w:rPr>
          <w:sz w:val="14"/>
          <w:szCs w:val="14"/>
        </w:rPr>
        <w:t xml:space="preserve"> Kamerstukken 2024/2025, 29 362, nr. 387</w:t>
      </w:r>
    </w:p>
  </w:footnote>
  <w:footnote w:id="5">
    <w:p w14:paraId="579F030F" w14:textId="77777777" w:rsidR="00802231" w:rsidRDefault="00802231">
      <w:pPr>
        <w:pStyle w:val="Voetnoottekst"/>
      </w:pPr>
      <w:r>
        <w:rPr>
          <w:rStyle w:val="Voetnootmarkering"/>
        </w:rPr>
        <w:footnoteRef/>
      </w:r>
      <w:r>
        <w:t xml:space="preserve"> </w:t>
      </w:r>
      <w:r w:rsidRPr="00802231">
        <w:rPr>
          <w:sz w:val="13"/>
          <w:szCs w:val="13"/>
        </w:rPr>
        <w:t>Kamerstukken II, 2025-26, 29 477, nr. 969</w:t>
      </w:r>
    </w:p>
  </w:footnote>
  <w:footnote w:id="6">
    <w:p w14:paraId="0A452BF2" w14:textId="77777777" w:rsidR="0024000F" w:rsidRDefault="0024000F">
      <w:pPr>
        <w:pStyle w:val="Voetnoottekst"/>
      </w:pPr>
      <w:r>
        <w:rPr>
          <w:rStyle w:val="Voetnootmarkering"/>
        </w:rPr>
        <w:footnoteRef/>
      </w:r>
      <w:r>
        <w:t xml:space="preserve"> </w:t>
      </w:r>
      <w:r w:rsidRPr="003B2233">
        <w:rPr>
          <w:sz w:val="13"/>
          <w:szCs w:val="13"/>
        </w:rPr>
        <w:t>Aan de slag - Coalitieakkoord 2026-2030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2BF6" w14:textId="77777777" w:rsidR="00943329" w:rsidRDefault="00943329">
    <w:pPr>
      <w:pStyle w:val="MarginlessContainer"/>
    </w:pPr>
    <w:r>
      <w:rPr>
        <w:noProof/>
      </w:rPr>
      <mc:AlternateContent>
        <mc:Choice Requires="wps">
          <w:drawing>
            <wp:anchor distT="0" distB="0" distL="0" distR="0" simplePos="0" relativeHeight="251659264" behindDoc="0" locked="1" layoutInCell="1" allowOverlap="1" wp14:anchorId="74657411" wp14:editId="7322AA15">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86A86C" w14:textId="77777777" w:rsidR="00943329" w:rsidRPr="00042194" w:rsidRDefault="00943329" w:rsidP="00042194">
                          <w:pPr>
                            <w:pStyle w:val="Geenafstand"/>
                            <w:rPr>
                              <w:b/>
                              <w:bCs/>
                              <w:sz w:val="13"/>
                              <w:szCs w:val="13"/>
                            </w:rPr>
                          </w:pPr>
                          <w:r w:rsidRPr="00042194">
                            <w:rPr>
                              <w:b/>
                              <w:bCs/>
                              <w:sz w:val="13"/>
                              <w:szCs w:val="13"/>
                            </w:rPr>
                            <w:t>Kenmerk</w:t>
                          </w:r>
                        </w:p>
                        <w:p w14:paraId="4A5907C1" w14:textId="61F05E72" w:rsidR="004B157B" w:rsidRDefault="004B157B" w:rsidP="004B157B">
                          <w:pPr>
                            <w:pStyle w:val="Referentiegegevens"/>
                          </w:pPr>
                          <w:r w:rsidRPr="00793A44">
                            <w:t>439468</w:t>
                          </w:r>
                          <w:r>
                            <w:t>7</w:t>
                          </w:r>
                          <w:r w:rsidRPr="00793A44">
                            <w:t>-1099651-BPZ</w:t>
                          </w:r>
                        </w:p>
                        <w:p w14:paraId="746E2CB6" w14:textId="77777777" w:rsidR="00943329" w:rsidRDefault="00943329">
                          <w:pPr>
                            <w:pStyle w:val="StandaardReferentiegegevens"/>
                          </w:pPr>
                        </w:p>
                      </w:txbxContent>
                    </wps:txbx>
                    <wps:bodyPr vert="horz" wrap="square" lIns="0" tIns="0" rIns="0" bIns="0" anchor="t" anchorCtr="0"/>
                  </wps:wsp>
                </a:graphicData>
              </a:graphic>
            </wp:anchor>
          </w:drawing>
        </mc:Choice>
        <mc:Fallback>
          <w:pict>
            <v:shapetype w14:anchorId="74657411" id="_x0000_t202" coordsize="21600,21600" o:spt="202" path="m,l,21600r21600,l21600,xe">
              <v:stroke joinstyle="miter"/>
              <v:path gradientshapeok="t" o:connecttype="rect"/>
            </v:shapetype>
            <v:shape id="Colofon_3" o:spid="_x0000_s1032" type="#_x0000_t202" style="position:absolute;margin-left:464.85pt;margin-top:150.2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986A86C" w14:textId="77777777" w:rsidR="00943329" w:rsidRPr="00042194" w:rsidRDefault="00943329" w:rsidP="00042194">
                    <w:pPr>
                      <w:pStyle w:val="Geenafstand"/>
                      <w:rPr>
                        <w:b/>
                        <w:bCs/>
                        <w:sz w:val="13"/>
                        <w:szCs w:val="13"/>
                      </w:rPr>
                    </w:pPr>
                    <w:r w:rsidRPr="00042194">
                      <w:rPr>
                        <w:b/>
                        <w:bCs/>
                        <w:sz w:val="13"/>
                        <w:szCs w:val="13"/>
                      </w:rPr>
                      <w:t>Kenmerk</w:t>
                    </w:r>
                  </w:p>
                  <w:p w14:paraId="4A5907C1" w14:textId="61F05E72" w:rsidR="004B157B" w:rsidRDefault="004B157B" w:rsidP="004B157B">
                    <w:pPr>
                      <w:pStyle w:val="Referentiegegevens"/>
                    </w:pPr>
                    <w:r w:rsidRPr="00793A44">
                      <w:t>439468</w:t>
                    </w:r>
                    <w:r>
                      <w:t>7</w:t>
                    </w:r>
                    <w:r w:rsidRPr="00793A44">
                      <w:t>-1099651-BPZ</w:t>
                    </w:r>
                  </w:p>
                  <w:p w14:paraId="746E2CB6" w14:textId="77777777" w:rsidR="00943329" w:rsidRDefault="00943329">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E3D5DA" wp14:editId="268FC72A">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543D656" w14:textId="77777777" w:rsidR="00943329" w:rsidRDefault="00943329">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3E3D5DA" id="Paginanummer_3" o:spid="_x0000_s1033"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0543D656" w14:textId="77777777" w:rsidR="00943329" w:rsidRDefault="00943329">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7411" w14:textId="77777777" w:rsidR="00943329" w:rsidRDefault="00943329">
    <w:pPr>
      <w:pStyle w:val="MarginlessContainer"/>
      <w:spacing w:after="7029" w:line="14" w:lineRule="exact"/>
    </w:pPr>
    <w:r>
      <w:rPr>
        <w:noProof/>
      </w:rPr>
      <mc:AlternateContent>
        <mc:Choice Requires="wps">
          <w:drawing>
            <wp:anchor distT="0" distB="0" distL="0" distR="0" simplePos="0" relativeHeight="251661312" behindDoc="0" locked="1" layoutInCell="1" allowOverlap="1" wp14:anchorId="74D86E39" wp14:editId="2E0963FD">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4427AF" w14:textId="77777777" w:rsidR="00943329" w:rsidRDefault="00943329"/>
                      </w:txbxContent>
                    </wps:txbx>
                    <wps:bodyPr vert="horz" wrap="square" lIns="0" tIns="0" rIns="0" bIns="0" anchor="t" anchorCtr="0"/>
                  </wps:wsp>
                </a:graphicData>
              </a:graphic>
            </wp:anchor>
          </w:drawing>
        </mc:Choice>
        <mc:Fallback>
          <w:pict>
            <v:shapetype w14:anchorId="74D86E39" id="_x0000_t202" coordsize="21600,21600" o:spt="202" path="m,l,21600r21600,l21600,xe">
              <v:stroke joinstyle="miter"/>
              <v:path gradientshapeok="t" o:connecttype="rect"/>
            </v:shapetype>
            <v:shape id="Logo_2" o:spid="_x0000_s1034" type="#_x0000_t202" style="position:absolute;margin-left:277.75pt;margin-top:0;width:36.8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1E4427AF" w14:textId="77777777" w:rsidR="00943329" w:rsidRDefault="0094332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4DAE50" wp14:editId="7424FEE3">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71B92253" w14:textId="77777777" w:rsidR="00943329" w:rsidRDefault="00943329">
                          <w:pPr>
                            <w:pStyle w:val="MarginlessContainer"/>
                          </w:pPr>
                          <w:r>
                            <w:rPr>
                              <w:noProof/>
                            </w:rPr>
                            <w:drawing>
                              <wp:inline distT="0" distB="0" distL="0" distR="0" wp14:anchorId="7FF32DC3" wp14:editId="2F2F8FF2">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4DAE50" id="Woordmerk_2" o:spid="_x0000_s1035" type="#_x0000_t202" style="position:absolute;margin-left:314.6pt;margin-top:0;width:184.25pt;height:140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71B92253" w14:textId="77777777" w:rsidR="00943329" w:rsidRDefault="00943329">
                    <w:pPr>
                      <w:pStyle w:val="MarginlessContainer"/>
                    </w:pPr>
                    <w:r>
                      <w:rPr>
                        <w:noProof/>
                      </w:rPr>
                      <w:drawing>
                        <wp:inline distT="0" distB="0" distL="0" distR="0" wp14:anchorId="7FF32DC3" wp14:editId="2F2F8FF2">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5343C6" wp14:editId="775BDFC3">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F06870D" w14:textId="77777777" w:rsidR="00943329" w:rsidRDefault="00943329"/>
                      </w:txbxContent>
                    </wps:txbx>
                    <wps:bodyPr vert="horz" wrap="square" lIns="0" tIns="0" rIns="0" bIns="0" anchor="t" anchorCtr="0"/>
                  </wps:wsp>
                </a:graphicData>
              </a:graphic>
            </wp:anchor>
          </w:drawing>
        </mc:Choice>
        <mc:Fallback>
          <w:pict>
            <v:shape w14:anchorId="4A5343C6" id="Retourregel_2" o:spid="_x0000_s1036" type="#_x0000_t202" style="position:absolute;margin-left:79.35pt;margin-top:133.2pt;width:280.45pt;height:11.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0F06870D" w14:textId="77777777" w:rsidR="00943329" w:rsidRDefault="0094332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AA43E11" wp14:editId="29EDE054">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90F1CF" w14:textId="77777777" w:rsidR="00943329" w:rsidRDefault="009433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AA43E11" id="Toezendgegevens_2" o:spid="_x0000_s1037" type="#_x0000_t202" style="position:absolute;margin-left:79.35pt;margin-top:153.05pt;width:274.95pt;height: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7190F1CF" w14:textId="77777777" w:rsidR="00943329" w:rsidRDefault="00943329">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5C3BB4D" wp14:editId="60F54912">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4D22AE" w14:textId="77777777" w:rsidR="00943329" w:rsidRDefault="00943329">
                          <w:pPr>
                            <w:pStyle w:val="StandaardAfzendgegevenskop"/>
                          </w:pPr>
                          <w:r>
                            <w:t>Bezoekadres:</w:t>
                          </w:r>
                        </w:p>
                        <w:p w14:paraId="4D386DA3" w14:textId="77777777" w:rsidR="00943329" w:rsidRDefault="00943329">
                          <w:pPr>
                            <w:pStyle w:val="StandaardAfzendgegevens"/>
                          </w:pPr>
                          <w:r>
                            <w:t>Parnassusplein 5</w:t>
                          </w:r>
                        </w:p>
                        <w:p w14:paraId="08D2ECF2" w14:textId="77777777" w:rsidR="00943329" w:rsidRDefault="00943329">
                          <w:pPr>
                            <w:pStyle w:val="StandaardAfzendgegevens"/>
                          </w:pPr>
                          <w:r>
                            <w:t>2511 VX</w:t>
                          </w:r>
                          <w:r w:rsidR="00A94EA7">
                            <w:t xml:space="preserve"> </w:t>
                          </w:r>
                          <w:r>
                            <w:t>Den Haag</w:t>
                          </w:r>
                        </w:p>
                        <w:p w14:paraId="1ED8B484" w14:textId="77777777" w:rsidR="00943329" w:rsidRDefault="00943329">
                          <w:pPr>
                            <w:pStyle w:val="StandaardAfzendgegevens"/>
                          </w:pPr>
                          <w:r>
                            <w:t>www.rijksoverheid.nl</w:t>
                          </w:r>
                        </w:p>
                        <w:p w14:paraId="7A91F30F" w14:textId="77777777" w:rsidR="00943329" w:rsidRDefault="00943329">
                          <w:pPr>
                            <w:pStyle w:val="WitregelW2"/>
                          </w:pPr>
                        </w:p>
                        <w:p w14:paraId="4C266EC0" w14:textId="77777777" w:rsidR="00943329" w:rsidRDefault="00943329">
                          <w:pPr>
                            <w:pStyle w:val="StandaardReferentiegegevenskop"/>
                          </w:pPr>
                          <w:r>
                            <w:t>Kenmerk</w:t>
                          </w:r>
                        </w:p>
                        <w:p w14:paraId="14BE1E1C" w14:textId="6536BD46" w:rsidR="004B157B" w:rsidRDefault="004B157B" w:rsidP="004B157B">
                          <w:pPr>
                            <w:pStyle w:val="Referentiegegevens"/>
                          </w:pPr>
                          <w:r w:rsidRPr="00793A44">
                            <w:t>439468</w:t>
                          </w:r>
                          <w:r>
                            <w:t>7</w:t>
                          </w:r>
                          <w:r w:rsidRPr="00793A44">
                            <w:t>-1099651-BPZ</w:t>
                          </w:r>
                        </w:p>
                        <w:p w14:paraId="79738F97" w14:textId="46036EB1" w:rsidR="00F56F85" w:rsidRPr="00F56F85" w:rsidRDefault="00F56F85" w:rsidP="00F56F85">
                          <w:pPr>
                            <w:rPr>
                              <w:sz w:val="13"/>
                              <w:szCs w:val="13"/>
                            </w:rPr>
                          </w:pPr>
                        </w:p>
                        <w:p w14:paraId="61589DDF" w14:textId="77777777" w:rsidR="00943329" w:rsidRDefault="00943329">
                          <w:pPr>
                            <w:pStyle w:val="StandaardReferentiegegevenskop"/>
                          </w:pPr>
                          <w:r>
                            <w:br/>
                            <w:t>Bijlage(n)</w:t>
                          </w:r>
                        </w:p>
                        <w:p w14:paraId="1FAD6455" w14:textId="77777777" w:rsidR="00943329" w:rsidRDefault="00943329">
                          <w:pPr>
                            <w:pStyle w:val="StandaardReferentiegegevens"/>
                          </w:pPr>
                          <w:r w:rsidRPr="00AE3E15">
                            <w:t>6</w:t>
                          </w:r>
                        </w:p>
                        <w:p w14:paraId="59EECF11" w14:textId="77777777" w:rsidR="00943329" w:rsidRDefault="00943329">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25C3BB4D" id="Colofon_2" o:spid="_x0000_s1038"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F4D22AE" w14:textId="77777777" w:rsidR="00943329" w:rsidRDefault="00943329">
                    <w:pPr>
                      <w:pStyle w:val="StandaardAfzendgegevenskop"/>
                    </w:pPr>
                    <w:r>
                      <w:t>Bezoekadres:</w:t>
                    </w:r>
                  </w:p>
                  <w:p w14:paraId="4D386DA3" w14:textId="77777777" w:rsidR="00943329" w:rsidRDefault="00943329">
                    <w:pPr>
                      <w:pStyle w:val="StandaardAfzendgegevens"/>
                    </w:pPr>
                    <w:r>
                      <w:t>Parnassusplein 5</w:t>
                    </w:r>
                  </w:p>
                  <w:p w14:paraId="08D2ECF2" w14:textId="77777777" w:rsidR="00943329" w:rsidRDefault="00943329">
                    <w:pPr>
                      <w:pStyle w:val="StandaardAfzendgegevens"/>
                    </w:pPr>
                    <w:r>
                      <w:t>2511 VX</w:t>
                    </w:r>
                    <w:r w:rsidR="00A94EA7">
                      <w:t xml:space="preserve"> </w:t>
                    </w:r>
                    <w:r>
                      <w:t>Den Haag</w:t>
                    </w:r>
                  </w:p>
                  <w:p w14:paraId="1ED8B484" w14:textId="77777777" w:rsidR="00943329" w:rsidRDefault="00943329">
                    <w:pPr>
                      <w:pStyle w:val="StandaardAfzendgegevens"/>
                    </w:pPr>
                    <w:r>
                      <w:t>www.rijksoverheid.nl</w:t>
                    </w:r>
                  </w:p>
                  <w:p w14:paraId="7A91F30F" w14:textId="77777777" w:rsidR="00943329" w:rsidRDefault="00943329">
                    <w:pPr>
                      <w:pStyle w:val="WitregelW2"/>
                    </w:pPr>
                  </w:p>
                  <w:p w14:paraId="4C266EC0" w14:textId="77777777" w:rsidR="00943329" w:rsidRDefault="00943329">
                    <w:pPr>
                      <w:pStyle w:val="StandaardReferentiegegevenskop"/>
                    </w:pPr>
                    <w:r>
                      <w:t>Kenmerk</w:t>
                    </w:r>
                  </w:p>
                  <w:p w14:paraId="14BE1E1C" w14:textId="6536BD46" w:rsidR="004B157B" w:rsidRDefault="004B157B" w:rsidP="004B157B">
                    <w:pPr>
                      <w:pStyle w:val="Referentiegegevens"/>
                    </w:pPr>
                    <w:r w:rsidRPr="00793A44">
                      <w:t>439468</w:t>
                    </w:r>
                    <w:r>
                      <w:t>7</w:t>
                    </w:r>
                    <w:r w:rsidRPr="00793A44">
                      <w:t>-1099651-BPZ</w:t>
                    </w:r>
                  </w:p>
                  <w:p w14:paraId="79738F97" w14:textId="46036EB1" w:rsidR="00F56F85" w:rsidRPr="00F56F85" w:rsidRDefault="00F56F85" w:rsidP="00F56F85">
                    <w:pPr>
                      <w:rPr>
                        <w:sz w:val="13"/>
                        <w:szCs w:val="13"/>
                      </w:rPr>
                    </w:pPr>
                  </w:p>
                  <w:p w14:paraId="61589DDF" w14:textId="77777777" w:rsidR="00943329" w:rsidRDefault="00943329">
                    <w:pPr>
                      <w:pStyle w:val="StandaardReferentiegegevenskop"/>
                    </w:pPr>
                    <w:r>
                      <w:br/>
                      <w:t>Bijlage(n)</w:t>
                    </w:r>
                  </w:p>
                  <w:p w14:paraId="1FAD6455" w14:textId="77777777" w:rsidR="00943329" w:rsidRDefault="00943329">
                    <w:pPr>
                      <w:pStyle w:val="StandaardReferentiegegevens"/>
                    </w:pPr>
                    <w:r w:rsidRPr="00AE3E15">
                      <w:t>6</w:t>
                    </w:r>
                  </w:p>
                  <w:p w14:paraId="59EECF11" w14:textId="77777777" w:rsidR="00943329" w:rsidRDefault="00943329">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3D01180C" wp14:editId="6E045C66">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537A7" w14:paraId="11FB87C3" w14:textId="77777777">
                            <w:trPr>
                              <w:trHeight w:val="200"/>
                            </w:trPr>
                            <w:tc>
                              <w:tcPr>
                                <w:tcW w:w="1140" w:type="dxa"/>
                              </w:tcPr>
                              <w:p w14:paraId="197E0DB1" w14:textId="77777777" w:rsidR="00943329" w:rsidRDefault="00943329"/>
                            </w:tc>
                            <w:tc>
                              <w:tcPr>
                                <w:tcW w:w="5400" w:type="dxa"/>
                              </w:tcPr>
                              <w:p w14:paraId="13DFF660" w14:textId="77777777" w:rsidR="00943329" w:rsidRDefault="00943329"/>
                            </w:tc>
                          </w:tr>
                          <w:tr w:rsidR="00D537A7" w14:paraId="175FF5E1" w14:textId="77777777">
                            <w:trPr>
                              <w:trHeight w:val="240"/>
                            </w:trPr>
                            <w:tc>
                              <w:tcPr>
                                <w:tcW w:w="1140" w:type="dxa"/>
                              </w:tcPr>
                              <w:p w14:paraId="7993F0DE" w14:textId="77777777" w:rsidR="00943329" w:rsidRDefault="00943329">
                                <w:r>
                                  <w:t>Datum</w:t>
                                </w:r>
                              </w:p>
                            </w:tc>
                            <w:tc>
                              <w:tcPr>
                                <w:tcW w:w="5400" w:type="dxa"/>
                              </w:tcPr>
                              <w:p w14:paraId="3B8C7B38" w14:textId="0713F43E" w:rsidR="00943329" w:rsidRDefault="00A46551">
                                <w:r>
                                  <w:t>15 juni 2026</w:t>
                                </w:r>
                              </w:p>
                            </w:tc>
                          </w:tr>
                          <w:tr w:rsidR="00D537A7" w14:paraId="6CAAED09" w14:textId="77777777">
                            <w:trPr>
                              <w:trHeight w:val="240"/>
                            </w:trPr>
                            <w:tc>
                              <w:tcPr>
                                <w:tcW w:w="1140" w:type="dxa"/>
                              </w:tcPr>
                              <w:p w14:paraId="576866BE" w14:textId="77777777" w:rsidR="00943329" w:rsidRDefault="00943329">
                                <w:r>
                                  <w:t>Betreft</w:t>
                                </w:r>
                              </w:p>
                            </w:tc>
                            <w:tc>
                              <w:tcPr>
                                <w:tcW w:w="5400" w:type="dxa"/>
                              </w:tcPr>
                              <w:p w14:paraId="5B3A7517" w14:textId="77777777" w:rsidR="00943329" w:rsidRDefault="00943329">
                                <w:r>
                                  <w:t xml:space="preserve">Aanbieding Standen van de </w:t>
                                </w:r>
                                <w:r w:rsidR="00871EF3">
                                  <w:t>U</w:t>
                                </w:r>
                                <w:r>
                                  <w:t xml:space="preserve">itvoering </w:t>
                                </w:r>
                                <w:r w:rsidR="000A3799">
                                  <w:t>VWS 2026</w:t>
                                </w:r>
                              </w:p>
                            </w:tc>
                          </w:tr>
                          <w:tr w:rsidR="00D537A7" w14:paraId="57BC53B2" w14:textId="77777777">
                            <w:trPr>
                              <w:trHeight w:val="200"/>
                            </w:trPr>
                            <w:tc>
                              <w:tcPr>
                                <w:tcW w:w="1140" w:type="dxa"/>
                              </w:tcPr>
                              <w:p w14:paraId="745471DF" w14:textId="77777777" w:rsidR="00943329" w:rsidRDefault="00943329"/>
                            </w:tc>
                            <w:tc>
                              <w:tcPr>
                                <w:tcW w:w="5400" w:type="dxa"/>
                              </w:tcPr>
                              <w:p w14:paraId="66A15EBD" w14:textId="77777777" w:rsidR="00943329" w:rsidRDefault="00943329"/>
                            </w:tc>
                          </w:tr>
                        </w:tbl>
                        <w:p w14:paraId="6EE3C81A" w14:textId="77777777" w:rsidR="00943329" w:rsidRDefault="00943329"/>
                      </w:txbxContent>
                    </wps:txbx>
                    <wps:bodyPr vert="horz" wrap="square" lIns="0" tIns="0" rIns="0" bIns="0" anchor="t" anchorCtr="0"/>
                  </wps:wsp>
                </a:graphicData>
              </a:graphic>
            </wp:anchor>
          </w:drawing>
        </mc:Choice>
        <mc:Fallback>
          <w:pict>
            <v:shape w14:anchorId="3D01180C" id="Documentgegevens" o:spid="_x0000_s1039" type="#_x0000_t202" style="position:absolute;margin-left:79.35pt;margin-top:286.25pt;width:323.25pt;height:49.6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6/6JvZ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D537A7" w14:paraId="11FB87C3" w14:textId="77777777">
                      <w:trPr>
                        <w:trHeight w:val="200"/>
                      </w:trPr>
                      <w:tc>
                        <w:tcPr>
                          <w:tcW w:w="1140" w:type="dxa"/>
                        </w:tcPr>
                        <w:p w14:paraId="197E0DB1" w14:textId="77777777" w:rsidR="00943329" w:rsidRDefault="00943329"/>
                      </w:tc>
                      <w:tc>
                        <w:tcPr>
                          <w:tcW w:w="5400" w:type="dxa"/>
                        </w:tcPr>
                        <w:p w14:paraId="13DFF660" w14:textId="77777777" w:rsidR="00943329" w:rsidRDefault="00943329"/>
                      </w:tc>
                    </w:tr>
                    <w:tr w:rsidR="00D537A7" w14:paraId="175FF5E1" w14:textId="77777777">
                      <w:trPr>
                        <w:trHeight w:val="240"/>
                      </w:trPr>
                      <w:tc>
                        <w:tcPr>
                          <w:tcW w:w="1140" w:type="dxa"/>
                        </w:tcPr>
                        <w:p w14:paraId="7993F0DE" w14:textId="77777777" w:rsidR="00943329" w:rsidRDefault="00943329">
                          <w:r>
                            <w:t>Datum</w:t>
                          </w:r>
                        </w:p>
                      </w:tc>
                      <w:tc>
                        <w:tcPr>
                          <w:tcW w:w="5400" w:type="dxa"/>
                        </w:tcPr>
                        <w:p w14:paraId="3B8C7B38" w14:textId="0713F43E" w:rsidR="00943329" w:rsidRDefault="00A46551">
                          <w:r>
                            <w:t>15 juni 2026</w:t>
                          </w:r>
                        </w:p>
                      </w:tc>
                    </w:tr>
                    <w:tr w:rsidR="00D537A7" w14:paraId="6CAAED09" w14:textId="77777777">
                      <w:trPr>
                        <w:trHeight w:val="240"/>
                      </w:trPr>
                      <w:tc>
                        <w:tcPr>
                          <w:tcW w:w="1140" w:type="dxa"/>
                        </w:tcPr>
                        <w:p w14:paraId="576866BE" w14:textId="77777777" w:rsidR="00943329" w:rsidRDefault="00943329">
                          <w:r>
                            <w:t>Betreft</w:t>
                          </w:r>
                        </w:p>
                      </w:tc>
                      <w:tc>
                        <w:tcPr>
                          <w:tcW w:w="5400" w:type="dxa"/>
                        </w:tcPr>
                        <w:p w14:paraId="5B3A7517" w14:textId="77777777" w:rsidR="00943329" w:rsidRDefault="00943329">
                          <w:r>
                            <w:t xml:space="preserve">Aanbieding Standen van de </w:t>
                          </w:r>
                          <w:r w:rsidR="00871EF3">
                            <w:t>U</w:t>
                          </w:r>
                          <w:r>
                            <w:t xml:space="preserve">itvoering </w:t>
                          </w:r>
                          <w:r w:rsidR="000A3799">
                            <w:t>VWS 2026</w:t>
                          </w:r>
                        </w:p>
                      </w:tc>
                    </w:tr>
                    <w:tr w:rsidR="00D537A7" w14:paraId="57BC53B2" w14:textId="77777777">
                      <w:trPr>
                        <w:trHeight w:val="200"/>
                      </w:trPr>
                      <w:tc>
                        <w:tcPr>
                          <w:tcW w:w="1140" w:type="dxa"/>
                        </w:tcPr>
                        <w:p w14:paraId="745471DF" w14:textId="77777777" w:rsidR="00943329" w:rsidRDefault="00943329"/>
                      </w:tc>
                      <w:tc>
                        <w:tcPr>
                          <w:tcW w:w="5400" w:type="dxa"/>
                        </w:tcPr>
                        <w:p w14:paraId="66A15EBD" w14:textId="77777777" w:rsidR="00943329" w:rsidRDefault="00943329"/>
                      </w:tc>
                    </w:tr>
                  </w:tbl>
                  <w:p w14:paraId="6EE3C81A" w14:textId="77777777" w:rsidR="00943329" w:rsidRDefault="00943329"/>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8599F4E" wp14:editId="61413CB0">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193DB6B" w14:textId="77777777" w:rsidR="00943329" w:rsidRDefault="00943329"/>
                      </w:txbxContent>
                    </wps:txbx>
                    <wps:bodyPr vert="horz" wrap="square" lIns="0" tIns="0" rIns="0" bIns="0" anchor="t" anchorCtr="0"/>
                  </wps:wsp>
                </a:graphicData>
              </a:graphic>
            </wp:anchor>
          </w:drawing>
        </mc:Choice>
        <mc:Fallback>
          <w:pict>
            <v:shape w14:anchorId="38599F4E" id="Rubricering onder vervolgpagina" o:spid="_x0000_s1040" type="#_x0000_t202" style="position:absolute;margin-left:79.35pt;margin-top:805pt;width:141.7pt;height:14.1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6193DB6B" w14:textId="77777777" w:rsidR="00943329" w:rsidRDefault="00943329"/>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1EC22579" wp14:editId="19245E43">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F4EDE5" w14:textId="77777777" w:rsidR="00943329" w:rsidRDefault="00943329">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EC22579" id="Paginanummer_2" o:spid="_x0000_s1041" type="#_x0000_t202" style="position:absolute;margin-left:466.25pt;margin-top:805pt;width:99.2pt;height:14.1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6AF4EDE5" w14:textId="77777777" w:rsidR="00943329" w:rsidRDefault="00943329">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1433"/>
    <w:multiLevelType w:val="hybridMultilevel"/>
    <w:tmpl w:val="7EEE172C"/>
    <w:lvl w:ilvl="0" w:tplc="1D325ADE">
      <w:numFmt w:val="bullet"/>
      <w:lvlText w:val="-"/>
      <w:lvlJc w:val="left"/>
      <w:pPr>
        <w:ind w:left="502" w:hanging="360"/>
      </w:pPr>
      <w:rPr>
        <w:rFonts w:ascii="Calibri" w:eastAsia="Aptos" w:hAnsi="Calibri"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4B6820C6"/>
    <w:multiLevelType w:val="hybridMultilevel"/>
    <w:tmpl w:val="E59E8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7B28A9"/>
    <w:multiLevelType w:val="hybridMultilevel"/>
    <w:tmpl w:val="2AFA20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1C94622"/>
    <w:multiLevelType w:val="multilevel"/>
    <w:tmpl w:val="8B36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818BF"/>
    <w:multiLevelType w:val="hybridMultilevel"/>
    <w:tmpl w:val="0D46B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A0772D"/>
    <w:multiLevelType w:val="hybridMultilevel"/>
    <w:tmpl w:val="09267624"/>
    <w:lvl w:ilvl="0" w:tplc="F6828EBA">
      <w:numFmt w:val="bullet"/>
      <w:lvlText w:val="-"/>
      <w:lvlJc w:val="left"/>
      <w:pPr>
        <w:ind w:left="502" w:hanging="360"/>
      </w:pPr>
      <w:rPr>
        <w:rFonts w:ascii="Verdana" w:eastAsia="DejaVu Sans" w:hAnsi="Verdana" w:cs="Lohit Hin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436632625">
    <w:abstractNumId w:val="2"/>
  </w:num>
  <w:num w:numId="2" w16cid:durableId="1701277881">
    <w:abstractNumId w:val="3"/>
  </w:num>
  <w:num w:numId="3" w16cid:durableId="1629315094">
    <w:abstractNumId w:val="5"/>
  </w:num>
  <w:num w:numId="4" w16cid:durableId="1547908553">
    <w:abstractNumId w:val="0"/>
  </w:num>
  <w:num w:numId="5" w16cid:durableId="103113700">
    <w:abstractNumId w:val="4"/>
  </w:num>
  <w:num w:numId="6" w16cid:durableId="201348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F3"/>
    <w:rsid w:val="00021C85"/>
    <w:rsid w:val="00026DAC"/>
    <w:rsid w:val="00032D85"/>
    <w:rsid w:val="00046156"/>
    <w:rsid w:val="0005311E"/>
    <w:rsid w:val="000626A3"/>
    <w:rsid w:val="000A0852"/>
    <w:rsid w:val="000A3799"/>
    <w:rsid w:val="000A655C"/>
    <w:rsid w:val="000C54F0"/>
    <w:rsid w:val="000D4947"/>
    <w:rsid w:val="000E52B3"/>
    <w:rsid w:val="000E7155"/>
    <w:rsid w:val="001113D1"/>
    <w:rsid w:val="001115F7"/>
    <w:rsid w:val="00120C7C"/>
    <w:rsid w:val="00121770"/>
    <w:rsid w:val="00122BB2"/>
    <w:rsid w:val="00132AF9"/>
    <w:rsid w:val="00146366"/>
    <w:rsid w:val="001635C4"/>
    <w:rsid w:val="0018160E"/>
    <w:rsid w:val="001A2E19"/>
    <w:rsid w:val="001A3A76"/>
    <w:rsid w:val="001B0F53"/>
    <w:rsid w:val="001D4374"/>
    <w:rsid w:val="001E5ECE"/>
    <w:rsid w:val="001E6B01"/>
    <w:rsid w:val="001F7D24"/>
    <w:rsid w:val="00207D66"/>
    <w:rsid w:val="00214CFD"/>
    <w:rsid w:val="00215453"/>
    <w:rsid w:val="0023339C"/>
    <w:rsid w:val="0024000F"/>
    <w:rsid w:val="00240882"/>
    <w:rsid w:val="00295C8E"/>
    <w:rsid w:val="0029786F"/>
    <w:rsid w:val="00297A35"/>
    <w:rsid w:val="002B5878"/>
    <w:rsid w:val="002B640C"/>
    <w:rsid w:val="002D1014"/>
    <w:rsid w:val="002E3B25"/>
    <w:rsid w:val="002F2B2A"/>
    <w:rsid w:val="002F5EF5"/>
    <w:rsid w:val="00306FB2"/>
    <w:rsid w:val="003137E0"/>
    <w:rsid w:val="00314597"/>
    <w:rsid w:val="00321D38"/>
    <w:rsid w:val="0033330D"/>
    <w:rsid w:val="00347F82"/>
    <w:rsid w:val="00352D26"/>
    <w:rsid w:val="003569C2"/>
    <w:rsid w:val="00361DBD"/>
    <w:rsid w:val="00376234"/>
    <w:rsid w:val="00377C90"/>
    <w:rsid w:val="00385A1D"/>
    <w:rsid w:val="003873CE"/>
    <w:rsid w:val="00394D37"/>
    <w:rsid w:val="003A7596"/>
    <w:rsid w:val="003B2233"/>
    <w:rsid w:val="003B3D93"/>
    <w:rsid w:val="003B43CA"/>
    <w:rsid w:val="003C0F70"/>
    <w:rsid w:val="003C26FE"/>
    <w:rsid w:val="003D0147"/>
    <w:rsid w:val="003D25A0"/>
    <w:rsid w:val="003E3E8A"/>
    <w:rsid w:val="004031ED"/>
    <w:rsid w:val="00407BA4"/>
    <w:rsid w:val="004161F0"/>
    <w:rsid w:val="00432536"/>
    <w:rsid w:val="00434070"/>
    <w:rsid w:val="004536C5"/>
    <w:rsid w:val="00454805"/>
    <w:rsid w:val="0048548F"/>
    <w:rsid w:val="004875C6"/>
    <w:rsid w:val="00491D3A"/>
    <w:rsid w:val="004A376D"/>
    <w:rsid w:val="004A406F"/>
    <w:rsid w:val="004B157B"/>
    <w:rsid w:val="004B1F7C"/>
    <w:rsid w:val="004B32F7"/>
    <w:rsid w:val="004C0E41"/>
    <w:rsid w:val="004D5933"/>
    <w:rsid w:val="004E0FD6"/>
    <w:rsid w:val="00504EF2"/>
    <w:rsid w:val="00504F07"/>
    <w:rsid w:val="00505DF1"/>
    <w:rsid w:val="00516A2E"/>
    <w:rsid w:val="00516C07"/>
    <w:rsid w:val="005225CE"/>
    <w:rsid w:val="005263C7"/>
    <w:rsid w:val="0053104E"/>
    <w:rsid w:val="00535D0F"/>
    <w:rsid w:val="00537E54"/>
    <w:rsid w:val="005401B0"/>
    <w:rsid w:val="00546A62"/>
    <w:rsid w:val="00590567"/>
    <w:rsid w:val="00597DFD"/>
    <w:rsid w:val="005B1FB8"/>
    <w:rsid w:val="005B46A4"/>
    <w:rsid w:val="005C5C21"/>
    <w:rsid w:val="005D3F7A"/>
    <w:rsid w:val="005E4144"/>
    <w:rsid w:val="005F6268"/>
    <w:rsid w:val="005F778C"/>
    <w:rsid w:val="0061079B"/>
    <w:rsid w:val="0061640E"/>
    <w:rsid w:val="00624DB3"/>
    <w:rsid w:val="00630B8C"/>
    <w:rsid w:val="00653BB1"/>
    <w:rsid w:val="0067616A"/>
    <w:rsid w:val="006865B7"/>
    <w:rsid w:val="00693828"/>
    <w:rsid w:val="006975DA"/>
    <w:rsid w:val="006C521F"/>
    <w:rsid w:val="006D225A"/>
    <w:rsid w:val="006D7E42"/>
    <w:rsid w:val="0070255E"/>
    <w:rsid w:val="00712FBC"/>
    <w:rsid w:val="00715FC7"/>
    <w:rsid w:val="00716CD4"/>
    <w:rsid w:val="00747B64"/>
    <w:rsid w:val="0075078D"/>
    <w:rsid w:val="00754277"/>
    <w:rsid w:val="007626CE"/>
    <w:rsid w:val="0076328D"/>
    <w:rsid w:val="007819C8"/>
    <w:rsid w:val="0078594B"/>
    <w:rsid w:val="00785A4B"/>
    <w:rsid w:val="007C335D"/>
    <w:rsid w:val="007D4DCA"/>
    <w:rsid w:val="00802231"/>
    <w:rsid w:val="0081648F"/>
    <w:rsid w:val="00817029"/>
    <w:rsid w:val="0082266D"/>
    <w:rsid w:val="00853914"/>
    <w:rsid w:val="00871EF3"/>
    <w:rsid w:val="00880465"/>
    <w:rsid w:val="0088294F"/>
    <w:rsid w:val="008856A3"/>
    <w:rsid w:val="00890D6F"/>
    <w:rsid w:val="008A53FB"/>
    <w:rsid w:val="008B296A"/>
    <w:rsid w:val="008C20C6"/>
    <w:rsid w:val="008C7ABD"/>
    <w:rsid w:val="008E0C30"/>
    <w:rsid w:val="008F336E"/>
    <w:rsid w:val="008F441F"/>
    <w:rsid w:val="00910893"/>
    <w:rsid w:val="009145E3"/>
    <w:rsid w:val="00915FDE"/>
    <w:rsid w:val="0092272F"/>
    <w:rsid w:val="00943066"/>
    <w:rsid w:val="00943329"/>
    <w:rsid w:val="00943AC8"/>
    <w:rsid w:val="00960AAA"/>
    <w:rsid w:val="00980ABE"/>
    <w:rsid w:val="00986DE2"/>
    <w:rsid w:val="009B122E"/>
    <w:rsid w:val="009B4C91"/>
    <w:rsid w:val="009C2D13"/>
    <w:rsid w:val="009D467D"/>
    <w:rsid w:val="009E1967"/>
    <w:rsid w:val="009E5680"/>
    <w:rsid w:val="009F7DA6"/>
    <w:rsid w:val="00A31635"/>
    <w:rsid w:val="00A46551"/>
    <w:rsid w:val="00A52644"/>
    <w:rsid w:val="00A52AAA"/>
    <w:rsid w:val="00A94643"/>
    <w:rsid w:val="00A94EA7"/>
    <w:rsid w:val="00AB1016"/>
    <w:rsid w:val="00AC12E6"/>
    <w:rsid w:val="00AC13B8"/>
    <w:rsid w:val="00AE3E15"/>
    <w:rsid w:val="00B1189B"/>
    <w:rsid w:val="00B1236B"/>
    <w:rsid w:val="00B20145"/>
    <w:rsid w:val="00B337FF"/>
    <w:rsid w:val="00B36DFC"/>
    <w:rsid w:val="00B40836"/>
    <w:rsid w:val="00B466B5"/>
    <w:rsid w:val="00B476A1"/>
    <w:rsid w:val="00B73284"/>
    <w:rsid w:val="00B86EAE"/>
    <w:rsid w:val="00B91B83"/>
    <w:rsid w:val="00B9466C"/>
    <w:rsid w:val="00BA02E7"/>
    <w:rsid w:val="00BB2F2B"/>
    <w:rsid w:val="00BE0BD2"/>
    <w:rsid w:val="00C0116A"/>
    <w:rsid w:val="00C1503C"/>
    <w:rsid w:val="00C2024C"/>
    <w:rsid w:val="00C26803"/>
    <w:rsid w:val="00C30E8C"/>
    <w:rsid w:val="00C35822"/>
    <w:rsid w:val="00C358BB"/>
    <w:rsid w:val="00C36D37"/>
    <w:rsid w:val="00C5088B"/>
    <w:rsid w:val="00C71C84"/>
    <w:rsid w:val="00C93DC2"/>
    <w:rsid w:val="00CA0892"/>
    <w:rsid w:val="00CA4D19"/>
    <w:rsid w:val="00CC7ED1"/>
    <w:rsid w:val="00CE5625"/>
    <w:rsid w:val="00CE7E9F"/>
    <w:rsid w:val="00CF324B"/>
    <w:rsid w:val="00CF5510"/>
    <w:rsid w:val="00CF68B7"/>
    <w:rsid w:val="00D06F3C"/>
    <w:rsid w:val="00D20591"/>
    <w:rsid w:val="00D617C3"/>
    <w:rsid w:val="00D62852"/>
    <w:rsid w:val="00D65FEA"/>
    <w:rsid w:val="00D82AA5"/>
    <w:rsid w:val="00D914A4"/>
    <w:rsid w:val="00D96A68"/>
    <w:rsid w:val="00DA09B3"/>
    <w:rsid w:val="00DA1DB7"/>
    <w:rsid w:val="00DB23E7"/>
    <w:rsid w:val="00DB43B2"/>
    <w:rsid w:val="00DD4ED0"/>
    <w:rsid w:val="00DD6619"/>
    <w:rsid w:val="00DD7EC0"/>
    <w:rsid w:val="00DF03F8"/>
    <w:rsid w:val="00DF2FF5"/>
    <w:rsid w:val="00DF57E8"/>
    <w:rsid w:val="00E0328E"/>
    <w:rsid w:val="00E1444D"/>
    <w:rsid w:val="00E60BD7"/>
    <w:rsid w:val="00E908D4"/>
    <w:rsid w:val="00E90A3E"/>
    <w:rsid w:val="00E939DF"/>
    <w:rsid w:val="00E9647C"/>
    <w:rsid w:val="00EA3B96"/>
    <w:rsid w:val="00EB47CA"/>
    <w:rsid w:val="00EB5136"/>
    <w:rsid w:val="00EB54A7"/>
    <w:rsid w:val="00EC089C"/>
    <w:rsid w:val="00EF101F"/>
    <w:rsid w:val="00F02F87"/>
    <w:rsid w:val="00F050B2"/>
    <w:rsid w:val="00F07ED3"/>
    <w:rsid w:val="00F16CFD"/>
    <w:rsid w:val="00F56F85"/>
    <w:rsid w:val="00F873C0"/>
    <w:rsid w:val="00F90BA5"/>
    <w:rsid w:val="00F92D1B"/>
    <w:rsid w:val="00F9329D"/>
    <w:rsid w:val="00FB4C0B"/>
    <w:rsid w:val="00FC0F81"/>
    <w:rsid w:val="00FD061A"/>
    <w:rsid w:val="00FD420D"/>
    <w:rsid w:val="00FE7B73"/>
    <w:rsid w:val="00FF4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F66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E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871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1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1E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1E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1E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1E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E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E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E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E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1E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1E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1E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1E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1E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E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E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EF3"/>
    <w:rPr>
      <w:rFonts w:eastAsiaTheme="majorEastAsia" w:cstheme="majorBidi"/>
      <w:color w:val="272727" w:themeColor="text1" w:themeTint="D8"/>
    </w:rPr>
  </w:style>
  <w:style w:type="paragraph" w:styleId="Titel">
    <w:name w:val="Title"/>
    <w:basedOn w:val="Standaard"/>
    <w:next w:val="Standaard"/>
    <w:link w:val="TitelChar"/>
    <w:uiPriority w:val="10"/>
    <w:qFormat/>
    <w:rsid w:val="00871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E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E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E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E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EF3"/>
    <w:rPr>
      <w:i/>
      <w:iCs/>
      <w:color w:val="404040" w:themeColor="text1" w:themeTint="BF"/>
    </w:rPr>
  </w:style>
  <w:style w:type="paragraph" w:styleId="Lijstalinea">
    <w:name w:val="List Paragraph"/>
    <w:basedOn w:val="Standaard"/>
    <w:uiPriority w:val="34"/>
    <w:qFormat/>
    <w:rsid w:val="00871EF3"/>
    <w:pPr>
      <w:ind w:left="720"/>
      <w:contextualSpacing/>
    </w:pPr>
  </w:style>
  <w:style w:type="character" w:styleId="Intensievebenadrukking">
    <w:name w:val="Intense Emphasis"/>
    <w:basedOn w:val="Standaardalinea-lettertype"/>
    <w:uiPriority w:val="21"/>
    <w:qFormat/>
    <w:rsid w:val="00871EF3"/>
    <w:rPr>
      <w:i/>
      <w:iCs/>
      <w:color w:val="0F4761" w:themeColor="accent1" w:themeShade="BF"/>
    </w:rPr>
  </w:style>
  <w:style w:type="paragraph" w:styleId="Duidelijkcitaat">
    <w:name w:val="Intense Quote"/>
    <w:basedOn w:val="Standaard"/>
    <w:next w:val="Standaard"/>
    <w:link w:val="DuidelijkcitaatChar"/>
    <w:uiPriority w:val="30"/>
    <w:qFormat/>
    <w:rsid w:val="00871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1EF3"/>
    <w:rPr>
      <w:i/>
      <w:iCs/>
      <w:color w:val="0F4761" w:themeColor="accent1" w:themeShade="BF"/>
    </w:rPr>
  </w:style>
  <w:style w:type="character" w:styleId="Intensieveverwijzing">
    <w:name w:val="Intense Reference"/>
    <w:basedOn w:val="Standaardalinea-lettertype"/>
    <w:uiPriority w:val="32"/>
    <w:qFormat/>
    <w:rsid w:val="00871EF3"/>
    <w:rPr>
      <w:b/>
      <w:bCs/>
      <w:smallCaps/>
      <w:color w:val="0F4761" w:themeColor="accent1" w:themeShade="BF"/>
      <w:spacing w:val="5"/>
    </w:rPr>
  </w:style>
  <w:style w:type="paragraph" w:customStyle="1" w:styleId="MarginlessContainer">
    <w:name w:val="Marginless Container"/>
    <w:hidden/>
    <w:rsid w:val="00871EF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Aanhef">
    <w:name w:val="Standaard_Aanhef"/>
    <w:basedOn w:val="Standaard"/>
    <w:next w:val="Standaard"/>
    <w:rsid w:val="00871EF3"/>
    <w:pPr>
      <w:spacing w:before="100" w:after="240"/>
    </w:pPr>
  </w:style>
  <w:style w:type="paragraph" w:customStyle="1" w:styleId="StandaardAfzendgegevens">
    <w:name w:val="Standaard_Afzendgegevens"/>
    <w:basedOn w:val="Standaard"/>
    <w:next w:val="Standaard"/>
    <w:rsid w:val="00871EF3"/>
    <w:pPr>
      <w:tabs>
        <w:tab w:val="left" w:pos="2267"/>
      </w:tabs>
      <w:spacing w:line="180" w:lineRule="exact"/>
    </w:pPr>
    <w:rPr>
      <w:sz w:val="13"/>
      <w:szCs w:val="13"/>
    </w:rPr>
  </w:style>
  <w:style w:type="paragraph" w:customStyle="1" w:styleId="StandaardAfzendgegevenskop">
    <w:name w:val="Standaard_Afzendgegevens_kop"/>
    <w:basedOn w:val="Standaard"/>
    <w:next w:val="Standaard"/>
    <w:rsid w:val="00871EF3"/>
    <w:pPr>
      <w:spacing w:line="180" w:lineRule="exact"/>
    </w:pPr>
    <w:rPr>
      <w:b/>
      <w:sz w:val="13"/>
      <w:szCs w:val="13"/>
    </w:rPr>
  </w:style>
  <w:style w:type="paragraph" w:customStyle="1" w:styleId="StandaardColofonItalic45v">
    <w:name w:val="Standaard_Colofon_Italic 4;5v"/>
    <w:basedOn w:val="Standaard"/>
    <w:next w:val="Standaard"/>
    <w:rsid w:val="00871EF3"/>
    <w:pPr>
      <w:spacing w:before="90" w:line="180" w:lineRule="exact"/>
    </w:pPr>
    <w:rPr>
      <w:i/>
      <w:sz w:val="13"/>
      <w:szCs w:val="13"/>
    </w:rPr>
  </w:style>
  <w:style w:type="paragraph" w:customStyle="1" w:styleId="StandaardReferentiegegevens">
    <w:name w:val="Standaard_Referentiegegevens"/>
    <w:basedOn w:val="Standaard"/>
    <w:next w:val="Standaard"/>
    <w:rsid w:val="00871EF3"/>
    <w:pPr>
      <w:spacing w:line="180" w:lineRule="exact"/>
    </w:pPr>
    <w:rPr>
      <w:sz w:val="13"/>
      <w:szCs w:val="13"/>
    </w:rPr>
  </w:style>
  <w:style w:type="paragraph" w:customStyle="1" w:styleId="StandaardReferentiegegevenskop">
    <w:name w:val="Standaard_Referentiegegevens_kop"/>
    <w:basedOn w:val="Standaard"/>
    <w:next w:val="Standaard"/>
    <w:rsid w:val="00871EF3"/>
    <w:rPr>
      <w:b/>
      <w:sz w:val="13"/>
      <w:szCs w:val="13"/>
    </w:rPr>
  </w:style>
  <w:style w:type="paragraph" w:customStyle="1" w:styleId="WitregelW2">
    <w:name w:val="Witregel W2"/>
    <w:basedOn w:val="Standaard"/>
    <w:next w:val="Standaard"/>
    <w:rsid w:val="00871EF3"/>
    <w:pPr>
      <w:spacing w:line="270" w:lineRule="exact"/>
    </w:pPr>
    <w:rPr>
      <w:sz w:val="27"/>
      <w:szCs w:val="27"/>
    </w:rPr>
  </w:style>
  <w:style w:type="paragraph" w:styleId="Voetnoottekst">
    <w:name w:val="footnote text"/>
    <w:basedOn w:val="Standaard"/>
    <w:link w:val="VoetnoottekstChar"/>
    <w:uiPriority w:val="99"/>
    <w:unhideWhenUsed/>
    <w:rsid w:val="00871EF3"/>
    <w:pPr>
      <w:spacing w:line="240" w:lineRule="auto"/>
    </w:pPr>
    <w:rPr>
      <w:sz w:val="20"/>
      <w:szCs w:val="20"/>
    </w:rPr>
  </w:style>
  <w:style w:type="character" w:customStyle="1" w:styleId="VoetnoottekstChar">
    <w:name w:val="Voetnoottekst Char"/>
    <w:basedOn w:val="Standaardalinea-lettertype"/>
    <w:link w:val="Voetnoottekst"/>
    <w:uiPriority w:val="99"/>
    <w:rsid w:val="00871EF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71EF3"/>
    <w:rPr>
      <w:vertAlign w:val="superscript"/>
    </w:rPr>
  </w:style>
  <w:style w:type="character" w:styleId="Verwijzingopmerking">
    <w:name w:val="annotation reference"/>
    <w:basedOn w:val="Standaardalinea-lettertype"/>
    <w:uiPriority w:val="99"/>
    <w:semiHidden/>
    <w:unhideWhenUsed/>
    <w:rsid w:val="00871EF3"/>
    <w:rPr>
      <w:sz w:val="16"/>
      <w:szCs w:val="16"/>
    </w:rPr>
  </w:style>
  <w:style w:type="paragraph" w:styleId="Tekstopmerking">
    <w:name w:val="annotation text"/>
    <w:basedOn w:val="Standaard"/>
    <w:link w:val="TekstopmerkingChar"/>
    <w:uiPriority w:val="99"/>
    <w:unhideWhenUsed/>
    <w:rsid w:val="00871EF3"/>
    <w:pPr>
      <w:spacing w:line="240" w:lineRule="auto"/>
    </w:pPr>
    <w:rPr>
      <w:sz w:val="20"/>
      <w:szCs w:val="20"/>
    </w:rPr>
  </w:style>
  <w:style w:type="character" w:customStyle="1" w:styleId="TekstopmerkingChar">
    <w:name w:val="Tekst opmerking Char"/>
    <w:basedOn w:val="Standaardalinea-lettertype"/>
    <w:link w:val="Tekstopmerking"/>
    <w:uiPriority w:val="99"/>
    <w:rsid w:val="00871EF3"/>
    <w:rPr>
      <w:rFonts w:ascii="Verdana" w:eastAsia="DejaVu Sans" w:hAnsi="Verdana" w:cs="Lohit Hindi"/>
      <w:color w:val="000000"/>
      <w:kern w:val="0"/>
      <w:sz w:val="20"/>
      <w:szCs w:val="20"/>
      <w:lang w:eastAsia="nl-NL"/>
      <w14:ligatures w14:val="none"/>
    </w:rPr>
  </w:style>
  <w:style w:type="paragraph" w:customStyle="1" w:styleId="Huisstijl-Slotzin">
    <w:name w:val="Huisstijl - Slotzin"/>
    <w:basedOn w:val="Standaard"/>
    <w:next w:val="Huisstijl-Ondertekening"/>
    <w:rsid w:val="00871EF3"/>
    <w:pPr>
      <w:widowControl w:val="0"/>
      <w:suppressAutoHyphens/>
      <w:spacing w:before="240"/>
    </w:pPr>
    <w:rPr>
      <w:color w:val="auto"/>
      <w:kern w:val="3"/>
      <w:szCs w:val="24"/>
      <w:lang w:eastAsia="zh-CN" w:bidi="hi-IN"/>
    </w:rPr>
  </w:style>
  <w:style w:type="paragraph" w:customStyle="1" w:styleId="Huisstijl-Ondertekening">
    <w:name w:val="Huisstijl - Ondertekening"/>
    <w:basedOn w:val="Standaard"/>
    <w:next w:val="Huisstijl-Ondertekeningvervolg"/>
    <w:rsid w:val="00871EF3"/>
    <w:pPr>
      <w:widowControl w:val="0"/>
      <w:suppressAutoHyphens/>
    </w:pPr>
    <w:rPr>
      <w:color w:val="auto"/>
      <w:kern w:val="3"/>
      <w:szCs w:val="24"/>
      <w:lang w:eastAsia="zh-CN" w:bidi="hi-IN"/>
    </w:rPr>
  </w:style>
  <w:style w:type="paragraph" w:customStyle="1" w:styleId="Huisstijl-Ondertekeningvervolg">
    <w:name w:val="Huisstijl - Ondertekening vervolg"/>
    <w:basedOn w:val="Huisstijl-Ondertekening"/>
    <w:rsid w:val="00871EF3"/>
    <w:rPr>
      <w:i/>
    </w:rPr>
  </w:style>
  <w:style w:type="paragraph" w:styleId="Geenafstand">
    <w:name w:val="No Spacing"/>
    <w:uiPriority w:val="1"/>
    <w:qFormat/>
    <w:rsid w:val="00871E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71E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1E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71E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1EF3"/>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1A3A76"/>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F5EF5"/>
    <w:rPr>
      <w:b/>
      <w:bCs/>
    </w:rPr>
  </w:style>
  <w:style w:type="character" w:customStyle="1" w:styleId="OnderwerpvanopmerkingChar">
    <w:name w:val="Onderwerp van opmerking Char"/>
    <w:basedOn w:val="TekstopmerkingChar"/>
    <w:link w:val="Onderwerpvanopmerking"/>
    <w:uiPriority w:val="99"/>
    <w:semiHidden/>
    <w:rsid w:val="002F5EF5"/>
    <w:rPr>
      <w:rFonts w:ascii="Verdana" w:eastAsia="DejaVu Sans" w:hAnsi="Verdana" w:cs="Lohit Hindi"/>
      <w:b/>
      <w:bCs/>
      <w:color w:val="000000"/>
      <w:kern w:val="0"/>
      <w:sz w:val="20"/>
      <w:szCs w:val="20"/>
      <w:lang w:eastAsia="nl-NL"/>
      <w14:ligatures w14:val="none"/>
    </w:rPr>
  </w:style>
  <w:style w:type="paragraph" w:customStyle="1" w:styleId="Referentiegegevens">
    <w:name w:val="Referentiegegevens"/>
    <w:basedOn w:val="Standaard"/>
    <w:next w:val="Standaard"/>
    <w:rsid w:val="004B157B"/>
    <w:pPr>
      <w:spacing w:line="180" w:lineRule="exac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8949">
      <w:bodyDiv w:val="1"/>
      <w:marLeft w:val="0"/>
      <w:marRight w:val="0"/>
      <w:marTop w:val="0"/>
      <w:marBottom w:val="0"/>
      <w:divBdr>
        <w:top w:val="none" w:sz="0" w:space="0" w:color="auto"/>
        <w:left w:val="none" w:sz="0" w:space="0" w:color="auto"/>
        <w:bottom w:val="none" w:sz="0" w:space="0" w:color="auto"/>
        <w:right w:val="none" w:sz="0" w:space="0" w:color="auto"/>
      </w:divBdr>
    </w:div>
    <w:div w:id="183832388">
      <w:bodyDiv w:val="1"/>
      <w:marLeft w:val="0"/>
      <w:marRight w:val="0"/>
      <w:marTop w:val="0"/>
      <w:marBottom w:val="0"/>
      <w:divBdr>
        <w:top w:val="none" w:sz="0" w:space="0" w:color="auto"/>
        <w:left w:val="none" w:sz="0" w:space="0" w:color="auto"/>
        <w:bottom w:val="none" w:sz="0" w:space="0" w:color="auto"/>
        <w:right w:val="none" w:sz="0" w:space="0" w:color="auto"/>
      </w:divBdr>
    </w:div>
    <w:div w:id="277152890">
      <w:bodyDiv w:val="1"/>
      <w:marLeft w:val="0"/>
      <w:marRight w:val="0"/>
      <w:marTop w:val="0"/>
      <w:marBottom w:val="0"/>
      <w:divBdr>
        <w:top w:val="none" w:sz="0" w:space="0" w:color="auto"/>
        <w:left w:val="none" w:sz="0" w:space="0" w:color="auto"/>
        <w:bottom w:val="none" w:sz="0" w:space="0" w:color="auto"/>
        <w:right w:val="none" w:sz="0" w:space="0" w:color="auto"/>
      </w:divBdr>
    </w:div>
    <w:div w:id="374087674">
      <w:bodyDiv w:val="1"/>
      <w:marLeft w:val="0"/>
      <w:marRight w:val="0"/>
      <w:marTop w:val="0"/>
      <w:marBottom w:val="0"/>
      <w:divBdr>
        <w:top w:val="none" w:sz="0" w:space="0" w:color="auto"/>
        <w:left w:val="none" w:sz="0" w:space="0" w:color="auto"/>
        <w:bottom w:val="none" w:sz="0" w:space="0" w:color="auto"/>
        <w:right w:val="none" w:sz="0" w:space="0" w:color="auto"/>
      </w:divBdr>
    </w:div>
    <w:div w:id="439572701">
      <w:bodyDiv w:val="1"/>
      <w:marLeft w:val="0"/>
      <w:marRight w:val="0"/>
      <w:marTop w:val="0"/>
      <w:marBottom w:val="0"/>
      <w:divBdr>
        <w:top w:val="none" w:sz="0" w:space="0" w:color="auto"/>
        <w:left w:val="none" w:sz="0" w:space="0" w:color="auto"/>
        <w:bottom w:val="none" w:sz="0" w:space="0" w:color="auto"/>
        <w:right w:val="none" w:sz="0" w:space="0" w:color="auto"/>
      </w:divBdr>
    </w:div>
    <w:div w:id="564030304">
      <w:bodyDiv w:val="1"/>
      <w:marLeft w:val="0"/>
      <w:marRight w:val="0"/>
      <w:marTop w:val="0"/>
      <w:marBottom w:val="0"/>
      <w:divBdr>
        <w:top w:val="none" w:sz="0" w:space="0" w:color="auto"/>
        <w:left w:val="none" w:sz="0" w:space="0" w:color="auto"/>
        <w:bottom w:val="none" w:sz="0" w:space="0" w:color="auto"/>
        <w:right w:val="none" w:sz="0" w:space="0" w:color="auto"/>
      </w:divBdr>
    </w:div>
    <w:div w:id="622464320">
      <w:bodyDiv w:val="1"/>
      <w:marLeft w:val="0"/>
      <w:marRight w:val="0"/>
      <w:marTop w:val="0"/>
      <w:marBottom w:val="0"/>
      <w:divBdr>
        <w:top w:val="none" w:sz="0" w:space="0" w:color="auto"/>
        <w:left w:val="none" w:sz="0" w:space="0" w:color="auto"/>
        <w:bottom w:val="none" w:sz="0" w:space="0" w:color="auto"/>
        <w:right w:val="none" w:sz="0" w:space="0" w:color="auto"/>
      </w:divBdr>
    </w:div>
    <w:div w:id="869686051">
      <w:bodyDiv w:val="1"/>
      <w:marLeft w:val="0"/>
      <w:marRight w:val="0"/>
      <w:marTop w:val="0"/>
      <w:marBottom w:val="0"/>
      <w:divBdr>
        <w:top w:val="none" w:sz="0" w:space="0" w:color="auto"/>
        <w:left w:val="none" w:sz="0" w:space="0" w:color="auto"/>
        <w:bottom w:val="none" w:sz="0" w:space="0" w:color="auto"/>
        <w:right w:val="none" w:sz="0" w:space="0" w:color="auto"/>
      </w:divBdr>
    </w:div>
    <w:div w:id="901595249">
      <w:bodyDiv w:val="1"/>
      <w:marLeft w:val="0"/>
      <w:marRight w:val="0"/>
      <w:marTop w:val="0"/>
      <w:marBottom w:val="0"/>
      <w:divBdr>
        <w:top w:val="none" w:sz="0" w:space="0" w:color="auto"/>
        <w:left w:val="none" w:sz="0" w:space="0" w:color="auto"/>
        <w:bottom w:val="none" w:sz="0" w:space="0" w:color="auto"/>
        <w:right w:val="none" w:sz="0" w:space="0" w:color="auto"/>
      </w:divBdr>
    </w:div>
    <w:div w:id="913322053">
      <w:bodyDiv w:val="1"/>
      <w:marLeft w:val="0"/>
      <w:marRight w:val="0"/>
      <w:marTop w:val="0"/>
      <w:marBottom w:val="0"/>
      <w:divBdr>
        <w:top w:val="none" w:sz="0" w:space="0" w:color="auto"/>
        <w:left w:val="none" w:sz="0" w:space="0" w:color="auto"/>
        <w:bottom w:val="none" w:sz="0" w:space="0" w:color="auto"/>
        <w:right w:val="none" w:sz="0" w:space="0" w:color="auto"/>
      </w:divBdr>
    </w:div>
    <w:div w:id="1137381639">
      <w:bodyDiv w:val="1"/>
      <w:marLeft w:val="0"/>
      <w:marRight w:val="0"/>
      <w:marTop w:val="0"/>
      <w:marBottom w:val="0"/>
      <w:divBdr>
        <w:top w:val="none" w:sz="0" w:space="0" w:color="auto"/>
        <w:left w:val="none" w:sz="0" w:space="0" w:color="auto"/>
        <w:bottom w:val="none" w:sz="0" w:space="0" w:color="auto"/>
        <w:right w:val="none" w:sz="0" w:space="0" w:color="auto"/>
      </w:divBdr>
    </w:div>
    <w:div w:id="1193835540">
      <w:bodyDiv w:val="1"/>
      <w:marLeft w:val="0"/>
      <w:marRight w:val="0"/>
      <w:marTop w:val="0"/>
      <w:marBottom w:val="0"/>
      <w:divBdr>
        <w:top w:val="none" w:sz="0" w:space="0" w:color="auto"/>
        <w:left w:val="none" w:sz="0" w:space="0" w:color="auto"/>
        <w:bottom w:val="none" w:sz="0" w:space="0" w:color="auto"/>
        <w:right w:val="none" w:sz="0" w:space="0" w:color="auto"/>
      </w:divBdr>
    </w:div>
    <w:div w:id="1202089994">
      <w:bodyDiv w:val="1"/>
      <w:marLeft w:val="0"/>
      <w:marRight w:val="0"/>
      <w:marTop w:val="0"/>
      <w:marBottom w:val="0"/>
      <w:divBdr>
        <w:top w:val="none" w:sz="0" w:space="0" w:color="auto"/>
        <w:left w:val="none" w:sz="0" w:space="0" w:color="auto"/>
        <w:bottom w:val="none" w:sz="0" w:space="0" w:color="auto"/>
        <w:right w:val="none" w:sz="0" w:space="0" w:color="auto"/>
      </w:divBdr>
    </w:div>
    <w:div w:id="1362826188">
      <w:bodyDiv w:val="1"/>
      <w:marLeft w:val="0"/>
      <w:marRight w:val="0"/>
      <w:marTop w:val="0"/>
      <w:marBottom w:val="0"/>
      <w:divBdr>
        <w:top w:val="none" w:sz="0" w:space="0" w:color="auto"/>
        <w:left w:val="none" w:sz="0" w:space="0" w:color="auto"/>
        <w:bottom w:val="none" w:sz="0" w:space="0" w:color="auto"/>
        <w:right w:val="none" w:sz="0" w:space="0" w:color="auto"/>
      </w:divBdr>
    </w:div>
    <w:div w:id="1391268749">
      <w:bodyDiv w:val="1"/>
      <w:marLeft w:val="0"/>
      <w:marRight w:val="0"/>
      <w:marTop w:val="0"/>
      <w:marBottom w:val="0"/>
      <w:divBdr>
        <w:top w:val="none" w:sz="0" w:space="0" w:color="auto"/>
        <w:left w:val="none" w:sz="0" w:space="0" w:color="auto"/>
        <w:bottom w:val="none" w:sz="0" w:space="0" w:color="auto"/>
        <w:right w:val="none" w:sz="0" w:space="0" w:color="auto"/>
      </w:divBdr>
    </w:div>
    <w:div w:id="1462917926">
      <w:bodyDiv w:val="1"/>
      <w:marLeft w:val="0"/>
      <w:marRight w:val="0"/>
      <w:marTop w:val="0"/>
      <w:marBottom w:val="0"/>
      <w:divBdr>
        <w:top w:val="none" w:sz="0" w:space="0" w:color="auto"/>
        <w:left w:val="none" w:sz="0" w:space="0" w:color="auto"/>
        <w:bottom w:val="none" w:sz="0" w:space="0" w:color="auto"/>
        <w:right w:val="none" w:sz="0" w:space="0" w:color="auto"/>
      </w:divBdr>
    </w:div>
    <w:div w:id="1826895719">
      <w:bodyDiv w:val="1"/>
      <w:marLeft w:val="0"/>
      <w:marRight w:val="0"/>
      <w:marTop w:val="0"/>
      <w:marBottom w:val="0"/>
      <w:divBdr>
        <w:top w:val="none" w:sz="0" w:space="0" w:color="auto"/>
        <w:left w:val="none" w:sz="0" w:space="0" w:color="auto"/>
        <w:bottom w:val="none" w:sz="0" w:space="0" w:color="auto"/>
        <w:right w:val="none" w:sz="0" w:space="0" w:color="auto"/>
      </w:divBdr>
    </w:div>
    <w:div w:id="1998460465">
      <w:bodyDiv w:val="1"/>
      <w:marLeft w:val="0"/>
      <w:marRight w:val="0"/>
      <w:marTop w:val="0"/>
      <w:marBottom w:val="0"/>
      <w:divBdr>
        <w:top w:val="none" w:sz="0" w:space="0" w:color="auto"/>
        <w:left w:val="none" w:sz="0" w:space="0" w:color="auto"/>
        <w:bottom w:val="none" w:sz="0" w:space="0" w:color="auto"/>
        <w:right w:val="none" w:sz="0" w:space="0" w:color="auto"/>
      </w:divBdr>
    </w:div>
    <w:div w:id="2015841253">
      <w:bodyDiv w:val="1"/>
      <w:marLeft w:val="0"/>
      <w:marRight w:val="0"/>
      <w:marTop w:val="0"/>
      <w:marBottom w:val="0"/>
      <w:divBdr>
        <w:top w:val="none" w:sz="0" w:space="0" w:color="auto"/>
        <w:left w:val="none" w:sz="0" w:space="0" w:color="auto"/>
        <w:bottom w:val="none" w:sz="0" w:space="0" w:color="auto"/>
        <w:right w:val="none" w:sz="0" w:space="0" w:color="auto"/>
      </w:divBdr>
    </w:div>
    <w:div w:id="21018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2430</ap:Words>
  <ap:Characters>13365</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2026-06-15T09:20:00.0000000Z</dcterms:created>
  <dcterms:modified xsi:type="dcterms:W3CDTF">2026-06-15T09:21:00.0000000Z</dcterms:modified>
  <version/>
  <category/>
</coreProperties>
</file>