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E4EEE" w:rsidR="077C8CE7" w:rsidP="009647E0" w:rsidRDefault="761536DE" w14:paraId="6A207603" w14:textId="19C1A72C">
      <w:pPr>
        <w:pStyle w:val="Heading1"/>
        <w:spacing w:line="360" w:lineRule="auto"/>
      </w:pPr>
      <w:r w:rsidRPr="004E4EEE">
        <w:rPr>
          <w:rFonts w:ascii="Verdana" w:hAnsi="Verdana" w:eastAsia="Verdana" w:cs="Verdana"/>
          <w:b/>
          <w:bCs/>
          <w:color w:val="auto"/>
          <w:sz w:val="18"/>
          <w:szCs w:val="18"/>
        </w:rPr>
        <w:t>Fiche</w:t>
      </w:r>
      <w:r w:rsidR="00EC7A86">
        <w:rPr>
          <w:rFonts w:ascii="Verdana" w:hAnsi="Verdana" w:eastAsia="Verdana" w:cs="Verdana"/>
          <w:b/>
          <w:bCs/>
          <w:color w:val="auto"/>
          <w:sz w:val="18"/>
          <w:szCs w:val="18"/>
        </w:rPr>
        <w:t xml:space="preserve"> 4</w:t>
      </w:r>
      <w:r w:rsidRPr="004E4EEE">
        <w:rPr>
          <w:rFonts w:ascii="Verdana" w:hAnsi="Verdana" w:eastAsia="Verdana" w:cs="Verdana"/>
          <w:b/>
          <w:bCs/>
          <w:color w:val="auto"/>
          <w:sz w:val="18"/>
          <w:szCs w:val="18"/>
        </w:rPr>
        <w:t xml:space="preserve">: Mededeling </w:t>
      </w:r>
      <w:r w:rsidRPr="004E4EEE" w:rsidR="005F1136">
        <w:rPr>
          <w:rFonts w:ascii="Verdana" w:hAnsi="Verdana" w:eastAsia="Verdana" w:cs="Verdana"/>
          <w:b/>
          <w:bCs/>
          <w:color w:val="auto"/>
          <w:sz w:val="18"/>
          <w:szCs w:val="18"/>
        </w:rPr>
        <w:t xml:space="preserve">Versterken van de Europese Kindergarantie </w:t>
      </w:r>
    </w:p>
    <w:p w:rsidRPr="004E4EEE" w:rsidR="077C8CE7" w:rsidP="009647E0" w:rsidRDefault="077C8CE7" w14:paraId="211E2925" w14:textId="08D75BD0">
      <w:pPr>
        <w:spacing w:line="360" w:lineRule="auto"/>
        <w:rPr>
          <w:rFonts w:ascii="Calibri" w:hAnsi="Calibri" w:eastAsia="Calibri" w:cs="Calibri"/>
        </w:rPr>
      </w:pPr>
      <w:r w:rsidRPr="004E4EEE">
        <w:rPr>
          <w:rFonts w:ascii="Calibri" w:hAnsi="Calibri" w:eastAsia="Calibri" w:cs="Calibri"/>
        </w:rPr>
        <w:t xml:space="preserve"> </w:t>
      </w:r>
    </w:p>
    <w:p w:rsidRPr="000D01B7" w:rsidR="005F1136" w:rsidP="005F1136" w:rsidRDefault="005F1136" w14:paraId="0C74AD99" w14:textId="77777777">
      <w:pPr>
        <w:numPr>
          <w:ilvl w:val="0"/>
          <w:numId w:val="7"/>
        </w:numPr>
        <w:spacing w:after="0" w:line="360" w:lineRule="auto"/>
        <w:rPr>
          <w:rFonts w:ascii="Verdana" w:hAnsi="Verdana"/>
          <w:b/>
          <w:bCs/>
          <w:sz w:val="18"/>
          <w:szCs w:val="18"/>
        </w:rPr>
      </w:pPr>
      <w:r w:rsidRPr="6489212E">
        <w:rPr>
          <w:rFonts w:ascii="Verdana" w:hAnsi="Verdana"/>
          <w:b/>
          <w:bCs/>
          <w:sz w:val="18"/>
          <w:szCs w:val="18"/>
        </w:rPr>
        <w:t>Algemene gegevens</w:t>
      </w:r>
    </w:p>
    <w:p w:rsidRPr="00A972BD" w:rsidR="005F1136" w:rsidP="005F1136" w:rsidRDefault="005F1136" w14:paraId="73346E11" w14:textId="77777777">
      <w:pPr>
        <w:numPr>
          <w:ilvl w:val="0"/>
          <w:numId w:val="8"/>
        </w:numPr>
        <w:spacing w:after="0" w:line="360" w:lineRule="auto"/>
        <w:rPr>
          <w:rFonts w:ascii="Verdana" w:hAnsi="Verdana"/>
          <w:i/>
          <w:sz w:val="18"/>
          <w:szCs w:val="18"/>
        </w:rPr>
      </w:pPr>
      <w:r w:rsidRPr="34B19562">
        <w:rPr>
          <w:rFonts w:ascii="Verdana" w:hAnsi="Verdana"/>
          <w:i/>
          <w:iCs/>
          <w:sz w:val="18"/>
          <w:szCs w:val="18"/>
        </w:rPr>
        <w:t>Titel voorstel</w:t>
      </w:r>
    </w:p>
    <w:p w:rsidRPr="00C1385C" w:rsidR="00C1385C" w:rsidP="0091433B" w:rsidRDefault="00325813" w14:paraId="3A3DA493" w14:textId="1B8F4F80">
      <w:pPr>
        <w:spacing w:line="360" w:lineRule="auto"/>
      </w:pPr>
      <w:r w:rsidRPr="00325813">
        <w:t>Mededeling van de Europese Commissie aan het Europese Parlement, de Raad, het Europees Economisch Sociaal Comité en het Comité van de Regio’s</w:t>
      </w:r>
      <w:r w:rsidR="00952F81">
        <w:t xml:space="preserve">: </w:t>
      </w:r>
      <w:r w:rsidRPr="00C1385C" w:rsidR="00C1385C">
        <w:t>De vicieuze cirkel van kinderarmoede doorbreken - versterking van de Europese Kindergarantie</w:t>
      </w:r>
    </w:p>
    <w:p w:rsidR="077C8CE7" w:rsidP="005F1136" w:rsidRDefault="5477E6C4" w14:paraId="1F7695E4" w14:textId="752A6387">
      <w:pPr>
        <w:pStyle w:val="ListParagraph"/>
        <w:numPr>
          <w:ilvl w:val="0"/>
          <w:numId w:val="8"/>
        </w:numPr>
        <w:spacing w:after="0" w:line="360" w:lineRule="auto"/>
      </w:pPr>
      <w:r w:rsidRPr="005F1136">
        <w:rPr>
          <w:rFonts w:ascii="Verdana" w:hAnsi="Verdana" w:eastAsia="Verdana" w:cs="Verdana"/>
          <w:i/>
          <w:iCs/>
          <w:sz w:val="18"/>
          <w:szCs w:val="18"/>
        </w:rPr>
        <w:t>Datum ontvangst Commissiedocument</w:t>
      </w:r>
    </w:p>
    <w:p w:rsidR="005F1136" w:rsidP="005F1136" w:rsidRDefault="5477E6C4" w14:paraId="213FC965" w14:textId="15349ED7">
      <w:pPr>
        <w:spacing w:after="0" w:line="360" w:lineRule="auto"/>
        <w:rPr>
          <w:rFonts w:ascii="Verdana" w:hAnsi="Verdana" w:eastAsia="Verdana" w:cs="Verdana"/>
          <w:sz w:val="18"/>
          <w:szCs w:val="18"/>
        </w:rPr>
      </w:pPr>
      <w:r w:rsidRPr="005F1136">
        <w:rPr>
          <w:rFonts w:ascii="Verdana" w:hAnsi="Verdana" w:eastAsia="Verdana" w:cs="Verdana"/>
          <w:sz w:val="18"/>
          <w:szCs w:val="18"/>
        </w:rPr>
        <w:t>6 mei 2026</w:t>
      </w:r>
    </w:p>
    <w:p w:rsidRPr="00A60D40" w:rsidR="00A60D40" w:rsidP="005F1136" w:rsidRDefault="00A60D40" w14:paraId="2134E26A" w14:textId="77777777">
      <w:pPr>
        <w:spacing w:after="0" w:line="360" w:lineRule="auto"/>
        <w:rPr>
          <w:rFonts w:ascii="Verdana" w:hAnsi="Verdana" w:eastAsia="Verdana" w:cs="Verdana"/>
          <w:sz w:val="18"/>
          <w:szCs w:val="18"/>
        </w:rPr>
      </w:pPr>
    </w:p>
    <w:p w:rsidR="077C8CE7" w:rsidP="005F1136" w:rsidRDefault="5477E6C4" w14:paraId="49EC4C33" w14:textId="5E2ADEE0">
      <w:pPr>
        <w:pStyle w:val="ListParagraph"/>
        <w:numPr>
          <w:ilvl w:val="0"/>
          <w:numId w:val="8"/>
        </w:numPr>
        <w:spacing w:line="360" w:lineRule="auto"/>
      </w:pPr>
      <w:r w:rsidRPr="4E925880">
        <w:rPr>
          <w:rFonts w:ascii="Verdana" w:hAnsi="Verdana" w:eastAsia="Verdana" w:cs="Verdana"/>
          <w:i/>
          <w:iCs/>
          <w:sz w:val="18"/>
          <w:szCs w:val="18"/>
        </w:rPr>
        <w:t>Nr. Commissiedocument</w:t>
      </w:r>
    </w:p>
    <w:p w:rsidR="077C8CE7" w:rsidP="0091433B" w:rsidRDefault="00C1385C" w14:paraId="3689467E" w14:textId="6CAC5205">
      <w:pPr>
        <w:spacing w:line="360" w:lineRule="auto"/>
      </w:pPr>
      <w:r>
        <w:rPr>
          <w:rFonts w:ascii="Verdana" w:hAnsi="Verdana" w:eastAsia="Verdana" w:cs="Verdana"/>
          <w:sz w:val="18"/>
          <w:szCs w:val="18"/>
        </w:rPr>
        <w:t xml:space="preserve">COM (2026) 539 </w:t>
      </w:r>
    </w:p>
    <w:p w:rsidR="077C8CE7" w:rsidP="005F1136" w:rsidRDefault="5477E6C4" w14:paraId="0EBEBC11" w14:textId="0BA41AD3">
      <w:pPr>
        <w:pStyle w:val="ListParagraph"/>
        <w:numPr>
          <w:ilvl w:val="0"/>
          <w:numId w:val="8"/>
        </w:numPr>
        <w:spacing w:line="360" w:lineRule="auto"/>
      </w:pPr>
      <w:r w:rsidRPr="4E925880">
        <w:rPr>
          <w:rFonts w:ascii="Verdana" w:hAnsi="Verdana" w:eastAsia="Verdana" w:cs="Verdana"/>
          <w:i/>
          <w:iCs/>
          <w:sz w:val="18"/>
          <w:szCs w:val="18"/>
        </w:rPr>
        <w:t>EUR-Lex</w:t>
      </w:r>
    </w:p>
    <w:p w:rsidRPr="0057274D" w:rsidR="0057274D" w:rsidP="0057274D" w:rsidRDefault="0057274D" w14:paraId="7C5670AD" w14:textId="77777777">
      <w:pPr>
        <w:spacing w:line="360" w:lineRule="auto"/>
        <w:rPr>
          <w:lang w:val="fr-FR"/>
        </w:rPr>
      </w:pPr>
      <w:hyperlink w:history="1" r:id="rId12">
        <w:r w:rsidRPr="00F80A2C">
          <w:rPr>
            <w:rStyle w:val="Hyperlink"/>
            <w:rFonts w:ascii="Verdana" w:hAnsi="Verdana" w:eastAsia="Verdana" w:cs="Verdana"/>
            <w:sz w:val="18"/>
            <w:szCs w:val="18"/>
            <w:lang w:val="fr-FR"/>
          </w:rPr>
          <w:t>EUR-Lex - 52026DC0539 - EN - EUR-Lex</w:t>
        </w:r>
      </w:hyperlink>
    </w:p>
    <w:p w:rsidRPr="006C11CF" w:rsidR="077C8CE7" w:rsidP="005F1136" w:rsidRDefault="761536DE" w14:paraId="6BD926DE" w14:textId="192A06E0">
      <w:pPr>
        <w:pStyle w:val="ListParagraph"/>
        <w:numPr>
          <w:ilvl w:val="0"/>
          <w:numId w:val="8"/>
        </w:numPr>
        <w:spacing w:line="360" w:lineRule="auto"/>
        <w:rPr>
          <w:lang w:val="fr-FR"/>
        </w:rPr>
      </w:pPr>
      <w:r w:rsidRPr="4E925880">
        <w:rPr>
          <w:rFonts w:ascii="Verdana" w:hAnsi="Verdana" w:eastAsia="Verdana" w:cs="Verdana"/>
          <w:i/>
          <w:iCs/>
          <w:sz w:val="18"/>
          <w:szCs w:val="18"/>
          <w:lang w:val="fr"/>
        </w:rPr>
        <w:t xml:space="preserve">Nr. impact </w:t>
      </w:r>
      <w:proofErr w:type="spellStart"/>
      <w:r w:rsidRPr="4E925880">
        <w:rPr>
          <w:rFonts w:ascii="Verdana" w:hAnsi="Verdana" w:eastAsia="Verdana" w:cs="Verdana"/>
          <w:i/>
          <w:iCs/>
          <w:sz w:val="18"/>
          <w:szCs w:val="18"/>
          <w:lang w:val="fr"/>
        </w:rPr>
        <w:t>assessment</w:t>
      </w:r>
      <w:proofErr w:type="spellEnd"/>
      <w:r w:rsidRPr="4E925880">
        <w:rPr>
          <w:rFonts w:ascii="Verdana" w:hAnsi="Verdana" w:eastAsia="Verdana" w:cs="Verdana"/>
          <w:i/>
          <w:iCs/>
          <w:sz w:val="18"/>
          <w:szCs w:val="18"/>
          <w:lang w:val="fr"/>
        </w:rPr>
        <w:t xml:space="preserve"> </w:t>
      </w:r>
      <w:proofErr w:type="spellStart"/>
      <w:r w:rsidRPr="4E925880">
        <w:rPr>
          <w:rFonts w:ascii="Verdana" w:hAnsi="Verdana" w:eastAsia="Verdana" w:cs="Verdana"/>
          <w:i/>
          <w:iCs/>
          <w:sz w:val="18"/>
          <w:szCs w:val="18"/>
          <w:lang w:val="fr"/>
        </w:rPr>
        <w:t>Commissie</w:t>
      </w:r>
      <w:proofErr w:type="spellEnd"/>
      <w:r w:rsidRPr="4E925880">
        <w:rPr>
          <w:rFonts w:ascii="Verdana" w:hAnsi="Verdana" w:eastAsia="Verdana" w:cs="Verdana"/>
          <w:i/>
          <w:iCs/>
          <w:sz w:val="18"/>
          <w:szCs w:val="18"/>
          <w:lang w:val="fr"/>
        </w:rPr>
        <w:t xml:space="preserve"> en </w:t>
      </w:r>
      <w:proofErr w:type="spellStart"/>
      <w:r w:rsidRPr="4E925880">
        <w:rPr>
          <w:rFonts w:ascii="Verdana" w:hAnsi="Verdana" w:eastAsia="Verdana" w:cs="Verdana"/>
          <w:i/>
          <w:iCs/>
          <w:sz w:val="18"/>
          <w:szCs w:val="18"/>
          <w:lang w:val="fr"/>
        </w:rPr>
        <w:t>Opinie</w:t>
      </w:r>
      <w:proofErr w:type="spellEnd"/>
      <w:r w:rsidRPr="4E925880">
        <w:rPr>
          <w:rFonts w:ascii="Verdana" w:hAnsi="Verdana" w:eastAsia="Verdana" w:cs="Verdana"/>
          <w:i/>
          <w:iCs/>
          <w:sz w:val="18"/>
          <w:szCs w:val="18"/>
          <w:lang w:val="fr"/>
        </w:rPr>
        <w:t xml:space="preserve"> </w:t>
      </w:r>
    </w:p>
    <w:p w:rsidRPr="00C1385C" w:rsidR="077C8CE7" w:rsidP="0091433B" w:rsidRDefault="5477E6C4" w14:paraId="567EE8EE" w14:textId="6A8DCA80">
      <w:pPr>
        <w:spacing w:line="360" w:lineRule="auto"/>
      </w:pPr>
      <w:r w:rsidRPr="00D96D95">
        <w:rPr>
          <w:rFonts w:ascii="Verdana" w:hAnsi="Verdana" w:eastAsia="Verdana" w:cs="Verdana"/>
          <w:sz w:val="18"/>
          <w:szCs w:val="18"/>
          <w:lang w:val="fr"/>
        </w:rPr>
        <w:t>N.v.t.</w:t>
      </w:r>
    </w:p>
    <w:p w:rsidR="077C8CE7" w:rsidP="005F1136" w:rsidRDefault="5477E6C4" w14:paraId="707F0992" w14:textId="105F5393">
      <w:pPr>
        <w:pStyle w:val="ListParagraph"/>
        <w:numPr>
          <w:ilvl w:val="0"/>
          <w:numId w:val="8"/>
        </w:numPr>
        <w:spacing w:line="360" w:lineRule="auto"/>
      </w:pPr>
      <w:r w:rsidRPr="4E925880">
        <w:rPr>
          <w:rFonts w:ascii="Verdana" w:hAnsi="Verdana" w:eastAsia="Verdana" w:cs="Verdana"/>
          <w:i/>
          <w:iCs/>
          <w:sz w:val="18"/>
          <w:szCs w:val="18"/>
        </w:rPr>
        <w:t>Behandelingstraject Raad</w:t>
      </w:r>
    </w:p>
    <w:p w:rsidR="077C8CE7" w:rsidP="0091433B" w:rsidRDefault="5477E6C4" w14:paraId="4054A7B1" w14:textId="2D3828F1">
      <w:pPr>
        <w:spacing w:line="360" w:lineRule="auto"/>
      </w:pPr>
      <w:r w:rsidRPr="5477E6C4">
        <w:rPr>
          <w:rFonts w:ascii="Verdana" w:hAnsi="Verdana" w:eastAsia="Verdana" w:cs="Verdana"/>
          <w:sz w:val="18"/>
          <w:szCs w:val="18"/>
        </w:rPr>
        <w:t>Raad Werkgelegenheid, Sociaal Beleid, Volksgezondheid en Consumentenzaken</w:t>
      </w:r>
    </w:p>
    <w:p w:rsidR="077C8CE7" w:rsidP="005F1136" w:rsidRDefault="5477E6C4" w14:paraId="4DE40ACC" w14:textId="153411F1">
      <w:pPr>
        <w:pStyle w:val="ListParagraph"/>
        <w:numPr>
          <w:ilvl w:val="0"/>
          <w:numId w:val="8"/>
        </w:numPr>
        <w:spacing w:line="360" w:lineRule="auto"/>
      </w:pPr>
      <w:r w:rsidRPr="4E925880">
        <w:rPr>
          <w:rFonts w:ascii="Verdana" w:hAnsi="Verdana" w:eastAsia="Verdana" w:cs="Verdana"/>
          <w:i/>
          <w:iCs/>
          <w:sz w:val="18"/>
          <w:szCs w:val="18"/>
        </w:rPr>
        <w:t>Eerstverantwoordelijk ministerie</w:t>
      </w:r>
    </w:p>
    <w:p w:rsidR="003B2646" w:rsidP="0091433B" w:rsidRDefault="5477E6C4" w14:paraId="6F05EB9B" w14:textId="512C9A42">
      <w:pPr>
        <w:spacing w:line="360" w:lineRule="auto"/>
      </w:pPr>
      <w:r w:rsidRPr="5477E6C4">
        <w:rPr>
          <w:rFonts w:ascii="Verdana" w:hAnsi="Verdana" w:eastAsia="Verdana" w:cs="Verdana"/>
          <w:sz w:val="18"/>
          <w:szCs w:val="18"/>
        </w:rPr>
        <w:t>Ministerie van Sociale zaken en Werkgelegenheid</w:t>
      </w:r>
    </w:p>
    <w:p w:rsidR="077C8CE7" w:rsidP="0033091E" w:rsidRDefault="5477E6C4" w14:paraId="63A2D693" w14:textId="54DA6912">
      <w:pPr>
        <w:pStyle w:val="ListParagraph"/>
        <w:numPr>
          <w:ilvl w:val="0"/>
          <w:numId w:val="7"/>
        </w:numPr>
        <w:spacing w:after="0" w:line="360" w:lineRule="auto"/>
      </w:pPr>
      <w:r w:rsidRPr="00A60D40">
        <w:rPr>
          <w:rFonts w:ascii="Verdana" w:hAnsi="Verdana" w:eastAsia="Verdana" w:cs="Verdana"/>
          <w:b/>
          <w:bCs/>
          <w:sz w:val="18"/>
          <w:szCs w:val="18"/>
        </w:rPr>
        <w:t>Essentie voorstel</w:t>
      </w:r>
    </w:p>
    <w:p w:rsidR="0051116E" w:rsidP="00C15FBF" w:rsidRDefault="192E757F" w14:paraId="3442E3FF" w14:textId="5867021F">
      <w:pPr>
        <w:spacing w:after="0" w:line="360" w:lineRule="auto"/>
        <w:rPr>
          <w:rFonts w:ascii="Verdana" w:hAnsi="Verdana" w:eastAsia="Verdana" w:cs="Verdana"/>
          <w:sz w:val="18"/>
          <w:szCs w:val="18"/>
        </w:rPr>
      </w:pPr>
      <w:r w:rsidRPr="00C07179">
        <w:rPr>
          <w:rFonts w:ascii="Verdana" w:hAnsi="Verdana" w:eastAsia="Verdana" w:cs="Verdana"/>
          <w:sz w:val="18"/>
          <w:szCs w:val="18"/>
        </w:rPr>
        <w:t xml:space="preserve">Op 6 mei 2026 heeft de Europese Commissie (hierna: Commissie) </w:t>
      </w:r>
      <w:r w:rsidRPr="00C07179" w:rsidR="005225F7">
        <w:rPr>
          <w:rFonts w:ascii="Verdana" w:hAnsi="Verdana" w:eastAsia="Verdana" w:cs="Verdana"/>
          <w:sz w:val="18"/>
          <w:szCs w:val="18"/>
        </w:rPr>
        <w:t>het Sociaal Pakket</w:t>
      </w:r>
      <w:r w:rsidRPr="00C07179">
        <w:rPr>
          <w:rFonts w:ascii="Verdana" w:hAnsi="Verdana" w:eastAsia="Verdana" w:cs="Verdana"/>
          <w:sz w:val="18"/>
          <w:szCs w:val="18"/>
        </w:rPr>
        <w:t xml:space="preserve"> gepubliceerd.</w:t>
      </w:r>
      <w:r w:rsidR="00142A76">
        <w:rPr>
          <w:rStyle w:val="FootnoteReference"/>
          <w:rFonts w:ascii="Verdana" w:hAnsi="Verdana" w:eastAsia="Verdana" w:cs="Verdana"/>
          <w:sz w:val="18"/>
          <w:szCs w:val="18"/>
        </w:rPr>
        <w:footnoteReference w:id="1"/>
      </w:r>
      <w:r w:rsidRPr="00C07179">
        <w:rPr>
          <w:rFonts w:ascii="Verdana" w:hAnsi="Verdana" w:eastAsia="Verdana" w:cs="Verdana"/>
          <w:sz w:val="18"/>
          <w:szCs w:val="18"/>
        </w:rPr>
        <w:t xml:space="preserve"> Onderdeel hiervan is de mededeling voor het versterken van de Europese Kindergarantie</w:t>
      </w:r>
      <w:r w:rsidRPr="00C07179">
        <w:rPr>
          <w:rStyle w:val="FootnoteReference"/>
          <w:rFonts w:ascii="Verdana" w:hAnsi="Verdana" w:eastAsia="Verdana" w:cs="Verdana"/>
          <w:sz w:val="18"/>
          <w:szCs w:val="18"/>
        </w:rPr>
        <w:footnoteReference w:id="2"/>
      </w:r>
      <w:r w:rsidRPr="00C07179" w:rsidR="00A57FFD">
        <w:rPr>
          <w:rFonts w:ascii="Verdana" w:hAnsi="Verdana" w:eastAsia="Verdana" w:cs="Verdana"/>
          <w:sz w:val="18"/>
          <w:szCs w:val="18"/>
        </w:rPr>
        <w:t xml:space="preserve"> (hierna: Kindergarantie)</w:t>
      </w:r>
      <w:r w:rsidRPr="00C07179">
        <w:rPr>
          <w:rFonts w:ascii="Verdana" w:hAnsi="Verdana" w:eastAsia="Verdana" w:cs="Verdana"/>
          <w:sz w:val="18"/>
          <w:szCs w:val="18"/>
        </w:rPr>
        <w:t>.</w:t>
      </w:r>
      <w:r w:rsidRPr="00C07179" w:rsidR="00E15566">
        <w:rPr>
          <w:rFonts w:ascii="Verdana" w:hAnsi="Verdana" w:eastAsia="Verdana" w:cs="Verdana"/>
          <w:sz w:val="18"/>
          <w:szCs w:val="18"/>
        </w:rPr>
        <w:t xml:space="preserve"> De mededeling</w:t>
      </w:r>
      <w:r w:rsidR="00FB6497">
        <w:rPr>
          <w:rFonts w:ascii="Verdana" w:hAnsi="Verdana" w:eastAsia="Verdana" w:cs="Verdana"/>
          <w:sz w:val="18"/>
          <w:szCs w:val="18"/>
        </w:rPr>
        <w:t xml:space="preserve"> kijkt naar</w:t>
      </w:r>
      <w:r w:rsidRPr="00C07179" w:rsidR="00E15566">
        <w:rPr>
          <w:rFonts w:ascii="Verdana" w:hAnsi="Verdana" w:eastAsia="Verdana" w:cs="Verdana"/>
          <w:sz w:val="18"/>
          <w:szCs w:val="18"/>
        </w:rPr>
        <w:t xml:space="preserve"> de specifieke oorzaken van kinderarmoede</w:t>
      </w:r>
      <w:r w:rsidR="00307D3B">
        <w:rPr>
          <w:rFonts w:ascii="Verdana" w:hAnsi="Verdana" w:eastAsia="Verdana" w:cs="Verdana"/>
          <w:sz w:val="18"/>
          <w:szCs w:val="18"/>
        </w:rPr>
        <w:t xml:space="preserve"> en </w:t>
      </w:r>
      <w:r w:rsidR="00A93FA3">
        <w:rPr>
          <w:rFonts w:ascii="Verdana" w:hAnsi="Verdana" w:eastAsia="Verdana" w:cs="Verdana"/>
          <w:sz w:val="18"/>
          <w:szCs w:val="18"/>
        </w:rPr>
        <w:t>stelt</w:t>
      </w:r>
      <w:r w:rsidRPr="00C07179" w:rsidR="00A93FA3">
        <w:rPr>
          <w:rFonts w:ascii="Verdana" w:hAnsi="Verdana" w:eastAsia="Verdana" w:cs="Verdana"/>
          <w:sz w:val="18"/>
          <w:szCs w:val="18"/>
        </w:rPr>
        <w:t xml:space="preserve"> </w:t>
      </w:r>
      <w:r w:rsidRPr="00C07179" w:rsidR="00E55397">
        <w:rPr>
          <w:rFonts w:ascii="Verdana" w:hAnsi="Verdana" w:eastAsia="Verdana" w:cs="Verdana"/>
          <w:sz w:val="18"/>
          <w:szCs w:val="18"/>
        </w:rPr>
        <w:t xml:space="preserve">aanvullende maatregelen </w:t>
      </w:r>
      <w:r w:rsidR="00A93FA3">
        <w:rPr>
          <w:rFonts w:ascii="Verdana" w:hAnsi="Verdana" w:eastAsia="Verdana" w:cs="Verdana"/>
          <w:sz w:val="18"/>
          <w:szCs w:val="18"/>
        </w:rPr>
        <w:t>voor</w:t>
      </w:r>
      <w:r w:rsidRPr="00C07179" w:rsidR="00A93FA3">
        <w:rPr>
          <w:rFonts w:ascii="Verdana" w:hAnsi="Verdana" w:eastAsia="Verdana" w:cs="Verdana"/>
          <w:sz w:val="18"/>
          <w:szCs w:val="18"/>
        </w:rPr>
        <w:t xml:space="preserve"> </w:t>
      </w:r>
      <w:r w:rsidRPr="00C07179" w:rsidR="00E55397">
        <w:rPr>
          <w:rFonts w:ascii="Verdana" w:hAnsi="Verdana" w:eastAsia="Verdana" w:cs="Verdana"/>
          <w:sz w:val="18"/>
          <w:szCs w:val="18"/>
        </w:rPr>
        <w:t>om kinderarmoede effectief aan te pakken.</w:t>
      </w:r>
      <w:r w:rsidR="00C15FBF">
        <w:rPr>
          <w:rFonts w:ascii="Verdana" w:hAnsi="Verdana" w:eastAsia="Verdana" w:cs="Verdana"/>
          <w:sz w:val="18"/>
          <w:szCs w:val="18"/>
        </w:rPr>
        <w:t xml:space="preserve"> </w:t>
      </w:r>
      <w:r w:rsidR="00307D3B">
        <w:rPr>
          <w:rFonts w:ascii="Verdana" w:hAnsi="Verdana" w:eastAsia="Verdana" w:cs="Verdana"/>
          <w:sz w:val="18"/>
          <w:szCs w:val="18"/>
        </w:rPr>
        <w:t xml:space="preserve">Er wordt </w:t>
      </w:r>
      <w:r w:rsidRPr="00C07179" w:rsidR="00C1385C">
        <w:rPr>
          <w:rFonts w:ascii="Verdana" w:hAnsi="Verdana" w:eastAsia="Verdana" w:cs="Verdana"/>
          <w:sz w:val="18"/>
          <w:szCs w:val="18"/>
        </w:rPr>
        <w:t xml:space="preserve">uiteengezet hoe de </w:t>
      </w:r>
      <w:r w:rsidRPr="00C07179" w:rsidR="00163CD2">
        <w:rPr>
          <w:rFonts w:ascii="Verdana" w:hAnsi="Verdana" w:eastAsia="Verdana" w:cs="Verdana"/>
          <w:sz w:val="18"/>
          <w:szCs w:val="18"/>
        </w:rPr>
        <w:t xml:space="preserve">huidige </w:t>
      </w:r>
      <w:r w:rsidRPr="00C07179" w:rsidR="00C1385C">
        <w:rPr>
          <w:rFonts w:ascii="Verdana" w:hAnsi="Verdana" w:eastAsia="Verdana" w:cs="Verdana"/>
          <w:sz w:val="18"/>
          <w:szCs w:val="18"/>
        </w:rPr>
        <w:t>Kindergarantie versterkt kan worden</w:t>
      </w:r>
      <w:r w:rsidR="00307D3B">
        <w:rPr>
          <w:rFonts w:ascii="Verdana" w:hAnsi="Verdana" w:eastAsia="Verdana" w:cs="Verdana"/>
          <w:sz w:val="18"/>
          <w:szCs w:val="18"/>
        </w:rPr>
        <w:t>, aangezien d</w:t>
      </w:r>
      <w:r w:rsidRPr="00C07179" w:rsidR="00E55397">
        <w:rPr>
          <w:rFonts w:ascii="Verdana" w:hAnsi="Verdana" w:eastAsia="Verdana" w:cs="Verdana"/>
          <w:sz w:val="18"/>
          <w:szCs w:val="18"/>
        </w:rPr>
        <w:t xml:space="preserve">e </w:t>
      </w:r>
      <w:r w:rsidR="0051116E">
        <w:rPr>
          <w:rFonts w:ascii="Verdana" w:hAnsi="Verdana" w:eastAsia="Verdana" w:cs="Verdana"/>
          <w:sz w:val="18"/>
          <w:szCs w:val="18"/>
        </w:rPr>
        <w:t>Commissie van mening is dat de</w:t>
      </w:r>
      <w:r w:rsidRPr="00C07179" w:rsidR="00E55397">
        <w:rPr>
          <w:rFonts w:ascii="Verdana" w:hAnsi="Verdana" w:eastAsia="Verdana" w:cs="Verdana"/>
          <w:sz w:val="18"/>
          <w:szCs w:val="18"/>
        </w:rPr>
        <w:t xml:space="preserve"> Kindergarantie</w:t>
      </w:r>
      <w:r w:rsidRPr="00C07179" w:rsidR="00AE013E">
        <w:rPr>
          <w:rFonts w:ascii="Verdana" w:hAnsi="Verdana" w:eastAsia="Verdana" w:cs="Verdana"/>
          <w:sz w:val="18"/>
          <w:szCs w:val="18"/>
        </w:rPr>
        <w:t xml:space="preserve"> </w:t>
      </w:r>
      <w:r w:rsidRPr="00C07179" w:rsidR="761536DE">
        <w:rPr>
          <w:rFonts w:ascii="Verdana" w:hAnsi="Verdana" w:eastAsia="Verdana" w:cs="Verdana"/>
          <w:sz w:val="18"/>
          <w:szCs w:val="18"/>
        </w:rPr>
        <w:t>in de huidige vorm</w:t>
      </w:r>
      <w:r w:rsidR="00C37CB0">
        <w:rPr>
          <w:rFonts w:ascii="Verdana" w:hAnsi="Verdana" w:eastAsia="Verdana" w:cs="Verdana"/>
          <w:sz w:val="18"/>
          <w:szCs w:val="18"/>
        </w:rPr>
        <w:t xml:space="preserve"> </w:t>
      </w:r>
      <w:r w:rsidRPr="00C07179" w:rsidR="761536DE">
        <w:rPr>
          <w:rFonts w:ascii="Verdana" w:hAnsi="Verdana" w:eastAsia="Verdana" w:cs="Verdana"/>
          <w:sz w:val="18"/>
          <w:szCs w:val="18"/>
        </w:rPr>
        <w:t xml:space="preserve">niet alle oorzaken </w:t>
      </w:r>
      <w:r w:rsidR="00F312A5">
        <w:rPr>
          <w:rFonts w:ascii="Verdana" w:hAnsi="Verdana" w:eastAsia="Verdana" w:cs="Verdana"/>
          <w:sz w:val="18"/>
          <w:szCs w:val="18"/>
        </w:rPr>
        <w:t>en gevolgen</w:t>
      </w:r>
      <w:r w:rsidRPr="00C07179" w:rsidR="761536DE">
        <w:rPr>
          <w:rFonts w:ascii="Verdana" w:hAnsi="Verdana" w:eastAsia="Verdana" w:cs="Verdana"/>
          <w:sz w:val="18"/>
          <w:szCs w:val="18"/>
        </w:rPr>
        <w:t xml:space="preserve"> v</w:t>
      </w:r>
      <w:r w:rsidR="00F312A5">
        <w:rPr>
          <w:rFonts w:ascii="Verdana" w:hAnsi="Verdana" w:eastAsia="Verdana" w:cs="Verdana"/>
          <w:sz w:val="18"/>
          <w:szCs w:val="18"/>
        </w:rPr>
        <w:t>an</w:t>
      </w:r>
      <w:r w:rsidRPr="00C07179" w:rsidR="761536DE">
        <w:rPr>
          <w:rFonts w:ascii="Verdana" w:hAnsi="Verdana" w:eastAsia="Verdana" w:cs="Verdana"/>
          <w:sz w:val="18"/>
          <w:szCs w:val="18"/>
        </w:rPr>
        <w:t xml:space="preserve"> armoede</w:t>
      </w:r>
      <w:r w:rsidR="00307D3B">
        <w:rPr>
          <w:rFonts w:ascii="Verdana" w:hAnsi="Verdana" w:eastAsia="Verdana" w:cs="Verdana"/>
          <w:sz w:val="18"/>
          <w:szCs w:val="18"/>
        </w:rPr>
        <w:t xml:space="preserve"> kan</w:t>
      </w:r>
      <w:r w:rsidRPr="00C07179" w:rsidR="761536DE">
        <w:rPr>
          <w:rFonts w:ascii="Verdana" w:hAnsi="Verdana" w:eastAsia="Verdana" w:cs="Verdana"/>
          <w:sz w:val="18"/>
          <w:szCs w:val="18"/>
        </w:rPr>
        <w:t xml:space="preserve"> wegnemen. Dit vraagt </w:t>
      </w:r>
      <w:r w:rsidR="0051116E">
        <w:rPr>
          <w:rFonts w:ascii="Verdana" w:hAnsi="Verdana" w:eastAsia="Verdana" w:cs="Verdana"/>
          <w:sz w:val="18"/>
          <w:szCs w:val="18"/>
        </w:rPr>
        <w:t>volgens de Commissie</w:t>
      </w:r>
      <w:r w:rsidRPr="00C07179" w:rsidR="761536DE">
        <w:rPr>
          <w:rFonts w:ascii="Verdana" w:hAnsi="Verdana" w:eastAsia="Verdana" w:cs="Verdana"/>
          <w:sz w:val="18"/>
          <w:szCs w:val="18"/>
        </w:rPr>
        <w:t xml:space="preserve"> om een geïntegreerd beleidskader waarbinnen de ontwikkeling van kinderen die baat hebben bij de Kindergarantie wordt gevolgd. </w:t>
      </w:r>
    </w:p>
    <w:p w:rsidR="0051116E" w:rsidP="00C15FBF" w:rsidRDefault="0051116E" w14:paraId="7A81B319" w14:textId="77777777">
      <w:pPr>
        <w:spacing w:after="0" w:line="360" w:lineRule="auto"/>
        <w:rPr>
          <w:rFonts w:ascii="Verdana" w:hAnsi="Verdana" w:eastAsia="Verdana" w:cs="Verdana"/>
          <w:sz w:val="18"/>
          <w:szCs w:val="18"/>
        </w:rPr>
      </w:pPr>
    </w:p>
    <w:p w:rsidRPr="00221B08" w:rsidR="192E757F" w:rsidP="00FF162B" w:rsidRDefault="0051116E" w14:paraId="09E7BC56" w14:textId="55531349">
      <w:pPr>
        <w:spacing w:line="360" w:lineRule="auto"/>
        <w:rPr>
          <w:rFonts w:ascii="Verdana" w:hAnsi="Verdana"/>
          <w:sz w:val="18"/>
          <w:szCs w:val="18"/>
        </w:rPr>
      </w:pPr>
      <w:r>
        <w:rPr>
          <w:rFonts w:ascii="Verdana" w:hAnsi="Verdana" w:eastAsia="Verdana" w:cs="Verdana"/>
          <w:sz w:val="18"/>
          <w:szCs w:val="18"/>
        </w:rPr>
        <w:lastRenderedPageBreak/>
        <w:t>De mededeling bestaat uit drie pijlers. De eerste pijler concentreert zich op het ondersteunen van gezinnen met kinderen bij d</w:t>
      </w:r>
      <w:r w:rsidRPr="00C07179" w:rsidR="00D80030">
        <w:rPr>
          <w:rFonts w:ascii="Verdana" w:hAnsi="Verdana" w:eastAsia="Verdana" w:cs="Verdana"/>
          <w:sz w:val="18"/>
          <w:szCs w:val="18"/>
        </w:rPr>
        <w:t xml:space="preserve">e </w:t>
      </w:r>
      <w:r w:rsidR="00A93FA3">
        <w:rPr>
          <w:rFonts w:ascii="Verdana" w:hAnsi="Verdana" w:eastAsia="Verdana" w:cs="Verdana"/>
          <w:sz w:val="18"/>
          <w:szCs w:val="18"/>
        </w:rPr>
        <w:t xml:space="preserve">bredere </w:t>
      </w:r>
      <w:r w:rsidRPr="00C07179" w:rsidR="00D80030">
        <w:rPr>
          <w:rFonts w:ascii="Verdana" w:hAnsi="Verdana" w:eastAsia="Verdana" w:cs="Verdana"/>
          <w:sz w:val="18"/>
          <w:szCs w:val="18"/>
        </w:rPr>
        <w:t xml:space="preserve">uitdagingen waar </w:t>
      </w:r>
      <w:r>
        <w:rPr>
          <w:rFonts w:ascii="Verdana" w:hAnsi="Verdana" w:eastAsia="Verdana" w:cs="Verdana"/>
          <w:sz w:val="18"/>
          <w:szCs w:val="18"/>
        </w:rPr>
        <w:t>zij</w:t>
      </w:r>
      <w:r w:rsidRPr="00C07179" w:rsidR="00D80030">
        <w:rPr>
          <w:rFonts w:ascii="Verdana" w:hAnsi="Verdana" w:eastAsia="Verdana" w:cs="Verdana"/>
          <w:sz w:val="18"/>
          <w:szCs w:val="18"/>
        </w:rPr>
        <w:t xml:space="preserve"> tegenaan lopen</w:t>
      </w:r>
      <w:r>
        <w:rPr>
          <w:rFonts w:ascii="Verdana" w:hAnsi="Verdana" w:eastAsia="Verdana" w:cs="Verdana"/>
          <w:sz w:val="18"/>
          <w:szCs w:val="18"/>
        </w:rPr>
        <w:t xml:space="preserve">. Deze bredere uitdagingen </w:t>
      </w:r>
      <w:r w:rsidRPr="00C07179" w:rsidR="00D80030">
        <w:rPr>
          <w:rFonts w:ascii="Verdana" w:hAnsi="Verdana" w:eastAsia="Verdana" w:cs="Verdana"/>
          <w:sz w:val="18"/>
          <w:szCs w:val="18"/>
        </w:rPr>
        <w:t>worden uiteengezet in de Europese Anti-Armoede Strategie</w:t>
      </w:r>
      <w:r>
        <w:rPr>
          <w:rFonts w:ascii="Verdana" w:hAnsi="Verdana" w:eastAsia="Verdana" w:cs="Verdana"/>
          <w:sz w:val="18"/>
          <w:szCs w:val="18"/>
        </w:rPr>
        <w:t xml:space="preserve"> die eveneens onderdeel vormt van het Sociaal Pakket</w:t>
      </w:r>
      <w:r w:rsidRPr="00C07179" w:rsidR="00D80030">
        <w:rPr>
          <w:rFonts w:ascii="Verdana" w:hAnsi="Verdana" w:eastAsia="Verdana" w:cs="Verdana"/>
          <w:sz w:val="18"/>
          <w:szCs w:val="18"/>
        </w:rPr>
        <w:t xml:space="preserve">. </w:t>
      </w:r>
    </w:p>
    <w:p w:rsidRPr="00C07179" w:rsidR="192E757F" w:rsidP="0091433B" w:rsidRDefault="00A93FA3" w14:paraId="717388D2" w14:textId="67F4572C">
      <w:pPr>
        <w:spacing w:line="360" w:lineRule="auto"/>
        <w:rPr>
          <w:rFonts w:ascii="Verdana" w:hAnsi="Verdana" w:eastAsia="Verdana" w:cs="Verdana"/>
          <w:sz w:val="18"/>
          <w:szCs w:val="18"/>
        </w:rPr>
      </w:pPr>
      <w:r>
        <w:rPr>
          <w:rFonts w:ascii="Verdana" w:hAnsi="Verdana" w:eastAsia="Verdana" w:cs="Verdana"/>
          <w:sz w:val="18"/>
          <w:szCs w:val="18"/>
        </w:rPr>
        <w:t>De mededeling stelt dat k</w:t>
      </w:r>
      <w:r w:rsidR="00091502">
        <w:rPr>
          <w:rFonts w:ascii="Verdana" w:hAnsi="Verdana" w:eastAsia="Verdana" w:cs="Verdana"/>
          <w:sz w:val="18"/>
          <w:szCs w:val="18"/>
        </w:rPr>
        <w:t xml:space="preserve">walitatief werk </w:t>
      </w:r>
      <w:r w:rsidRPr="00C07179" w:rsidR="006A7C61">
        <w:rPr>
          <w:rFonts w:ascii="Verdana" w:hAnsi="Verdana" w:eastAsia="Verdana" w:cs="Verdana"/>
          <w:sz w:val="18"/>
          <w:szCs w:val="18"/>
        </w:rPr>
        <w:t>de meest effectieve weg uit armoede</w:t>
      </w:r>
      <w:r w:rsidRPr="00A93FA3">
        <w:rPr>
          <w:rFonts w:ascii="Verdana" w:hAnsi="Verdana" w:eastAsia="Verdana" w:cs="Verdana"/>
          <w:sz w:val="18"/>
          <w:szCs w:val="18"/>
        </w:rPr>
        <w:t xml:space="preserve"> </w:t>
      </w:r>
      <w:r>
        <w:rPr>
          <w:rFonts w:ascii="Verdana" w:hAnsi="Verdana" w:eastAsia="Verdana" w:cs="Verdana"/>
          <w:sz w:val="18"/>
          <w:szCs w:val="18"/>
        </w:rPr>
        <w:t>is</w:t>
      </w:r>
      <w:r w:rsidRPr="00C07179" w:rsidR="008D0EBB">
        <w:rPr>
          <w:rFonts w:ascii="Verdana" w:hAnsi="Verdana" w:eastAsia="Verdana" w:cs="Verdana"/>
          <w:sz w:val="18"/>
          <w:szCs w:val="18"/>
        </w:rPr>
        <w:t>.</w:t>
      </w:r>
      <w:r w:rsidRPr="00C07179" w:rsidR="006A7C61">
        <w:rPr>
          <w:rFonts w:ascii="Verdana" w:hAnsi="Verdana" w:eastAsia="Verdana" w:cs="Verdana"/>
          <w:sz w:val="18"/>
          <w:szCs w:val="18"/>
        </w:rPr>
        <w:t xml:space="preserve"> </w:t>
      </w:r>
      <w:r w:rsidRPr="00C07179" w:rsidR="761536DE">
        <w:rPr>
          <w:rFonts w:ascii="Verdana" w:hAnsi="Verdana" w:eastAsia="Verdana" w:cs="Verdana"/>
          <w:sz w:val="18"/>
          <w:szCs w:val="18"/>
        </w:rPr>
        <w:t xml:space="preserve">Ondersteuning bij het vinden van werk, </w:t>
      </w:r>
      <w:r w:rsidRPr="00C07179" w:rsidR="006A7C61">
        <w:rPr>
          <w:rFonts w:ascii="Verdana" w:hAnsi="Verdana" w:eastAsia="Verdana" w:cs="Verdana"/>
          <w:sz w:val="18"/>
          <w:szCs w:val="18"/>
        </w:rPr>
        <w:t xml:space="preserve">o.a. </w:t>
      </w:r>
      <w:r w:rsidRPr="00C07179" w:rsidR="761536DE">
        <w:rPr>
          <w:rFonts w:ascii="Verdana" w:hAnsi="Verdana" w:eastAsia="Verdana" w:cs="Verdana"/>
          <w:sz w:val="18"/>
          <w:szCs w:val="18"/>
        </w:rPr>
        <w:t xml:space="preserve">door middel van toegang tot voorschoolse educatie en kinderopvang, is </w:t>
      </w:r>
      <w:r w:rsidRPr="00C07179" w:rsidR="000009FE">
        <w:rPr>
          <w:rFonts w:ascii="Verdana" w:hAnsi="Verdana" w:eastAsia="Verdana" w:cs="Verdana"/>
          <w:sz w:val="18"/>
          <w:szCs w:val="18"/>
        </w:rPr>
        <w:t xml:space="preserve">daarbij </w:t>
      </w:r>
      <w:r w:rsidRPr="00C07179" w:rsidR="761536DE">
        <w:rPr>
          <w:rFonts w:ascii="Verdana" w:hAnsi="Verdana" w:eastAsia="Verdana" w:cs="Verdana"/>
          <w:sz w:val="18"/>
          <w:szCs w:val="18"/>
        </w:rPr>
        <w:t>essentieel</w:t>
      </w:r>
      <w:r w:rsidR="00D80030">
        <w:rPr>
          <w:rFonts w:ascii="Verdana" w:hAnsi="Verdana" w:eastAsia="Verdana" w:cs="Verdana"/>
          <w:sz w:val="18"/>
          <w:szCs w:val="18"/>
        </w:rPr>
        <w:t>.</w:t>
      </w:r>
      <w:r w:rsidRPr="00C07179" w:rsidR="008D0EBB">
        <w:rPr>
          <w:rFonts w:ascii="Verdana" w:hAnsi="Verdana" w:eastAsia="Verdana" w:cs="Verdana"/>
          <w:sz w:val="18"/>
          <w:szCs w:val="18"/>
        </w:rPr>
        <w:t xml:space="preserve"> </w:t>
      </w:r>
      <w:r w:rsidR="00C24CF1">
        <w:rPr>
          <w:rFonts w:ascii="Verdana" w:hAnsi="Verdana" w:eastAsia="Verdana" w:cs="Verdana"/>
          <w:sz w:val="18"/>
          <w:szCs w:val="18"/>
        </w:rPr>
        <w:t xml:space="preserve">Zoals ook aangekondigd in de Anti-Armoede Strategie, </w:t>
      </w:r>
      <w:r w:rsidRPr="00C07179" w:rsidR="00B947DE">
        <w:rPr>
          <w:rFonts w:ascii="Verdana" w:hAnsi="Verdana" w:eastAsia="Verdana" w:cs="Verdana"/>
          <w:sz w:val="18"/>
          <w:szCs w:val="18"/>
        </w:rPr>
        <w:t>lanceert</w:t>
      </w:r>
      <w:r w:rsidRPr="00C07179" w:rsidR="761536DE">
        <w:rPr>
          <w:rFonts w:ascii="Verdana" w:hAnsi="Verdana" w:eastAsia="Verdana" w:cs="Verdana"/>
          <w:sz w:val="18"/>
          <w:szCs w:val="18"/>
        </w:rPr>
        <w:t xml:space="preserve"> de Commissie </w:t>
      </w:r>
      <w:r w:rsidR="00C24CF1">
        <w:rPr>
          <w:rFonts w:ascii="Verdana" w:hAnsi="Verdana" w:eastAsia="Verdana" w:cs="Verdana"/>
          <w:sz w:val="18"/>
          <w:szCs w:val="18"/>
        </w:rPr>
        <w:t>i</w:t>
      </w:r>
      <w:r w:rsidRPr="00C07179" w:rsidR="00C24CF1">
        <w:rPr>
          <w:rFonts w:ascii="Verdana" w:hAnsi="Verdana" w:eastAsia="Verdana" w:cs="Verdana"/>
          <w:sz w:val="18"/>
          <w:szCs w:val="18"/>
        </w:rPr>
        <w:t xml:space="preserve">n 2026 </w:t>
      </w:r>
      <w:r w:rsidRPr="00C07179" w:rsidR="761536DE">
        <w:rPr>
          <w:rFonts w:ascii="Verdana" w:hAnsi="Verdana" w:eastAsia="Verdana" w:cs="Verdana"/>
          <w:sz w:val="18"/>
          <w:szCs w:val="18"/>
        </w:rPr>
        <w:t>een consultatie met sociale partners met daarin mogelijke acties voor de EU om mensen die buiten de arbeidsmarkt staan naar werk te stimuleren, onder meer via betere toegang tot kinderopvang</w:t>
      </w:r>
      <w:r w:rsidR="00D80030">
        <w:rPr>
          <w:rFonts w:ascii="Verdana" w:hAnsi="Verdana" w:eastAsia="Verdana" w:cs="Verdana"/>
          <w:sz w:val="18"/>
          <w:szCs w:val="18"/>
        </w:rPr>
        <w:t xml:space="preserve"> en voorschoolse educatie</w:t>
      </w:r>
      <w:r w:rsidRPr="00C07179" w:rsidR="761536DE">
        <w:rPr>
          <w:rFonts w:ascii="Verdana" w:hAnsi="Verdana" w:eastAsia="Verdana" w:cs="Verdana"/>
          <w:sz w:val="18"/>
          <w:szCs w:val="18"/>
        </w:rPr>
        <w:t xml:space="preserve">. </w:t>
      </w:r>
    </w:p>
    <w:p w:rsidRPr="00C07179" w:rsidR="192E757F" w:rsidP="0091433B" w:rsidRDefault="761536DE" w14:paraId="0581AD5C" w14:textId="530728BE">
      <w:pPr>
        <w:spacing w:line="360" w:lineRule="auto"/>
        <w:rPr>
          <w:rFonts w:ascii="Verdana" w:hAnsi="Verdana" w:eastAsia="Verdana" w:cs="Verdana"/>
          <w:sz w:val="18"/>
          <w:szCs w:val="18"/>
        </w:rPr>
      </w:pPr>
      <w:r w:rsidRPr="00C07179">
        <w:rPr>
          <w:rFonts w:ascii="Verdana" w:hAnsi="Verdana" w:eastAsia="Verdana" w:cs="Verdana"/>
          <w:sz w:val="18"/>
          <w:szCs w:val="18"/>
        </w:rPr>
        <w:t xml:space="preserve">Naast ondersteuning van ouders bij het vinden van werk, </w:t>
      </w:r>
      <w:r w:rsidR="00B9012E">
        <w:rPr>
          <w:rFonts w:ascii="Verdana" w:hAnsi="Verdana" w:eastAsia="Verdana" w:cs="Verdana"/>
          <w:sz w:val="18"/>
          <w:szCs w:val="18"/>
        </w:rPr>
        <w:t xml:space="preserve">benadrukt de mededeling dat het </w:t>
      </w:r>
      <w:r w:rsidRPr="00C07179">
        <w:rPr>
          <w:rFonts w:ascii="Verdana" w:hAnsi="Verdana" w:eastAsia="Verdana" w:cs="Verdana"/>
          <w:sz w:val="18"/>
          <w:szCs w:val="18"/>
        </w:rPr>
        <w:t xml:space="preserve">essentieel </w:t>
      </w:r>
      <w:r w:rsidR="00B9012E">
        <w:rPr>
          <w:rFonts w:ascii="Verdana" w:hAnsi="Verdana" w:eastAsia="Verdana" w:cs="Verdana"/>
          <w:sz w:val="18"/>
          <w:szCs w:val="18"/>
        </w:rPr>
        <w:t xml:space="preserve">is </w:t>
      </w:r>
      <w:r w:rsidRPr="00C07179">
        <w:rPr>
          <w:rFonts w:ascii="Verdana" w:hAnsi="Verdana" w:eastAsia="Verdana" w:cs="Verdana"/>
          <w:sz w:val="18"/>
          <w:szCs w:val="18"/>
        </w:rPr>
        <w:t xml:space="preserve">dat ouders toegang hebben tot passende inkomensondersteuning. In 2027 zal de Commissie een aanbeveling publiceren om de efficiëntie van </w:t>
      </w:r>
      <w:proofErr w:type="spellStart"/>
      <w:r w:rsidRPr="00C07179">
        <w:rPr>
          <w:rFonts w:ascii="Verdana" w:hAnsi="Verdana" w:eastAsia="Verdana" w:cs="Verdana"/>
          <w:sz w:val="18"/>
          <w:szCs w:val="18"/>
        </w:rPr>
        <w:t>kindgerelateerde</w:t>
      </w:r>
      <w:proofErr w:type="spellEnd"/>
      <w:r w:rsidRPr="00C07179">
        <w:rPr>
          <w:rFonts w:ascii="Verdana" w:hAnsi="Verdana" w:eastAsia="Verdana" w:cs="Verdana"/>
          <w:sz w:val="18"/>
          <w:szCs w:val="18"/>
        </w:rPr>
        <w:t xml:space="preserve"> regelingen te verbeteren, met aandacht voor </w:t>
      </w:r>
      <w:proofErr w:type="spellStart"/>
      <w:r w:rsidRPr="00C07179">
        <w:rPr>
          <w:rFonts w:ascii="Verdana" w:hAnsi="Verdana" w:eastAsia="Verdana" w:cs="Verdana"/>
          <w:sz w:val="18"/>
          <w:szCs w:val="18"/>
        </w:rPr>
        <w:t>toereikendheid</w:t>
      </w:r>
      <w:proofErr w:type="spellEnd"/>
      <w:r w:rsidRPr="00C07179">
        <w:rPr>
          <w:rFonts w:ascii="Verdana" w:hAnsi="Verdana" w:eastAsia="Verdana" w:cs="Verdana"/>
          <w:sz w:val="18"/>
          <w:szCs w:val="18"/>
        </w:rPr>
        <w:t xml:space="preserve">, dekking en gebruik. </w:t>
      </w:r>
      <w:r w:rsidR="000D215A">
        <w:rPr>
          <w:rFonts w:ascii="Verdana" w:hAnsi="Verdana" w:eastAsia="Verdana" w:cs="Verdana"/>
          <w:sz w:val="18"/>
          <w:szCs w:val="18"/>
        </w:rPr>
        <w:t>Hierbij</w:t>
      </w:r>
      <w:r w:rsidRPr="00C07179">
        <w:rPr>
          <w:rFonts w:ascii="Verdana" w:hAnsi="Verdana" w:eastAsia="Verdana" w:cs="Verdana"/>
          <w:sz w:val="18"/>
          <w:szCs w:val="18"/>
        </w:rPr>
        <w:t xml:space="preserve"> wordt er </w:t>
      </w:r>
      <w:r w:rsidR="000D215A">
        <w:rPr>
          <w:rFonts w:ascii="Verdana" w:hAnsi="Verdana" w:eastAsia="Verdana" w:cs="Verdana"/>
          <w:sz w:val="18"/>
          <w:szCs w:val="18"/>
        </w:rPr>
        <w:t xml:space="preserve">ook </w:t>
      </w:r>
      <w:r w:rsidRPr="00C07179">
        <w:rPr>
          <w:rFonts w:ascii="Verdana" w:hAnsi="Verdana" w:eastAsia="Verdana" w:cs="Verdana"/>
          <w:sz w:val="18"/>
          <w:szCs w:val="18"/>
        </w:rPr>
        <w:t xml:space="preserve">gekeken naar manieren die ervoor zorgen dat deze middelen ook echt ingezet worden voor het welzijn van het kind. </w:t>
      </w:r>
    </w:p>
    <w:p w:rsidRPr="00270ED6" w:rsidR="00C24CF1" w:rsidP="0091433B" w:rsidRDefault="00C24CF1" w14:paraId="1D0E82DD" w14:textId="08B69A10">
      <w:pPr>
        <w:spacing w:line="360" w:lineRule="auto"/>
        <w:rPr>
          <w:rFonts w:ascii="Verdana" w:hAnsi="Verdana" w:eastAsia="Verdana" w:cs="Verdana"/>
          <w:sz w:val="18"/>
          <w:szCs w:val="18"/>
        </w:rPr>
      </w:pPr>
      <w:r>
        <w:rPr>
          <w:rFonts w:ascii="Verdana" w:hAnsi="Verdana" w:eastAsia="Verdana" w:cs="Verdana"/>
          <w:sz w:val="18"/>
          <w:szCs w:val="18"/>
        </w:rPr>
        <w:t>De tweede pijler van de mededeling heeft betrekking op</w:t>
      </w:r>
      <w:r w:rsidR="00E83DC0">
        <w:rPr>
          <w:rFonts w:ascii="Verdana" w:hAnsi="Verdana" w:eastAsia="Verdana" w:cs="Verdana"/>
          <w:sz w:val="18"/>
          <w:szCs w:val="18"/>
        </w:rPr>
        <w:t xml:space="preserve"> </w:t>
      </w:r>
      <w:r w:rsidRPr="00E83DC0" w:rsidR="00E83DC0">
        <w:rPr>
          <w:rFonts w:ascii="Verdana" w:hAnsi="Verdana" w:eastAsia="Verdana" w:cs="Verdana"/>
          <w:sz w:val="18"/>
          <w:szCs w:val="18"/>
        </w:rPr>
        <w:t>het versterken van de impact van</w:t>
      </w:r>
      <w:r>
        <w:rPr>
          <w:rFonts w:ascii="Verdana" w:hAnsi="Verdana" w:eastAsia="Verdana" w:cs="Verdana"/>
          <w:sz w:val="18"/>
          <w:szCs w:val="18"/>
        </w:rPr>
        <w:t xml:space="preserve"> de Kindergarantie.</w:t>
      </w:r>
      <w:r w:rsidR="00FF162B">
        <w:rPr>
          <w:rStyle w:val="FootnoteReference"/>
          <w:rFonts w:ascii="Verdana" w:hAnsi="Verdana" w:eastAsia="Verdana" w:cs="Verdana"/>
          <w:sz w:val="18"/>
          <w:szCs w:val="18"/>
        </w:rPr>
        <w:footnoteReference w:id="3"/>
      </w:r>
      <w:r>
        <w:rPr>
          <w:rFonts w:ascii="Verdana" w:hAnsi="Verdana" w:eastAsia="Verdana" w:cs="Verdana"/>
          <w:sz w:val="18"/>
          <w:szCs w:val="18"/>
        </w:rPr>
        <w:t xml:space="preserve"> </w:t>
      </w:r>
      <w:r w:rsidRPr="00C07179" w:rsidR="00F402B7">
        <w:rPr>
          <w:rFonts w:ascii="Verdana" w:hAnsi="Verdana" w:eastAsia="Verdana" w:cs="Verdana"/>
          <w:sz w:val="18"/>
          <w:szCs w:val="18"/>
        </w:rPr>
        <w:t xml:space="preserve">De </w:t>
      </w:r>
      <w:r w:rsidR="00F402B7">
        <w:rPr>
          <w:rFonts w:ascii="Verdana" w:hAnsi="Verdana" w:eastAsia="Verdana" w:cs="Verdana"/>
          <w:sz w:val="18"/>
          <w:szCs w:val="18"/>
        </w:rPr>
        <w:t xml:space="preserve">mededeling stelt dat de </w:t>
      </w:r>
      <w:r w:rsidRPr="00C07179" w:rsidR="00F402B7">
        <w:rPr>
          <w:rFonts w:ascii="Verdana" w:hAnsi="Verdana" w:eastAsia="Verdana" w:cs="Verdana"/>
          <w:sz w:val="18"/>
          <w:szCs w:val="18"/>
        </w:rPr>
        <w:t xml:space="preserve">Kindergarantie landen dient </w:t>
      </w:r>
      <w:r w:rsidR="00F402B7">
        <w:rPr>
          <w:rFonts w:ascii="Verdana" w:hAnsi="Verdana" w:eastAsia="Verdana" w:cs="Verdana"/>
          <w:sz w:val="18"/>
          <w:szCs w:val="18"/>
        </w:rPr>
        <w:t xml:space="preserve">te </w:t>
      </w:r>
      <w:r w:rsidRPr="00C07179" w:rsidR="00F402B7">
        <w:rPr>
          <w:rFonts w:ascii="Verdana" w:hAnsi="Verdana" w:eastAsia="Verdana" w:cs="Verdana"/>
          <w:sz w:val="18"/>
          <w:szCs w:val="18"/>
        </w:rPr>
        <w:t>ondersteun</w:t>
      </w:r>
      <w:r w:rsidR="00F402B7">
        <w:rPr>
          <w:rFonts w:ascii="Verdana" w:hAnsi="Verdana" w:eastAsia="Verdana" w:cs="Verdana"/>
          <w:sz w:val="18"/>
          <w:szCs w:val="18"/>
        </w:rPr>
        <w:t>en</w:t>
      </w:r>
      <w:r w:rsidRPr="00C07179" w:rsidR="00F402B7">
        <w:rPr>
          <w:rFonts w:ascii="Verdana" w:hAnsi="Verdana" w:eastAsia="Verdana" w:cs="Verdana"/>
          <w:sz w:val="18"/>
          <w:szCs w:val="18"/>
        </w:rPr>
        <w:t xml:space="preserve"> </w:t>
      </w:r>
      <w:r w:rsidR="00F402B7">
        <w:rPr>
          <w:rFonts w:ascii="Verdana" w:hAnsi="Verdana" w:eastAsia="Verdana" w:cs="Verdana"/>
          <w:sz w:val="18"/>
          <w:szCs w:val="18"/>
        </w:rPr>
        <w:t xml:space="preserve">naar </w:t>
      </w:r>
      <w:r w:rsidRPr="00C07179" w:rsidR="00F402B7">
        <w:rPr>
          <w:rFonts w:ascii="Verdana" w:hAnsi="Verdana" w:eastAsia="Verdana" w:cs="Verdana"/>
          <w:sz w:val="18"/>
          <w:szCs w:val="18"/>
        </w:rPr>
        <w:t>een samenhangend, kindgericht systeem, dat elk kind ondersteuning op maat biedt. Dit vereist ondersteuning en mentorschap; digitale oplossingen om bureaucratische silo’s te doorbreken zodat kinderen gemakkelijk van ondersteuning kunnen profiteren</w:t>
      </w:r>
      <w:r w:rsidR="00F402B7">
        <w:rPr>
          <w:rFonts w:ascii="Verdana" w:hAnsi="Verdana" w:eastAsia="Verdana" w:cs="Verdana"/>
          <w:sz w:val="18"/>
          <w:szCs w:val="18"/>
        </w:rPr>
        <w:t>,</w:t>
      </w:r>
      <w:r w:rsidRPr="00C07179" w:rsidR="00F402B7">
        <w:rPr>
          <w:rFonts w:ascii="Verdana" w:hAnsi="Verdana" w:eastAsia="Verdana" w:cs="Verdana"/>
          <w:sz w:val="18"/>
          <w:szCs w:val="18"/>
        </w:rPr>
        <w:t xml:space="preserve"> en verlengde trajecten naar vroege volwassenheid, zodat kwetsbare jongeren niet verloren raken in de overgang van kinder- naar jeugdhulpverlening.</w:t>
      </w:r>
      <w:r w:rsidR="00F402B7">
        <w:rPr>
          <w:rFonts w:ascii="Verdana" w:hAnsi="Verdana" w:eastAsia="Verdana" w:cs="Verdana"/>
          <w:sz w:val="18"/>
          <w:szCs w:val="18"/>
        </w:rPr>
        <w:t xml:space="preserve"> </w:t>
      </w:r>
      <w:r w:rsidR="00E52069">
        <w:rPr>
          <w:rFonts w:ascii="Verdana" w:hAnsi="Verdana" w:eastAsia="Verdana" w:cs="Verdana"/>
          <w:sz w:val="18"/>
          <w:szCs w:val="18"/>
        </w:rPr>
        <w:t>De Commissie benadrukt het belang van uitbreiding van onder andere m</w:t>
      </w:r>
      <w:r w:rsidRPr="00C07179" w:rsidR="00E52069">
        <w:rPr>
          <w:rFonts w:ascii="Verdana" w:hAnsi="Verdana" w:eastAsia="Verdana" w:cs="Verdana"/>
          <w:sz w:val="18"/>
          <w:szCs w:val="18"/>
        </w:rPr>
        <w:t>entorprogramma’s en counseling interventies</w:t>
      </w:r>
      <w:r w:rsidR="00E52069">
        <w:rPr>
          <w:rFonts w:ascii="Verdana" w:hAnsi="Verdana" w:eastAsia="Verdana" w:cs="Verdana"/>
          <w:sz w:val="18"/>
          <w:szCs w:val="18"/>
        </w:rPr>
        <w:t xml:space="preserve">, dit wordt een integraal onderdeel van de aankomende Docenten agenda. </w:t>
      </w:r>
    </w:p>
    <w:p w:rsidRPr="00C07179" w:rsidR="002865C4" w:rsidP="0091433B" w:rsidRDefault="00C24CF1" w14:paraId="4EB4367A" w14:textId="61BA1B3D">
      <w:pPr>
        <w:spacing w:line="360" w:lineRule="auto"/>
        <w:rPr>
          <w:rFonts w:ascii="Verdana" w:hAnsi="Verdana" w:eastAsia="Verdana" w:cs="Verdana"/>
          <w:sz w:val="18"/>
          <w:szCs w:val="18"/>
        </w:rPr>
      </w:pPr>
      <w:r>
        <w:rPr>
          <w:rFonts w:ascii="Verdana" w:hAnsi="Verdana" w:eastAsia="Verdana" w:cs="Verdana"/>
          <w:sz w:val="18"/>
          <w:szCs w:val="18"/>
        </w:rPr>
        <w:t>De mededeling benadrukt daarnaast dat e</w:t>
      </w:r>
      <w:r w:rsidRPr="00C07179" w:rsidR="761536DE">
        <w:rPr>
          <w:rFonts w:ascii="Verdana" w:hAnsi="Verdana" w:eastAsia="Verdana" w:cs="Verdana"/>
          <w:sz w:val="18"/>
          <w:szCs w:val="18"/>
        </w:rPr>
        <w:t>enzaamheid en depressie steeds vaker voor</w:t>
      </w:r>
      <w:r w:rsidR="00FE5243">
        <w:rPr>
          <w:rFonts w:ascii="Verdana" w:hAnsi="Verdana" w:eastAsia="Verdana" w:cs="Verdana"/>
          <w:sz w:val="18"/>
          <w:szCs w:val="18"/>
        </w:rPr>
        <w:t xml:space="preserve"> </w:t>
      </w:r>
      <w:r w:rsidRPr="00C07179">
        <w:rPr>
          <w:rFonts w:ascii="Verdana" w:hAnsi="Verdana" w:eastAsia="Verdana" w:cs="Verdana"/>
          <w:sz w:val="18"/>
          <w:szCs w:val="18"/>
        </w:rPr>
        <w:t xml:space="preserve">komen </w:t>
      </w:r>
      <w:r w:rsidR="00FE5243">
        <w:rPr>
          <w:rFonts w:ascii="Verdana" w:hAnsi="Verdana" w:eastAsia="Verdana" w:cs="Verdana"/>
          <w:sz w:val="18"/>
          <w:szCs w:val="18"/>
        </w:rPr>
        <w:t>en</w:t>
      </w:r>
      <w:r w:rsidR="00AF4B09">
        <w:rPr>
          <w:rFonts w:ascii="Verdana" w:hAnsi="Verdana" w:eastAsia="Verdana" w:cs="Verdana"/>
          <w:sz w:val="18"/>
          <w:szCs w:val="18"/>
        </w:rPr>
        <w:t xml:space="preserve"> </w:t>
      </w:r>
      <w:r w:rsidR="00F13CF0">
        <w:rPr>
          <w:rFonts w:ascii="Verdana" w:hAnsi="Verdana" w:eastAsia="Verdana" w:cs="Verdana"/>
          <w:sz w:val="18"/>
          <w:szCs w:val="18"/>
        </w:rPr>
        <w:t>ki</w:t>
      </w:r>
      <w:r w:rsidRPr="00C07179" w:rsidR="00F13CF0">
        <w:rPr>
          <w:rFonts w:ascii="Verdana" w:hAnsi="Verdana" w:eastAsia="Verdana" w:cs="Verdana"/>
          <w:sz w:val="18"/>
          <w:szCs w:val="18"/>
        </w:rPr>
        <w:t>nderen</w:t>
      </w:r>
      <w:r w:rsidRPr="00C07179" w:rsidR="761536DE">
        <w:rPr>
          <w:rFonts w:ascii="Verdana" w:hAnsi="Verdana" w:eastAsia="Verdana" w:cs="Verdana"/>
          <w:sz w:val="18"/>
          <w:szCs w:val="18"/>
        </w:rPr>
        <w:t xml:space="preserve"> in een kwetsbare situatie </w:t>
      </w:r>
      <w:r w:rsidRPr="00C07179" w:rsidR="00A57FFD">
        <w:rPr>
          <w:rFonts w:ascii="Verdana" w:hAnsi="Verdana" w:eastAsia="Verdana" w:cs="Verdana"/>
          <w:sz w:val="18"/>
          <w:szCs w:val="18"/>
        </w:rPr>
        <w:t>disproportioneel</w:t>
      </w:r>
      <w:r w:rsidRPr="00C07179" w:rsidR="761536DE">
        <w:rPr>
          <w:rFonts w:ascii="Verdana" w:hAnsi="Verdana" w:eastAsia="Verdana" w:cs="Verdana"/>
          <w:sz w:val="18"/>
          <w:szCs w:val="18"/>
        </w:rPr>
        <w:t xml:space="preserve"> </w:t>
      </w:r>
      <w:r>
        <w:rPr>
          <w:rFonts w:ascii="Verdana" w:hAnsi="Verdana" w:eastAsia="Verdana" w:cs="Verdana"/>
          <w:sz w:val="18"/>
          <w:szCs w:val="18"/>
        </w:rPr>
        <w:t xml:space="preserve">worden </w:t>
      </w:r>
      <w:r w:rsidR="00FE5243">
        <w:rPr>
          <w:rFonts w:ascii="Verdana" w:hAnsi="Verdana" w:eastAsia="Verdana" w:cs="Verdana"/>
          <w:sz w:val="18"/>
          <w:szCs w:val="18"/>
        </w:rPr>
        <w:t>g</w:t>
      </w:r>
      <w:r w:rsidRPr="00C07179" w:rsidR="761536DE">
        <w:rPr>
          <w:rFonts w:ascii="Verdana" w:hAnsi="Verdana" w:eastAsia="Verdana" w:cs="Verdana"/>
          <w:sz w:val="18"/>
          <w:szCs w:val="18"/>
        </w:rPr>
        <w:t xml:space="preserve">eraakt. </w:t>
      </w:r>
      <w:r w:rsidR="000D215A">
        <w:rPr>
          <w:rFonts w:ascii="Verdana" w:hAnsi="Verdana" w:eastAsia="Verdana" w:cs="Verdana"/>
          <w:sz w:val="18"/>
          <w:szCs w:val="18"/>
        </w:rPr>
        <w:t>De Commissie steunt UNICEF met een pilot voor een</w:t>
      </w:r>
      <w:r w:rsidRPr="000D215A" w:rsidR="000D215A">
        <w:rPr>
          <w:rFonts w:ascii="Verdana" w:hAnsi="Verdana" w:eastAsia="Verdana" w:cs="Verdana"/>
          <w:i/>
          <w:iCs/>
          <w:sz w:val="18"/>
          <w:szCs w:val="18"/>
        </w:rPr>
        <w:t xml:space="preserve"> </w:t>
      </w:r>
      <w:proofErr w:type="spellStart"/>
      <w:r w:rsidRPr="000D215A" w:rsidR="761536DE">
        <w:rPr>
          <w:rFonts w:ascii="Verdana" w:hAnsi="Verdana" w:eastAsia="Verdana" w:cs="Verdana"/>
          <w:i/>
          <w:iCs/>
          <w:sz w:val="18"/>
          <w:szCs w:val="18"/>
        </w:rPr>
        <w:t>toolkit</w:t>
      </w:r>
      <w:proofErr w:type="spellEnd"/>
      <w:r w:rsidRPr="00C07179" w:rsidR="761536DE">
        <w:rPr>
          <w:rFonts w:ascii="Verdana" w:hAnsi="Verdana" w:eastAsia="Verdana" w:cs="Verdana"/>
          <w:sz w:val="18"/>
          <w:szCs w:val="18"/>
        </w:rPr>
        <w:t xml:space="preserve"> </w:t>
      </w:r>
      <w:r w:rsidR="000D215A">
        <w:rPr>
          <w:rFonts w:ascii="Verdana" w:hAnsi="Verdana" w:eastAsia="Verdana" w:cs="Verdana"/>
          <w:sz w:val="18"/>
          <w:szCs w:val="18"/>
        </w:rPr>
        <w:t xml:space="preserve">voor kinderen en jongeren om gezondheid en mentaal welzijn te bevorderen. </w:t>
      </w:r>
    </w:p>
    <w:p w:rsidRPr="00221B08" w:rsidR="00E52069" w:rsidP="00E52069" w:rsidRDefault="00E52069" w14:paraId="097CB7DC" w14:textId="77777777">
      <w:pPr>
        <w:spacing w:line="360" w:lineRule="auto"/>
        <w:rPr>
          <w:rFonts w:ascii="Verdana" w:hAnsi="Verdana" w:eastAsia="Verdana" w:cs="Verdana"/>
          <w:sz w:val="18"/>
          <w:szCs w:val="18"/>
        </w:rPr>
      </w:pPr>
      <w:r w:rsidRPr="00C07179">
        <w:rPr>
          <w:rFonts w:ascii="Verdana" w:hAnsi="Verdana" w:eastAsia="Verdana" w:cs="Verdana"/>
          <w:sz w:val="18"/>
          <w:szCs w:val="18"/>
        </w:rPr>
        <w:t xml:space="preserve">De Commissie zal de komende anderhalf jaar </w:t>
      </w:r>
      <w:r>
        <w:rPr>
          <w:rFonts w:ascii="Verdana" w:hAnsi="Verdana" w:eastAsia="Verdana" w:cs="Verdana"/>
          <w:sz w:val="18"/>
          <w:szCs w:val="18"/>
        </w:rPr>
        <w:t xml:space="preserve">onder meer de </w:t>
      </w:r>
      <w:proofErr w:type="spellStart"/>
      <w:r w:rsidRPr="00307D3B">
        <w:rPr>
          <w:rFonts w:ascii="Verdana" w:hAnsi="Verdana" w:eastAsia="Verdana" w:cs="Verdana"/>
          <w:i/>
          <w:iCs/>
          <w:sz w:val="18"/>
          <w:szCs w:val="18"/>
        </w:rPr>
        <w:t>Guidelines</w:t>
      </w:r>
      <w:proofErr w:type="spellEnd"/>
      <w:r>
        <w:rPr>
          <w:rFonts w:ascii="Verdana" w:hAnsi="Verdana" w:eastAsia="Verdana" w:cs="Verdana"/>
          <w:sz w:val="18"/>
          <w:szCs w:val="18"/>
        </w:rPr>
        <w:t xml:space="preserve"> voor curriculum en pedagogische ontwikkeling binnen de kinderopvang</w:t>
      </w:r>
      <w:r>
        <w:rPr>
          <w:rStyle w:val="FootnoteReference"/>
          <w:rFonts w:ascii="Verdana" w:hAnsi="Verdana" w:eastAsia="Verdana" w:cs="Verdana"/>
          <w:sz w:val="18"/>
          <w:szCs w:val="18"/>
        </w:rPr>
        <w:footnoteReference w:id="4"/>
      </w:r>
      <w:r>
        <w:rPr>
          <w:rFonts w:ascii="Verdana" w:hAnsi="Verdana" w:eastAsia="Verdana" w:cs="Verdana"/>
          <w:sz w:val="18"/>
          <w:szCs w:val="18"/>
        </w:rPr>
        <w:t xml:space="preserve"> presenteren, alsmede een richtinggevend document ter ondersteuning van sociale inclusie van Roma kinderen. Daarnaast zal ook een aantal </w:t>
      </w:r>
      <w:r w:rsidRPr="00307D3B">
        <w:rPr>
          <w:rFonts w:ascii="Verdana" w:hAnsi="Verdana" w:eastAsia="Verdana" w:cs="Verdana"/>
          <w:i/>
          <w:iCs/>
          <w:sz w:val="18"/>
          <w:szCs w:val="18"/>
        </w:rPr>
        <w:t xml:space="preserve">call for </w:t>
      </w:r>
      <w:proofErr w:type="spellStart"/>
      <w:r>
        <w:rPr>
          <w:rFonts w:ascii="Verdana" w:hAnsi="Verdana" w:eastAsia="Verdana" w:cs="Verdana"/>
          <w:i/>
          <w:iCs/>
          <w:sz w:val="18"/>
          <w:szCs w:val="18"/>
        </w:rPr>
        <w:t>proposals</w:t>
      </w:r>
      <w:proofErr w:type="spellEnd"/>
      <w:r>
        <w:rPr>
          <w:rFonts w:ascii="Verdana" w:hAnsi="Verdana" w:eastAsia="Verdana" w:cs="Verdana"/>
          <w:sz w:val="18"/>
          <w:szCs w:val="18"/>
        </w:rPr>
        <w:t xml:space="preserve"> worden gepresenteerd,</w:t>
      </w:r>
      <w:r w:rsidRPr="00C07179">
        <w:rPr>
          <w:rFonts w:ascii="Verdana" w:hAnsi="Verdana" w:eastAsia="Verdana" w:cs="Verdana"/>
          <w:sz w:val="18"/>
          <w:szCs w:val="18"/>
        </w:rPr>
        <w:t xml:space="preserve"> </w:t>
      </w:r>
      <w:r>
        <w:rPr>
          <w:rFonts w:ascii="Verdana" w:hAnsi="Verdana" w:eastAsia="Verdana" w:cs="Verdana"/>
          <w:sz w:val="18"/>
          <w:szCs w:val="18"/>
        </w:rPr>
        <w:t>zoals de oproep van</w:t>
      </w:r>
      <w:r w:rsidRPr="00C07179">
        <w:rPr>
          <w:rFonts w:ascii="Verdana" w:hAnsi="Verdana" w:eastAsia="Verdana" w:cs="Verdana"/>
          <w:sz w:val="18"/>
          <w:szCs w:val="18"/>
        </w:rPr>
        <w:t xml:space="preserve"> Horizon voor innovatieve oplossingen in voorschoolse educatie en kinderopvang</w:t>
      </w:r>
      <w:r>
        <w:rPr>
          <w:rFonts w:ascii="Verdana" w:hAnsi="Verdana" w:eastAsia="Verdana" w:cs="Verdana"/>
          <w:sz w:val="18"/>
          <w:szCs w:val="18"/>
        </w:rPr>
        <w:t>,</w:t>
      </w:r>
      <w:r w:rsidRPr="00C07179">
        <w:rPr>
          <w:rFonts w:ascii="Verdana" w:hAnsi="Verdana" w:eastAsia="Verdana" w:cs="Verdana"/>
          <w:sz w:val="18"/>
          <w:szCs w:val="18"/>
        </w:rPr>
        <w:t xml:space="preserve"> </w:t>
      </w:r>
      <w:r>
        <w:rPr>
          <w:rFonts w:ascii="Verdana" w:hAnsi="Verdana" w:eastAsia="Verdana" w:cs="Verdana"/>
          <w:sz w:val="18"/>
          <w:szCs w:val="18"/>
        </w:rPr>
        <w:t xml:space="preserve">de </w:t>
      </w:r>
      <w:r w:rsidRPr="00C07179">
        <w:rPr>
          <w:rFonts w:ascii="Verdana" w:hAnsi="Verdana" w:eastAsia="Verdana" w:cs="Verdana"/>
          <w:sz w:val="18"/>
          <w:szCs w:val="18"/>
        </w:rPr>
        <w:t>E</w:t>
      </w:r>
      <w:r>
        <w:rPr>
          <w:rFonts w:ascii="Verdana" w:hAnsi="Verdana" w:eastAsia="Verdana" w:cs="Verdana"/>
          <w:sz w:val="18"/>
          <w:szCs w:val="18"/>
        </w:rPr>
        <w:t>SF</w:t>
      </w:r>
      <w:r>
        <w:rPr>
          <w:rStyle w:val="FootnoteReference"/>
          <w:rFonts w:ascii="Verdana" w:hAnsi="Verdana" w:eastAsia="Verdana" w:cs="Verdana"/>
          <w:sz w:val="18"/>
          <w:szCs w:val="18"/>
        </w:rPr>
        <w:footnoteReference w:id="5"/>
      </w:r>
      <w:r w:rsidRPr="00C07179">
        <w:rPr>
          <w:rFonts w:ascii="Verdana" w:hAnsi="Verdana" w:eastAsia="Verdana" w:cs="Verdana"/>
          <w:sz w:val="18"/>
          <w:szCs w:val="18"/>
        </w:rPr>
        <w:t xml:space="preserve"> </w:t>
      </w:r>
      <w:r>
        <w:rPr>
          <w:rFonts w:ascii="Verdana" w:hAnsi="Verdana" w:eastAsia="Verdana" w:cs="Verdana"/>
          <w:sz w:val="18"/>
          <w:szCs w:val="18"/>
        </w:rPr>
        <w:t>oproep</w:t>
      </w:r>
      <w:r w:rsidRPr="00C07179">
        <w:rPr>
          <w:rFonts w:ascii="Verdana" w:hAnsi="Verdana" w:eastAsia="Verdana" w:cs="Verdana"/>
          <w:sz w:val="18"/>
          <w:szCs w:val="18"/>
        </w:rPr>
        <w:t xml:space="preserve"> voor versterking van de </w:t>
      </w:r>
      <w:r w:rsidRPr="00C07179">
        <w:rPr>
          <w:rFonts w:ascii="Verdana" w:hAnsi="Verdana" w:eastAsia="Verdana" w:cs="Verdana"/>
          <w:sz w:val="18"/>
          <w:szCs w:val="18"/>
        </w:rPr>
        <w:lastRenderedPageBreak/>
        <w:t>kindergarantie en voor projecten die zich richten op cultuur en sport als instrument voor sociale inclusie</w:t>
      </w:r>
      <w:r>
        <w:rPr>
          <w:rFonts w:ascii="Verdana" w:hAnsi="Verdana" w:eastAsia="Verdana" w:cs="Verdana"/>
          <w:sz w:val="18"/>
          <w:szCs w:val="18"/>
        </w:rPr>
        <w:t xml:space="preserve">. </w:t>
      </w:r>
    </w:p>
    <w:p w:rsidRPr="00C07179" w:rsidR="192E757F" w:rsidP="0091433B" w:rsidRDefault="00E55397" w14:paraId="509CC121" w14:textId="490E6A26">
      <w:pPr>
        <w:spacing w:line="360" w:lineRule="auto"/>
        <w:rPr>
          <w:rFonts w:ascii="Verdana" w:hAnsi="Verdana" w:eastAsia="Verdana" w:cs="Verdana"/>
          <w:sz w:val="18"/>
          <w:szCs w:val="18"/>
        </w:rPr>
      </w:pPr>
      <w:r>
        <w:rPr>
          <w:rFonts w:ascii="Verdana" w:hAnsi="Verdana" w:eastAsia="Verdana" w:cs="Verdana"/>
          <w:sz w:val="18"/>
          <w:szCs w:val="18"/>
        </w:rPr>
        <w:t>Ook zal d</w:t>
      </w:r>
      <w:r w:rsidRPr="00C07179" w:rsidR="761536DE">
        <w:rPr>
          <w:rFonts w:ascii="Verdana" w:hAnsi="Verdana" w:eastAsia="Verdana" w:cs="Verdana"/>
          <w:sz w:val="18"/>
          <w:szCs w:val="18"/>
        </w:rPr>
        <w:t xml:space="preserve">e </w:t>
      </w:r>
      <w:bookmarkStart w:name="_Hlk229411474" w:id="0"/>
      <w:r w:rsidRPr="00C07179" w:rsidR="761536DE">
        <w:rPr>
          <w:rFonts w:ascii="Verdana" w:hAnsi="Verdana" w:eastAsia="Verdana" w:cs="Verdana"/>
          <w:sz w:val="18"/>
          <w:szCs w:val="18"/>
        </w:rPr>
        <w:t xml:space="preserve">Commissie een pilot uitvoeren om een nieuw digitaal kader voor een Europese kindergarantiekaart te testen en te ontwikkelen. </w:t>
      </w:r>
      <w:bookmarkEnd w:id="0"/>
      <w:r w:rsidRPr="00C07179" w:rsidR="761536DE">
        <w:rPr>
          <w:rFonts w:ascii="Verdana" w:hAnsi="Verdana" w:eastAsia="Verdana" w:cs="Verdana"/>
          <w:sz w:val="18"/>
          <w:szCs w:val="18"/>
        </w:rPr>
        <w:t xml:space="preserve">De kaart </w:t>
      </w:r>
      <w:r>
        <w:rPr>
          <w:rFonts w:ascii="Verdana" w:hAnsi="Verdana" w:eastAsia="Verdana" w:cs="Verdana"/>
          <w:sz w:val="18"/>
          <w:szCs w:val="18"/>
        </w:rPr>
        <w:t>zal</w:t>
      </w:r>
      <w:r w:rsidRPr="00C07179" w:rsidR="761536DE">
        <w:rPr>
          <w:rFonts w:ascii="Verdana" w:hAnsi="Verdana" w:eastAsia="Verdana" w:cs="Verdana"/>
          <w:sz w:val="18"/>
          <w:szCs w:val="18"/>
        </w:rPr>
        <w:t xml:space="preserve"> toegang tot integrale</w:t>
      </w:r>
      <w:r w:rsidR="006D07A6">
        <w:rPr>
          <w:rFonts w:ascii="Verdana" w:hAnsi="Verdana" w:eastAsia="Verdana" w:cs="Verdana"/>
          <w:sz w:val="18"/>
          <w:szCs w:val="18"/>
        </w:rPr>
        <w:t xml:space="preserve"> </w:t>
      </w:r>
      <w:r w:rsidRPr="00C07179" w:rsidR="761536DE">
        <w:rPr>
          <w:rFonts w:ascii="Verdana" w:hAnsi="Verdana" w:eastAsia="Verdana" w:cs="Verdana"/>
          <w:sz w:val="18"/>
          <w:szCs w:val="18"/>
        </w:rPr>
        <w:t xml:space="preserve">ondersteuning </w:t>
      </w:r>
      <w:r>
        <w:rPr>
          <w:rFonts w:ascii="Verdana" w:hAnsi="Verdana" w:eastAsia="Verdana" w:cs="Verdana"/>
          <w:sz w:val="18"/>
          <w:szCs w:val="18"/>
        </w:rPr>
        <w:t xml:space="preserve">faciliteren </w:t>
      </w:r>
      <w:r w:rsidRPr="00C07179" w:rsidR="761536DE">
        <w:rPr>
          <w:rFonts w:ascii="Verdana" w:hAnsi="Verdana" w:eastAsia="Verdana" w:cs="Verdana"/>
          <w:sz w:val="18"/>
          <w:szCs w:val="18"/>
        </w:rPr>
        <w:t>voor kinderen die dat nodig hebben.</w:t>
      </w:r>
      <w:r w:rsidRPr="00C07179" w:rsidR="008D0EBB">
        <w:rPr>
          <w:rFonts w:ascii="Verdana" w:hAnsi="Verdana" w:eastAsia="Verdana" w:cs="Verdana"/>
          <w:sz w:val="18"/>
          <w:szCs w:val="18"/>
        </w:rPr>
        <w:t xml:space="preserve"> </w:t>
      </w:r>
      <w:r w:rsidRPr="00C07179" w:rsidR="00BF69D2">
        <w:rPr>
          <w:rFonts w:ascii="Verdana" w:hAnsi="Verdana" w:eastAsia="Verdana" w:cs="Verdana"/>
          <w:sz w:val="18"/>
          <w:szCs w:val="18"/>
        </w:rPr>
        <w:t>K</w:t>
      </w:r>
      <w:r w:rsidRPr="00C07179" w:rsidR="761536DE">
        <w:rPr>
          <w:rFonts w:ascii="Verdana" w:hAnsi="Verdana" w:eastAsia="Verdana" w:cs="Verdana"/>
          <w:sz w:val="18"/>
          <w:szCs w:val="18"/>
        </w:rPr>
        <w:t>inderen die in armoede opgroeien</w:t>
      </w:r>
      <w:r w:rsidRPr="00C07179" w:rsidR="00BF69D2">
        <w:rPr>
          <w:rFonts w:ascii="Verdana" w:hAnsi="Verdana" w:eastAsia="Verdana" w:cs="Verdana"/>
          <w:sz w:val="18"/>
          <w:szCs w:val="18"/>
        </w:rPr>
        <w:t xml:space="preserve"> zijn extra kwetsbaar voor verantwoordelijkheden die op h</w:t>
      </w:r>
      <w:r w:rsidR="00B9012E">
        <w:rPr>
          <w:rFonts w:ascii="Verdana" w:hAnsi="Verdana" w:eastAsia="Verdana" w:cs="Verdana"/>
          <w:sz w:val="18"/>
          <w:szCs w:val="18"/>
        </w:rPr>
        <w:t>e</w:t>
      </w:r>
      <w:r w:rsidRPr="00C07179" w:rsidR="00BF69D2">
        <w:rPr>
          <w:rFonts w:ascii="Verdana" w:hAnsi="Verdana" w:eastAsia="Verdana" w:cs="Verdana"/>
          <w:sz w:val="18"/>
          <w:szCs w:val="18"/>
        </w:rPr>
        <w:t xml:space="preserve">n afkomen als ze volwassen worden en </w:t>
      </w:r>
      <w:r w:rsidRPr="00C07179" w:rsidR="761536DE">
        <w:rPr>
          <w:rFonts w:ascii="Verdana" w:hAnsi="Verdana" w:eastAsia="Verdana" w:cs="Verdana"/>
          <w:sz w:val="18"/>
          <w:szCs w:val="18"/>
        </w:rPr>
        <w:t xml:space="preserve">voor bedreigingen zowel online als offline. </w:t>
      </w:r>
      <w:r w:rsidR="00B9012E">
        <w:rPr>
          <w:rFonts w:ascii="Verdana" w:hAnsi="Verdana" w:eastAsia="Verdana" w:cs="Verdana"/>
          <w:sz w:val="18"/>
          <w:szCs w:val="18"/>
        </w:rPr>
        <w:t>De Commissie vindt het</w:t>
      </w:r>
      <w:r w:rsidRPr="00C07179" w:rsidR="00B9012E">
        <w:rPr>
          <w:rFonts w:ascii="Verdana" w:hAnsi="Verdana" w:eastAsia="Verdana" w:cs="Verdana"/>
          <w:sz w:val="18"/>
          <w:szCs w:val="18"/>
        </w:rPr>
        <w:t xml:space="preserve"> </w:t>
      </w:r>
      <w:r w:rsidRPr="00C07179" w:rsidR="761536DE">
        <w:rPr>
          <w:rFonts w:ascii="Verdana" w:hAnsi="Verdana" w:eastAsia="Verdana" w:cs="Verdana"/>
          <w:sz w:val="18"/>
          <w:szCs w:val="18"/>
        </w:rPr>
        <w:t>essentieel</w:t>
      </w:r>
      <w:r w:rsidRPr="00C07179" w:rsidR="009F4A0E">
        <w:rPr>
          <w:rFonts w:ascii="Verdana" w:hAnsi="Verdana" w:eastAsia="Verdana" w:cs="Verdana"/>
          <w:sz w:val="18"/>
          <w:szCs w:val="18"/>
        </w:rPr>
        <w:t xml:space="preserve"> </w:t>
      </w:r>
      <w:r w:rsidRPr="00C07179" w:rsidR="761536DE">
        <w:rPr>
          <w:rFonts w:ascii="Verdana" w:hAnsi="Verdana" w:eastAsia="Verdana" w:cs="Verdana"/>
          <w:sz w:val="18"/>
          <w:szCs w:val="18"/>
        </w:rPr>
        <w:t xml:space="preserve">om de kloof tussen ondersteuningssystemen voor kinderen en jongeren te overbruggen. </w:t>
      </w:r>
      <w:r w:rsidR="00B9012E">
        <w:rPr>
          <w:rFonts w:ascii="Verdana" w:hAnsi="Verdana" w:eastAsia="Verdana" w:cs="Verdana"/>
          <w:sz w:val="18"/>
          <w:szCs w:val="18"/>
        </w:rPr>
        <w:t xml:space="preserve">In dit kader </w:t>
      </w:r>
      <w:r w:rsidRPr="00C07179" w:rsidR="761536DE">
        <w:rPr>
          <w:rFonts w:ascii="Verdana" w:hAnsi="Verdana" w:eastAsia="Verdana" w:cs="Verdana"/>
          <w:sz w:val="18"/>
          <w:szCs w:val="18"/>
        </w:rPr>
        <w:t xml:space="preserve">wordt een </w:t>
      </w:r>
      <w:proofErr w:type="spellStart"/>
      <w:r w:rsidRPr="00623A1E" w:rsidR="761536DE">
        <w:rPr>
          <w:rFonts w:ascii="Verdana" w:hAnsi="Verdana" w:eastAsia="Verdana" w:cs="Verdana"/>
          <w:i/>
          <w:sz w:val="18"/>
          <w:szCs w:val="18"/>
        </w:rPr>
        <w:t>toolkit</w:t>
      </w:r>
      <w:proofErr w:type="spellEnd"/>
      <w:r w:rsidRPr="00C07179" w:rsidR="761536DE">
        <w:rPr>
          <w:rFonts w:ascii="Verdana" w:hAnsi="Verdana" w:eastAsia="Verdana" w:cs="Verdana"/>
          <w:sz w:val="18"/>
          <w:szCs w:val="18"/>
        </w:rPr>
        <w:t xml:space="preserve"> ontwikkeld voor een sterkere synergie tussen de Kindergarantie en de Jeugdgarantie</w:t>
      </w:r>
      <w:r w:rsidR="006D07A6">
        <w:rPr>
          <w:rFonts w:ascii="Verdana" w:hAnsi="Verdana" w:eastAsia="Verdana" w:cs="Verdana"/>
          <w:sz w:val="18"/>
          <w:szCs w:val="18"/>
        </w:rPr>
        <w:t xml:space="preserve">. </w:t>
      </w:r>
    </w:p>
    <w:p w:rsidRPr="00C07179" w:rsidR="192E757F" w:rsidP="0091433B" w:rsidRDefault="00E52069" w14:paraId="3594A9F7" w14:textId="749E9C89">
      <w:pPr>
        <w:spacing w:line="360" w:lineRule="auto"/>
        <w:rPr>
          <w:rFonts w:ascii="Verdana" w:hAnsi="Verdana" w:eastAsia="Verdana" w:cs="Verdana"/>
          <w:sz w:val="18"/>
          <w:szCs w:val="18"/>
        </w:rPr>
      </w:pPr>
      <w:r w:rsidRPr="00E52069">
        <w:rPr>
          <w:rFonts w:ascii="Verdana" w:hAnsi="Verdana" w:eastAsia="Verdana" w:cs="Verdana"/>
          <w:sz w:val="18"/>
          <w:szCs w:val="18"/>
        </w:rPr>
        <w:t xml:space="preserve">De derde pijler van de mededeling </w:t>
      </w:r>
      <w:r>
        <w:rPr>
          <w:rFonts w:ascii="Verdana" w:hAnsi="Verdana" w:eastAsia="Verdana" w:cs="Verdana"/>
          <w:sz w:val="18"/>
          <w:szCs w:val="18"/>
        </w:rPr>
        <w:t xml:space="preserve">heeft betrekking op de </w:t>
      </w:r>
      <w:r w:rsidRPr="00DF0321">
        <w:rPr>
          <w:rFonts w:ascii="Verdana" w:hAnsi="Verdana" w:eastAsia="Verdana" w:cs="Verdana"/>
          <w:i/>
          <w:iCs/>
          <w:sz w:val="18"/>
          <w:szCs w:val="18"/>
        </w:rPr>
        <w:t>governance</w:t>
      </w:r>
      <w:r w:rsidRPr="00E52069">
        <w:rPr>
          <w:rFonts w:ascii="Verdana" w:hAnsi="Verdana" w:eastAsia="Verdana" w:cs="Verdana"/>
          <w:sz w:val="18"/>
          <w:szCs w:val="18"/>
        </w:rPr>
        <w:t>, monitorin</w:t>
      </w:r>
      <w:r>
        <w:rPr>
          <w:rFonts w:ascii="Verdana" w:hAnsi="Verdana" w:eastAsia="Verdana" w:cs="Verdana"/>
          <w:sz w:val="18"/>
          <w:szCs w:val="18"/>
        </w:rPr>
        <w:t xml:space="preserve">g </w:t>
      </w:r>
      <w:r w:rsidRPr="00E52069">
        <w:rPr>
          <w:rFonts w:ascii="Verdana" w:hAnsi="Verdana" w:eastAsia="Verdana" w:cs="Verdana"/>
          <w:sz w:val="18"/>
          <w:szCs w:val="18"/>
        </w:rPr>
        <w:t xml:space="preserve">en financiering, die </w:t>
      </w:r>
      <w:r>
        <w:rPr>
          <w:rFonts w:ascii="Verdana" w:hAnsi="Verdana" w:eastAsia="Verdana" w:cs="Verdana"/>
          <w:sz w:val="18"/>
          <w:szCs w:val="18"/>
        </w:rPr>
        <w:t>nodig</w:t>
      </w:r>
      <w:r w:rsidRPr="00E52069">
        <w:rPr>
          <w:rFonts w:ascii="Verdana" w:hAnsi="Verdana" w:eastAsia="Verdana" w:cs="Verdana"/>
          <w:sz w:val="18"/>
          <w:szCs w:val="18"/>
        </w:rPr>
        <w:t xml:space="preserve"> zijn om de impact van acties </w:t>
      </w:r>
      <w:r>
        <w:rPr>
          <w:rFonts w:ascii="Verdana" w:hAnsi="Verdana" w:eastAsia="Verdana" w:cs="Verdana"/>
          <w:sz w:val="18"/>
          <w:szCs w:val="18"/>
        </w:rPr>
        <w:t>om</w:t>
      </w:r>
      <w:r w:rsidRPr="00E52069">
        <w:rPr>
          <w:rFonts w:ascii="Verdana" w:hAnsi="Verdana" w:eastAsia="Verdana" w:cs="Verdana"/>
          <w:sz w:val="18"/>
          <w:szCs w:val="18"/>
        </w:rPr>
        <w:t xml:space="preserve"> kinderarmoede</w:t>
      </w:r>
      <w:r>
        <w:rPr>
          <w:rFonts w:ascii="Verdana" w:hAnsi="Verdana" w:eastAsia="Verdana" w:cs="Verdana"/>
          <w:sz w:val="18"/>
          <w:szCs w:val="18"/>
        </w:rPr>
        <w:t xml:space="preserve"> te bestrijden </w:t>
      </w:r>
      <w:r w:rsidRPr="00E52069">
        <w:rPr>
          <w:rFonts w:ascii="Verdana" w:hAnsi="Verdana" w:eastAsia="Verdana" w:cs="Verdana"/>
          <w:sz w:val="18"/>
          <w:szCs w:val="18"/>
        </w:rPr>
        <w:t>in de hele EU te vergroten.</w:t>
      </w:r>
      <w:r>
        <w:rPr>
          <w:rFonts w:ascii="Verdana" w:hAnsi="Verdana" w:eastAsia="Verdana" w:cs="Verdana"/>
          <w:sz w:val="18"/>
          <w:szCs w:val="18"/>
        </w:rPr>
        <w:t xml:space="preserve"> </w:t>
      </w:r>
      <w:r w:rsidR="00B94189">
        <w:rPr>
          <w:rFonts w:ascii="Verdana" w:hAnsi="Verdana" w:eastAsia="Verdana" w:cs="Verdana"/>
          <w:sz w:val="18"/>
          <w:szCs w:val="18"/>
        </w:rPr>
        <w:t>De</w:t>
      </w:r>
      <w:r w:rsidRPr="00C07179" w:rsidR="761536DE">
        <w:rPr>
          <w:rFonts w:ascii="Verdana" w:hAnsi="Verdana" w:eastAsia="Verdana" w:cs="Verdana"/>
          <w:sz w:val="18"/>
          <w:szCs w:val="18"/>
        </w:rPr>
        <w:t xml:space="preserve"> Commissie</w:t>
      </w:r>
      <w:r w:rsidR="00B94189">
        <w:rPr>
          <w:rFonts w:ascii="Verdana" w:hAnsi="Verdana" w:eastAsia="Verdana" w:cs="Verdana"/>
          <w:sz w:val="18"/>
          <w:szCs w:val="18"/>
        </w:rPr>
        <w:t xml:space="preserve"> zal</w:t>
      </w:r>
      <w:r w:rsidRPr="00C07179" w:rsidR="761536DE">
        <w:rPr>
          <w:rFonts w:ascii="Verdana" w:hAnsi="Verdana" w:eastAsia="Verdana" w:cs="Verdana"/>
          <w:sz w:val="18"/>
          <w:szCs w:val="18"/>
        </w:rPr>
        <w:t xml:space="preserve"> een overzicht met </w:t>
      </w:r>
      <w:r w:rsidRPr="00B850C5" w:rsidR="00C512E2">
        <w:rPr>
          <w:rFonts w:ascii="Verdana" w:hAnsi="Verdana" w:eastAsia="Verdana" w:cs="Verdana"/>
          <w:i/>
          <w:sz w:val="18"/>
          <w:szCs w:val="18"/>
        </w:rPr>
        <w:t xml:space="preserve">best </w:t>
      </w:r>
      <w:proofErr w:type="spellStart"/>
      <w:r w:rsidRPr="00B850C5" w:rsidR="00C512E2">
        <w:rPr>
          <w:rFonts w:ascii="Verdana" w:hAnsi="Verdana" w:eastAsia="Verdana" w:cs="Verdana"/>
          <w:i/>
          <w:sz w:val="18"/>
          <w:szCs w:val="18"/>
        </w:rPr>
        <w:t>practices</w:t>
      </w:r>
      <w:proofErr w:type="spellEnd"/>
      <w:r w:rsidRPr="00C07179" w:rsidR="761536DE">
        <w:rPr>
          <w:rFonts w:ascii="Verdana" w:hAnsi="Verdana" w:eastAsia="Verdana" w:cs="Verdana"/>
          <w:sz w:val="18"/>
          <w:szCs w:val="18"/>
        </w:rPr>
        <w:t xml:space="preserve"> presenteren om nationale, regionale en lokale overheden te ondersteunen bij het opschalen van hervormingen en investeringen. Voor extra financiële ondersteuning, naast de beschikbare Europese fondsen en de samenwerking met investeringsbanken, zal de Commissie samenwerken </w:t>
      </w:r>
      <w:r w:rsidRPr="00C07179" w:rsidR="00A57FFD">
        <w:rPr>
          <w:rFonts w:ascii="Verdana" w:hAnsi="Verdana" w:eastAsia="Verdana" w:cs="Verdana"/>
          <w:sz w:val="18"/>
          <w:szCs w:val="18"/>
        </w:rPr>
        <w:t>met en ondersteuning bieden aan</w:t>
      </w:r>
      <w:r w:rsidRPr="00C07179" w:rsidR="761536DE">
        <w:rPr>
          <w:rFonts w:ascii="Verdana" w:hAnsi="Verdana" w:eastAsia="Verdana" w:cs="Verdana"/>
          <w:sz w:val="18"/>
          <w:szCs w:val="18"/>
        </w:rPr>
        <w:t xml:space="preserve"> filantropische organisaties en maatschappelijk verantwoordelijke ondernemers in de </w:t>
      </w:r>
      <w:r w:rsidR="00E33BB0">
        <w:rPr>
          <w:rFonts w:ascii="Verdana" w:hAnsi="Verdana" w:eastAsia="Verdana" w:cs="Verdana"/>
          <w:sz w:val="18"/>
          <w:szCs w:val="18"/>
        </w:rPr>
        <w:t>C</w:t>
      </w:r>
      <w:r w:rsidRPr="00C07179" w:rsidR="761536DE">
        <w:rPr>
          <w:rFonts w:ascii="Verdana" w:hAnsi="Verdana" w:eastAsia="Verdana" w:cs="Verdana"/>
          <w:sz w:val="18"/>
          <w:szCs w:val="18"/>
        </w:rPr>
        <w:t xml:space="preserve">oalitie </w:t>
      </w:r>
      <w:r w:rsidR="00E33BB0">
        <w:rPr>
          <w:rFonts w:ascii="Verdana" w:hAnsi="Verdana" w:eastAsia="Verdana" w:cs="Verdana"/>
          <w:sz w:val="18"/>
          <w:szCs w:val="18"/>
        </w:rPr>
        <w:t>T</w:t>
      </w:r>
      <w:r w:rsidRPr="00C07179" w:rsidR="761536DE">
        <w:rPr>
          <w:rFonts w:ascii="Verdana" w:hAnsi="Verdana" w:eastAsia="Verdana" w:cs="Verdana"/>
          <w:sz w:val="18"/>
          <w:szCs w:val="18"/>
        </w:rPr>
        <w:t xml:space="preserve">egen </w:t>
      </w:r>
      <w:r w:rsidR="00E33BB0">
        <w:rPr>
          <w:rFonts w:ascii="Verdana" w:hAnsi="Verdana" w:eastAsia="Verdana" w:cs="Verdana"/>
          <w:sz w:val="18"/>
          <w:szCs w:val="18"/>
        </w:rPr>
        <w:t>A</w:t>
      </w:r>
      <w:r w:rsidRPr="00C07179" w:rsidR="761536DE">
        <w:rPr>
          <w:rFonts w:ascii="Verdana" w:hAnsi="Verdana" w:eastAsia="Verdana" w:cs="Verdana"/>
          <w:sz w:val="18"/>
          <w:szCs w:val="18"/>
        </w:rPr>
        <w:t xml:space="preserve">rmoede. </w:t>
      </w:r>
      <w:r>
        <w:rPr>
          <w:rFonts w:ascii="Verdana" w:hAnsi="Verdana" w:eastAsia="Verdana" w:cs="Verdana"/>
          <w:sz w:val="18"/>
          <w:szCs w:val="18"/>
        </w:rPr>
        <w:t>Ook</w:t>
      </w:r>
      <w:r w:rsidRPr="00E52069">
        <w:rPr>
          <w:rFonts w:ascii="Verdana" w:hAnsi="Verdana" w:eastAsia="Verdana" w:cs="Verdana"/>
          <w:sz w:val="18"/>
          <w:szCs w:val="18"/>
        </w:rPr>
        <w:t xml:space="preserve"> zal de Commissie een ESF+-oproep </w:t>
      </w:r>
      <w:r>
        <w:rPr>
          <w:rFonts w:ascii="Verdana" w:hAnsi="Verdana" w:eastAsia="Verdana" w:cs="Verdana"/>
          <w:sz w:val="18"/>
          <w:szCs w:val="18"/>
        </w:rPr>
        <w:t xml:space="preserve">lanceren </w:t>
      </w:r>
      <w:r w:rsidRPr="00E52069">
        <w:rPr>
          <w:rFonts w:ascii="Verdana" w:hAnsi="Verdana" w:eastAsia="Verdana" w:cs="Verdana"/>
          <w:sz w:val="18"/>
          <w:szCs w:val="18"/>
        </w:rPr>
        <w:t xml:space="preserve">voor projecten die </w:t>
      </w:r>
      <w:r>
        <w:rPr>
          <w:rFonts w:ascii="Verdana" w:hAnsi="Verdana" w:eastAsia="Verdana" w:cs="Verdana"/>
          <w:sz w:val="18"/>
          <w:szCs w:val="18"/>
        </w:rPr>
        <w:t xml:space="preserve">de nationale </w:t>
      </w:r>
      <w:r w:rsidRPr="00DF0321">
        <w:rPr>
          <w:rFonts w:ascii="Verdana" w:hAnsi="Verdana" w:eastAsia="Verdana" w:cs="Verdana"/>
          <w:i/>
          <w:iCs/>
          <w:sz w:val="18"/>
          <w:szCs w:val="18"/>
        </w:rPr>
        <w:t>governance</w:t>
      </w:r>
      <w:r>
        <w:rPr>
          <w:rFonts w:ascii="Verdana" w:hAnsi="Verdana" w:eastAsia="Verdana" w:cs="Verdana"/>
          <w:sz w:val="18"/>
          <w:szCs w:val="18"/>
        </w:rPr>
        <w:t xml:space="preserve"> en beleid</w:t>
      </w:r>
      <w:r w:rsidRPr="00E52069">
        <w:rPr>
          <w:rFonts w:ascii="Verdana" w:hAnsi="Verdana" w:eastAsia="Verdana" w:cs="Verdana"/>
          <w:sz w:val="18"/>
          <w:szCs w:val="18"/>
        </w:rPr>
        <w:t xml:space="preserve"> versterken.</w:t>
      </w:r>
    </w:p>
    <w:p w:rsidRPr="00C07179" w:rsidR="192E757F" w:rsidP="0091433B" w:rsidRDefault="00A11D32" w14:paraId="0D7DCDB7" w14:textId="03E83194">
      <w:pPr>
        <w:spacing w:line="360" w:lineRule="auto"/>
        <w:rPr>
          <w:rFonts w:ascii="Verdana" w:hAnsi="Verdana" w:eastAsia="Verdana" w:cs="Verdana"/>
          <w:sz w:val="18"/>
          <w:szCs w:val="18"/>
        </w:rPr>
      </w:pPr>
      <w:r>
        <w:rPr>
          <w:rFonts w:ascii="Verdana" w:hAnsi="Verdana" w:eastAsia="Verdana" w:cs="Verdana"/>
          <w:sz w:val="18"/>
          <w:szCs w:val="18"/>
        </w:rPr>
        <w:t xml:space="preserve">De Commissie benadrukt dat </w:t>
      </w:r>
      <w:r w:rsidR="00294C95">
        <w:rPr>
          <w:rFonts w:ascii="Verdana" w:hAnsi="Verdana" w:eastAsia="Verdana" w:cs="Verdana"/>
          <w:sz w:val="18"/>
          <w:szCs w:val="18"/>
        </w:rPr>
        <w:t xml:space="preserve">regio’s en </w:t>
      </w:r>
      <w:r>
        <w:rPr>
          <w:rFonts w:ascii="Verdana" w:hAnsi="Verdana" w:eastAsia="Verdana" w:cs="Verdana"/>
          <w:sz w:val="18"/>
          <w:szCs w:val="18"/>
        </w:rPr>
        <w:t>g</w:t>
      </w:r>
      <w:r w:rsidRPr="00C07179" w:rsidR="761536DE">
        <w:rPr>
          <w:rFonts w:ascii="Verdana" w:hAnsi="Verdana" w:eastAsia="Verdana" w:cs="Verdana"/>
          <w:sz w:val="18"/>
          <w:szCs w:val="18"/>
        </w:rPr>
        <w:t>emeenten</w:t>
      </w:r>
      <w:r w:rsidR="003B2E5E">
        <w:rPr>
          <w:rFonts w:ascii="Verdana" w:hAnsi="Verdana" w:eastAsia="Verdana" w:cs="Verdana"/>
          <w:sz w:val="18"/>
          <w:szCs w:val="18"/>
        </w:rPr>
        <w:t xml:space="preserve"> veelal</w:t>
      </w:r>
      <w:r w:rsidRPr="00C07179" w:rsidR="761536DE">
        <w:rPr>
          <w:rFonts w:ascii="Verdana" w:hAnsi="Verdana" w:eastAsia="Verdana" w:cs="Verdana"/>
          <w:sz w:val="18"/>
          <w:szCs w:val="18"/>
        </w:rPr>
        <w:t xml:space="preserve"> verantwoordelijk </w:t>
      </w:r>
      <w:r w:rsidRPr="00C07179">
        <w:rPr>
          <w:rFonts w:ascii="Verdana" w:hAnsi="Verdana" w:eastAsia="Verdana" w:cs="Verdana"/>
          <w:sz w:val="18"/>
          <w:szCs w:val="18"/>
        </w:rPr>
        <w:t xml:space="preserve">zijn </w:t>
      </w:r>
      <w:r w:rsidRPr="00C07179" w:rsidR="761536DE">
        <w:rPr>
          <w:rFonts w:ascii="Verdana" w:hAnsi="Verdana" w:eastAsia="Verdana" w:cs="Verdana"/>
          <w:sz w:val="18"/>
          <w:szCs w:val="18"/>
        </w:rPr>
        <w:t>voor de uitvoering van (</w:t>
      </w:r>
      <w:proofErr w:type="spellStart"/>
      <w:r w:rsidRPr="00C07179" w:rsidR="761536DE">
        <w:rPr>
          <w:rFonts w:ascii="Verdana" w:hAnsi="Verdana" w:eastAsia="Verdana" w:cs="Verdana"/>
          <w:sz w:val="18"/>
          <w:szCs w:val="18"/>
        </w:rPr>
        <w:t>kinder</w:t>
      </w:r>
      <w:proofErr w:type="spellEnd"/>
      <w:r w:rsidRPr="00C07179" w:rsidR="761536DE">
        <w:rPr>
          <w:rFonts w:ascii="Verdana" w:hAnsi="Verdana" w:eastAsia="Verdana" w:cs="Verdana"/>
          <w:sz w:val="18"/>
          <w:szCs w:val="18"/>
        </w:rPr>
        <w:t xml:space="preserve">)armoede beleid. </w:t>
      </w:r>
      <w:r w:rsidR="00697C3A">
        <w:rPr>
          <w:rFonts w:ascii="Verdana" w:hAnsi="Verdana" w:eastAsia="Verdana" w:cs="Verdana"/>
          <w:sz w:val="18"/>
          <w:szCs w:val="18"/>
        </w:rPr>
        <w:t xml:space="preserve">Zoals ook aangekondigd in de Anti-Armoede Strategie, </w:t>
      </w:r>
      <w:r w:rsidRPr="00C07179" w:rsidR="761536DE">
        <w:rPr>
          <w:rFonts w:ascii="Verdana" w:hAnsi="Verdana" w:eastAsia="Verdana" w:cs="Verdana"/>
          <w:sz w:val="18"/>
          <w:szCs w:val="18"/>
        </w:rPr>
        <w:t xml:space="preserve">zal de Commissie </w:t>
      </w:r>
      <w:r w:rsidR="00697C3A">
        <w:rPr>
          <w:rFonts w:ascii="Verdana" w:hAnsi="Verdana" w:eastAsia="Verdana" w:cs="Verdana"/>
          <w:sz w:val="18"/>
          <w:szCs w:val="18"/>
        </w:rPr>
        <w:t xml:space="preserve">daarom </w:t>
      </w:r>
      <w:r w:rsidRPr="00C07179" w:rsidR="761536DE">
        <w:rPr>
          <w:rFonts w:ascii="Verdana" w:hAnsi="Verdana" w:eastAsia="Verdana" w:cs="Verdana"/>
          <w:sz w:val="18"/>
          <w:szCs w:val="18"/>
        </w:rPr>
        <w:t>samen met het Europees Comité van de Regio’s in 2026 een gezamenlijk actieplan opzetten</w:t>
      </w:r>
      <w:r w:rsidR="00C512E2">
        <w:rPr>
          <w:rFonts w:ascii="Verdana" w:hAnsi="Verdana" w:eastAsia="Verdana" w:cs="Verdana"/>
          <w:sz w:val="18"/>
          <w:szCs w:val="18"/>
        </w:rPr>
        <w:t xml:space="preserve"> </w:t>
      </w:r>
      <w:r w:rsidRPr="00C07179" w:rsidR="761536DE">
        <w:rPr>
          <w:rFonts w:ascii="Verdana" w:hAnsi="Verdana" w:eastAsia="Verdana" w:cs="Verdana"/>
          <w:sz w:val="18"/>
          <w:szCs w:val="18"/>
        </w:rPr>
        <w:t>en werken aan de lancering van een 'EU-</w:t>
      </w:r>
      <w:r w:rsidR="00C512E2">
        <w:rPr>
          <w:rFonts w:ascii="Verdana" w:hAnsi="Verdana" w:eastAsia="Verdana" w:cs="Verdana"/>
          <w:sz w:val="18"/>
          <w:szCs w:val="18"/>
        </w:rPr>
        <w:t>P</w:t>
      </w:r>
      <w:r w:rsidRPr="00C07179" w:rsidR="761536DE">
        <w:rPr>
          <w:rFonts w:ascii="Verdana" w:hAnsi="Verdana" w:eastAsia="Verdana" w:cs="Verdana"/>
          <w:sz w:val="18"/>
          <w:szCs w:val="18"/>
        </w:rPr>
        <w:t xml:space="preserve">rijs voor </w:t>
      </w:r>
      <w:r w:rsidR="00C512E2">
        <w:rPr>
          <w:rFonts w:ascii="Verdana" w:hAnsi="Verdana" w:eastAsia="Verdana" w:cs="Verdana"/>
          <w:sz w:val="18"/>
          <w:szCs w:val="18"/>
        </w:rPr>
        <w:t>S</w:t>
      </w:r>
      <w:r w:rsidRPr="00C07179" w:rsidR="761536DE">
        <w:rPr>
          <w:rFonts w:ascii="Verdana" w:hAnsi="Verdana" w:eastAsia="Verdana" w:cs="Verdana"/>
          <w:sz w:val="18"/>
          <w:szCs w:val="18"/>
        </w:rPr>
        <w:t xml:space="preserve">ociale </w:t>
      </w:r>
      <w:r w:rsidR="00C512E2">
        <w:rPr>
          <w:rFonts w:ascii="Verdana" w:hAnsi="Verdana" w:eastAsia="Verdana" w:cs="Verdana"/>
          <w:sz w:val="18"/>
          <w:szCs w:val="18"/>
        </w:rPr>
        <w:t>I</w:t>
      </w:r>
      <w:r w:rsidRPr="00C07179" w:rsidR="761536DE">
        <w:rPr>
          <w:rFonts w:ascii="Verdana" w:hAnsi="Verdana" w:eastAsia="Verdana" w:cs="Verdana"/>
          <w:sz w:val="18"/>
          <w:szCs w:val="18"/>
        </w:rPr>
        <w:t>nclusie</w:t>
      </w:r>
      <w:r w:rsidR="00954F25">
        <w:rPr>
          <w:rFonts w:ascii="Verdana" w:hAnsi="Verdana" w:eastAsia="Verdana" w:cs="Verdana"/>
          <w:sz w:val="18"/>
          <w:szCs w:val="18"/>
        </w:rPr>
        <w:t>’</w:t>
      </w:r>
      <w:r w:rsidRPr="00C07179" w:rsidR="761536DE">
        <w:rPr>
          <w:rFonts w:ascii="Verdana" w:hAnsi="Verdana" w:eastAsia="Verdana" w:cs="Verdana"/>
          <w:sz w:val="18"/>
          <w:szCs w:val="18"/>
        </w:rPr>
        <w:t xml:space="preserve">. Bovendien zullen de Commissie en het Europees Economisch en Sociaal Comité eind 2026 een samenwerkingsovereenkomst sluiten, voortbouwend op het bestaande kader voor deskundig advies, en </w:t>
      </w:r>
      <w:proofErr w:type="spellStart"/>
      <w:r w:rsidRPr="00B850C5" w:rsidR="00E33BB0">
        <w:rPr>
          <w:rFonts w:ascii="Verdana" w:hAnsi="Verdana" w:eastAsia="Verdana" w:cs="Verdana"/>
          <w:i/>
          <w:sz w:val="18"/>
          <w:szCs w:val="18"/>
        </w:rPr>
        <w:t>good</w:t>
      </w:r>
      <w:proofErr w:type="spellEnd"/>
      <w:r w:rsidRPr="00B850C5" w:rsidR="00E33BB0">
        <w:rPr>
          <w:rFonts w:ascii="Verdana" w:hAnsi="Verdana" w:eastAsia="Verdana" w:cs="Verdana"/>
          <w:i/>
          <w:sz w:val="18"/>
          <w:szCs w:val="18"/>
        </w:rPr>
        <w:t xml:space="preserve"> </w:t>
      </w:r>
      <w:proofErr w:type="spellStart"/>
      <w:r w:rsidRPr="00B850C5" w:rsidR="00E33BB0">
        <w:rPr>
          <w:rFonts w:ascii="Verdana" w:hAnsi="Verdana" w:eastAsia="Verdana" w:cs="Verdana"/>
          <w:i/>
          <w:sz w:val="18"/>
          <w:szCs w:val="18"/>
        </w:rPr>
        <w:t>practices</w:t>
      </w:r>
      <w:proofErr w:type="spellEnd"/>
      <w:r w:rsidR="00E33BB0">
        <w:rPr>
          <w:rFonts w:ascii="Verdana" w:hAnsi="Verdana" w:eastAsia="Verdana" w:cs="Verdana"/>
          <w:sz w:val="18"/>
          <w:szCs w:val="18"/>
        </w:rPr>
        <w:t xml:space="preserve"> </w:t>
      </w:r>
      <w:r w:rsidRPr="00C07179" w:rsidR="761536DE">
        <w:rPr>
          <w:rFonts w:ascii="Verdana" w:hAnsi="Verdana" w:eastAsia="Verdana" w:cs="Verdana"/>
          <w:sz w:val="18"/>
          <w:szCs w:val="18"/>
        </w:rPr>
        <w:t>uitwisselen om armoede, waaronder kinderarmoede, aan te pakken.</w:t>
      </w:r>
    </w:p>
    <w:p w:rsidRPr="00307D3B" w:rsidR="077C8CE7" w:rsidP="00307D3B" w:rsidRDefault="009F6B99" w14:paraId="0730D17F" w14:textId="6B2CBFF2">
      <w:pPr>
        <w:spacing w:line="360" w:lineRule="auto"/>
        <w:rPr>
          <w:rFonts w:ascii="Verdana" w:hAnsi="Verdana"/>
          <w:sz w:val="18"/>
          <w:szCs w:val="18"/>
        </w:rPr>
      </w:pPr>
      <w:r>
        <w:rPr>
          <w:rFonts w:ascii="Verdana" w:hAnsi="Verdana" w:eastAsia="Verdana" w:cs="Verdana"/>
          <w:b/>
          <w:bCs/>
          <w:sz w:val="18"/>
          <w:szCs w:val="18"/>
        </w:rPr>
        <w:t xml:space="preserve">3. </w:t>
      </w:r>
      <w:r w:rsidRPr="00307D3B" w:rsidR="5477E6C4">
        <w:rPr>
          <w:rFonts w:ascii="Verdana" w:hAnsi="Verdana" w:eastAsia="Verdana" w:cs="Verdana"/>
          <w:b/>
          <w:bCs/>
          <w:sz w:val="18"/>
          <w:szCs w:val="18"/>
        </w:rPr>
        <w:t>Nederlandse positie ten aanzien van het voorstel</w:t>
      </w:r>
    </w:p>
    <w:p w:rsidRPr="00A50C4F" w:rsidR="077C8CE7" w:rsidP="00A50C4F" w:rsidRDefault="00515096" w14:paraId="668DD684" w14:textId="00D60FA9">
      <w:pPr>
        <w:spacing w:line="360" w:lineRule="auto"/>
        <w:rPr>
          <w:rFonts w:ascii="Verdana" w:hAnsi="Verdana"/>
          <w:sz w:val="18"/>
          <w:szCs w:val="18"/>
        </w:rPr>
      </w:pPr>
      <w:r w:rsidRPr="00A50C4F">
        <w:rPr>
          <w:rFonts w:ascii="Verdana" w:hAnsi="Verdana" w:eastAsia="Verdana" w:cs="Verdana"/>
          <w:i/>
          <w:iCs/>
          <w:sz w:val="18"/>
          <w:szCs w:val="18"/>
        </w:rPr>
        <w:t xml:space="preserve">a) </w:t>
      </w:r>
      <w:r w:rsidRPr="00A50C4F" w:rsidR="5477E6C4">
        <w:rPr>
          <w:rFonts w:ascii="Verdana" w:hAnsi="Verdana" w:eastAsia="Verdana" w:cs="Verdana"/>
          <w:i/>
          <w:iCs/>
          <w:sz w:val="18"/>
          <w:szCs w:val="18"/>
        </w:rPr>
        <w:t>Essentie Nederlands beleid op dit terrein</w:t>
      </w:r>
    </w:p>
    <w:p w:rsidRPr="00711EC8" w:rsidR="2F161E45" w:rsidP="0091433B" w:rsidRDefault="761536DE" w14:paraId="10EE7947" w14:textId="08FF6977">
      <w:pPr>
        <w:spacing w:line="360" w:lineRule="auto"/>
        <w:rPr>
          <w:rFonts w:ascii="Verdana" w:hAnsi="Verdana" w:eastAsia="Calibri" w:cs="Calibri"/>
          <w:sz w:val="18"/>
          <w:szCs w:val="18"/>
        </w:rPr>
      </w:pPr>
      <w:r w:rsidRPr="007D5930">
        <w:rPr>
          <w:rFonts w:ascii="Verdana" w:hAnsi="Verdana" w:eastAsia="Calibri" w:cs="Calibri"/>
          <w:sz w:val="18"/>
          <w:szCs w:val="18"/>
        </w:rPr>
        <w:t>Op 31 maart 2022 is de Tweede Kamer geïnformeerd over het Nationale plan Kindergarantie, waarmee het kabinet invulling geeft aan de Raadsaanbeveling over de Europese kindergarantie.</w:t>
      </w:r>
      <w:r w:rsidR="00576035">
        <w:rPr>
          <w:rStyle w:val="FootnoteReference"/>
          <w:rFonts w:ascii="Verdana" w:hAnsi="Verdana" w:eastAsia="Calibri" w:cs="Calibri"/>
          <w:sz w:val="18"/>
          <w:szCs w:val="18"/>
        </w:rPr>
        <w:footnoteReference w:id="6"/>
      </w:r>
      <w:r w:rsidRPr="007D5930">
        <w:rPr>
          <w:rFonts w:ascii="Verdana" w:hAnsi="Verdana" w:eastAsia="Calibri" w:cs="Calibri"/>
          <w:sz w:val="18"/>
          <w:szCs w:val="18"/>
        </w:rPr>
        <w:t xml:space="preserve"> Het hoofddoel van de Kindergarantie is het doorbreken van de intergenerationele cycli van armoede en achterstand, zodat alle kinderen een goed leven kunnen leiden. Hiervoor is </w:t>
      </w:r>
      <w:proofErr w:type="spellStart"/>
      <w:r w:rsidRPr="007D5930">
        <w:rPr>
          <w:rFonts w:ascii="Verdana" w:hAnsi="Verdana" w:eastAsia="Calibri" w:cs="Calibri"/>
          <w:sz w:val="18"/>
          <w:szCs w:val="18"/>
        </w:rPr>
        <w:t>domeinoverstijgende</w:t>
      </w:r>
      <w:proofErr w:type="spellEnd"/>
      <w:r w:rsidRPr="007D5930">
        <w:rPr>
          <w:rFonts w:ascii="Verdana" w:hAnsi="Verdana" w:eastAsia="Calibri" w:cs="Calibri"/>
          <w:sz w:val="18"/>
          <w:szCs w:val="18"/>
        </w:rPr>
        <w:t xml:space="preserve"> samenwerking essentieel. Het Nationale plan Kindergarantie biedt inzicht in bestaand en nieuw beleid op specifieke terreinen, gericht op het tegengaan van kinderarmoede en het bevorderen van het welzijn van kinderen. Via de voortgangsrapportage, die op 10 maart 2026</w:t>
      </w:r>
      <w:r w:rsidRPr="00711EC8" w:rsidR="00A57FFD">
        <w:rPr>
          <w:rStyle w:val="FootnoteReference"/>
          <w:rFonts w:ascii="Verdana" w:hAnsi="Verdana" w:eastAsia="Calibri" w:cs="Calibri"/>
          <w:sz w:val="18"/>
          <w:szCs w:val="18"/>
        </w:rPr>
        <w:footnoteReference w:id="7"/>
      </w:r>
      <w:r w:rsidRPr="00711EC8">
        <w:rPr>
          <w:rFonts w:ascii="Verdana" w:hAnsi="Verdana" w:eastAsia="Calibri" w:cs="Calibri"/>
          <w:sz w:val="18"/>
          <w:szCs w:val="18"/>
        </w:rPr>
        <w:t xml:space="preserve"> naar de </w:t>
      </w:r>
      <w:r w:rsidRPr="00711EC8" w:rsidR="0DFBD4A0">
        <w:rPr>
          <w:rFonts w:ascii="Verdana" w:hAnsi="Verdana" w:eastAsia="Calibri" w:cs="Calibri"/>
          <w:sz w:val="18"/>
          <w:szCs w:val="18"/>
        </w:rPr>
        <w:t>K</w:t>
      </w:r>
      <w:r w:rsidRPr="00711EC8">
        <w:rPr>
          <w:rFonts w:ascii="Verdana" w:hAnsi="Verdana" w:eastAsia="Calibri" w:cs="Calibri"/>
          <w:sz w:val="18"/>
          <w:szCs w:val="18"/>
        </w:rPr>
        <w:t xml:space="preserve">amer is gestuurd, wordt de voortgang die is geboekt op de vijf verschillende domeinen van de kindergarantie belicht: kinderopvang en voorschoolse educatie, onderwijs, zorg, voeding en huisvesting. </w:t>
      </w:r>
    </w:p>
    <w:p w:rsidRPr="00711EC8" w:rsidR="00F80A2C" w:rsidP="0091433B" w:rsidRDefault="00F80A2C" w14:paraId="13113FD3" w14:textId="06412FA1">
      <w:pPr>
        <w:spacing w:line="360" w:lineRule="auto"/>
        <w:rPr>
          <w:rFonts w:ascii="Verdana" w:hAnsi="Verdana" w:eastAsia="Calibri" w:cs="Calibri"/>
          <w:sz w:val="18"/>
          <w:szCs w:val="18"/>
        </w:rPr>
      </w:pPr>
      <w:r>
        <w:rPr>
          <w:rFonts w:ascii="Verdana" w:hAnsi="Verdana" w:eastAsia="Calibri" w:cs="Calibri"/>
          <w:sz w:val="18"/>
          <w:szCs w:val="18"/>
        </w:rPr>
        <w:lastRenderedPageBreak/>
        <w:t>Daarnaast is in het Nationaal Programma Armoede en Schulden (NPAS) expliciet aandacht voor kinderen en jongeren</w:t>
      </w:r>
      <w:r w:rsidR="00697C3A">
        <w:rPr>
          <w:rFonts w:ascii="Verdana" w:hAnsi="Verdana" w:eastAsia="Calibri" w:cs="Calibri"/>
          <w:sz w:val="18"/>
          <w:szCs w:val="18"/>
        </w:rPr>
        <w:t>.</w:t>
      </w:r>
      <w:r>
        <w:rPr>
          <w:rFonts w:ascii="Verdana" w:hAnsi="Verdana" w:eastAsia="Calibri" w:cs="Calibri"/>
          <w:sz w:val="18"/>
          <w:szCs w:val="18"/>
        </w:rPr>
        <w:t xml:space="preserve"> </w:t>
      </w:r>
      <w:r w:rsidR="00697C3A">
        <w:rPr>
          <w:rFonts w:ascii="Verdana" w:hAnsi="Verdana" w:eastAsia="Calibri" w:cs="Calibri"/>
          <w:sz w:val="18"/>
          <w:szCs w:val="18"/>
        </w:rPr>
        <w:t>Z</w:t>
      </w:r>
      <w:r w:rsidR="000D74D0">
        <w:rPr>
          <w:rFonts w:ascii="Verdana" w:hAnsi="Verdana" w:eastAsia="Calibri" w:cs="Calibri"/>
          <w:sz w:val="18"/>
          <w:szCs w:val="18"/>
        </w:rPr>
        <w:t>o</w:t>
      </w:r>
      <w:r>
        <w:rPr>
          <w:rFonts w:ascii="Verdana" w:hAnsi="Verdana" w:eastAsia="Calibri" w:cs="Calibri"/>
          <w:sz w:val="18"/>
          <w:szCs w:val="18"/>
        </w:rPr>
        <w:t xml:space="preserve"> is er een subsidieregeling voor financiële educatie, </w:t>
      </w:r>
      <w:r w:rsidR="000D74D0">
        <w:rPr>
          <w:rFonts w:ascii="Verdana" w:hAnsi="Verdana" w:eastAsia="Calibri" w:cs="Calibri"/>
          <w:sz w:val="18"/>
          <w:szCs w:val="18"/>
        </w:rPr>
        <w:t>schoolmaaltijden</w:t>
      </w:r>
      <w:r>
        <w:rPr>
          <w:rFonts w:ascii="Verdana" w:hAnsi="Verdana" w:eastAsia="Calibri" w:cs="Calibri"/>
          <w:sz w:val="18"/>
          <w:szCs w:val="18"/>
        </w:rPr>
        <w:t xml:space="preserve">, wordt gewerkt aan </w:t>
      </w:r>
      <w:r w:rsidR="008B3420">
        <w:rPr>
          <w:rFonts w:ascii="Verdana" w:hAnsi="Verdana" w:eastAsia="Calibri" w:cs="Calibri"/>
          <w:sz w:val="18"/>
          <w:szCs w:val="18"/>
        </w:rPr>
        <w:t>de ontwikkeling van</w:t>
      </w:r>
      <w:r>
        <w:rPr>
          <w:rFonts w:ascii="Verdana" w:hAnsi="Verdana" w:eastAsia="Calibri" w:cs="Calibri"/>
          <w:sz w:val="18"/>
          <w:szCs w:val="18"/>
        </w:rPr>
        <w:t xml:space="preserve"> een integrale aanpak voor gezinnen in een kwetsbare positie en </w:t>
      </w:r>
      <w:r w:rsidR="00CE27DC">
        <w:rPr>
          <w:rFonts w:ascii="Verdana" w:hAnsi="Verdana" w:eastAsia="Calibri" w:cs="Calibri"/>
          <w:sz w:val="18"/>
          <w:szCs w:val="18"/>
        </w:rPr>
        <w:t>krijgen</w:t>
      </w:r>
      <w:r>
        <w:rPr>
          <w:rFonts w:ascii="Verdana" w:hAnsi="Verdana" w:eastAsia="Calibri" w:cs="Calibri"/>
          <w:sz w:val="18"/>
          <w:szCs w:val="18"/>
        </w:rPr>
        <w:t xml:space="preserve"> gemeente</w:t>
      </w:r>
      <w:r w:rsidR="00CE27DC">
        <w:rPr>
          <w:rFonts w:ascii="Verdana" w:hAnsi="Verdana" w:eastAsia="Calibri" w:cs="Calibri"/>
          <w:sz w:val="18"/>
          <w:szCs w:val="18"/>
        </w:rPr>
        <w:t>n en maatschappelijke organisaties geld voor het ondersteunen van kinderen in een kwetsbare positie.</w:t>
      </w:r>
    </w:p>
    <w:p w:rsidRPr="00A50C4F" w:rsidR="077C8CE7" w:rsidP="00A50C4F" w:rsidRDefault="00515096" w14:paraId="0878242A" w14:textId="55539E11">
      <w:pPr>
        <w:spacing w:line="360" w:lineRule="auto"/>
        <w:rPr>
          <w:rFonts w:ascii="Verdana" w:hAnsi="Verdana"/>
          <w:sz w:val="18"/>
          <w:szCs w:val="18"/>
        </w:rPr>
      </w:pPr>
      <w:r w:rsidRPr="00A50C4F">
        <w:rPr>
          <w:rFonts w:ascii="Verdana" w:hAnsi="Verdana" w:eastAsia="Verdana" w:cs="Verdana"/>
          <w:i/>
          <w:iCs/>
          <w:sz w:val="18"/>
          <w:szCs w:val="18"/>
        </w:rPr>
        <w:t xml:space="preserve">b) </w:t>
      </w:r>
      <w:r w:rsidRPr="00A50C4F" w:rsidR="5477E6C4">
        <w:rPr>
          <w:rFonts w:ascii="Verdana" w:hAnsi="Verdana" w:eastAsia="Verdana" w:cs="Verdana"/>
          <w:i/>
          <w:iCs/>
          <w:sz w:val="18"/>
          <w:szCs w:val="18"/>
        </w:rPr>
        <w:t>Beoordeling + inzet ten aanzien van dit voorstel</w:t>
      </w:r>
    </w:p>
    <w:p w:rsidR="00AC3141" w:rsidP="0091433B" w:rsidRDefault="5477E6C4" w14:paraId="0854C5CF" w14:textId="23587391">
      <w:pPr>
        <w:spacing w:line="360" w:lineRule="auto"/>
        <w:rPr>
          <w:rFonts w:ascii="Verdana" w:hAnsi="Verdana" w:eastAsia="Calibri" w:cs="Calibri"/>
          <w:sz w:val="18"/>
          <w:szCs w:val="18"/>
        </w:rPr>
      </w:pPr>
      <w:r w:rsidRPr="00711EC8">
        <w:rPr>
          <w:rFonts w:ascii="Verdana" w:hAnsi="Verdana" w:eastAsia="Calibri" w:cs="Calibri"/>
          <w:sz w:val="18"/>
          <w:szCs w:val="18"/>
        </w:rPr>
        <w:t>Het kabinet verwelkomt de mededeling over de versterking van de Kindergarantie</w:t>
      </w:r>
      <w:r w:rsidRPr="00711EC8" w:rsidR="00BF69D2">
        <w:rPr>
          <w:rFonts w:ascii="Verdana" w:hAnsi="Verdana" w:eastAsia="Calibri" w:cs="Calibri"/>
          <w:sz w:val="18"/>
          <w:szCs w:val="18"/>
        </w:rPr>
        <w:t>.</w:t>
      </w:r>
      <w:r w:rsidRPr="00711EC8">
        <w:rPr>
          <w:rFonts w:ascii="Verdana" w:hAnsi="Verdana" w:eastAsia="Calibri" w:cs="Calibri"/>
          <w:sz w:val="18"/>
          <w:szCs w:val="18"/>
        </w:rPr>
        <w:t xml:space="preserve"> Het kabinet ziet de Kindergarantie als een waardevol instrument om samenhangend beleid te ontwikkelen, rekening houdend met het multidimensionale karakter van armoede. </w:t>
      </w:r>
      <w:r w:rsidR="00F661B6">
        <w:rPr>
          <w:rFonts w:ascii="Verdana" w:hAnsi="Verdana" w:eastAsia="Calibri" w:cs="Calibri"/>
          <w:sz w:val="18"/>
          <w:szCs w:val="18"/>
        </w:rPr>
        <w:t xml:space="preserve">Het kabinet kijkt uit naar de aangekondigde voorstellen </w:t>
      </w:r>
      <w:r w:rsidR="0081743C">
        <w:rPr>
          <w:rFonts w:ascii="Verdana" w:hAnsi="Verdana" w:eastAsia="Calibri" w:cs="Calibri"/>
          <w:sz w:val="18"/>
          <w:szCs w:val="18"/>
        </w:rPr>
        <w:t>die genoemd staan in de mededeling</w:t>
      </w:r>
      <w:r w:rsidR="00F661B6">
        <w:rPr>
          <w:rFonts w:ascii="Verdana" w:hAnsi="Verdana" w:eastAsia="Calibri" w:cs="Calibri"/>
          <w:sz w:val="18"/>
          <w:szCs w:val="18"/>
        </w:rPr>
        <w:t xml:space="preserve">. Deze voorstellen zal het kabinet na publicatie appreciëren waarna uw Kamer hierover zal worden geïnformeerd. Het kabinet </w:t>
      </w:r>
      <w:r w:rsidR="006748B5">
        <w:rPr>
          <w:rFonts w:ascii="Verdana" w:hAnsi="Verdana" w:eastAsia="Calibri" w:cs="Calibri"/>
          <w:sz w:val="18"/>
          <w:szCs w:val="18"/>
        </w:rPr>
        <w:t>mist in de mededeling nog</w:t>
      </w:r>
      <w:r w:rsidR="00F661B6">
        <w:rPr>
          <w:rFonts w:ascii="Verdana" w:hAnsi="Verdana" w:eastAsia="Calibri" w:cs="Calibri"/>
          <w:sz w:val="18"/>
          <w:szCs w:val="18"/>
        </w:rPr>
        <w:t xml:space="preserve"> aandacht </w:t>
      </w:r>
      <w:r w:rsidR="006748B5">
        <w:rPr>
          <w:rFonts w:ascii="Verdana" w:hAnsi="Verdana" w:eastAsia="Calibri" w:cs="Calibri"/>
          <w:sz w:val="18"/>
          <w:szCs w:val="18"/>
        </w:rPr>
        <w:t>voor</w:t>
      </w:r>
      <w:r w:rsidR="00F661B6">
        <w:rPr>
          <w:rFonts w:ascii="Verdana" w:hAnsi="Verdana" w:eastAsia="Calibri" w:cs="Calibri"/>
          <w:sz w:val="18"/>
          <w:szCs w:val="18"/>
        </w:rPr>
        <w:t xml:space="preserve"> </w:t>
      </w:r>
      <w:r w:rsidRPr="00711EC8" w:rsidR="00096070">
        <w:rPr>
          <w:rFonts w:ascii="Verdana" w:hAnsi="Verdana" w:eastAsia="Calibri"/>
          <w:sz w:val="18"/>
          <w:szCs w:val="18"/>
        </w:rPr>
        <w:t>het b</w:t>
      </w:r>
      <w:r w:rsidRPr="00711EC8" w:rsidR="00096070">
        <w:rPr>
          <w:rFonts w:ascii="Verdana" w:hAnsi="Verdana"/>
          <w:sz w:val="18"/>
          <w:szCs w:val="18"/>
        </w:rPr>
        <w:t>elang van financiële educatie door de gehele levenscyclus</w:t>
      </w:r>
      <w:r w:rsidR="006748B5">
        <w:rPr>
          <w:rFonts w:ascii="Verdana" w:hAnsi="Verdana"/>
          <w:sz w:val="18"/>
          <w:szCs w:val="18"/>
        </w:rPr>
        <w:t xml:space="preserve"> en zal hier in aanloop naar de publicatie van de aangekondigde voorstellen aandacht voor vragen</w:t>
      </w:r>
      <w:r w:rsidRPr="00711EC8" w:rsidR="00096070">
        <w:rPr>
          <w:rFonts w:ascii="Verdana" w:hAnsi="Verdana" w:eastAsia="Calibri"/>
          <w:sz w:val="18"/>
          <w:szCs w:val="18"/>
        </w:rPr>
        <w:t>.</w:t>
      </w:r>
      <w:r w:rsidRPr="00711EC8" w:rsidR="00096070">
        <w:rPr>
          <w:rFonts w:ascii="Verdana" w:hAnsi="Verdana" w:eastAsia="Calibri" w:cs="Calibri"/>
          <w:sz w:val="18"/>
          <w:szCs w:val="18"/>
        </w:rPr>
        <w:t xml:space="preserve">   </w:t>
      </w:r>
    </w:p>
    <w:p w:rsidRPr="00C07179" w:rsidR="009A6B13" w:rsidP="009A6B13" w:rsidRDefault="009A6B13" w14:paraId="505517DF" w14:textId="31F4BCA5">
      <w:pPr>
        <w:spacing w:line="360" w:lineRule="auto"/>
        <w:rPr>
          <w:rFonts w:ascii="Verdana" w:hAnsi="Verdana"/>
          <w:sz w:val="18"/>
          <w:szCs w:val="18"/>
        </w:rPr>
      </w:pPr>
      <w:r w:rsidRPr="00AC3141">
        <w:rPr>
          <w:rFonts w:ascii="Verdana" w:hAnsi="Verdana"/>
          <w:sz w:val="18"/>
          <w:szCs w:val="18"/>
        </w:rPr>
        <w:t xml:space="preserve">Het kabinet kijkt uit naar de aanbeveling van de Commissie om de efficiëntie van </w:t>
      </w:r>
      <w:proofErr w:type="spellStart"/>
      <w:r w:rsidRPr="00AC3141">
        <w:rPr>
          <w:rFonts w:ascii="Verdana" w:hAnsi="Verdana"/>
          <w:sz w:val="18"/>
          <w:szCs w:val="18"/>
        </w:rPr>
        <w:t>kindgerelateerde</w:t>
      </w:r>
      <w:proofErr w:type="spellEnd"/>
      <w:r w:rsidRPr="00AC3141">
        <w:rPr>
          <w:rFonts w:ascii="Verdana" w:hAnsi="Verdana"/>
          <w:sz w:val="18"/>
          <w:szCs w:val="18"/>
        </w:rPr>
        <w:t xml:space="preserve"> regelingen te verbeteren</w:t>
      </w:r>
      <w:r w:rsidRPr="00AC3141">
        <w:rPr>
          <w:rFonts w:ascii="Verdana" w:hAnsi="Verdana" w:eastAsia="Aptos"/>
          <w:sz w:val="18"/>
          <w:szCs w:val="18"/>
          <w:lang w:eastAsia="en-IE"/>
        </w:rPr>
        <w:t xml:space="preserve">. </w:t>
      </w:r>
      <w:r>
        <w:rPr>
          <w:rFonts w:ascii="Verdana" w:hAnsi="Verdana" w:eastAsia="Calibri" w:cs="Calibri"/>
          <w:sz w:val="18"/>
          <w:szCs w:val="18"/>
        </w:rPr>
        <w:t>Het kabinet werkt</w:t>
      </w:r>
      <w:r w:rsidRPr="00C07179">
        <w:rPr>
          <w:rFonts w:ascii="Verdana" w:hAnsi="Verdana" w:eastAsia="Calibri" w:cs="Calibri"/>
          <w:sz w:val="18"/>
          <w:szCs w:val="18"/>
        </w:rPr>
        <w:t xml:space="preserve"> aan een </w:t>
      </w:r>
      <w:proofErr w:type="spellStart"/>
      <w:r w:rsidRPr="00C07179">
        <w:rPr>
          <w:rFonts w:ascii="Verdana" w:hAnsi="Verdana" w:eastAsia="Calibri" w:cs="Calibri"/>
          <w:sz w:val="18"/>
          <w:szCs w:val="18"/>
        </w:rPr>
        <w:t>kindregeling</w:t>
      </w:r>
      <w:proofErr w:type="spellEnd"/>
      <w:r w:rsidRPr="00C07179">
        <w:rPr>
          <w:rFonts w:ascii="Verdana" w:hAnsi="Verdana" w:eastAsia="Calibri" w:cs="Calibri"/>
          <w:sz w:val="18"/>
          <w:szCs w:val="18"/>
        </w:rPr>
        <w:t xml:space="preserve"> die meer eenvoud en zekerheid moet bieden aan gezinnen. De kinderbijslag en het </w:t>
      </w:r>
      <w:proofErr w:type="spellStart"/>
      <w:r w:rsidRPr="00C07179">
        <w:rPr>
          <w:rFonts w:ascii="Verdana" w:hAnsi="Verdana" w:eastAsia="Calibri" w:cs="Calibri"/>
          <w:sz w:val="18"/>
          <w:szCs w:val="18"/>
        </w:rPr>
        <w:t>kindgebonden</w:t>
      </w:r>
      <w:proofErr w:type="spellEnd"/>
      <w:r w:rsidRPr="00C07179">
        <w:rPr>
          <w:rFonts w:ascii="Verdana" w:hAnsi="Verdana" w:eastAsia="Calibri" w:cs="Calibri"/>
          <w:sz w:val="18"/>
          <w:szCs w:val="18"/>
        </w:rPr>
        <w:t xml:space="preserve"> budget worden samengevoegd tot</w:t>
      </w:r>
      <w:r w:rsidRPr="00C07179">
        <w:rPr>
          <w:rFonts w:ascii="Verdana" w:hAnsi="Verdana"/>
          <w:sz w:val="18"/>
          <w:szCs w:val="18"/>
        </w:rPr>
        <w:t xml:space="preserve"> één nieuwe regeling met één wettelijk kader binnen het sociale zekerheidsstelsel. De komende jaren werkt het kabinet deze nieuwe regeling verder uit</w:t>
      </w:r>
      <w:r w:rsidR="00B56B81">
        <w:rPr>
          <w:rFonts w:ascii="Verdana" w:hAnsi="Verdana"/>
          <w:sz w:val="18"/>
          <w:szCs w:val="18"/>
        </w:rPr>
        <w:t xml:space="preserve">. </w:t>
      </w:r>
    </w:p>
    <w:p w:rsidR="009A6B13" w:rsidP="009A6B13" w:rsidRDefault="00FD306D" w14:paraId="02D3EE28" w14:textId="3101EC65">
      <w:pPr>
        <w:spacing w:line="360" w:lineRule="auto"/>
        <w:rPr>
          <w:rFonts w:ascii="Verdana" w:hAnsi="Verdana" w:eastAsia="Verdana" w:cs="Verdana"/>
          <w:sz w:val="18"/>
          <w:szCs w:val="18"/>
        </w:rPr>
      </w:pPr>
      <w:r w:rsidRPr="00711EC8">
        <w:rPr>
          <w:rFonts w:ascii="Verdana" w:hAnsi="Verdana" w:eastAsia="Calibri" w:cs="Calibri"/>
          <w:sz w:val="18"/>
          <w:szCs w:val="18"/>
        </w:rPr>
        <w:t xml:space="preserve">Het kabinet onderschrijft dat </w:t>
      </w:r>
      <w:r w:rsidR="000D74D0">
        <w:rPr>
          <w:rFonts w:ascii="Verdana" w:hAnsi="Verdana" w:eastAsia="Calibri" w:cs="Calibri"/>
          <w:sz w:val="18"/>
          <w:szCs w:val="18"/>
        </w:rPr>
        <w:t>werk de beste manier uit armoede is en</w:t>
      </w:r>
      <w:r w:rsidRPr="00711EC8">
        <w:rPr>
          <w:rFonts w:ascii="Verdana" w:hAnsi="Verdana" w:eastAsia="Calibri" w:cs="Calibri"/>
          <w:sz w:val="18"/>
          <w:szCs w:val="18"/>
        </w:rPr>
        <w:t xml:space="preserve"> het </w:t>
      </w:r>
      <w:r w:rsidR="000D74D0">
        <w:rPr>
          <w:rFonts w:ascii="Verdana" w:hAnsi="Verdana" w:eastAsia="Calibri" w:cs="Calibri"/>
          <w:sz w:val="18"/>
          <w:szCs w:val="18"/>
        </w:rPr>
        <w:t xml:space="preserve">dus </w:t>
      </w:r>
      <w:r w:rsidRPr="00711EC8">
        <w:rPr>
          <w:rFonts w:ascii="Verdana" w:hAnsi="Verdana" w:eastAsia="Calibri" w:cs="Calibri"/>
          <w:sz w:val="18"/>
          <w:szCs w:val="18"/>
        </w:rPr>
        <w:t xml:space="preserve">essentieel is om ouders </w:t>
      </w:r>
      <w:r w:rsidR="000D74D0">
        <w:rPr>
          <w:rFonts w:ascii="Verdana" w:hAnsi="Verdana" w:eastAsia="Calibri" w:cs="Calibri"/>
          <w:sz w:val="18"/>
          <w:szCs w:val="18"/>
        </w:rPr>
        <w:t xml:space="preserve">te ondersteunen bij het zetten van stappen naar (meer of beter) betaald werk. Dit gebeurt o.a. door </w:t>
      </w:r>
      <w:r w:rsidRPr="00711EC8">
        <w:rPr>
          <w:rFonts w:ascii="Verdana" w:hAnsi="Verdana" w:eastAsia="Calibri" w:cs="Calibri"/>
          <w:sz w:val="18"/>
          <w:szCs w:val="18"/>
        </w:rPr>
        <w:t xml:space="preserve">ouders </w:t>
      </w:r>
      <w:r w:rsidR="001F6547">
        <w:rPr>
          <w:rFonts w:ascii="Verdana" w:hAnsi="Verdana" w:eastAsia="Calibri" w:cs="Calibri"/>
          <w:sz w:val="18"/>
          <w:szCs w:val="18"/>
        </w:rPr>
        <w:t>in staat te stellen werk te combineren met de zorg voor hun kinderen</w:t>
      </w:r>
      <w:r w:rsidR="000D74D0">
        <w:rPr>
          <w:rFonts w:ascii="Verdana" w:hAnsi="Verdana" w:eastAsia="Calibri" w:cs="Calibri"/>
          <w:sz w:val="18"/>
          <w:szCs w:val="18"/>
        </w:rPr>
        <w:t>. Voor de ontwikkeling van kinderen is deelname aan voorschoolse educatie en kinderopvang eveneens essentieel</w:t>
      </w:r>
      <w:r w:rsidR="00697C3A">
        <w:rPr>
          <w:rFonts w:ascii="Verdana" w:hAnsi="Verdana" w:eastAsia="Calibri" w:cs="Calibri"/>
          <w:sz w:val="18"/>
          <w:szCs w:val="18"/>
        </w:rPr>
        <w:t>.</w:t>
      </w:r>
      <w:r w:rsidR="000D74D0">
        <w:rPr>
          <w:rFonts w:ascii="Verdana" w:hAnsi="Verdana" w:eastAsia="Calibri" w:cs="Calibri"/>
          <w:sz w:val="18"/>
          <w:szCs w:val="18"/>
        </w:rPr>
        <w:t xml:space="preserve"> </w:t>
      </w:r>
      <w:r w:rsidRPr="00AC3141" w:rsidR="00E33BB0">
        <w:rPr>
          <w:rFonts w:ascii="Verdana" w:hAnsi="Verdana" w:eastAsia="Verdana" w:cs="Verdana"/>
          <w:sz w:val="18"/>
          <w:szCs w:val="18"/>
        </w:rPr>
        <w:t xml:space="preserve">Het kabinet ziet gelijke kansen op de arbeidsmarkt en het leiden van mensen naar werk als een belangrijk aandachtspunt, en </w:t>
      </w:r>
      <w:r w:rsidRPr="00AC3141" w:rsidR="00E33BB0">
        <w:rPr>
          <w:rFonts w:ascii="Verdana" w:hAnsi="Verdana"/>
          <w:sz w:val="18"/>
          <w:szCs w:val="18"/>
        </w:rPr>
        <w:t xml:space="preserve">kijkt uit naar de consultatie die de Commissie hierover zal starten met sociale partners. </w:t>
      </w:r>
      <w:r w:rsidR="00697C3A">
        <w:rPr>
          <w:rFonts w:ascii="Verdana" w:hAnsi="Verdana"/>
          <w:sz w:val="18"/>
          <w:szCs w:val="18"/>
        </w:rPr>
        <w:t>Ook</w:t>
      </w:r>
      <w:r w:rsidR="009A6B13">
        <w:rPr>
          <w:rFonts w:ascii="Verdana" w:hAnsi="Verdana" w:eastAsia="Calibri" w:cs="Calibri"/>
          <w:sz w:val="18"/>
          <w:szCs w:val="18"/>
        </w:rPr>
        <w:t xml:space="preserve"> onderschrijft het kabinet</w:t>
      </w:r>
      <w:r w:rsidRPr="007D5930" w:rsidR="009A6B13">
        <w:rPr>
          <w:rFonts w:ascii="Verdana" w:hAnsi="Verdana" w:eastAsia="Calibri" w:cs="Calibri"/>
          <w:sz w:val="18"/>
          <w:szCs w:val="18"/>
        </w:rPr>
        <w:t xml:space="preserve"> het belang van kinderopvang voor gezinnen waarin de ouders niet werken, maar door sociaal medische problematiek niet in staat zijn de zorg voor hun kinderen (volledig) te dragen. </w:t>
      </w:r>
    </w:p>
    <w:p w:rsidR="009A6B13" w:rsidP="009A6B13" w:rsidRDefault="00B55530" w14:paraId="0D7E2B34" w14:textId="65803571">
      <w:pPr>
        <w:spacing w:line="360" w:lineRule="auto"/>
        <w:rPr>
          <w:rFonts w:ascii="Verdana" w:hAnsi="Verdana" w:eastAsia="Calibri" w:cs="Calibri"/>
          <w:sz w:val="18"/>
          <w:szCs w:val="18"/>
        </w:rPr>
      </w:pPr>
      <w:r w:rsidRPr="00B55530">
        <w:rPr>
          <w:rFonts w:ascii="Verdana" w:hAnsi="Verdana" w:eastAsia="Calibri" w:cs="Calibri"/>
          <w:sz w:val="18"/>
          <w:szCs w:val="18"/>
        </w:rPr>
        <w:t xml:space="preserve">Het kabinet steunt de oproep van de Commissie om via Horizon innovatieve oplossingen te ontwikkelen voor verbetering van vroegschoolse educatie en kinderopvang, en ziet de curriculum- en pedagogische </w:t>
      </w:r>
      <w:r w:rsidR="00796861">
        <w:rPr>
          <w:rFonts w:ascii="Verdana" w:hAnsi="Verdana" w:eastAsia="Calibri" w:cs="Calibri"/>
          <w:sz w:val="18"/>
          <w:szCs w:val="18"/>
        </w:rPr>
        <w:t xml:space="preserve">richtsnoeren </w:t>
      </w:r>
      <w:r w:rsidR="00753210">
        <w:rPr>
          <w:rFonts w:ascii="Verdana" w:hAnsi="Verdana" w:eastAsia="Calibri" w:cs="Calibri"/>
          <w:sz w:val="18"/>
          <w:szCs w:val="18"/>
        </w:rPr>
        <w:t>met belangstelling</w:t>
      </w:r>
      <w:r w:rsidRPr="00B55530">
        <w:rPr>
          <w:rFonts w:ascii="Verdana" w:hAnsi="Verdana" w:eastAsia="Calibri" w:cs="Calibri"/>
          <w:sz w:val="18"/>
          <w:szCs w:val="18"/>
        </w:rPr>
        <w:t xml:space="preserve"> tegemoet.  </w:t>
      </w:r>
      <w:r w:rsidRPr="00A73757" w:rsidR="009A6B13">
        <w:rPr>
          <w:rFonts w:ascii="Verdana" w:hAnsi="Verdana" w:eastAsia="Calibri" w:cs="Calibri"/>
          <w:sz w:val="18"/>
          <w:szCs w:val="18"/>
        </w:rPr>
        <w:t>Het is belangrijk dat kinderen al vanaf de geboorte voldoende en kwalitatief gestimuleerd worden in hun ontwikkeling</w:t>
      </w:r>
      <w:r w:rsidR="00753210">
        <w:rPr>
          <w:rFonts w:ascii="Verdana" w:hAnsi="Verdana" w:eastAsia="Calibri" w:cs="Calibri"/>
          <w:sz w:val="18"/>
          <w:szCs w:val="18"/>
        </w:rPr>
        <w:t>.</w:t>
      </w:r>
      <w:r w:rsidR="009073E5">
        <w:rPr>
          <w:rFonts w:ascii="Verdana" w:hAnsi="Verdana" w:eastAsia="Calibri" w:cs="Calibri"/>
          <w:sz w:val="18"/>
          <w:szCs w:val="18"/>
        </w:rPr>
        <w:t xml:space="preserve"> Kwalitatief goede kinderopvang en vroegschoolse educatie </w:t>
      </w:r>
      <w:r w:rsidR="00577B19">
        <w:rPr>
          <w:rFonts w:ascii="Verdana" w:hAnsi="Verdana" w:eastAsia="Calibri" w:cs="Calibri"/>
          <w:sz w:val="18"/>
          <w:szCs w:val="18"/>
        </w:rPr>
        <w:t>dra</w:t>
      </w:r>
      <w:r>
        <w:rPr>
          <w:rFonts w:ascii="Verdana" w:hAnsi="Verdana" w:eastAsia="Calibri" w:cs="Calibri"/>
          <w:sz w:val="18"/>
          <w:szCs w:val="18"/>
        </w:rPr>
        <w:t>gen</w:t>
      </w:r>
      <w:r w:rsidR="00577B19">
        <w:rPr>
          <w:rFonts w:ascii="Verdana" w:hAnsi="Verdana" w:eastAsia="Calibri" w:cs="Calibri"/>
          <w:sz w:val="18"/>
          <w:szCs w:val="18"/>
        </w:rPr>
        <w:t xml:space="preserve"> bij aan de</w:t>
      </w:r>
      <w:r w:rsidR="009073E5">
        <w:rPr>
          <w:rFonts w:ascii="Verdana" w:hAnsi="Verdana" w:eastAsia="Calibri" w:cs="Calibri"/>
          <w:sz w:val="18"/>
          <w:szCs w:val="18"/>
        </w:rPr>
        <w:t xml:space="preserve"> ontwikkeling van kinderen</w:t>
      </w:r>
      <w:r w:rsidR="00577B19">
        <w:rPr>
          <w:rFonts w:ascii="Verdana" w:hAnsi="Verdana" w:eastAsia="Calibri" w:cs="Calibri"/>
          <w:sz w:val="18"/>
          <w:szCs w:val="18"/>
        </w:rPr>
        <w:t xml:space="preserve"> en</w:t>
      </w:r>
      <w:r w:rsidR="009073E5">
        <w:rPr>
          <w:rFonts w:ascii="Verdana" w:hAnsi="Verdana" w:eastAsia="Calibri" w:cs="Calibri"/>
          <w:sz w:val="18"/>
          <w:szCs w:val="18"/>
        </w:rPr>
        <w:t xml:space="preserve"> </w:t>
      </w:r>
      <w:r w:rsidR="00577B19">
        <w:rPr>
          <w:rFonts w:ascii="Verdana" w:hAnsi="Verdana" w:eastAsia="Calibri" w:cs="Calibri"/>
          <w:sz w:val="18"/>
          <w:szCs w:val="18"/>
        </w:rPr>
        <w:t xml:space="preserve">het terugdringen van </w:t>
      </w:r>
      <w:r w:rsidR="009073E5">
        <w:rPr>
          <w:rFonts w:ascii="Verdana" w:hAnsi="Verdana" w:eastAsia="Calibri" w:cs="Calibri"/>
          <w:sz w:val="18"/>
          <w:szCs w:val="18"/>
        </w:rPr>
        <w:t>onderwijsachterstanden</w:t>
      </w:r>
      <w:r w:rsidR="00577B19">
        <w:rPr>
          <w:rFonts w:ascii="Verdana" w:hAnsi="Verdana" w:eastAsia="Calibri" w:cs="Calibri"/>
          <w:sz w:val="18"/>
          <w:szCs w:val="18"/>
        </w:rPr>
        <w:t xml:space="preserve">. </w:t>
      </w:r>
      <w:r w:rsidR="009073E5">
        <w:rPr>
          <w:rFonts w:ascii="Verdana" w:hAnsi="Verdana" w:eastAsia="Calibri" w:cs="Calibri"/>
          <w:sz w:val="18"/>
          <w:szCs w:val="18"/>
        </w:rPr>
        <w:t xml:space="preserve">Daarom </w:t>
      </w:r>
      <w:r w:rsidR="00577B19">
        <w:rPr>
          <w:rFonts w:ascii="Verdana" w:hAnsi="Verdana" w:eastAsia="Calibri" w:cs="Calibri"/>
          <w:sz w:val="18"/>
          <w:szCs w:val="18"/>
        </w:rPr>
        <w:t>onderschrijft</w:t>
      </w:r>
      <w:r w:rsidR="009073E5">
        <w:rPr>
          <w:rFonts w:ascii="Verdana" w:hAnsi="Verdana" w:eastAsia="Calibri" w:cs="Calibri"/>
          <w:sz w:val="18"/>
          <w:szCs w:val="18"/>
        </w:rPr>
        <w:t xml:space="preserve"> h</w:t>
      </w:r>
      <w:r w:rsidRPr="00A73757" w:rsidR="009A6B13">
        <w:rPr>
          <w:rFonts w:ascii="Verdana" w:hAnsi="Verdana" w:eastAsia="Calibri" w:cs="Calibri"/>
          <w:sz w:val="18"/>
          <w:szCs w:val="18"/>
        </w:rPr>
        <w:t xml:space="preserve">et kabinet het belang van investeren in </w:t>
      </w:r>
      <w:r w:rsidR="00577B19">
        <w:rPr>
          <w:rFonts w:ascii="Verdana" w:hAnsi="Verdana" w:eastAsia="Calibri" w:cs="Calibri"/>
          <w:sz w:val="18"/>
          <w:szCs w:val="18"/>
        </w:rPr>
        <w:t>het jonge kind</w:t>
      </w:r>
      <w:r w:rsidRPr="00A73757" w:rsidR="009A6B13">
        <w:rPr>
          <w:rFonts w:ascii="Verdana" w:hAnsi="Verdana" w:eastAsia="Calibri" w:cs="Calibri"/>
          <w:sz w:val="18"/>
          <w:szCs w:val="18"/>
        </w:rPr>
        <w:t xml:space="preserve">. Naast de bovengenoemde aandacht voor en investeringen in kinderopvang, stelt het kabinet ook jaarlijks zo’n 600 miljoen euro beschikbaar aan gemeenten voor het aanbieden van voorschoolse educatie. </w:t>
      </w:r>
      <w:r w:rsidRPr="00C07179" w:rsidR="00AC3141">
        <w:rPr>
          <w:rFonts w:ascii="Verdana" w:hAnsi="Verdana" w:eastAsia="Verdana" w:cs="Verdana"/>
          <w:sz w:val="18"/>
          <w:szCs w:val="18"/>
        </w:rPr>
        <w:t xml:space="preserve"> </w:t>
      </w:r>
    </w:p>
    <w:p w:rsidR="009336EB" w:rsidP="0091433B" w:rsidRDefault="009A6B13" w14:paraId="784A6379" w14:textId="15DAAE24">
      <w:pPr>
        <w:spacing w:line="360" w:lineRule="auto"/>
        <w:rPr>
          <w:rFonts w:ascii="Verdana" w:hAnsi="Verdana" w:eastAsia="Calibri" w:cs="Calibri"/>
          <w:sz w:val="18"/>
          <w:szCs w:val="18"/>
        </w:rPr>
      </w:pPr>
      <w:r w:rsidRPr="00C07179">
        <w:rPr>
          <w:rFonts w:ascii="Verdana" w:hAnsi="Verdana" w:eastAsia="Verdana" w:cs="Verdana"/>
          <w:sz w:val="18"/>
          <w:szCs w:val="18"/>
        </w:rPr>
        <w:t xml:space="preserve">Het kabinet volgt </w:t>
      </w:r>
      <w:r w:rsidR="00F0250A">
        <w:rPr>
          <w:rFonts w:ascii="Verdana" w:hAnsi="Verdana" w:eastAsia="Verdana" w:cs="Verdana"/>
          <w:sz w:val="18"/>
          <w:szCs w:val="18"/>
        </w:rPr>
        <w:t xml:space="preserve">met interesse </w:t>
      </w:r>
      <w:r w:rsidRPr="00C07179">
        <w:rPr>
          <w:rFonts w:ascii="Verdana" w:hAnsi="Verdana" w:eastAsia="Verdana" w:cs="Verdana"/>
          <w:sz w:val="18"/>
          <w:szCs w:val="18"/>
        </w:rPr>
        <w:t>de ontwikkelingen rond mentorprogramma’s en counselinginterventies</w:t>
      </w:r>
      <w:r w:rsidR="008B3420">
        <w:rPr>
          <w:rFonts w:ascii="Verdana" w:hAnsi="Verdana" w:eastAsia="Verdana" w:cs="Verdana"/>
          <w:sz w:val="18"/>
          <w:szCs w:val="18"/>
        </w:rPr>
        <w:t xml:space="preserve">. </w:t>
      </w:r>
      <w:r>
        <w:rPr>
          <w:rFonts w:ascii="Verdana" w:hAnsi="Verdana" w:eastAsia="Calibri" w:cs="Calibri"/>
          <w:sz w:val="18"/>
          <w:szCs w:val="18"/>
        </w:rPr>
        <w:t>G</w:t>
      </w:r>
      <w:r w:rsidRPr="00A73757" w:rsidR="5477E6C4">
        <w:rPr>
          <w:rFonts w:ascii="Verdana" w:hAnsi="Verdana" w:eastAsia="Calibri" w:cs="Calibri"/>
          <w:sz w:val="18"/>
          <w:szCs w:val="18"/>
        </w:rPr>
        <w:t xml:space="preserve">emeenten </w:t>
      </w:r>
      <w:r w:rsidR="009469D3">
        <w:rPr>
          <w:rFonts w:ascii="Verdana" w:hAnsi="Verdana" w:eastAsia="Calibri" w:cs="Calibri"/>
          <w:sz w:val="18"/>
          <w:szCs w:val="18"/>
        </w:rPr>
        <w:t xml:space="preserve">zijn ervoor verantwoordelijk te bepalen welke kinderen baat </w:t>
      </w:r>
      <w:r w:rsidR="009469D3">
        <w:rPr>
          <w:rFonts w:ascii="Verdana" w:hAnsi="Verdana" w:eastAsia="Calibri" w:cs="Calibri"/>
          <w:sz w:val="18"/>
          <w:szCs w:val="18"/>
        </w:rPr>
        <w:lastRenderedPageBreak/>
        <w:t>hebben bij voorschoolse educatie en ervoor te zorgen dat deze kinderen ook daadwerkelijk gaan deelnemen aan voorschoolse educatie.</w:t>
      </w:r>
      <w:r w:rsidR="00F0250A">
        <w:rPr>
          <w:rFonts w:ascii="Verdana" w:hAnsi="Verdana" w:eastAsia="Calibri" w:cs="Calibri"/>
          <w:sz w:val="18"/>
          <w:szCs w:val="18"/>
        </w:rPr>
        <w:t xml:space="preserve"> </w:t>
      </w:r>
      <w:r w:rsidRPr="00A73757" w:rsidR="5477E6C4">
        <w:rPr>
          <w:rFonts w:ascii="Verdana" w:hAnsi="Verdana" w:eastAsia="Calibri" w:cs="Calibri"/>
          <w:sz w:val="18"/>
          <w:szCs w:val="18"/>
        </w:rPr>
        <w:t xml:space="preserve">Daarnaast kunnen scholen de komende jaren subsidie aanvragen voor een zogenoemde ‘brugfunctionaris’. Dat is iemand die op school laagdrempelig bereikbaar is voor het gezin, om vroegtijdig hulp bij vragen en zorgen te krijgen, ook als die niet direct met onderwijs te maken hebben. </w:t>
      </w:r>
    </w:p>
    <w:p w:rsidRPr="00C07179" w:rsidR="5477E6C4" w:rsidP="0091433B" w:rsidRDefault="009A6B13" w14:paraId="2E10DCEF" w14:textId="2AF39E4C">
      <w:pPr>
        <w:spacing w:line="360" w:lineRule="auto"/>
        <w:rPr>
          <w:rFonts w:ascii="Verdana" w:hAnsi="Verdana" w:eastAsia="Verdana" w:cs="Verdana"/>
          <w:sz w:val="18"/>
          <w:szCs w:val="18"/>
        </w:rPr>
      </w:pPr>
      <w:r>
        <w:rPr>
          <w:rFonts w:ascii="Verdana" w:hAnsi="Verdana" w:eastAsia="Verdana" w:cs="Verdana"/>
          <w:sz w:val="18"/>
          <w:szCs w:val="18"/>
        </w:rPr>
        <w:t xml:space="preserve">Het </w:t>
      </w:r>
      <w:r w:rsidRPr="00C07179" w:rsidR="761536DE">
        <w:rPr>
          <w:rFonts w:ascii="Verdana" w:hAnsi="Verdana" w:eastAsia="Verdana" w:cs="Verdana"/>
          <w:sz w:val="18"/>
          <w:szCs w:val="18"/>
        </w:rPr>
        <w:t xml:space="preserve">kabinet </w:t>
      </w:r>
      <w:r>
        <w:rPr>
          <w:rFonts w:ascii="Verdana" w:hAnsi="Verdana" w:eastAsia="Verdana" w:cs="Verdana"/>
          <w:sz w:val="18"/>
          <w:szCs w:val="18"/>
        </w:rPr>
        <w:t xml:space="preserve">vindt </w:t>
      </w:r>
      <w:r w:rsidRPr="00C07179" w:rsidR="761536DE">
        <w:rPr>
          <w:rFonts w:ascii="Verdana" w:hAnsi="Verdana" w:eastAsia="Verdana" w:cs="Verdana"/>
          <w:sz w:val="18"/>
          <w:szCs w:val="18"/>
        </w:rPr>
        <w:t xml:space="preserve">het verstandig om de Kindergarantie en Jeugdgarantie nauwer met elkaar te verbinden, en verwelkomt dan ook de </w:t>
      </w:r>
      <w:r w:rsidRPr="00C07179" w:rsidR="004753D5">
        <w:rPr>
          <w:rFonts w:ascii="Verdana" w:hAnsi="Verdana" w:eastAsia="Verdana" w:cs="Verdana"/>
          <w:sz w:val="18"/>
          <w:szCs w:val="18"/>
        </w:rPr>
        <w:t xml:space="preserve">aankondiging voor een </w:t>
      </w:r>
      <w:proofErr w:type="spellStart"/>
      <w:r w:rsidRPr="005F7B91" w:rsidR="761536DE">
        <w:rPr>
          <w:rFonts w:ascii="Verdana" w:hAnsi="Verdana" w:eastAsia="Verdana" w:cs="Verdana"/>
          <w:i/>
          <w:sz w:val="18"/>
          <w:szCs w:val="18"/>
        </w:rPr>
        <w:t>toolkit</w:t>
      </w:r>
      <w:proofErr w:type="spellEnd"/>
      <w:r w:rsidRPr="00C07179" w:rsidR="761536DE">
        <w:rPr>
          <w:rFonts w:ascii="Verdana" w:hAnsi="Verdana" w:eastAsia="Verdana" w:cs="Verdana"/>
          <w:sz w:val="18"/>
          <w:szCs w:val="18"/>
        </w:rPr>
        <w:t xml:space="preserve"> als instrument hiervoor.</w:t>
      </w:r>
      <w:r w:rsidR="006C42D6">
        <w:rPr>
          <w:rFonts w:ascii="Verdana" w:hAnsi="Verdana" w:eastAsia="Verdana" w:cs="Verdana"/>
          <w:sz w:val="18"/>
          <w:szCs w:val="18"/>
        </w:rPr>
        <w:t xml:space="preserve"> </w:t>
      </w:r>
      <w:r w:rsidR="008B3420">
        <w:rPr>
          <w:rFonts w:ascii="Verdana" w:hAnsi="Verdana" w:eastAsia="Verdana" w:cs="Verdana"/>
          <w:sz w:val="18"/>
          <w:szCs w:val="18"/>
        </w:rPr>
        <w:t xml:space="preserve">Daarnaast is het kabinet benieuwd </w:t>
      </w:r>
      <w:r w:rsidRPr="00221B08" w:rsidR="008B3420">
        <w:rPr>
          <w:rFonts w:ascii="Verdana" w:hAnsi="Verdana" w:eastAsia="Verdana" w:cs="Verdana"/>
          <w:sz w:val="18"/>
          <w:szCs w:val="18"/>
        </w:rPr>
        <w:t xml:space="preserve">naar de </w:t>
      </w:r>
      <w:proofErr w:type="spellStart"/>
      <w:r w:rsidRPr="00221B08" w:rsidR="006C42D6">
        <w:rPr>
          <w:rFonts w:ascii="Verdana" w:hAnsi="Verdana" w:eastAsia="Verdana" w:cs="Verdana"/>
          <w:sz w:val="18"/>
          <w:szCs w:val="18"/>
        </w:rPr>
        <w:t>toolkit</w:t>
      </w:r>
      <w:proofErr w:type="spellEnd"/>
      <w:r w:rsidRPr="00221B08" w:rsidR="006C42D6">
        <w:rPr>
          <w:rFonts w:ascii="Verdana" w:hAnsi="Verdana" w:eastAsia="Verdana" w:cs="Verdana"/>
          <w:sz w:val="18"/>
          <w:szCs w:val="18"/>
        </w:rPr>
        <w:t xml:space="preserve"> </w:t>
      </w:r>
      <w:r w:rsidRPr="00221B08" w:rsidR="008B3420">
        <w:rPr>
          <w:rFonts w:ascii="Verdana" w:hAnsi="Verdana" w:eastAsia="Verdana" w:cs="Verdana"/>
          <w:sz w:val="18"/>
          <w:szCs w:val="18"/>
        </w:rPr>
        <w:t>die</w:t>
      </w:r>
      <w:r w:rsidR="008B3420">
        <w:rPr>
          <w:rFonts w:ascii="Verdana" w:hAnsi="Verdana" w:eastAsia="Verdana" w:cs="Verdana"/>
          <w:sz w:val="18"/>
          <w:szCs w:val="18"/>
        </w:rPr>
        <w:t xml:space="preserve"> Unicef gaat ontwikkelen.</w:t>
      </w:r>
    </w:p>
    <w:p w:rsidRPr="007C16E2" w:rsidR="002D50F6" w:rsidP="007C16E2" w:rsidRDefault="00622F8F" w14:paraId="19361B1C" w14:textId="1BE51F17">
      <w:pPr>
        <w:spacing w:line="360" w:lineRule="auto"/>
        <w:rPr>
          <w:rFonts w:ascii="Verdana" w:hAnsi="Verdana"/>
          <w:sz w:val="18"/>
          <w:szCs w:val="18"/>
        </w:rPr>
      </w:pPr>
      <w:r>
        <w:rPr>
          <w:rFonts w:ascii="Verdana" w:hAnsi="Verdana" w:eastAsia="Verdana" w:cs="Verdana"/>
          <w:sz w:val="18"/>
          <w:szCs w:val="18"/>
        </w:rPr>
        <w:t xml:space="preserve">Het kabinet kijkt uit naar de voorstellen van de Commissie die zien op de adequate financiering, zoals het ondersteunen van de Coalitie Tegen Armoede, alsmede de versterking van nationale </w:t>
      </w:r>
      <w:r w:rsidRPr="009A6B13">
        <w:rPr>
          <w:rFonts w:ascii="Verdana" w:hAnsi="Verdana" w:eastAsia="Verdana" w:cs="Verdana"/>
          <w:i/>
          <w:iCs/>
          <w:sz w:val="18"/>
          <w:szCs w:val="18"/>
        </w:rPr>
        <w:t xml:space="preserve">governance </w:t>
      </w:r>
      <w:r>
        <w:rPr>
          <w:rFonts w:ascii="Verdana" w:hAnsi="Verdana" w:eastAsia="Verdana" w:cs="Verdana"/>
          <w:sz w:val="18"/>
          <w:szCs w:val="18"/>
        </w:rPr>
        <w:t>raamwerken</w:t>
      </w:r>
      <w:r w:rsidR="00ED59DD">
        <w:rPr>
          <w:rFonts w:ascii="Verdana" w:hAnsi="Verdana" w:eastAsia="Verdana" w:cs="Verdana"/>
          <w:sz w:val="18"/>
          <w:szCs w:val="18"/>
        </w:rPr>
        <w:t>,</w:t>
      </w:r>
      <w:r>
        <w:rPr>
          <w:rFonts w:ascii="Verdana" w:hAnsi="Verdana" w:eastAsia="Verdana" w:cs="Verdana"/>
          <w:sz w:val="18"/>
          <w:szCs w:val="18"/>
        </w:rPr>
        <w:t xml:space="preserve"> waaronder het actieplan met het Europees Comité van de Regio’s, de </w:t>
      </w:r>
      <w:r w:rsidR="00ED59DD">
        <w:rPr>
          <w:rFonts w:ascii="Verdana" w:hAnsi="Verdana" w:eastAsia="Verdana" w:cs="Verdana"/>
          <w:sz w:val="18"/>
          <w:szCs w:val="18"/>
        </w:rPr>
        <w:t>samenwerkingsovereenkomst</w:t>
      </w:r>
      <w:r>
        <w:rPr>
          <w:rFonts w:ascii="Verdana" w:hAnsi="Verdana" w:eastAsia="Verdana" w:cs="Verdana"/>
          <w:sz w:val="18"/>
          <w:szCs w:val="18"/>
        </w:rPr>
        <w:t xml:space="preserve"> met het Europees Economisch en Sociaal Comité</w:t>
      </w:r>
      <w:r w:rsidR="00170A1C">
        <w:rPr>
          <w:rFonts w:ascii="Verdana" w:hAnsi="Verdana" w:eastAsia="Verdana" w:cs="Verdana"/>
          <w:sz w:val="18"/>
          <w:szCs w:val="18"/>
        </w:rPr>
        <w:t>, de EU-Prijs voor Sociale Inclusie en de pilot voor de Europese Kindergarantiekaart</w:t>
      </w:r>
      <w:r>
        <w:rPr>
          <w:rFonts w:ascii="Verdana" w:hAnsi="Verdana" w:eastAsia="Verdana" w:cs="Verdana"/>
          <w:sz w:val="18"/>
          <w:szCs w:val="18"/>
        </w:rPr>
        <w:t xml:space="preserve">. </w:t>
      </w:r>
      <w:r w:rsidRPr="00C07179" w:rsidR="00A57FFD">
        <w:rPr>
          <w:rFonts w:ascii="Verdana" w:hAnsi="Verdana" w:eastAsia="Verdana" w:cs="Verdana"/>
          <w:sz w:val="18"/>
          <w:szCs w:val="18"/>
        </w:rPr>
        <w:t>Ook erkent het kabinet het belang van sociale inclusie</w:t>
      </w:r>
      <w:r w:rsidR="00224B8F">
        <w:rPr>
          <w:rFonts w:ascii="Verdana" w:hAnsi="Verdana" w:eastAsia="Verdana" w:cs="Verdana"/>
          <w:sz w:val="18"/>
          <w:szCs w:val="18"/>
        </w:rPr>
        <w:t>, ook voor Roma kinderen</w:t>
      </w:r>
      <w:r w:rsidR="001E2293">
        <w:rPr>
          <w:rFonts w:ascii="Verdana" w:hAnsi="Verdana" w:eastAsia="Verdana" w:cs="Verdana"/>
          <w:sz w:val="18"/>
          <w:szCs w:val="18"/>
        </w:rPr>
        <w:t>,</w:t>
      </w:r>
      <w:r w:rsidRPr="00C07179" w:rsidR="6CE300F8">
        <w:rPr>
          <w:rFonts w:ascii="Verdana" w:hAnsi="Verdana" w:eastAsia="Verdana" w:cs="Verdana"/>
          <w:sz w:val="18"/>
          <w:szCs w:val="18"/>
        </w:rPr>
        <w:t xml:space="preserve"> en </w:t>
      </w:r>
      <w:r w:rsidR="00327BF0">
        <w:rPr>
          <w:rFonts w:ascii="Verdana" w:hAnsi="Verdana" w:eastAsia="Verdana" w:cs="Verdana"/>
          <w:sz w:val="18"/>
          <w:szCs w:val="18"/>
        </w:rPr>
        <w:t xml:space="preserve">de </w:t>
      </w:r>
      <w:r w:rsidRPr="00EF164F" w:rsidR="00A57FFD">
        <w:rPr>
          <w:rFonts w:ascii="Verdana" w:hAnsi="Verdana" w:eastAsia="Verdana" w:cs="Verdana"/>
          <w:sz w:val="18"/>
          <w:szCs w:val="18"/>
        </w:rPr>
        <w:t>E</w:t>
      </w:r>
      <w:r w:rsidR="00402DB2">
        <w:rPr>
          <w:rFonts w:ascii="Verdana" w:hAnsi="Verdana" w:eastAsia="Verdana" w:cs="Verdana"/>
          <w:sz w:val="18"/>
          <w:szCs w:val="18"/>
        </w:rPr>
        <w:t>SF</w:t>
      </w:r>
      <w:r w:rsidRPr="00C07179" w:rsidR="00A57FFD">
        <w:rPr>
          <w:rFonts w:ascii="Verdana" w:hAnsi="Verdana" w:eastAsia="Verdana" w:cs="Verdana"/>
          <w:sz w:val="18"/>
          <w:szCs w:val="18"/>
        </w:rPr>
        <w:t xml:space="preserve"> </w:t>
      </w:r>
      <w:r w:rsidR="00FA5D14">
        <w:rPr>
          <w:rFonts w:ascii="Verdana" w:hAnsi="Verdana" w:eastAsia="Verdana" w:cs="Verdana"/>
          <w:sz w:val="18"/>
          <w:szCs w:val="18"/>
        </w:rPr>
        <w:t>oproep</w:t>
      </w:r>
      <w:r w:rsidRPr="00C07179" w:rsidR="00A57FFD">
        <w:rPr>
          <w:rFonts w:ascii="Verdana" w:hAnsi="Verdana" w:eastAsia="Verdana" w:cs="Verdana"/>
          <w:sz w:val="18"/>
          <w:szCs w:val="18"/>
        </w:rPr>
        <w:t xml:space="preserve"> voor de versterking van de Kindergarantie en projecten die zich richten op cultuur en sport</w:t>
      </w:r>
      <w:r w:rsidRPr="00C07179" w:rsidR="3150C39C">
        <w:rPr>
          <w:rFonts w:ascii="Verdana" w:hAnsi="Verdana" w:eastAsia="Verdana" w:cs="Verdana"/>
          <w:sz w:val="18"/>
          <w:szCs w:val="18"/>
        </w:rPr>
        <w:t>.</w:t>
      </w:r>
      <w:r w:rsidR="00FA5D14">
        <w:rPr>
          <w:rFonts w:ascii="Verdana" w:hAnsi="Verdana" w:eastAsia="Verdana" w:cs="Verdana"/>
          <w:sz w:val="18"/>
          <w:szCs w:val="18"/>
        </w:rPr>
        <w:t xml:space="preserve"> </w:t>
      </w:r>
      <w:r w:rsidR="00ED59DD">
        <w:rPr>
          <w:rFonts w:ascii="Verdana" w:hAnsi="Verdana" w:eastAsia="Verdana" w:cs="Verdana"/>
          <w:sz w:val="18"/>
          <w:szCs w:val="18"/>
        </w:rPr>
        <w:t xml:space="preserve">Het kabinet ziet dan ook graag het overzicht met </w:t>
      </w:r>
      <w:proofErr w:type="spellStart"/>
      <w:r w:rsidRPr="009A6B13" w:rsidR="00ED59DD">
        <w:rPr>
          <w:rFonts w:ascii="Verdana" w:hAnsi="Verdana" w:eastAsia="Verdana" w:cs="Verdana"/>
          <w:i/>
          <w:iCs/>
          <w:sz w:val="18"/>
          <w:szCs w:val="18"/>
        </w:rPr>
        <w:t>good</w:t>
      </w:r>
      <w:proofErr w:type="spellEnd"/>
      <w:r w:rsidRPr="009A6B13" w:rsidR="00ED59DD">
        <w:rPr>
          <w:rFonts w:ascii="Verdana" w:hAnsi="Verdana" w:eastAsia="Verdana" w:cs="Verdana"/>
          <w:i/>
          <w:iCs/>
          <w:sz w:val="18"/>
          <w:szCs w:val="18"/>
        </w:rPr>
        <w:t xml:space="preserve"> </w:t>
      </w:r>
      <w:proofErr w:type="spellStart"/>
      <w:r w:rsidRPr="009A6B13" w:rsidR="00ED59DD">
        <w:rPr>
          <w:rFonts w:ascii="Verdana" w:hAnsi="Verdana" w:eastAsia="Verdana" w:cs="Verdana"/>
          <w:i/>
          <w:iCs/>
          <w:sz w:val="18"/>
          <w:szCs w:val="18"/>
        </w:rPr>
        <w:t>practices</w:t>
      </w:r>
      <w:proofErr w:type="spellEnd"/>
      <w:r w:rsidRPr="009A6B13" w:rsidR="00ED59DD">
        <w:rPr>
          <w:rFonts w:ascii="Verdana" w:hAnsi="Verdana" w:eastAsia="Verdana" w:cs="Verdana"/>
          <w:i/>
          <w:iCs/>
          <w:sz w:val="18"/>
          <w:szCs w:val="18"/>
        </w:rPr>
        <w:t xml:space="preserve"> </w:t>
      </w:r>
      <w:r w:rsidR="00ED59DD">
        <w:rPr>
          <w:rFonts w:ascii="Verdana" w:hAnsi="Verdana" w:eastAsia="Verdana" w:cs="Verdana"/>
          <w:sz w:val="18"/>
          <w:szCs w:val="18"/>
        </w:rPr>
        <w:t>vanuit de Commissie tegemoet</w:t>
      </w:r>
      <w:r w:rsidRPr="007C16E2" w:rsidR="00ED59DD">
        <w:rPr>
          <w:rFonts w:ascii="Verdana" w:hAnsi="Verdana" w:eastAsia="Verdana" w:cs="Verdana"/>
          <w:sz w:val="18"/>
          <w:szCs w:val="18"/>
        </w:rPr>
        <w:t>.</w:t>
      </w:r>
    </w:p>
    <w:p w:rsidRPr="00A50C4F" w:rsidR="077C8CE7" w:rsidP="00A50C4F" w:rsidRDefault="00515096" w14:paraId="40E35BB6" w14:textId="16A38ADF">
      <w:pPr>
        <w:spacing w:line="360" w:lineRule="auto"/>
        <w:rPr>
          <w:rFonts w:ascii="Verdana" w:hAnsi="Verdana"/>
          <w:sz w:val="18"/>
          <w:szCs w:val="18"/>
        </w:rPr>
      </w:pPr>
      <w:r w:rsidRPr="00A50C4F">
        <w:rPr>
          <w:rFonts w:ascii="Verdana" w:hAnsi="Verdana" w:eastAsia="Verdana" w:cs="Verdana"/>
          <w:i/>
          <w:iCs/>
          <w:sz w:val="18"/>
          <w:szCs w:val="18"/>
        </w:rPr>
        <w:t xml:space="preserve">c) </w:t>
      </w:r>
      <w:r w:rsidRPr="00A50C4F" w:rsidR="5477E6C4">
        <w:rPr>
          <w:rFonts w:ascii="Verdana" w:hAnsi="Verdana" w:eastAsia="Verdana" w:cs="Verdana"/>
          <w:i/>
          <w:iCs/>
          <w:sz w:val="18"/>
          <w:szCs w:val="18"/>
        </w:rPr>
        <w:t>Eerste inschatting van krachtenveld</w:t>
      </w:r>
    </w:p>
    <w:p w:rsidR="077C8CE7" w:rsidP="00E35A90" w:rsidRDefault="00094674" w14:paraId="207F7DFB" w14:textId="07E5A74F">
      <w:pPr>
        <w:tabs>
          <w:tab w:val="left" w:pos="360"/>
          <w:tab w:val="left" w:pos="4500"/>
          <w:tab w:val="left" w:pos="5580"/>
        </w:tabs>
        <w:spacing w:line="360" w:lineRule="auto"/>
        <w:rPr>
          <w:rFonts w:ascii="Verdana" w:hAnsi="Verdana"/>
          <w:sz w:val="18"/>
          <w:szCs w:val="18"/>
        </w:rPr>
      </w:pPr>
      <w:r w:rsidRPr="00C07179">
        <w:rPr>
          <w:rFonts w:ascii="Verdana" w:hAnsi="Verdana"/>
          <w:sz w:val="18"/>
          <w:szCs w:val="18"/>
        </w:rPr>
        <w:t>Naar verwachting zullen veel lidstaten de doelstellingen uit de mededeling onderschrijven.</w:t>
      </w:r>
      <w:r>
        <w:rPr>
          <w:rFonts w:ascii="Verdana" w:hAnsi="Verdana"/>
          <w:sz w:val="18"/>
          <w:szCs w:val="18"/>
        </w:rPr>
        <w:t xml:space="preserve"> Lidstaten hebben zich </w:t>
      </w:r>
      <w:r w:rsidR="00754168">
        <w:rPr>
          <w:rFonts w:ascii="Verdana" w:hAnsi="Verdana"/>
          <w:sz w:val="18"/>
          <w:szCs w:val="18"/>
        </w:rPr>
        <w:t xml:space="preserve">eerder </w:t>
      </w:r>
      <w:r w:rsidRPr="00C07179" w:rsidR="005A5212">
        <w:rPr>
          <w:rFonts w:ascii="Verdana" w:hAnsi="Verdana"/>
          <w:sz w:val="18"/>
          <w:szCs w:val="18"/>
        </w:rPr>
        <w:t xml:space="preserve">gecommitteerd aan de </w:t>
      </w:r>
      <w:r w:rsidR="00753210">
        <w:rPr>
          <w:rFonts w:ascii="Verdana" w:hAnsi="Verdana"/>
          <w:sz w:val="18"/>
          <w:szCs w:val="18"/>
        </w:rPr>
        <w:t>EU-</w:t>
      </w:r>
      <w:r w:rsidRPr="00C07179" w:rsidR="005A5212">
        <w:rPr>
          <w:rFonts w:ascii="Verdana" w:hAnsi="Verdana"/>
          <w:sz w:val="18"/>
          <w:szCs w:val="18"/>
        </w:rPr>
        <w:t>doelstelling om in 2030</w:t>
      </w:r>
      <w:r w:rsidRPr="009336EB" w:rsidR="005A5212">
        <w:rPr>
          <w:rFonts w:ascii="Verdana" w:hAnsi="Verdana"/>
          <w:sz w:val="18"/>
          <w:szCs w:val="18"/>
        </w:rPr>
        <w:t xml:space="preserve"> </w:t>
      </w:r>
      <w:r w:rsidRPr="00C07179" w:rsidR="005A5212">
        <w:rPr>
          <w:rFonts w:ascii="Verdana" w:hAnsi="Verdana"/>
          <w:sz w:val="18"/>
          <w:szCs w:val="18"/>
        </w:rPr>
        <w:t xml:space="preserve">het aantal mensen dat risico loopt op armoede of sociale uitsluiting met minstens 15 miljoen te verminderen, waaronder minstens 5 miljoen kinderen. </w:t>
      </w:r>
    </w:p>
    <w:p w:rsidRPr="009A6B13" w:rsidR="0099619B" w:rsidP="00E35A90" w:rsidRDefault="0042241F" w14:paraId="0BD099F5" w14:textId="70A974B5">
      <w:pPr>
        <w:tabs>
          <w:tab w:val="left" w:pos="360"/>
          <w:tab w:val="left" w:pos="4500"/>
          <w:tab w:val="left" w:pos="5580"/>
        </w:tabs>
        <w:spacing w:line="360" w:lineRule="auto"/>
        <w:rPr>
          <w:rFonts w:ascii="Verdana" w:hAnsi="Verdana"/>
          <w:sz w:val="18"/>
          <w:szCs w:val="18"/>
        </w:rPr>
      </w:pPr>
      <w:r>
        <w:rPr>
          <w:rFonts w:ascii="Verdana" w:hAnsi="Verdana"/>
          <w:sz w:val="18"/>
          <w:szCs w:val="18"/>
        </w:rPr>
        <w:t>Een deel van h</w:t>
      </w:r>
      <w:r w:rsidR="0099619B">
        <w:rPr>
          <w:rFonts w:ascii="Verdana" w:hAnsi="Verdana"/>
          <w:sz w:val="18"/>
          <w:szCs w:val="18"/>
        </w:rPr>
        <w:t xml:space="preserve">et Europees Parlement </w:t>
      </w:r>
      <w:r w:rsidR="00B115CC">
        <w:rPr>
          <w:rFonts w:ascii="Verdana" w:hAnsi="Verdana"/>
          <w:sz w:val="18"/>
          <w:szCs w:val="18"/>
        </w:rPr>
        <w:t xml:space="preserve">(EP) </w:t>
      </w:r>
      <w:r w:rsidR="0099619B">
        <w:rPr>
          <w:rFonts w:ascii="Verdana" w:hAnsi="Verdana"/>
          <w:sz w:val="18"/>
          <w:szCs w:val="18"/>
        </w:rPr>
        <w:t xml:space="preserve">ziet de Europese Kindergarantie als belangrijkste instrument om ervoor te zorgen dat kinderen in nood gratis en effectief toegang hebben tot essentiële diensten voor hun ontwikkeling. </w:t>
      </w:r>
      <w:r w:rsidRPr="00B115CC" w:rsidR="00B115CC">
        <w:rPr>
          <w:rFonts w:ascii="Verdana" w:hAnsi="Verdana"/>
          <w:sz w:val="18"/>
          <w:szCs w:val="18"/>
        </w:rPr>
        <w:t xml:space="preserve">Het </w:t>
      </w:r>
      <w:r w:rsidR="00B115CC">
        <w:rPr>
          <w:rFonts w:ascii="Verdana" w:hAnsi="Verdana"/>
          <w:sz w:val="18"/>
          <w:szCs w:val="18"/>
        </w:rPr>
        <w:t>EP</w:t>
      </w:r>
      <w:r w:rsidRPr="00B115CC" w:rsidR="00B115CC">
        <w:rPr>
          <w:rFonts w:ascii="Verdana" w:hAnsi="Verdana"/>
          <w:sz w:val="18"/>
          <w:szCs w:val="18"/>
        </w:rPr>
        <w:t xml:space="preserve"> heeft in de loop der jaren verschillende resoluties en rapporten aangenomen over kinderarmoede en heeft sinds 2018 een </w:t>
      </w:r>
      <w:r w:rsidR="00B115CC">
        <w:rPr>
          <w:rFonts w:ascii="Verdana" w:hAnsi="Verdana"/>
          <w:sz w:val="18"/>
          <w:szCs w:val="18"/>
        </w:rPr>
        <w:t>C</w:t>
      </w:r>
      <w:r w:rsidRPr="00B115CC" w:rsidR="00B115CC">
        <w:rPr>
          <w:rFonts w:ascii="Verdana" w:hAnsi="Verdana"/>
          <w:sz w:val="18"/>
          <w:szCs w:val="18"/>
        </w:rPr>
        <w:t>oördinator voor kinderrechten.</w:t>
      </w:r>
    </w:p>
    <w:p w:rsidRPr="00A50C4F" w:rsidR="077C8CE7" w:rsidP="00A50C4F" w:rsidRDefault="009F6B99" w14:paraId="5E4457B6" w14:textId="7B83AB5F">
      <w:pPr>
        <w:spacing w:line="360" w:lineRule="auto"/>
        <w:rPr>
          <w:rFonts w:ascii="Verdana" w:hAnsi="Verdana"/>
          <w:sz w:val="18"/>
          <w:szCs w:val="18"/>
        </w:rPr>
      </w:pPr>
      <w:r>
        <w:rPr>
          <w:rFonts w:ascii="Verdana" w:hAnsi="Verdana" w:eastAsia="Verdana" w:cs="Verdana"/>
          <w:b/>
          <w:bCs/>
          <w:sz w:val="18"/>
          <w:szCs w:val="18"/>
        </w:rPr>
        <w:t xml:space="preserve">4. </w:t>
      </w:r>
      <w:r w:rsidRPr="007C0B38" w:rsidR="5477E6C4">
        <w:rPr>
          <w:rFonts w:ascii="Verdana" w:hAnsi="Verdana" w:eastAsia="Verdana" w:cs="Verdana"/>
          <w:b/>
          <w:sz w:val="18"/>
          <w:szCs w:val="18"/>
        </w:rPr>
        <w:t xml:space="preserve">Grondhouding ten aanzien van bevoegdheid, subsidiariteit, proportionaliteit, financiële gevolgen en gevolgen voor regeldruk, concurrentiekracht en geopolitieke aspecten </w:t>
      </w:r>
      <w:r w:rsidRPr="007C0B38" w:rsidR="009A6B13">
        <w:rPr>
          <w:rFonts w:ascii="Verdana" w:hAnsi="Verdana" w:eastAsia="Verdana" w:cs="Verdana"/>
          <w:b/>
          <w:sz w:val="18"/>
          <w:szCs w:val="18"/>
        </w:rPr>
        <w:br/>
      </w:r>
      <w:r w:rsidR="0071451F">
        <w:rPr>
          <w:rFonts w:ascii="Verdana" w:hAnsi="Verdana" w:eastAsia="Verdana" w:cs="Verdana"/>
          <w:i/>
          <w:iCs/>
          <w:sz w:val="18"/>
          <w:szCs w:val="18"/>
        </w:rPr>
        <w:t xml:space="preserve">a) </w:t>
      </w:r>
      <w:r w:rsidRPr="00A50C4F" w:rsidR="5477E6C4">
        <w:rPr>
          <w:rFonts w:ascii="Verdana" w:hAnsi="Verdana" w:eastAsia="Verdana" w:cs="Verdana"/>
          <w:i/>
          <w:iCs/>
          <w:sz w:val="18"/>
          <w:szCs w:val="18"/>
        </w:rPr>
        <w:t>Bevoegdheid</w:t>
      </w:r>
    </w:p>
    <w:p w:rsidR="007E2465" w:rsidP="00105301" w:rsidRDefault="000122F3" w14:paraId="41846506" w14:textId="3726C70B">
      <w:pPr>
        <w:spacing w:line="360" w:lineRule="auto"/>
        <w:rPr>
          <w:rFonts w:ascii="Verdana" w:hAnsi="Verdana"/>
          <w:sz w:val="18"/>
          <w:szCs w:val="18"/>
        </w:rPr>
      </w:pPr>
      <w:r w:rsidRPr="00105301">
        <w:rPr>
          <w:rFonts w:ascii="Verdana" w:hAnsi="Verdana"/>
          <w:sz w:val="18"/>
          <w:szCs w:val="18"/>
        </w:rPr>
        <w:t>De grondhouding van het kabinet is positief. De mededeling heeft betrekking op sociaal- en werkgelegenheidsterrein. Op het terrein van sociaal beleid is sprake van een gedeelde bevoegdheid tussen de EU en de lidstaten (artikel 4, lid 2, sub b VWEU). Op het terrein van de coördinatie van het werkgelegenheidsbeleid is sprake van een aanvullende bevoegdheid van de EU (artikel 5, lid 2, VWEU).</w:t>
      </w:r>
    </w:p>
    <w:p w:rsidR="003B2646" w:rsidP="00105301" w:rsidRDefault="003B2646" w14:paraId="7E351F13" w14:textId="77777777">
      <w:pPr>
        <w:spacing w:line="360" w:lineRule="auto"/>
        <w:rPr>
          <w:rFonts w:ascii="Verdana" w:hAnsi="Verdana"/>
          <w:sz w:val="18"/>
          <w:szCs w:val="18"/>
        </w:rPr>
      </w:pPr>
    </w:p>
    <w:p w:rsidRPr="00105301" w:rsidR="003B2646" w:rsidP="00105301" w:rsidRDefault="003B2646" w14:paraId="390BBBDE" w14:textId="77777777">
      <w:pPr>
        <w:spacing w:line="360" w:lineRule="auto"/>
        <w:rPr>
          <w:rFonts w:ascii="Verdana" w:hAnsi="Verdana"/>
          <w:sz w:val="18"/>
          <w:szCs w:val="18"/>
        </w:rPr>
      </w:pPr>
    </w:p>
    <w:p w:rsidRPr="00A50C4F" w:rsidR="077C8CE7" w:rsidP="00A50C4F" w:rsidRDefault="0071451F" w14:paraId="2B12A1C7" w14:textId="627E686F">
      <w:pPr>
        <w:spacing w:line="360" w:lineRule="auto"/>
        <w:rPr>
          <w:rFonts w:ascii="Verdana" w:hAnsi="Verdana"/>
          <w:sz w:val="18"/>
          <w:szCs w:val="18"/>
        </w:rPr>
      </w:pPr>
      <w:r>
        <w:rPr>
          <w:rFonts w:ascii="Verdana" w:hAnsi="Verdana" w:eastAsia="Verdana" w:cs="Verdana"/>
          <w:i/>
          <w:iCs/>
          <w:sz w:val="18"/>
          <w:szCs w:val="18"/>
        </w:rPr>
        <w:lastRenderedPageBreak/>
        <w:t xml:space="preserve">b) </w:t>
      </w:r>
      <w:r w:rsidRPr="00A50C4F" w:rsidR="5477E6C4">
        <w:rPr>
          <w:rFonts w:ascii="Verdana" w:hAnsi="Verdana" w:eastAsia="Verdana" w:cs="Verdana"/>
          <w:i/>
          <w:iCs/>
          <w:sz w:val="18"/>
          <w:szCs w:val="18"/>
        </w:rPr>
        <w:t>Subsidiariteit</w:t>
      </w:r>
    </w:p>
    <w:p w:rsidRPr="00016274" w:rsidR="00016274" w:rsidP="00016274" w:rsidRDefault="000122F3" w14:paraId="751EBA86" w14:textId="7F2BD998">
      <w:pPr>
        <w:spacing w:line="360" w:lineRule="auto"/>
        <w:rPr>
          <w:rFonts w:ascii="Verdana" w:hAnsi="Verdana"/>
          <w:sz w:val="18"/>
          <w:szCs w:val="18"/>
        </w:rPr>
      </w:pPr>
      <w:r w:rsidRPr="00105301">
        <w:rPr>
          <w:rFonts w:ascii="Verdana" w:hAnsi="Verdana"/>
          <w:sz w:val="18"/>
          <w:szCs w:val="18"/>
        </w:rPr>
        <w:t>De grondhouding van het kabinet ten aanzien van de subsidiariteit is positief.</w:t>
      </w:r>
      <w:r w:rsidR="00016274">
        <w:rPr>
          <w:rFonts w:ascii="Verdana" w:hAnsi="Verdana"/>
          <w:sz w:val="18"/>
          <w:szCs w:val="18"/>
        </w:rPr>
        <w:t xml:space="preserve"> </w:t>
      </w:r>
      <w:r w:rsidR="00132A40">
        <w:rPr>
          <w:rFonts w:ascii="Verdana" w:hAnsi="Verdana"/>
          <w:sz w:val="18"/>
          <w:szCs w:val="18"/>
        </w:rPr>
        <w:t xml:space="preserve">De mededeling heeft tot doel om de Kindergarantie te versterken en kinderarmoede binnen de EU effectief aan te pakken. </w:t>
      </w:r>
    </w:p>
    <w:p w:rsidRPr="00105301" w:rsidR="000122F3" w:rsidP="00016274" w:rsidRDefault="00EA610E" w14:paraId="2036AE7E" w14:textId="25D3DFEF">
      <w:pPr>
        <w:spacing w:line="360" w:lineRule="auto"/>
        <w:rPr>
          <w:rFonts w:ascii="Verdana" w:hAnsi="Verdana"/>
          <w:sz w:val="18"/>
          <w:szCs w:val="18"/>
        </w:rPr>
      </w:pPr>
      <w:r w:rsidRPr="00105301">
        <w:rPr>
          <w:rFonts w:ascii="Verdana" w:hAnsi="Verdana"/>
          <w:sz w:val="18"/>
          <w:szCs w:val="18"/>
        </w:rPr>
        <w:t>Het opgroeien in armoede heeft langdurige en ernstige consequenties; iemand die opgroeit in armoede, heeft bijna dubbel zoveel kans om in armoede te leven op volwassen leeftijd. Armoede en sociale uitsluiting onder kinderen heeft daarmee impact op de opwaartse</w:t>
      </w:r>
      <w:r w:rsidR="00754168">
        <w:rPr>
          <w:rFonts w:ascii="Verdana" w:hAnsi="Verdana"/>
          <w:sz w:val="18"/>
          <w:szCs w:val="18"/>
        </w:rPr>
        <w:t xml:space="preserve"> </w:t>
      </w:r>
      <w:r w:rsidRPr="00105301">
        <w:rPr>
          <w:rFonts w:ascii="Verdana" w:hAnsi="Verdana"/>
          <w:sz w:val="18"/>
          <w:szCs w:val="18"/>
        </w:rPr>
        <w:t>sociaaleconomische convergentie tussen de lidstaten van de Unie</w:t>
      </w:r>
      <w:r w:rsidR="00754168">
        <w:rPr>
          <w:rFonts w:ascii="Verdana" w:hAnsi="Verdana"/>
          <w:sz w:val="18"/>
          <w:szCs w:val="18"/>
        </w:rPr>
        <w:t>.</w:t>
      </w:r>
      <w:r w:rsidRPr="00105301" w:rsidR="00BF2B06">
        <w:rPr>
          <w:rFonts w:ascii="Verdana" w:hAnsi="Verdana"/>
          <w:sz w:val="18"/>
          <w:szCs w:val="18"/>
        </w:rPr>
        <w:t xml:space="preserve"> </w:t>
      </w:r>
      <w:r w:rsidR="00A84385">
        <w:rPr>
          <w:rFonts w:ascii="Verdana" w:hAnsi="Verdana"/>
          <w:sz w:val="18"/>
          <w:szCs w:val="18"/>
        </w:rPr>
        <w:t xml:space="preserve">Het doorbreken van de vicieuze cirkel is lastig en rechtvaardigt een aanpak op Unieniveau. </w:t>
      </w:r>
      <w:r w:rsidR="00F71E7B">
        <w:rPr>
          <w:rFonts w:ascii="Verdana" w:hAnsi="Verdana"/>
          <w:sz w:val="18"/>
          <w:szCs w:val="18"/>
        </w:rPr>
        <w:t xml:space="preserve">Het is bovendien een gedeelde uitdaging. </w:t>
      </w:r>
      <w:r w:rsidRPr="00105301" w:rsidR="00BF2B06">
        <w:rPr>
          <w:rFonts w:ascii="Verdana" w:hAnsi="Verdana"/>
          <w:sz w:val="18"/>
          <w:szCs w:val="18"/>
        </w:rPr>
        <w:t xml:space="preserve">Het kabinet ziet </w:t>
      </w:r>
      <w:r w:rsidR="00A84385">
        <w:rPr>
          <w:rFonts w:ascii="Verdana" w:hAnsi="Verdana"/>
          <w:sz w:val="18"/>
          <w:szCs w:val="18"/>
        </w:rPr>
        <w:t xml:space="preserve">daarom </w:t>
      </w:r>
      <w:r w:rsidRPr="00105301" w:rsidR="00BF2B06">
        <w:rPr>
          <w:rFonts w:ascii="Verdana" w:hAnsi="Verdana"/>
          <w:sz w:val="18"/>
          <w:szCs w:val="18"/>
        </w:rPr>
        <w:t xml:space="preserve">meerwaarde </w:t>
      </w:r>
      <w:r w:rsidR="00753210">
        <w:rPr>
          <w:rFonts w:ascii="Verdana" w:hAnsi="Verdana"/>
          <w:sz w:val="18"/>
          <w:szCs w:val="18"/>
        </w:rPr>
        <w:t xml:space="preserve">in optreden </w:t>
      </w:r>
      <w:r w:rsidRPr="00105301" w:rsidR="00BF2B06">
        <w:rPr>
          <w:rFonts w:ascii="Verdana" w:hAnsi="Verdana"/>
          <w:sz w:val="18"/>
          <w:szCs w:val="18"/>
        </w:rPr>
        <w:t>op EU-niveau</w:t>
      </w:r>
      <w:r w:rsidR="00753210">
        <w:rPr>
          <w:rFonts w:ascii="Verdana" w:hAnsi="Verdana"/>
          <w:sz w:val="18"/>
          <w:szCs w:val="18"/>
        </w:rPr>
        <w:t>, omdat dit lidstaten kan ondersteunen</w:t>
      </w:r>
      <w:r w:rsidRPr="00105301" w:rsidR="00BF2B06">
        <w:rPr>
          <w:rFonts w:ascii="Verdana" w:hAnsi="Verdana"/>
          <w:sz w:val="18"/>
          <w:szCs w:val="18"/>
        </w:rPr>
        <w:t xml:space="preserve"> </w:t>
      </w:r>
      <w:r w:rsidR="00753210">
        <w:rPr>
          <w:rFonts w:ascii="Verdana" w:hAnsi="Verdana"/>
          <w:sz w:val="18"/>
          <w:szCs w:val="18"/>
        </w:rPr>
        <w:t>bij</w:t>
      </w:r>
      <w:r w:rsidRPr="00105301" w:rsidR="00BF2B06">
        <w:rPr>
          <w:rFonts w:ascii="Verdana" w:hAnsi="Verdana"/>
          <w:sz w:val="18"/>
          <w:szCs w:val="18"/>
        </w:rPr>
        <w:t xml:space="preserve"> hun inspanningen </w:t>
      </w:r>
      <w:r w:rsidR="00F71E7B">
        <w:rPr>
          <w:rFonts w:ascii="Verdana" w:hAnsi="Verdana"/>
          <w:sz w:val="18"/>
          <w:szCs w:val="18"/>
        </w:rPr>
        <w:t>om</w:t>
      </w:r>
      <w:r w:rsidRPr="00105301" w:rsidR="00BF2B06">
        <w:rPr>
          <w:rFonts w:ascii="Verdana" w:hAnsi="Verdana"/>
          <w:sz w:val="18"/>
          <w:szCs w:val="18"/>
        </w:rPr>
        <w:t xml:space="preserve"> armoede onder kinderen </w:t>
      </w:r>
      <w:r w:rsidR="00F71E7B">
        <w:rPr>
          <w:rFonts w:ascii="Verdana" w:hAnsi="Verdana"/>
          <w:sz w:val="18"/>
          <w:szCs w:val="18"/>
        </w:rPr>
        <w:t xml:space="preserve">effectief </w:t>
      </w:r>
      <w:r w:rsidRPr="00105301" w:rsidR="00BF2B06">
        <w:rPr>
          <w:rFonts w:ascii="Verdana" w:hAnsi="Verdana"/>
          <w:sz w:val="18"/>
          <w:szCs w:val="18"/>
        </w:rPr>
        <w:t xml:space="preserve">te </w:t>
      </w:r>
      <w:r w:rsidR="00F71E7B">
        <w:rPr>
          <w:rFonts w:ascii="Verdana" w:hAnsi="Verdana"/>
          <w:sz w:val="18"/>
          <w:szCs w:val="18"/>
        </w:rPr>
        <w:t>bestrijden</w:t>
      </w:r>
      <w:r w:rsidRPr="00105301" w:rsidR="00BF2B06">
        <w:rPr>
          <w:rFonts w:ascii="Verdana" w:hAnsi="Verdana"/>
          <w:sz w:val="18"/>
          <w:szCs w:val="18"/>
        </w:rPr>
        <w:t xml:space="preserve">. </w:t>
      </w:r>
    </w:p>
    <w:p w:rsidRPr="00A50C4F" w:rsidR="077C8CE7" w:rsidP="00A50C4F" w:rsidRDefault="0071451F" w14:paraId="34D2E775" w14:textId="3DCBEC45">
      <w:pPr>
        <w:spacing w:line="360" w:lineRule="auto"/>
        <w:rPr>
          <w:rFonts w:ascii="Verdana" w:hAnsi="Verdana"/>
          <w:sz w:val="18"/>
          <w:szCs w:val="18"/>
        </w:rPr>
      </w:pPr>
      <w:r>
        <w:rPr>
          <w:rFonts w:ascii="Verdana" w:hAnsi="Verdana" w:eastAsia="Verdana" w:cs="Verdana"/>
          <w:i/>
          <w:iCs/>
          <w:sz w:val="18"/>
          <w:szCs w:val="18"/>
        </w:rPr>
        <w:t xml:space="preserve">c) </w:t>
      </w:r>
      <w:r w:rsidRPr="00A50C4F" w:rsidR="5477E6C4">
        <w:rPr>
          <w:rFonts w:ascii="Verdana" w:hAnsi="Verdana" w:eastAsia="Verdana" w:cs="Verdana"/>
          <w:i/>
          <w:iCs/>
          <w:sz w:val="18"/>
          <w:szCs w:val="18"/>
        </w:rPr>
        <w:t>Proportionaliteit</w:t>
      </w:r>
    </w:p>
    <w:p w:rsidRPr="00105301" w:rsidR="000122F3" w:rsidP="00105301" w:rsidRDefault="000122F3" w14:paraId="1B3D4756" w14:textId="77777777">
      <w:pPr>
        <w:spacing w:after="0" w:line="360" w:lineRule="auto"/>
        <w:rPr>
          <w:rFonts w:ascii="Verdana" w:hAnsi="Verdana"/>
          <w:sz w:val="18"/>
          <w:szCs w:val="18"/>
        </w:rPr>
      </w:pPr>
      <w:r w:rsidRPr="00105301">
        <w:rPr>
          <w:rFonts w:ascii="Verdana" w:hAnsi="Verdana"/>
          <w:sz w:val="18"/>
          <w:szCs w:val="18"/>
        </w:rPr>
        <w:t xml:space="preserve">De grondhouding van het kabinet ten aanzien van de proportionaliteit is positief. De mededeling </w:t>
      </w:r>
    </w:p>
    <w:p w:rsidRPr="00105301" w:rsidR="000122F3" w:rsidP="00105301" w:rsidRDefault="000122F3" w14:paraId="406D3421" w14:textId="65FDC063">
      <w:pPr>
        <w:spacing w:after="0" w:line="360" w:lineRule="auto"/>
        <w:rPr>
          <w:rFonts w:ascii="Verdana" w:hAnsi="Verdana"/>
          <w:sz w:val="18"/>
          <w:szCs w:val="18"/>
        </w:rPr>
      </w:pPr>
      <w:r w:rsidRPr="00105301">
        <w:rPr>
          <w:rFonts w:ascii="Verdana" w:hAnsi="Verdana"/>
          <w:sz w:val="18"/>
          <w:szCs w:val="18"/>
        </w:rPr>
        <w:t xml:space="preserve">heeft tot doel om de Kindergarantie te versterken en kinderarmoede </w:t>
      </w:r>
      <w:r w:rsidR="00016274">
        <w:rPr>
          <w:rFonts w:ascii="Verdana" w:hAnsi="Verdana"/>
          <w:sz w:val="18"/>
          <w:szCs w:val="18"/>
        </w:rPr>
        <w:t xml:space="preserve">binnen de EU </w:t>
      </w:r>
      <w:r w:rsidRPr="00105301">
        <w:rPr>
          <w:rFonts w:ascii="Verdana" w:hAnsi="Verdana"/>
          <w:sz w:val="18"/>
          <w:szCs w:val="18"/>
        </w:rPr>
        <w:t xml:space="preserve">effectief aan te pakken. Het voorgestelde optreden is geschikt om deze doelstelling te bereiken, omdat </w:t>
      </w:r>
      <w:r w:rsidRPr="00105301">
        <w:rPr>
          <w:rFonts w:ascii="Verdana" w:hAnsi="Verdana" w:eastAsia="Verdana" w:cs="Verdana"/>
          <w:sz w:val="18"/>
          <w:szCs w:val="18"/>
        </w:rPr>
        <w:t xml:space="preserve">een geïntegreerd beleidskader </w:t>
      </w:r>
      <w:r w:rsidR="00F66E44">
        <w:rPr>
          <w:rFonts w:ascii="Verdana" w:hAnsi="Verdana" w:eastAsia="Verdana" w:cs="Verdana"/>
          <w:sz w:val="18"/>
          <w:szCs w:val="18"/>
        </w:rPr>
        <w:t>concrete handvaten kan bieden voor effectief beleid</w:t>
      </w:r>
      <w:r w:rsidRPr="00105301" w:rsidR="003F3092">
        <w:rPr>
          <w:rFonts w:ascii="Verdana" w:hAnsi="Verdana" w:eastAsia="Verdana" w:cs="Verdana"/>
          <w:sz w:val="18"/>
          <w:szCs w:val="18"/>
        </w:rPr>
        <w:t>.</w:t>
      </w:r>
      <w:r w:rsidRPr="00C07179" w:rsidR="003F3092">
        <w:rPr>
          <w:rFonts w:ascii="Verdana" w:hAnsi="Verdana" w:eastAsia="Verdana" w:cs="Verdana"/>
          <w:sz w:val="18"/>
          <w:szCs w:val="18"/>
        </w:rPr>
        <w:t xml:space="preserve"> </w:t>
      </w:r>
      <w:r w:rsidRPr="00C07179" w:rsidR="002417C2">
        <w:rPr>
          <w:rFonts w:ascii="Verdana" w:hAnsi="Verdana" w:eastAsia="Verdana" w:cs="Verdana"/>
          <w:sz w:val="18"/>
          <w:szCs w:val="18"/>
        </w:rPr>
        <w:t xml:space="preserve">Ook biedt het voorstel ruimte voor een gedifferentieerde aanpak </w:t>
      </w:r>
      <w:r w:rsidR="00F66E44">
        <w:rPr>
          <w:rFonts w:ascii="Verdana" w:hAnsi="Verdana" w:eastAsia="Verdana" w:cs="Verdana"/>
          <w:sz w:val="18"/>
          <w:szCs w:val="18"/>
        </w:rPr>
        <w:t>in lijn met specifieke</w:t>
      </w:r>
      <w:r w:rsidRPr="00C07179" w:rsidR="00F66E44">
        <w:rPr>
          <w:rFonts w:ascii="Verdana" w:hAnsi="Verdana" w:eastAsia="Verdana" w:cs="Verdana"/>
          <w:sz w:val="18"/>
          <w:szCs w:val="18"/>
        </w:rPr>
        <w:t xml:space="preserve"> </w:t>
      </w:r>
      <w:r w:rsidRPr="00C07179" w:rsidR="002417C2">
        <w:rPr>
          <w:rFonts w:ascii="Verdana" w:hAnsi="Verdana" w:eastAsia="Verdana" w:cs="Verdana"/>
          <w:sz w:val="18"/>
          <w:szCs w:val="18"/>
        </w:rPr>
        <w:t xml:space="preserve">nationale, regionale of lokale situatie </w:t>
      </w:r>
      <w:r w:rsidR="00F66E44">
        <w:rPr>
          <w:rFonts w:ascii="Verdana" w:hAnsi="Verdana" w:eastAsia="Verdana" w:cs="Verdana"/>
          <w:sz w:val="18"/>
          <w:szCs w:val="18"/>
        </w:rPr>
        <w:t xml:space="preserve">in </w:t>
      </w:r>
      <w:r w:rsidRPr="00C07179" w:rsidR="002417C2">
        <w:rPr>
          <w:rFonts w:ascii="Verdana" w:hAnsi="Verdana" w:eastAsia="Verdana" w:cs="Verdana"/>
          <w:sz w:val="18"/>
          <w:szCs w:val="18"/>
        </w:rPr>
        <w:t>de lidstaten. Daarmee gaat het voorstel niet verder dan noodzakelijk.</w:t>
      </w:r>
    </w:p>
    <w:p w:rsidRPr="00105301" w:rsidR="000122F3" w:rsidP="00105301" w:rsidRDefault="000122F3" w14:paraId="7D1C84EB" w14:textId="77777777">
      <w:pPr>
        <w:spacing w:after="0" w:line="360" w:lineRule="auto"/>
        <w:rPr>
          <w:rFonts w:ascii="Verdana" w:hAnsi="Verdana"/>
          <w:sz w:val="18"/>
          <w:szCs w:val="18"/>
        </w:rPr>
      </w:pPr>
    </w:p>
    <w:p w:rsidRPr="00A50C4F" w:rsidR="077C8CE7" w:rsidP="00A50C4F" w:rsidRDefault="0071451F" w14:paraId="04A0F9D7" w14:textId="3B7C45FF">
      <w:pPr>
        <w:spacing w:line="360" w:lineRule="auto"/>
        <w:rPr>
          <w:rFonts w:ascii="Verdana" w:hAnsi="Verdana"/>
          <w:sz w:val="18"/>
          <w:szCs w:val="18"/>
        </w:rPr>
      </w:pPr>
      <w:r>
        <w:rPr>
          <w:rFonts w:ascii="Verdana" w:hAnsi="Verdana" w:eastAsia="Verdana" w:cs="Verdana"/>
          <w:i/>
          <w:iCs/>
          <w:sz w:val="18"/>
          <w:szCs w:val="18"/>
        </w:rPr>
        <w:t xml:space="preserve">d) </w:t>
      </w:r>
      <w:r w:rsidRPr="00A50C4F" w:rsidR="5477E6C4">
        <w:rPr>
          <w:rFonts w:ascii="Verdana" w:hAnsi="Verdana" w:eastAsia="Verdana" w:cs="Verdana"/>
          <w:i/>
          <w:iCs/>
          <w:sz w:val="18"/>
          <w:szCs w:val="18"/>
        </w:rPr>
        <w:t>Financiële gevolgen</w:t>
      </w:r>
    </w:p>
    <w:p w:rsidRPr="00105301" w:rsidR="00874318" w:rsidP="00105301" w:rsidRDefault="00874318" w14:paraId="5E1B3194" w14:textId="77777777">
      <w:pPr>
        <w:spacing w:after="0" w:line="360" w:lineRule="auto"/>
        <w:rPr>
          <w:rFonts w:ascii="Verdana" w:hAnsi="Verdana"/>
          <w:sz w:val="18"/>
          <w:szCs w:val="18"/>
        </w:rPr>
      </w:pPr>
      <w:r w:rsidRPr="00105301">
        <w:rPr>
          <w:rFonts w:ascii="Verdana" w:hAnsi="Verdana"/>
          <w:sz w:val="18"/>
          <w:szCs w:val="18"/>
        </w:rPr>
        <w:t>Er zijn geen directe gevolgen voor de Rijksbegroting en geen consequenties voor de EU-begroting</w:t>
      </w:r>
    </w:p>
    <w:p w:rsidR="00874318" w:rsidP="00105301" w:rsidRDefault="00874318" w14:paraId="560378B7" w14:textId="1D6719E9">
      <w:pPr>
        <w:spacing w:after="0" w:line="360" w:lineRule="auto"/>
        <w:rPr>
          <w:rFonts w:ascii="Verdana" w:hAnsi="Verdana"/>
          <w:sz w:val="18"/>
          <w:szCs w:val="18"/>
        </w:rPr>
      </w:pPr>
      <w:r w:rsidRPr="00105301">
        <w:rPr>
          <w:rFonts w:ascii="Verdana" w:hAnsi="Verdana"/>
          <w:sz w:val="18"/>
          <w:szCs w:val="18"/>
        </w:rPr>
        <w:t xml:space="preserve">voorzien uit de navolging van deze mededeling. </w:t>
      </w:r>
    </w:p>
    <w:p w:rsidR="00A06616" w:rsidP="00105301" w:rsidRDefault="00A06616" w14:paraId="226C64EE" w14:textId="77777777">
      <w:pPr>
        <w:spacing w:after="0" w:line="360" w:lineRule="auto"/>
        <w:rPr>
          <w:rFonts w:ascii="Verdana" w:hAnsi="Verdana"/>
          <w:sz w:val="18"/>
          <w:szCs w:val="18"/>
        </w:rPr>
      </w:pPr>
    </w:p>
    <w:p w:rsidR="006C50B2" w:rsidP="006C50B2" w:rsidRDefault="006C50B2" w14:paraId="7A8D532C" w14:textId="77777777">
      <w:pPr>
        <w:spacing w:line="360" w:lineRule="auto"/>
        <w:rPr>
          <w:rFonts w:ascii="Verdana" w:hAnsi="Verdana"/>
          <w:iCs/>
          <w:sz w:val="18"/>
          <w:szCs w:val="18"/>
        </w:rPr>
      </w:pPr>
      <w:r>
        <w:rPr>
          <w:rFonts w:ascii="Verdana" w:hAnsi="Verdana"/>
          <w:sz w:val="18"/>
          <w:szCs w:val="18"/>
        </w:rPr>
        <w:t xml:space="preserve">Voor de EU-begroting zijn er geen directe financiële gevolgen. </w:t>
      </w:r>
      <w:bookmarkStart w:name="_Hlk231388820" w:id="1"/>
      <w:r w:rsidRPr="00084E45">
        <w:rPr>
          <w:rFonts w:ascii="Verdana" w:hAnsi="Verdana"/>
          <w:sz w:val="18"/>
          <w:szCs w:val="18"/>
        </w:rPr>
        <w:t>Voor zover aanvullende middelen nodig zijn, kunnen lidstaten gebruik maken van bestaande EU-financieringsinstrumenten</w:t>
      </w:r>
      <w:r>
        <w:rPr>
          <w:rFonts w:ascii="Verdana" w:hAnsi="Verdana"/>
          <w:sz w:val="18"/>
          <w:szCs w:val="18"/>
        </w:rPr>
        <w:t>.</w:t>
      </w:r>
      <w:r w:rsidRPr="00084E45">
        <w:rPr>
          <w:rFonts w:ascii="Verdana" w:hAnsi="Verdana"/>
          <w:sz w:val="18"/>
          <w:szCs w:val="18"/>
        </w:rPr>
        <w:t xml:space="preserve"> Eventuele financiële consequenties worden ingepast op de begroting van de beleidsverantwoordelijke departementen, conform de regels van de budgetdiscipline. Indien er gevolgen zijn voor de EU-begroting, is het kabinet van mening dat de benodigde EU-middelen gevonden dienen te worden binnen de in de Raad afgesproken financiële kaders van de EU-begroting 2021-2027 en dat deze moeten passen bij een prudente ontwikkeling van de jaarbegroting. Het kabinet wil niet vooruitlopen op de integrale afweging van middelen na 2027.</w:t>
      </w:r>
      <w:bookmarkStart w:name="_Hlk231371014" w:id="2"/>
      <w:bookmarkEnd w:id="1"/>
    </w:p>
    <w:bookmarkEnd w:id="2"/>
    <w:p w:rsidRPr="00A50C4F" w:rsidR="077C8CE7" w:rsidP="00A50C4F" w:rsidRDefault="0071451F" w14:paraId="51241583" w14:textId="34B3433D">
      <w:pPr>
        <w:spacing w:line="360" w:lineRule="auto"/>
        <w:rPr>
          <w:rFonts w:ascii="Verdana" w:hAnsi="Verdana"/>
          <w:sz w:val="18"/>
          <w:szCs w:val="18"/>
        </w:rPr>
      </w:pPr>
      <w:r>
        <w:rPr>
          <w:rFonts w:ascii="Verdana" w:hAnsi="Verdana" w:eastAsia="Verdana" w:cs="Verdana"/>
          <w:i/>
          <w:iCs/>
          <w:sz w:val="18"/>
          <w:szCs w:val="18"/>
        </w:rPr>
        <w:t xml:space="preserve">e) </w:t>
      </w:r>
      <w:r w:rsidRPr="00A50C4F" w:rsidR="5477E6C4">
        <w:rPr>
          <w:rFonts w:ascii="Verdana" w:hAnsi="Verdana" w:eastAsia="Verdana" w:cs="Verdana"/>
          <w:i/>
          <w:iCs/>
          <w:sz w:val="18"/>
          <w:szCs w:val="18"/>
        </w:rPr>
        <w:t>Gevolgen voor regeldruk, concurrentiekracht en geopolitieke aspecten</w:t>
      </w:r>
    </w:p>
    <w:p w:rsidRPr="006B21B6" w:rsidR="077C8CE7" w:rsidP="006B21B6" w:rsidRDefault="00754168" w14:paraId="09E6FEEC" w14:textId="41FD67B7">
      <w:pPr>
        <w:spacing w:before="240" w:after="0" w:line="360" w:lineRule="auto"/>
        <w:rPr>
          <w:rFonts w:ascii="Verdana" w:hAnsi="Verdana" w:eastAsia="Verdana" w:cs="Verdana"/>
          <w:sz w:val="18"/>
          <w:szCs w:val="18"/>
        </w:rPr>
      </w:pPr>
      <w:r>
        <w:rPr>
          <w:rFonts w:ascii="Verdana" w:hAnsi="Verdana" w:eastAsia="Verdana" w:cs="Verdana"/>
          <w:sz w:val="18"/>
          <w:szCs w:val="18"/>
        </w:rPr>
        <w:t>De</w:t>
      </w:r>
      <w:r w:rsidRPr="00C07179" w:rsidR="00874318">
        <w:rPr>
          <w:rFonts w:ascii="Verdana" w:hAnsi="Verdana" w:eastAsia="Verdana" w:cs="Verdana"/>
          <w:sz w:val="18"/>
          <w:szCs w:val="18"/>
        </w:rPr>
        <w:t xml:space="preserve"> mededeling bevat als zodanig geen nieuwe wet- en regelgeving. Deze mededeling heeft daarmee geen effect op de regeldruk.</w:t>
      </w:r>
      <w:r w:rsidR="000E5D9B">
        <w:rPr>
          <w:rFonts w:ascii="Verdana" w:hAnsi="Verdana" w:eastAsia="Verdana" w:cs="Verdana"/>
          <w:sz w:val="18"/>
          <w:szCs w:val="18"/>
        </w:rPr>
        <w:t xml:space="preserve"> </w:t>
      </w:r>
      <w:r w:rsidRPr="000E5D9B" w:rsidR="00A84385">
        <w:rPr>
          <w:rFonts w:ascii="Verdana" w:hAnsi="Verdana" w:eastAsia="Verdana" w:cs="Verdana"/>
          <w:sz w:val="18"/>
          <w:szCs w:val="18"/>
        </w:rPr>
        <w:t xml:space="preserve">De </w:t>
      </w:r>
      <w:r w:rsidR="00A84385">
        <w:rPr>
          <w:rFonts w:ascii="Verdana" w:hAnsi="Verdana" w:eastAsia="Verdana" w:cs="Verdana"/>
          <w:sz w:val="18"/>
          <w:szCs w:val="18"/>
        </w:rPr>
        <w:t>mededeling</w:t>
      </w:r>
      <w:r w:rsidRPr="000E5D9B" w:rsidR="00A84385">
        <w:rPr>
          <w:rFonts w:ascii="Verdana" w:hAnsi="Verdana" w:eastAsia="Verdana" w:cs="Verdana"/>
          <w:sz w:val="18"/>
          <w:szCs w:val="18"/>
        </w:rPr>
        <w:t xml:space="preserve"> heeft geen directe gevolgen voor het Europese concurrentievermogen</w:t>
      </w:r>
      <w:r w:rsidR="00A84385">
        <w:rPr>
          <w:rFonts w:ascii="Verdana" w:hAnsi="Verdana" w:eastAsia="Verdana" w:cs="Verdana"/>
          <w:sz w:val="18"/>
          <w:szCs w:val="18"/>
        </w:rPr>
        <w:t xml:space="preserve"> en/of geopolitieke aspecten.</w:t>
      </w:r>
      <w:r w:rsidR="006540BE">
        <w:rPr>
          <w:rFonts w:ascii="Verdana" w:hAnsi="Verdana" w:eastAsia="Verdana" w:cs="Verdana"/>
          <w:sz w:val="18"/>
          <w:szCs w:val="18"/>
        </w:rPr>
        <w:t xml:space="preserve"> </w:t>
      </w:r>
    </w:p>
    <w:p w:rsidRPr="006B21B6" w:rsidR="077C8CE7" w:rsidP="006B21B6" w:rsidRDefault="077C8CE7" w14:paraId="052298D2" w14:textId="1200A2BF">
      <w:pPr>
        <w:spacing w:line="360" w:lineRule="auto"/>
        <w:rPr>
          <w:rFonts w:ascii="Verdana" w:hAnsi="Verdana"/>
          <w:sz w:val="18"/>
          <w:szCs w:val="18"/>
        </w:rPr>
      </w:pPr>
    </w:p>
    <w:sectPr w:rsidRPr="006B21B6" w:rsidR="077C8CE7" w:rsidSect="00347552">
      <w:headerReference w:type="default" r:id="rId13"/>
      <w:footerReference w:type="default" r:id="rId14"/>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E9BF3" w14:textId="77777777" w:rsidR="00850EE4" w:rsidRDefault="00850EE4">
      <w:pPr>
        <w:spacing w:after="0" w:line="240" w:lineRule="auto"/>
      </w:pPr>
      <w:r>
        <w:separator/>
      </w:r>
    </w:p>
  </w:endnote>
  <w:endnote w:type="continuationSeparator" w:id="0">
    <w:p w14:paraId="16115643" w14:textId="77777777" w:rsidR="00850EE4" w:rsidRDefault="00850E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4923876"/>
      <w:docPartObj>
        <w:docPartGallery w:val="Page Numbers (Bottom of Page)"/>
        <w:docPartUnique/>
      </w:docPartObj>
    </w:sdtPr>
    <w:sdtEndPr/>
    <w:sdtContent>
      <w:p w14:paraId="46895949" w14:textId="7CDFB8BA" w:rsidR="008462CF" w:rsidRDefault="008462CF">
        <w:pPr>
          <w:pStyle w:val="Footer"/>
          <w:jc w:val="right"/>
        </w:pPr>
        <w:r>
          <w:fldChar w:fldCharType="begin"/>
        </w:r>
        <w:r>
          <w:instrText>PAGE   \* MERGEFORMAT</w:instrText>
        </w:r>
        <w:r>
          <w:fldChar w:fldCharType="separate"/>
        </w:r>
        <w:r>
          <w:t>2</w:t>
        </w:r>
        <w:r>
          <w:fldChar w:fldCharType="end"/>
        </w:r>
      </w:p>
    </w:sdtContent>
  </w:sdt>
  <w:p w14:paraId="4CA06C52" w14:textId="5A7D3A2A" w:rsidR="192E757F" w:rsidRDefault="192E757F" w:rsidP="192E7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39FCC" w14:textId="77777777" w:rsidR="00850EE4" w:rsidRDefault="00850EE4">
      <w:pPr>
        <w:spacing w:after="0" w:line="240" w:lineRule="auto"/>
      </w:pPr>
      <w:r>
        <w:separator/>
      </w:r>
    </w:p>
  </w:footnote>
  <w:footnote w:type="continuationSeparator" w:id="0">
    <w:p w14:paraId="095D58D0" w14:textId="77777777" w:rsidR="00850EE4" w:rsidRDefault="00850EE4">
      <w:pPr>
        <w:spacing w:after="0" w:line="240" w:lineRule="auto"/>
      </w:pPr>
      <w:r>
        <w:continuationSeparator/>
      </w:r>
    </w:p>
  </w:footnote>
  <w:footnote w:id="1">
    <w:p w14:paraId="02C9350F" w14:textId="0061E304" w:rsidR="00142A76" w:rsidRPr="007E2465" w:rsidRDefault="00142A76">
      <w:pPr>
        <w:pStyle w:val="FootnoteText"/>
        <w:rPr>
          <w:rFonts w:ascii="Verdana" w:hAnsi="Verdana"/>
          <w:sz w:val="16"/>
          <w:szCs w:val="16"/>
        </w:rPr>
      </w:pPr>
      <w:r w:rsidRPr="007E2465">
        <w:rPr>
          <w:rStyle w:val="FootnoteReference"/>
          <w:rFonts w:ascii="Verdana" w:hAnsi="Verdana"/>
          <w:sz w:val="16"/>
          <w:szCs w:val="16"/>
        </w:rPr>
        <w:footnoteRef/>
      </w:r>
      <w:r w:rsidRPr="007E2465">
        <w:rPr>
          <w:rFonts w:ascii="Verdana" w:eastAsia="Times New Roman" w:hAnsi="Verdana" w:cs="Times New Roman"/>
          <w:sz w:val="16"/>
          <w:szCs w:val="16"/>
        </w:rPr>
        <w:t>Andere onderdelen zijn de mededeling van de Europese Anti-Armoede Strategie, een voorstel voor een Raadsaanbeveling over de bestrijding van uitsluiting op de woningmarkt, en een versterking van de Europese strategie voor de rechten van mensen met een handicap 2021-2030. Over alle onderdelen ontvangt uw Kamer separaat een BNC-fiche.</w:t>
      </w:r>
      <w:r w:rsidRPr="007E2465">
        <w:rPr>
          <w:rFonts w:ascii="Verdana" w:hAnsi="Verdana"/>
          <w:sz w:val="16"/>
          <w:szCs w:val="16"/>
        </w:rPr>
        <w:t xml:space="preserve"> </w:t>
      </w:r>
    </w:p>
  </w:footnote>
  <w:footnote w:id="2">
    <w:p w14:paraId="35C2550F" w14:textId="4522F5F1" w:rsidR="192E757F" w:rsidRPr="007E2465" w:rsidRDefault="192E757F" w:rsidP="192E757F">
      <w:pPr>
        <w:pStyle w:val="FootnoteText"/>
        <w:rPr>
          <w:lang w:val="fr-FR"/>
        </w:rPr>
      </w:pPr>
      <w:r w:rsidRPr="007E2465">
        <w:rPr>
          <w:rStyle w:val="FootnoteReference"/>
          <w:rFonts w:ascii="Verdana" w:eastAsia="Times New Roman" w:hAnsi="Verdana" w:cs="Times New Roman"/>
          <w:sz w:val="16"/>
          <w:szCs w:val="16"/>
        </w:rPr>
        <w:footnoteRef/>
      </w:r>
      <w:r w:rsidRPr="007E2465">
        <w:rPr>
          <w:rFonts w:ascii="Verdana" w:eastAsia="Times New Roman" w:hAnsi="Verdana" w:cs="Times New Roman"/>
          <w:sz w:val="16"/>
          <w:szCs w:val="16"/>
          <w:lang w:val="fr-FR"/>
        </w:rPr>
        <w:t xml:space="preserve"> </w:t>
      </w:r>
      <w:hyperlink r:id="rId1" w:history="1">
        <w:r w:rsidR="00142A76" w:rsidRPr="007E2465">
          <w:rPr>
            <w:rStyle w:val="Hyperlink"/>
            <w:rFonts w:ascii="Verdana" w:hAnsi="Verdana"/>
            <w:sz w:val="16"/>
            <w:szCs w:val="16"/>
            <w:lang w:val="fr-FR"/>
          </w:rPr>
          <w:t>EUR-Lex - 32021H1004 - EN - EUR-Lex</w:t>
        </w:r>
      </w:hyperlink>
    </w:p>
  </w:footnote>
  <w:footnote w:id="3">
    <w:p w14:paraId="5C52512E" w14:textId="55406022" w:rsidR="00FF162B" w:rsidRPr="007E2465" w:rsidRDefault="00FF162B">
      <w:pPr>
        <w:pStyle w:val="FootnoteText"/>
        <w:rPr>
          <w:rFonts w:ascii="Verdana" w:hAnsi="Verdana"/>
          <w:sz w:val="16"/>
          <w:szCs w:val="16"/>
          <w:lang w:val="fr-FR"/>
        </w:rPr>
      </w:pPr>
      <w:r w:rsidRPr="007E2465">
        <w:rPr>
          <w:rStyle w:val="FootnoteReference"/>
          <w:rFonts w:ascii="Verdana" w:hAnsi="Verdana"/>
          <w:sz w:val="16"/>
          <w:szCs w:val="16"/>
        </w:rPr>
        <w:footnoteRef/>
      </w:r>
      <w:r w:rsidRPr="007E2465">
        <w:rPr>
          <w:rFonts w:ascii="Verdana" w:hAnsi="Verdana"/>
          <w:sz w:val="16"/>
          <w:szCs w:val="16"/>
          <w:lang w:val="fr-FR"/>
        </w:rPr>
        <w:t xml:space="preserve"> </w:t>
      </w:r>
      <w:hyperlink r:id="rId2" w:history="1">
        <w:r w:rsidRPr="007E2465">
          <w:rPr>
            <w:rStyle w:val="Hyperlink"/>
            <w:rFonts w:ascii="Verdana" w:hAnsi="Verdana" w:cs="Times New Roman"/>
            <w:sz w:val="16"/>
            <w:szCs w:val="16"/>
            <w:lang w:val="fr-FR"/>
          </w:rPr>
          <w:t>EUR-Lex - 32021H1004 - EN - EUR-Lex</w:t>
        </w:r>
      </w:hyperlink>
    </w:p>
  </w:footnote>
  <w:footnote w:id="4">
    <w:p w14:paraId="10A6316A" w14:textId="77777777" w:rsidR="00E52069" w:rsidRPr="007E2465" w:rsidRDefault="00E52069" w:rsidP="00E52069">
      <w:pPr>
        <w:pStyle w:val="FootnoteText"/>
        <w:rPr>
          <w:rFonts w:ascii="Verdana" w:hAnsi="Verdana"/>
          <w:sz w:val="16"/>
          <w:szCs w:val="16"/>
        </w:rPr>
      </w:pPr>
      <w:r w:rsidRPr="007E2465">
        <w:rPr>
          <w:rStyle w:val="FootnoteReference"/>
          <w:rFonts w:ascii="Verdana" w:hAnsi="Verdana"/>
          <w:sz w:val="16"/>
          <w:szCs w:val="16"/>
        </w:rPr>
        <w:footnoteRef/>
      </w:r>
      <w:r w:rsidRPr="007E2465">
        <w:rPr>
          <w:rFonts w:ascii="Verdana" w:hAnsi="Verdana"/>
          <w:sz w:val="16"/>
          <w:szCs w:val="16"/>
          <w:lang w:val="en-GB"/>
        </w:rPr>
        <w:t xml:space="preserve"> </w:t>
      </w:r>
      <w:r w:rsidRPr="007E2465">
        <w:rPr>
          <w:rFonts w:ascii="Verdana" w:hAnsi="Verdana" w:cs="Times New Roman"/>
          <w:sz w:val="16"/>
          <w:szCs w:val="16"/>
          <w:lang w:val="en-GB"/>
        </w:rPr>
        <w:t xml:space="preserve"> De </w:t>
      </w:r>
      <w:proofErr w:type="spellStart"/>
      <w:r w:rsidRPr="007E2465">
        <w:rPr>
          <w:rFonts w:ascii="Verdana" w:hAnsi="Verdana" w:cs="Times New Roman"/>
          <w:sz w:val="16"/>
          <w:szCs w:val="16"/>
          <w:lang w:val="en-GB"/>
        </w:rPr>
        <w:t>Europese</w:t>
      </w:r>
      <w:proofErr w:type="spellEnd"/>
      <w:r w:rsidRPr="007E2465">
        <w:rPr>
          <w:rFonts w:ascii="Verdana" w:hAnsi="Verdana" w:cs="Times New Roman"/>
          <w:sz w:val="16"/>
          <w:szCs w:val="16"/>
          <w:lang w:val="en-GB"/>
        </w:rPr>
        <w:t xml:space="preserve"> </w:t>
      </w:r>
      <w:proofErr w:type="spellStart"/>
      <w:r w:rsidRPr="007E2465">
        <w:rPr>
          <w:rFonts w:ascii="Verdana" w:hAnsi="Verdana" w:cs="Times New Roman"/>
          <w:sz w:val="16"/>
          <w:szCs w:val="16"/>
          <w:lang w:val="en-GB"/>
        </w:rPr>
        <w:t>Commissie</w:t>
      </w:r>
      <w:proofErr w:type="spellEnd"/>
      <w:r w:rsidRPr="007E2465">
        <w:rPr>
          <w:rFonts w:ascii="Verdana" w:hAnsi="Verdana" w:cs="Times New Roman"/>
          <w:sz w:val="16"/>
          <w:szCs w:val="16"/>
          <w:lang w:val="en-GB"/>
        </w:rPr>
        <w:t xml:space="preserve"> </w:t>
      </w:r>
      <w:proofErr w:type="spellStart"/>
      <w:r w:rsidRPr="007E2465">
        <w:rPr>
          <w:rFonts w:ascii="Verdana" w:hAnsi="Verdana" w:cs="Times New Roman"/>
          <w:sz w:val="16"/>
          <w:szCs w:val="16"/>
          <w:lang w:val="en-GB"/>
        </w:rPr>
        <w:t>hanteert</w:t>
      </w:r>
      <w:proofErr w:type="spellEnd"/>
      <w:r w:rsidRPr="007E2465">
        <w:rPr>
          <w:rFonts w:ascii="Verdana" w:hAnsi="Verdana" w:cs="Times New Roman"/>
          <w:sz w:val="16"/>
          <w:szCs w:val="16"/>
          <w:lang w:val="en-GB"/>
        </w:rPr>
        <w:t xml:space="preserve"> de term ‘early childhood education and care’ (ECEC). </w:t>
      </w:r>
      <w:r w:rsidRPr="007E2465">
        <w:rPr>
          <w:rFonts w:ascii="Verdana" w:hAnsi="Verdana" w:cs="Times New Roman"/>
          <w:sz w:val="16"/>
          <w:szCs w:val="16"/>
        </w:rPr>
        <w:t xml:space="preserve">Hier vallen alle </w:t>
      </w:r>
    </w:p>
    <w:p w14:paraId="52C275B7" w14:textId="77777777" w:rsidR="00E52069" w:rsidRPr="007E2465" w:rsidRDefault="00E52069" w:rsidP="00E52069">
      <w:pPr>
        <w:pStyle w:val="FootnoteText"/>
        <w:rPr>
          <w:rFonts w:ascii="Verdana" w:hAnsi="Verdana" w:cs="Times New Roman"/>
          <w:sz w:val="16"/>
          <w:szCs w:val="16"/>
        </w:rPr>
      </w:pPr>
      <w:r w:rsidRPr="007E2465">
        <w:rPr>
          <w:rFonts w:ascii="Verdana" w:hAnsi="Verdana" w:cs="Times New Roman"/>
          <w:sz w:val="16"/>
          <w:szCs w:val="16"/>
        </w:rPr>
        <w:t xml:space="preserve">voorschoolse voorzieningen onder, zoals kinderdagverblijf, peuteropvang, voorschoolse educatie en opvang bij </w:t>
      </w:r>
    </w:p>
    <w:p w14:paraId="092ACEE4" w14:textId="77777777" w:rsidR="00E52069" w:rsidRPr="008D7764" w:rsidRDefault="00E52069" w:rsidP="00E52069">
      <w:pPr>
        <w:pStyle w:val="FootnoteText"/>
        <w:rPr>
          <w:sz w:val="16"/>
          <w:szCs w:val="16"/>
        </w:rPr>
      </w:pPr>
      <w:r w:rsidRPr="007E2465">
        <w:rPr>
          <w:rFonts w:ascii="Verdana" w:hAnsi="Verdana" w:cs="Times New Roman"/>
          <w:sz w:val="16"/>
          <w:szCs w:val="16"/>
        </w:rPr>
        <w:t>een gastouder</w:t>
      </w:r>
      <w:r w:rsidRPr="008D7764">
        <w:rPr>
          <w:sz w:val="16"/>
          <w:szCs w:val="16"/>
        </w:rPr>
        <w:t xml:space="preserve">  </w:t>
      </w:r>
    </w:p>
  </w:footnote>
  <w:footnote w:id="5">
    <w:p w14:paraId="4A4FB966" w14:textId="42F852FD" w:rsidR="00E52069" w:rsidRPr="007E2465" w:rsidRDefault="00E52069" w:rsidP="00E52069">
      <w:pPr>
        <w:pStyle w:val="FootnoteText"/>
        <w:rPr>
          <w:rFonts w:ascii="Verdana" w:hAnsi="Verdana" w:cs="Times New Roman"/>
          <w:sz w:val="16"/>
          <w:szCs w:val="16"/>
        </w:rPr>
      </w:pPr>
      <w:r w:rsidRPr="007E2465">
        <w:rPr>
          <w:rStyle w:val="FootnoteReference"/>
          <w:rFonts w:ascii="Verdana" w:hAnsi="Verdana" w:cs="Times New Roman"/>
          <w:sz w:val="16"/>
          <w:szCs w:val="16"/>
        </w:rPr>
        <w:footnoteRef/>
      </w:r>
      <w:r w:rsidRPr="007E2465">
        <w:rPr>
          <w:rFonts w:ascii="Verdana" w:hAnsi="Verdana" w:cs="Times New Roman"/>
          <w:sz w:val="16"/>
          <w:szCs w:val="16"/>
        </w:rPr>
        <w:t xml:space="preserve"> Dit gaat niet over de nationale envelop van het ESF+, maar een fonds binnen het ESF+ specifiek voor innovatie binnen het sociaal domein</w:t>
      </w:r>
    </w:p>
  </w:footnote>
  <w:footnote w:id="6">
    <w:p w14:paraId="497DB367" w14:textId="67D6E32A" w:rsidR="00576035" w:rsidRPr="007E2465" w:rsidRDefault="00576035">
      <w:pPr>
        <w:pStyle w:val="FootnoteText"/>
        <w:rPr>
          <w:rFonts w:ascii="Verdana" w:hAnsi="Verdana" w:cs="Times New Roman"/>
          <w:sz w:val="16"/>
          <w:szCs w:val="16"/>
        </w:rPr>
      </w:pPr>
      <w:r w:rsidRPr="007E2465">
        <w:rPr>
          <w:rStyle w:val="FootnoteReference"/>
          <w:rFonts w:ascii="Verdana" w:hAnsi="Verdana" w:cs="Times New Roman"/>
          <w:sz w:val="16"/>
          <w:szCs w:val="16"/>
        </w:rPr>
        <w:footnoteRef/>
      </w:r>
      <w:r w:rsidRPr="007E2465">
        <w:rPr>
          <w:rFonts w:ascii="Verdana" w:hAnsi="Verdana" w:cs="Times New Roman"/>
          <w:sz w:val="16"/>
          <w:szCs w:val="16"/>
        </w:rPr>
        <w:t xml:space="preserve"> Kamerstuk 24 515, nr. 638</w:t>
      </w:r>
    </w:p>
  </w:footnote>
  <w:footnote w:id="7">
    <w:p w14:paraId="58FDE135" w14:textId="1E41101B" w:rsidR="00A57FFD" w:rsidRDefault="00A57FFD">
      <w:pPr>
        <w:pStyle w:val="FootnoteText"/>
      </w:pPr>
      <w:r w:rsidRPr="007E2465">
        <w:rPr>
          <w:rStyle w:val="FootnoteReference"/>
          <w:rFonts w:ascii="Verdana" w:hAnsi="Verdana" w:cs="Times New Roman"/>
          <w:sz w:val="16"/>
          <w:szCs w:val="16"/>
        </w:rPr>
        <w:footnoteRef/>
      </w:r>
      <w:r w:rsidRPr="007E2465">
        <w:rPr>
          <w:rFonts w:ascii="Verdana" w:hAnsi="Verdana" w:cs="Times New Roman"/>
          <w:sz w:val="16"/>
          <w:szCs w:val="16"/>
        </w:rPr>
        <w:t xml:space="preserve"> </w:t>
      </w:r>
      <w:r w:rsidR="004E4EEE" w:rsidRPr="007E2465">
        <w:rPr>
          <w:rFonts w:ascii="Verdana" w:hAnsi="Verdana" w:cs="Times New Roman"/>
          <w:sz w:val="16"/>
          <w:szCs w:val="16"/>
        </w:rPr>
        <w:t>Kamerstuk 24515 nr. 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4A0" w:firstRow="1" w:lastRow="0" w:firstColumn="1" w:lastColumn="0" w:noHBand="0" w:noVBand="1"/>
    </w:tblPr>
    <w:tblGrid>
      <w:gridCol w:w="3009"/>
      <w:gridCol w:w="3009"/>
      <w:gridCol w:w="3009"/>
    </w:tblGrid>
    <w:tr w:rsidR="192E757F" w14:paraId="286722CA" w14:textId="77777777" w:rsidTr="192E757F">
      <w:tc>
        <w:tcPr>
          <w:tcW w:w="3009" w:type="dxa"/>
        </w:tcPr>
        <w:p w14:paraId="4268FF55" w14:textId="380553BC" w:rsidR="192E757F" w:rsidRDefault="192E757F" w:rsidP="192E757F">
          <w:pPr>
            <w:pStyle w:val="Header"/>
            <w:ind w:left="-115"/>
          </w:pPr>
        </w:p>
      </w:tc>
      <w:tc>
        <w:tcPr>
          <w:tcW w:w="3009" w:type="dxa"/>
        </w:tcPr>
        <w:p w14:paraId="29D75CC8" w14:textId="219EA07C" w:rsidR="192E757F" w:rsidRDefault="192E757F" w:rsidP="192E757F">
          <w:pPr>
            <w:pStyle w:val="Header"/>
            <w:jc w:val="center"/>
          </w:pPr>
        </w:p>
      </w:tc>
      <w:tc>
        <w:tcPr>
          <w:tcW w:w="3009" w:type="dxa"/>
        </w:tcPr>
        <w:p w14:paraId="37285C33" w14:textId="7C8D19DA" w:rsidR="192E757F" w:rsidRDefault="192E757F" w:rsidP="192E757F">
          <w:pPr>
            <w:pStyle w:val="Header"/>
            <w:ind w:right="-115"/>
            <w:jc w:val="right"/>
          </w:pPr>
        </w:p>
      </w:tc>
    </w:tr>
  </w:tbl>
  <w:p w14:paraId="6E929690" w14:textId="3E17EEF7" w:rsidR="192E757F" w:rsidRDefault="192E757F" w:rsidP="192E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60A6"/>
    <w:multiLevelType w:val="hybridMultilevel"/>
    <w:tmpl w:val="2D80D772"/>
    <w:lvl w:ilvl="0" w:tplc="E4E84F0A">
      <w:start w:val="1"/>
      <w:numFmt w:val="lowerLetter"/>
      <w:lvlText w:val="%1."/>
      <w:lvlJc w:val="left"/>
      <w:pPr>
        <w:ind w:left="720" w:hanging="360"/>
      </w:pPr>
    </w:lvl>
    <w:lvl w:ilvl="1" w:tplc="9DD2EF3C">
      <w:start w:val="1"/>
      <w:numFmt w:val="lowerLetter"/>
      <w:lvlText w:val="%2."/>
      <w:lvlJc w:val="left"/>
      <w:pPr>
        <w:ind w:left="1440" w:hanging="360"/>
      </w:pPr>
    </w:lvl>
    <w:lvl w:ilvl="2" w:tplc="8AB8531E">
      <w:start w:val="1"/>
      <w:numFmt w:val="lowerRoman"/>
      <w:lvlText w:val="%3."/>
      <w:lvlJc w:val="right"/>
      <w:pPr>
        <w:ind w:left="2160" w:hanging="180"/>
      </w:pPr>
    </w:lvl>
    <w:lvl w:ilvl="3" w:tplc="196EF1F8">
      <w:start w:val="1"/>
      <w:numFmt w:val="decimal"/>
      <w:lvlText w:val="%4."/>
      <w:lvlJc w:val="left"/>
      <w:pPr>
        <w:ind w:left="2880" w:hanging="360"/>
      </w:pPr>
    </w:lvl>
    <w:lvl w:ilvl="4" w:tplc="61E89CBA">
      <w:start w:val="1"/>
      <w:numFmt w:val="lowerLetter"/>
      <w:lvlText w:val="%5."/>
      <w:lvlJc w:val="left"/>
      <w:pPr>
        <w:ind w:left="3600" w:hanging="360"/>
      </w:pPr>
    </w:lvl>
    <w:lvl w:ilvl="5" w:tplc="002AAF10">
      <w:start w:val="1"/>
      <w:numFmt w:val="lowerRoman"/>
      <w:lvlText w:val="%6."/>
      <w:lvlJc w:val="right"/>
      <w:pPr>
        <w:ind w:left="4320" w:hanging="180"/>
      </w:pPr>
    </w:lvl>
    <w:lvl w:ilvl="6" w:tplc="79923B00">
      <w:start w:val="1"/>
      <w:numFmt w:val="decimal"/>
      <w:lvlText w:val="%7."/>
      <w:lvlJc w:val="left"/>
      <w:pPr>
        <w:ind w:left="5040" w:hanging="360"/>
      </w:pPr>
    </w:lvl>
    <w:lvl w:ilvl="7" w:tplc="C1EC0C7A">
      <w:start w:val="1"/>
      <w:numFmt w:val="lowerLetter"/>
      <w:lvlText w:val="%8."/>
      <w:lvlJc w:val="left"/>
      <w:pPr>
        <w:ind w:left="5760" w:hanging="360"/>
      </w:pPr>
    </w:lvl>
    <w:lvl w:ilvl="8" w:tplc="126403AE">
      <w:start w:val="1"/>
      <w:numFmt w:val="lowerRoman"/>
      <w:lvlText w:val="%9."/>
      <w:lvlJc w:val="right"/>
      <w:pPr>
        <w:ind w:left="6480" w:hanging="180"/>
      </w:pPr>
    </w:lvl>
  </w:abstractNum>
  <w:abstractNum w:abstractNumId="1" w15:restartNumberingAfterBreak="0">
    <w:nsid w:val="182908EB"/>
    <w:multiLevelType w:val="hybridMultilevel"/>
    <w:tmpl w:val="BF4EA86A"/>
    <w:lvl w:ilvl="0" w:tplc="8B3CEF70">
      <w:start w:val="1"/>
      <w:numFmt w:val="lowerLetter"/>
      <w:lvlText w:val="%1."/>
      <w:lvlJc w:val="left"/>
      <w:pPr>
        <w:ind w:left="720" w:hanging="360"/>
      </w:pPr>
    </w:lvl>
    <w:lvl w:ilvl="1" w:tplc="1DE2BCE8">
      <w:start w:val="1"/>
      <w:numFmt w:val="lowerLetter"/>
      <w:lvlText w:val="%2."/>
      <w:lvlJc w:val="left"/>
      <w:pPr>
        <w:ind w:left="1440" w:hanging="360"/>
      </w:pPr>
    </w:lvl>
    <w:lvl w:ilvl="2" w:tplc="BF9C36E6">
      <w:start w:val="1"/>
      <w:numFmt w:val="lowerRoman"/>
      <w:lvlText w:val="%3."/>
      <w:lvlJc w:val="right"/>
      <w:pPr>
        <w:ind w:left="2160" w:hanging="180"/>
      </w:pPr>
    </w:lvl>
    <w:lvl w:ilvl="3" w:tplc="792E6824">
      <w:start w:val="1"/>
      <w:numFmt w:val="decimal"/>
      <w:lvlText w:val="%4."/>
      <w:lvlJc w:val="left"/>
      <w:pPr>
        <w:ind w:left="2880" w:hanging="360"/>
      </w:pPr>
    </w:lvl>
    <w:lvl w:ilvl="4" w:tplc="9336FC00">
      <w:start w:val="1"/>
      <w:numFmt w:val="lowerLetter"/>
      <w:lvlText w:val="%5."/>
      <w:lvlJc w:val="left"/>
      <w:pPr>
        <w:ind w:left="3600" w:hanging="360"/>
      </w:pPr>
    </w:lvl>
    <w:lvl w:ilvl="5" w:tplc="45AC544E">
      <w:start w:val="1"/>
      <w:numFmt w:val="lowerRoman"/>
      <w:lvlText w:val="%6."/>
      <w:lvlJc w:val="right"/>
      <w:pPr>
        <w:ind w:left="4320" w:hanging="180"/>
      </w:pPr>
    </w:lvl>
    <w:lvl w:ilvl="6" w:tplc="89E0E838">
      <w:start w:val="1"/>
      <w:numFmt w:val="decimal"/>
      <w:lvlText w:val="%7."/>
      <w:lvlJc w:val="left"/>
      <w:pPr>
        <w:ind w:left="5040" w:hanging="360"/>
      </w:pPr>
    </w:lvl>
    <w:lvl w:ilvl="7" w:tplc="6A2465DA">
      <w:start w:val="1"/>
      <w:numFmt w:val="lowerLetter"/>
      <w:lvlText w:val="%8."/>
      <w:lvlJc w:val="left"/>
      <w:pPr>
        <w:ind w:left="5760" w:hanging="360"/>
      </w:pPr>
    </w:lvl>
    <w:lvl w:ilvl="8" w:tplc="BBC03568">
      <w:start w:val="1"/>
      <w:numFmt w:val="lowerRoman"/>
      <w:lvlText w:val="%9."/>
      <w:lvlJc w:val="right"/>
      <w:pPr>
        <w:ind w:left="6480" w:hanging="180"/>
      </w:pPr>
    </w:lvl>
  </w:abstractNum>
  <w:abstractNum w:abstractNumId="2" w15:restartNumberingAfterBreak="0">
    <w:nsid w:val="25E16D76"/>
    <w:multiLevelType w:val="hybridMultilevel"/>
    <w:tmpl w:val="3A960AF8"/>
    <w:lvl w:ilvl="0" w:tplc="38BE1B78">
      <w:start w:val="1"/>
      <w:numFmt w:val="lowerLetter"/>
      <w:lvlText w:val="%1."/>
      <w:lvlJc w:val="left"/>
      <w:pPr>
        <w:ind w:left="720" w:hanging="360"/>
      </w:pPr>
    </w:lvl>
    <w:lvl w:ilvl="1" w:tplc="1DEA06DE">
      <w:start w:val="1"/>
      <w:numFmt w:val="lowerLetter"/>
      <w:lvlText w:val="%2."/>
      <w:lvlJc w:val="left"/>
      <w:pPr>
        <w:ind w:left="1440" w:hanging="360"/>
      </w:pPr>
    </w:lvl>
    <w:lvl w:ilvl="2" w:tplc="AB52EFBA">
      <w:start w:val="1"/>
      <w:numFmt w:val="lowerRoman"/>
      <w:lvlText w:val="%3."/>
      <w:lvlJc w:val="right"/>
      <w:pPr>
        <w:ind w:left="2160" w:hanging="180"/>
      </w:pPr>
    </w:lvl>
    <w:lvl w:ilvl="3" w:tplc="60E0E3B6">
      <w:start w:val="1"/>
      <w:numFmt w:val="decimal"/>
      <w:lvlText w:val="%4."/>
      <w:lvlJc w:val="left"/>
      <w:pPr>
        <w:ind w:left="2880" w:hanging="360"/>
      </w:pPr>
    </w:lvl>
    <w:lvl w:ilvl="4" w:tplc="63E6FD30">
      <w:start w:val="1"/>
      <w:numFmt w:val="lowerLetter"/>
      <w:lvlText w:val="%5."/>
      <w:lvlJc w:val="left"/>
      <w:pPr>
        <w:ind w:left="3600" w:hanging="360"/>
      </w:pPr>
    </w:lvl>
    <w:lvl w:ilvl="5" w:tplc="D4348542">
      <w:start w:val="1"/>
      <w:numFmt w:val="lowerRoman"/>
      <w:lvlText w:val="%6."/>
      <w:lvlJc w:val="right"/>
      <w:pPr>
        <w:ind w:left="4320" w:hanging="180"/>
      </w:pPr>
    </w:lvl>
    <w:lvl w:ilvl="6" w:tplc="C3985912">
      <w:start w:val="1"/>
      <w:numFmt w:val="decimal"/>
      <w:lvlText w:val="%7."/>
      <w:lvlJc w:val="left"/>
      <w:pPr>
        <w:ind w:left="5040" w:hanging="360"/>
      </w:pPr>
    </w:lvl>
    <w:lvl w:ilvl="7" w:tplc="9B963078">
      <w:start w:val="1"/>
      <w:numFmt w:val="lowerLetter"/>
      <w:lvlText w:val="%8."/>
      <w:lvlJc w:val="left"/>
      <w:pPr>
        <w:ind w:left="5760" w:hanging="360"/>
      </w:pPr>
    </w:lvl>
    <w:lvl w:ilvl="8" w:tplc="B84CD3B8">
      <w:start w:val="1"/>
      <w:numFmt w:val="lowerRoman"/>
      <w:lvlText w:val="%9."/>
      <w:lvlJc w:val="right"/>
      <w:pPr>
        <w:ind w:left="6480" w:hanging="180"/>
      </w:pPr>
    </w:lvl>
  </w:abstractNum>
  <w:abstractNum w:abstractNumId="3" w15:restartNumberingAfterBreak="0">
    <w:nsid w:val="32830102"/>
    <w:multiLevelType w:val="hybridMultilevel"/>
    <w:tmpl w:val="CE3434FA"/>
    <w:lvl w:ilvl="0" w:tplc="D8167D20">
      <w:start w:val="1"/>
      <w:numFmt w:val="decimal"/>
      <w:lvlText w:val="%1."/>
      <w:lvlJc w:val="left"/>
      <w:pPr>
        <w:ind w:left="720" w:hanging="360"/>
      </w:pPr>
    </w:lvl>
    <w:lvl w:ilvl="1" w:tplc="B3845814">
      <w:start w:val="1"/>
      <w:numFmt w:val="lowerLetter"/>
      <w:lvlText w:val="%2."/>
      <w:lvlJc w:val="left"/>
      <w:pPr>
        <w:ind w:left="1440" w:hanging="360"/>
      </w:pPr>
    </w:lvl>
    <w:lvl w:ilvl="2" w:tplc="5EFC6A04">
      <w:start w:val="1"/>
      <w:numFmt w:val="lowerRoman"/>
      <w:lvlText w:val="%3."/>
      <w:lvlJc w:val="right"/>
      <w:pPr>
        <w:ind w:left="2160" w:hanging="180"/>
      </w:pPr>
    </w:lvl>
    <w:lvl w:ilvl="3" w:tplc="961C1BB0">
      <w:start w:val="1"/>
      <w:numFmt w:val="decimal"/>
      <w:lvlText w:val="%4."/>
      <w:lvlJc w:val="left"/>
      <w:pPr>
        <w:ind w:left="2880" w:hanging="360"/>
      </w:pPr>
    </w:lvl>
    <w:lvl w:ilvl="4" w:tplc="7C3C6CDA">
      <w:start w:val="1"/>
      <w:numFmt w:val="lowerLetter"/>
      <w:lvlText w:val="%5."/>
      <w:lvlJc w:val="left"/>
      <w:pPr>
        <w:ind w:left="3600" w:hanging="360"/>
      </w:pPr>
    </w:lvl>
    <w:lvl w:ilvl="5" w:tplc="86829866">
      <w:start w:val="1"/>
      <w:numFmt w:val="lowerRoman"/>
      <w:lvlText w:val="%6."/>
      <w:lvlJc w:val="right"/>
      <w:pPr>
        <w:ind w:left="4320" w:hanging="180"/>
      </w:pPr>
    </w:lvl>
    <w:lvl w:ilvl="6" w:tplc="1EBA22F6">
      <w:start w:val="1"/>
      <w:numFmt w:val="decimal"/>
      <w:lvlText w:val="%7."/>
      <w:lvlJc w:val="left"/>
      <w:pPr>
        <w:ind w:left="5040" w:hanging="360"/>
      </w:pPr>
    </w:lvl>
    <w:lvl w:ilvl="7" w:tplc="B70A94A4">
      <w:start w:val="1"/>
      <w:numFmt w:val="lowerLetter"/>
      <w:lvlText w:val="%8."/>
      <w:lvlJc w:val="left"/>
      <w:pPr>
        <w:ind w:left="5760" w:hanging="360"/>
      </w:pPr>
    </w:lvl>
    <w:lvl w:ilvl="8" w:tplc="E73CA0F0">
      <w:start w:val="1"/>
      <w:numFmt w:val="lowerRoman"/>
      <w:lvlText w:val="%9."/>
      <w:lvlJc w:val="right"/>
      <w:pPr>
        <w:ind w:left="6480" w:hanging="180"/>
      </w:pPr>
    </w:lvl>
  </w:abstractNum>
  <w:abstractNum w:abstractNumId="4" w15:restartNumberingAfterBreak="0">
    <w:nsid w:val="470F427F"/>
    <w:multiLevelType w:val="hybridMultilevel"/>
    <w:tmpl w:val="75526858"/>
    <w:lvl w:ilvl="0" w:tplc="732E45C8">
      <w:start w:val="1"/>
      <w:numFmt w:val="decimal"/>
      <w:lvlText w:val="%1."/>
      <w:lvlJc w:val="left"/>
      <w:pPr>
        <w:ind w:left="720" w:hanging="360"/>
      </w:pPr>
    </w:lvl>
    <w:lvl w:ilvl="1" w:tplc="9C88A85E">
      <w:start w:val="1"/>
      <w:numFmt w:val="lowerLetter"/>
      <w:lvlText w:val="%2."/>
      <w:lvlJc w:val="left"/>
      <w:pPr>
        <w:ind w:left="1440" w:hanging="360"/>
      </w:pPr>
    </w:lvl>
    <w:lvl w:ilvl="2" w:tplc="9942EF34">
      <w:start w:val="1"/>
      <w:numFmt w:val="lowerRoman"/>
      <w:lvlText w:val="%3."/>
      <w:lvlJc w:val="right"/>
      <w:pPr>
        <w:ind w:left="2160" w:hanging="180"/>
      </w:pPr>
    </w:lvl>
    <w:lvl w:ilvl="3" w:tplc="1D28C704">
      <w:start w:val="1"/>
      <w:numFmt w:val="decimal"/>
      <w:lvlText w:val="%4."/>
      <w:lvlJc w:val="left"/>
      <w:pPr>
        <w:ind w:left="2880" w:hanging="360"/>
      </w:pPr>
    </w:lvl>
    <w:lvl w:ilvl="4" w:tplc="9D6A9494">
      <w:start w:val="1"/>
      <w:numFmt w:val="lowerLetter"/>
      <w:lvlText w:val="%5."/>
      <w:lvlJc w:val="left"/>
      <w:pPr>
        <w:ind w:left="3600" w:hanging="360"/>
      </w:pPr>
    </w:lvl>
    <w:lvl w:ilvl="5" w:tplc="730CFD34">
      <w:start w:val="1"/>
      <w:numFmt w:val="lowerRoman"/>
      <w:lvlText w:val="%6."/>
      <w:lvlJc w:val="right"/>
      <w:pPr>
        <w:ind w:left="4320" w:hanging="180"/>
      </w:pPr>
    </w:lvl>
    <w:lvl w:ilvl="6" w:tplc="4F5497E0">
      <w:start w:val="1"/>
      <w:numFmt w:val="decimal"/>
      <w:lvlText w:val="%7."/>
      <w:lvlJc w:val="left"/>
      <w:pPr>
        <w:ind w:left="5040" w:hanging="360"/>
      </w:pPr>
    </w:lvl>
    <w:lvl w:ilvl="7" w:tplc="F38CF0AC">
      <w:start w:val="1"/>
      <w:numFmt w:val="lowerLetter"/>
      <w:lvlText w:val="%8."/>
      <w:lvlJc w:val="left"/>
      <w:pPr>
        <w:ind w:left="5760" w:hanging="360"/>
      </w:pPr>
    </w:lvl>
    <w:lvl w:ilvl="8" w:tplc="BBF63EA0">
      <w:start w:val="1"/>
      <w:numFmt w:val="lowerRoman"/>
      <w:lvlText w:val="%9."/>
      <w:lvlJc w:val="right"/>
      <w:pPr>
        <w:ind w:left="6480" w:hanging="180"/>
      </w:pPr>
    </w:lvl>
  </w:abstractNum>
  <w:abstractNum w:abstractNumId="5" w15:restartNumberingAfterBreak="0">
    <w:nsid w:val="601F4847"/>
    <w:multiLevelType w:val="hybridMultilevel"/>
    <w:tmpl w:val="16A64F7A"/>
    <w:lvl w:ilvl="0" w:tplc="8AE4E0DE">
      <w:start w:val="1"/>
      <w:numFmt w:val="decimal"/>
      <w:lvlText w:val="%1."/>
      <w:lvlJc w:val="left"/>
      <w:pPr>
        <w:ind w:left="360" w:hanging="360"/>
      </w:pPr>
      <w:rPr>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78FF33D9"/>
    <w:multiLevelType w:val="hybridMultilevel"/>
    <w:tmpl w:val="ED628B70"/>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7E426F5C"/>
    <w:multiLevelType w:val="hybridMultilevel"/>
    <w:tmpl w:val="E0E08C40"/>
    <w:lvl w:ilvl="0" w:tplc="0212C948">
      <w:start w:val="1"/>
      <w:numFmt w:val="lowerLetter"/>
      <w:lvlText w:val="%1."/>
      <w:lvlJc w:val="left"/>
      <w:pPr>
        <w:ind w:left="720" w:hanging="360"/>
      </w:pPr>
    </w:lvl>
    <w:lvl w:ilvl="1" w:tplc="6C1CFC96">
      <w:start w:val="1"/>
      <w:numFmt w:val="lowerLetter"/>
      <w:lvlText w:val="%2."/>
      <w:lvlJc w:val="left"/>
      <w:pPr>
        <w:ind w:left="1440" w:hanging="360"/>
      </w:pPr>
    </w:lvl>
    <w:lvl w:ilvl="2" w:tplc="BE7067D0">
      <w:start w:val="1"/>
      <w:numFmt w:val="lowerRoman"/>
      <w:lvlText w:val="%3."/>
      <w:lvlJc w:val="right"/>
      <w:pPr>
        <w:ind w:left="2160" w:hanging="180"/>
      </w:pPr>
    </w:lvl>
    <w:lvl w:ilvl="3" w:tplc="2A1CD22A">
      <w:start w:val="1"/>
      <w:numFmt w:val="decimal"/>
      <w:lvlText w:val="%4."/>
      <w:lvlJc w:val="left"/>
      <w:pPr>
        <w:ind w:left="2880" w:hanging="360"/>
      </w:pPr>
    </w:lvl>
    <w:lvl w:ilvl="4" w:tplc="4E94DE9A">
      <w:start w:val="1"/>
      <w:numFmt w:val="lowerLetter"/>
      <w:lvlText w:val="%5."/>
      <w:lvlJc w:val="left"/>
      <w:pPr>
        <w:ind w:left="3600" w:hanging="360"/>
      </w:pPr>
    </w:lvl>
    <w:lvl w:ilvl="5" w:tplc="572828E0">
      <w:start w:val="1"/>
      <w:numFmt w:val="lowerRoman"/>
      <w:lvlText w:val="%6."/>
      <w:lvlJc w:val="right"/>
      <w:pPr>
        <w:ind w:left="4320" w:hanging="180"/>
      </w:pPr>
    </w:lvl>
    <w:lvl w:ilvl="6" w:tplc="9F9EE138">
      <w:start w:val="1"/>
      <w:numFmt w:val="decimal"/>
      <w:lvlText w:val="%7."/>
      <w:lvlJc w:val="left"/>
      <w:pPr>
        <w:ind w:left="5040" w:hanging="360"/>
      </w:pPr>
    </w:lvl>
    <w:lvl w:ilvl="7" w:tplc="D68E8276">
      <w:start w:val="1"/>
      <w:numFmt w:val="lowerLetter"/>
      <w:lvlText w:val="%8."/>
      <w:lvlJc w:val="left"/>
      <w:pPr>
        <w:ind w:left="5760" w:hanging="360"/>
      </w:pPr>
    </w:lvl>
    <w:lvl w:ilvl="8" w:tplc="8E5A8764">
      <w:start w:val="1"/>
      <w:numFmt w:val="lowerRoman"/>
      <w:lvlText w:val="%9."/>
      <w:lvlJc w:val="right"/>
      <w:pPr>
        <w:ind w:left="6480" w:hanging="180"/>
      </w:pPr>
    </w:lvl>
  </w:abstractNum>
  <w:num w:numId="1" w16cid:durableId="1061949162">
    <w:abstractNumId w:val="1"/>
  </w:num>
  <w:num w:numId="2" w16cid:durableId="1749112402">
    <w:abstractNumId w:val="0"/>
  </w:num>
  <w:num w:numId="3" w16cid:durableId="2084643204">
    <w:abstractNumId w:val="7"/>
  </w:num>
  <w:num w:numId="4" w16cid:durableId="486938208">
    <w:abstractNumId w:val="4"/>
  </w:num>
  <w:num w:numId="5" w16cid:durableId="1860200798">
    <w:abstractNumId w:val="2"/>
  </w:num>
  <w:num w:numId="6" w16cid:durableId="660044574">
    <w:abstractNumId w:val="3"/>
  </w:num>
  <w:num w:numId="7" w16cid:durableId="1042710396">
    <w:abstractNumId w:val="5"/>
  </w:num>
  <w:num w:numId="8" w16cid:durableId="3434345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3574FD2"/>
    <w:rsid w:val="000008B8"/>
    <w:rsid w:val="000009FE"/>
    <w:rsid w:val="00001FB7"/>
    <w:rsid w:val="00007694"/>
    <w:rsid w:val="000122F3"/>
    <w:rsid w:val="00013760"/>
    <w:rsid w:val="000146D4"/>
    <w:rsid w:val="00016274"/>
    <w:rsid w:val="0002271F"/>
    <w:rsid w:val="00027F77"/>
    <w:rsid w:val="00036430"/>
    <w:rsid w:val="00055F9C"/>
    <w:rsid w:val="0006591A"/>
    <w:rsid w:val="0007139B"/>
    <w:rsid w:val="00080466"/>
    <w:rsid w:val="0008061D"/>
    <w:rsid w:val="00091502"/>
    <w:rsid w:val="00094674"/>
    <w:rsid w:val="000949C5"/>
    <w:rsid w:val="00096070"/>
    <w:rsid w:val="000D215A"/>
    <w:rsid w:val="000D74D0"/>
    <w:rsid w:val="000E4F66"/>
    <w:rsid w:val="000E5D9B"/>
    <w:rsid w:val="000E7CCD"/>
    <w:rsid w:val="000F58A2"/>
    <w:rsid w:val="001038CA"/>
    <w:rsid w:val="00105301"/>
    <w:rsid w:val="0010782F"/>
    <w:rsid w:val="00132A40"/>
    <w:rsid w:val="00142A76"/>
    <w:rsid w:val="001430DA"/>
    <w:rsid w:val="00151D08"/>
    <w:rsid w:val="00152279"/>
    <w:rsid w:val="00163CD2"/>
    <w:rsid w:val="00170A1C"/>
    <w:rsid w:val="00172C63"/>
    <w:rsid w:val="001764CA"/>
    <w:rsid w:val="00185F74"/>
    <w:rsid w:val="001C197E"/>
    <w:rsid w:val="001E2293"/>
    <w:rsid w:val="001F2D40"/>
    <w:rsid w:val="001F6547"/>
    <w:rsid w:val="00200B76"/>
    <w:rsid w:val="002079A7"/>
    <w:rsid w:val="00221B08"/>
    <w:rsid w:val="002224C6"/>
    <w:rsid w:val="00224B8F"/>
    <w:rsid w:val="0023229B"/>
    <w:rsid w:val="002417C2"/>
    <w:rsid w:val="00243896"/>
    <w:rsid w:val="002451D5"/>
    <w:rsid w:val="00252718"/>
    <w:rsid w:val="00270ED6"/>
    <w:rsid w:val="00274C6A"/>
    <w:rsid w:val="00282CD5"/>
    <w:rsid w:val="002833F3"/>
    <w:rsid w:val="002865C4"/>
    <w:rsid w:val="00294C95"/>
    <w:rsid w:val="00297A84"/>
    <w:rsid w:val="002A6214"/>
    <w:rsid w:val="002B14B1"/>
    <w:rsid w:val="002B548B"/>
    <w:rsid w:val="002D50F6"/>
    <w:rsid w:val="002E58B1"/>
    <w:rsid w:val="0030279B"/>
    <w:rsid w:val="00307D3B"/>
    <w:rsid w:val="00320C4C"/>
    <w:rsid w:val="00325813"/>
    <w:rsid w:val="00327BF0"/>
    <w:rsid w:val="0033091E"/>
    <w:rsid w:val="00341E33"/>
    <w:rsid w:val="00347552"/>
    <w:rsid w:val="00356254"/>
    <w:rsid w:val="003B2646"/>
    <w:rsid w:val="003B2E5E"/>
    <w:rsid w:val="003B31F2"/>
    <w:rsid w:val="003B38C6"/>
    <w:rsid w:val="003D12D3"/>
    <w:rsid w:val="003E02C8"/>
    <w:rsid w:val="003E223C"/>
    <w:rsid w:val="003E7280"/>
    <w:rsid w:val="003F3092"/>
    <w:rsid w:val="003F6A97"/>
    <w:rsid w:val="003F78DE"/>
    <w:rsid w:val="00402DB2"/>
    <w:rsid w:val="00406CC3"/>
    <w:rsid w:val="00413C01"/>
    <w:rsid w:val="00415A47"/>
    <w:rsid w:val="00415AC7"/>
    <w:rsid w:val="00422275"/>
    <w:rsid w:val="0042241F"/>
    <w:rsid w:val="0043267E"/>
    <w:rsid w:val="004338FE"/>
    <w:rsid w:val="00436AA7"/>
    <w:rsid w:val="00440BC5"/>
    <w:rsid w:val="00443679"/>
    <w:rsid w:val="00453F7A"/>
    <w:rsid w:val="00457FBE"/>
    <w:rsid w:val="004753D5"/>
    <w:rsid w:val="004838D2"/>
    <w:rsid w:val="00484271"/>
    <w:rsid w:val="004851B0"/>
    <w:rsid w:val="004A0E50"/>
    <w:rsid w:val="004A2761"/>
    <w:rsid w:val="004A4BA4"/>
    <w:rsid w:val="004A61A7"/>
    <w:rsid w:val="004B5B1A"/>
    <w:rsid w:val="004C244E"/>
    <w:rsid w:val="004D4FD3"/>
    <w:rsid w:val="004E2C99"/>
    <w:rsid w:val="004E4EEE"/>
    <w:rsid w:val="0050124D"/>
    <w:rsid w:val="0051116E"/>
    <w:rsid w:val="00513EE2"/>
    <w:rsid w:val="0051474D"/>
    <w:rsid w:val="00515096"/>
    <w:rsid w:val="005177F0"/>
    <w:rsid w:val="005225F7"/>
    <w:rsid w:val="00527000"/>
    <w:rsid w:val="0054160F"/>
    <w:rsid w:val="0056205C"/>
    <w:rsid w:val="0057274D"/>
    <w:rsid w:val="00576035"/>
    <w:rsid w:val="00577B19"/>
    <w:rsid w:val="00577D56"/>
    <w:rsid w:val="00586F5F"/>
    <w:rsid w:val="00590B81"/>
    <w:rsid w:val="005912C9"/>
    <w:rsid w:val="005A4A2D"/>
    <w:rsid w:val="005A5212"/>
    <w:rsid w:val="005A5EBD"/>
    <w:rsid w:val="005B76C7"/>
    <w:rsid w:val="005D2D85"/>
    <w:rsid w:val="005D43A8"/>
    <w:rsid w:val="005E183E"/>
    <w:rsid w:val="005E7D42"/>
    <w:rsid w:val="005F1136"/>
    <w:rsid w:val="005F3248"/>
    <w:rsid w:val="005F5EF3"/>
    <w:rsid w:val="005F6B1E"/>
    <w:rsid w:val="005F7B91"/>
    <w:rsid w:val="006000DE"/>
    <w:rsid w:val="00606A9E"/>
    <w:rsid w:val="006131A7"/>
    <w:rsid w:val="00621DAD"/>
    <w:rsid w:val="00622F8F"/>
    <w:rsid w:val="00623A1E"/>
    <w:rsid w:val="00624C49"/>
    <w:rsid w:val="00624DF3"/>
    <w:rsid w:val="00632954"/>
    <w:rsid w:val="0063393D"/>
    <w:rsid w:val="00652109"/>
    <w:rsid w:val="006540BE"/>
    <w:rsid w:val="00657048"/>
    <w:rsid w:val="006658E1"/>
    <w:rsid w:val="00672B5F"/>
    <w:rsid w:val="006748B5"/>
    <w:rsid w:val="00675761"/>
    <w:rsid w:val="0068487F"/>
    <w:rsid w:val="00697C3A"/>
    <w:rsid w:val="006A6E54"/>
    <w:rsid w:val="006A7C61"/>
    <w:rsid w:val="006B21B6"/>
    <w:rsid w:val="006B60FE"/>
    <w:rsid w:val="006C0CF1"/>
    <w:rsid w:val="006C11CF"/>
    <w:rsid w:val="006C42D6"/>
    <w:rsid w:val="006C50B2"/>
    <w:rsid w:val="006D07A6"/>
    <w:rsid w:val="006E1481"/>
    <w:rsid w:val="006E53D9"/>
    <w:rsid w:val="00711EC8"/>
    <w:rsid w:val="0071451F"/>
    <w:rsid w:val="00714CAC"/>
    <w:rsid w:val="00723D7C"/>
    <w:rsid w:val="007376EA"/>
    <w:rsid w:val="00746DA9"/>
    <w:rsid w:val="00746E52"/>
    <w:rsid w:val="007513EF"/>
    <w:rsid w:val="00753210"/>
    <w:rsid w:val="00754168"/>
    <w:rsid w:val="00763B20"/>
    <w:rsid w:val="00772B03"/>
    <w:rsid w:val="00796861"/>
    <w:rsid w:val="00797BBE"/>
    <w:rsid w:val="007B2A32"/>
    <w:rsid w:val="007B2FD8"/>
    <w:rsid w:val="007C0B38"/>
    <w:rsid w:val="007C1042"/>
    <w:rsid w:val="007C16E2"/>
    <w:rsid w:val="007C7B79"/>
    <w:rsid w:val="007D5930"/>
    <w:rsid w:val="007E0442"/>
    <w:rsid w:val="007E2465"/>
    <w:rsid w:val="007E3032"/>
    <w:rsid w:val="007E74B2"/>
    <w:rsid w:val="007F0F15"/>
    <w:rsid w:val="007F3255"/>
    <w:rsid w:val="007F5ED5"/>
    <w:rsid w:val="007F632F"/>
    <w:rsid w:val="00801D8C"/>
    <w:rsid w:val="00804100"/>
    <w:rsid w:val="0080443E"/>
    <w:rsid w:val="0081743C"/>
    <w:rsid w:val="00826049"/>
    <w:rsid w:val="00827E35"/>
    <w:rsid w:val="008328FF"/>
    <w:rsid w:val="008462CF"/>
    <w:rsid w:val="00850EE4"/>
    <w:rsid w:val="008666B6"/>
    <w:rsid w:val="008670ED"/>
    <w:rsid w:val="00872D9D"/>
    <w:rsid w:val="00874318"/>
    <w:rsid w:val="00874B9C"/>
    <w:rsid w:val="00882B3C"/>
    <w:rsid w:val="00884B81"/>
    <w:rsid w:val="008915CA"/>
    <w:rsid w:val="00892F6C"/>
    <w:rsid w:val="00895303"/>
    <w:rsid w:val="008A20D3"/>
    <w:rsid w:val="008A7988"/>
    <w:rsid w:val="008B3420"/>
    <w:rsid w:val="008B54C0"/>
    <w:rsid w:val="008D0EBB"/>
    <w:rsid w:val="008D6485"/>
    <w:rsid w:val="008D7764"/>
    <w:rsid w:val="008E3F8E"/>
    <w:rsid w:val="008E7BA5"/>
    <w:rsid w:val="008F2FD5"/>
    <w:rsid w:val="008F4650"/>
    <w:rsid w:val="009073E5"/>
    <w:rsid w:val="009111E0"/>
    <w:rsid w:val="00913828"/>
    <w:rsid w:val="0091433B"/>
    <w:rsid w:val="00920EFB"/>
    <w:rsid w:val="00924CC3"/>
    <w:rsid w:val="00925E5A"/>
    <w:rsid w:val="00932068"/>
    <w:rsid w:val="009336EB"/>
    <w:rsid w:val="00942CD4"/>
    <w:rsid w:val="009450F3"/>
    <w:rsid w:val="009469D3"/>
    <w:rsid w:val="0094785B"/>
    <w:rsid w:val="00952F81"/>
    <w:rsid w:val="00954F25"/>
    <w:rsid w:val="00960BC9"/>
    <w:rsid w:val="009647E0"/>
    <w:rsid w:val="00971550"/>
    <w:rsid w:val="00981A82"/>
    <w:rsid w:val="009833D0"/>
    <w:rsid w:val="0099619B"/>
    <w:rsid w:val="009A6B13"/>
    <w:rsid w:val="009A7806"/>
    <w:rsid w:val="009A7D81"/>
    <w:rsid w:val="009B36B1"/>
    <w:rsid w:val="009B3917"/>
    <w:rsid w:val="009C24D1"/>
    <w:rsid w:val="009E32B6"/>
    <w:rsid w:val="009F4A0E"/>
    <w:rsid w:val="009F668F"/>
    <w:rsid w:val="009F6B99"/>
    <w:rsid w:val="00A06616"/>
    <w:rsid w:val="00A071B8"/>
    <w:rsid w:val="00A11D32"/>
    <w:rsid w:val="00A13481"/>
    <w:rsid w:val="00A50C4F"/>
    <w:rsid w:val="00A57FFD"/>
    <w:rsid w:val="00A60D40"/>
    <w:rsid w:val="00A63283"/>
    <w:rsid w:val="00A657E6"/>
    <w:rsid w:val="00A73757"/>
    <w:rsid w:val="00A75F89"/>
    <w:rsid w:val="00A8004C"/>
    <w:rsid w:val="00A81718"/>
    <w:rsid w:val="00A84385"/>
    <w:rsid w:val="00A93FA3"/>
    <w:rsid w:val="00A97A0E"/>
    <w:rsid w:val="00AA580D"/>
    <w:rsid w:val="00AB3E96"/>
    <w:rsid w:val="00AC10CC"/>
    <w:rsid w:val="00AC3141"/>
    <w:rsid w:val="00AD78F9"/>
    <w:rsid w:val="00AE013E"/>
    <w:rsid w:val="00AF4B09"/>
    <w:rsid w:val="00AF610A"/>
    <w:rsid w:val="00AF74BB"/>
    <w:rsid w:val="00B115CC"/>
    <w:rsid w:val="00B21C7B"/>
    <w:rsid w:val="00B34DAC"/>
    <w:rsid w:val="00B50860"/>
    <w:rsid w:val="00B5304D"/>
    <w:rsid w:val="00B55530"/>
    <w:rsid w:val="00B56B81"/>
    <w:rsid w:val="00B60D71"/>
    <w:rsid w:val="00B67AB7"/>
    <w:rsid w:val="00B67F95"/>
    <w:rsid w:val="00B841F2"/>
    <w:rsid w:val="00B850C5"/>
    <w:rsid w:val="00B9012E"/>
    <w:rsid w:val="00B93A62"/>
    <w:rsid w:val="00B94189"/>
    <w:rsid w:val="00B947DE"/>
    <w:rsid w:val="00B949C4"/>
    <w:rsid w:val="00BA3811"/>
    <w:rsid w:val="00BC1156"/>
    <w:rsid w:val="00BC58EC"/>
    <w:rsid w:val="00BF0261"/>
    <w:rsid w:val="00BF2B06"/>
    <w:rsid w:val="00BF6550"/>
    <w:rsid w:val="00BF69D2"/>
    <w:rsid w:val="00C02D83"/>
    <w:rsid w:val="00C05A31"/>
    <w:rsid w:val="00C07179"/>
    <w:rsid w:val="00C07440"/>
    <w:rsid w:val="00C113F2"/>
    <w:rsid w:val="00C1188F"/>
    <w:rsid w:val="00C1385C"/>
    <w:rsid w:val="00C15FBF"/>
    <w:rsid w:val="00C22996"/>
    <w:rsid w:val="00C24CF1"/>
    <w:rsid w:val="00C24FBC"/>
    <w:rsid w:val="00C25E0C"/>
    <w:rsid w:val="00C27914"/>
    <w:rsid w:val="00C37CB0"/>
    <w:rsid w:val="00C42DCB"/>
    <w:rsid w:val="00C512E2"/>
    <w:rsid w:val="00C5532A"/>
    <w:rsid w:val="00C55355"/>
    <w:rsid w:val="00C561BC"/>
    <w:rsid w:val="00C778FF"/>
    <w:rsid w:val="00CA64ED"/>
    <w:rsid w:val="00CB4DAE"/>
    <w:rsid w:val="00CC48A1"/>
    <w:rsid w:val="00CD0D63"/>
    <w:rsid w:val="00CD286A"/>
    <w:rsid w:val="00CE27DC"/>
    <w:rsid w:val="00D03338"/>
    <w:rsid w:val="00D067D4"/>
    <w:rsid w:val="00D12948"/>
    <w:rsid w:val="00D161EC"/>
    <w:rsid w:val="00D31A43"/>
    <w:rsid w:val="00D412ED"/>
    <w:rsid w:val="00D462F6"/>
    <w:rsid w:val="00D61532"/>
    <w:rsid w:val="00D622CD"/>
    <w:rsid w:val="00D80030"/>
    <w:rsid w:val="00D96D95"/>
    <w:rsid w:val="00DA37BE"/>
    <w:rsid w:val="00DD2D5B"/>
    <w:rsid w:val="00DD3BAA"/>
    <w:rsid w:val="00DE1781"/>
    <w:rsid w:val="00DE4AC6"/>
    <w:rsid w:val="00DE4D21"/>
    <w:rsid w:val="00DE654C"/>
    <w:rsid w:val="00DF0321"/>
    <w:rsid w:val="00DF1904"/>
    <w:rsid w:val="00E00530"/>
    <w:rsid w:val="00E15566"/>
    <w:rsid w:val="00E27AB2"/>
    <w:rsid w:val="00E31EE9"/>
    <w:rsid w:val="00E33BB0"/>
    <w:rsid w:val="00E34E43"/>
    <w:rsid w:val="00E35A90"/>
    <w:rsid w:val="00E4242D"/>
    <w:rsid w:val="00E4294E"/>
    <w:rsid w:val="00E519F4"/>
    <w:rsid w:val="00E52069"/>
    <w:rsid w:val="00E55397"/>
    <w:rsid w:val="00E80C9B"/>
    <w:rsid w:val="00E83DC0"/>
    <w:rsid w:val="00EA051F"/>
    <w:rsid w:val="00EA0F6D"/>
    <w:rsid w:val="00EA4DCD"/>
    <w:rsid w:val="00EA610E"/>
    <w:rsid w:val="00EB2AFA"/>
    <w:rsid w:val="00EB5064"/>
    <w:rsid w:val="00EB605C"/>
    <w:rsid w:val="00EB76EB"/>
    <w:rsid w:val="00EC7A86"/>
    <w:rsid w:val="00ED59DD"/>
    <w:rsid w:val="00EE4FC0"/>
    <w:rsid w:val="00EE70FF"/>
    <w:rsid w:val="00EF164F"/>
    <w:rsid w:val="00EF72AC"/>
    <w:rsid w:val="00F0250A"/>
    <w:rsid w:val="00F12ED1"/>
    <w:rsid w:val="00F13CF0"/>
    <w:rsid w:val="00F20294"/>
    <w:rsid w:val="00F204B6"/>
    <w:rsid w:val="00F312A5"/>
    <w:rsid w:val="00F402B7"/>
    <w:rsid w:val="00F41342"/>
    <w:rsid w:val="00F42DB4"/>
    <w:rsid w:val="00F544DC"/>
    <w:rsid w:val="00F55204"/>
    <w:rsid w:val="00F661B6"/>
    <w:rsid w:val="00F66E44"/>
    <w:rsid w:val="00F71E7B"/>
    <w:rsid w:val="00F75826"/>
    <w:rsid w:val="00F80A2C"/>
    <w:rsid w:val="00F85CD0"/>
    <w:rsid w:val="00FA1C56"/>
    <w:rsid w:val="00FA5132"/>
    <w:rsid w:val="00FA5D14"/>
    <w:rsid w:val="00FB5854"/>
    <w:rsid w:val="00FB6497"/>
    <w:rsid w:val="00FC185D"/>
    <w:rsid w:val="00FD306D"/>
    <w:rsid w:val="00FD44E1"/>
    <w:rsid w:val="00FD6A9C"/>
    <w:rsid w:val="00FE09B1"/>
    <w:rsid w:val="00FE5243"/>
    <w:rsid w:val="00FF162B"/>
    <w:rsid w:val="00FF4427"/>
    <w:rsid w:val="01027676"/>
    <w:rsid w:val="05BBEE21"/>
    <w:rsid w:val="071C293F"/>
    <w:rsid w:val="077C8CE7"/>
    <w:rsid w:val="0DFBD4A0"/>
    <w:rsid w:val="12EB8383"/>
    <w:rsid w:val="165CD4AA"/>
    <w:rsid w:val="16AE72E9"/>
    <w:rsid w:val="192E757F"/>
    <w:rsid w:val="2364DA2F"/>
    <w:rsid w:val="2E1B59D3"/>
    <w:rsid w:val="2F161E45"/>
    <w:rsid w:val="3114C0EA"/>
    <w:rsid w:val="3150C39C"/>
    <w:rsid w:val="352C1BAE"/>
    <w:rsid w:val="3580FF13"/>
    <w:rsid w:val="36031FD7"/>
    <w:rsid w:val="37CA8BF9"/>
    <w:rsid w:val="3AC131DB"/>
    <w:rsid w:val="43574FD2"/>
    <w:rsid w:val="4A2E7B23"/>
    <w:rsid w:val="4E925880"/>
    <w:rsid w:val="5477E6C4"/>
    <w:rsid w:val="5645D413"/>
    <w:rsid w:val="59F88887"/>
    <w:rsid w:val="5B8907C6"/>
    <w:rsid w:val="5CF2BB90"/>
    <w:rsid w:val="66AC391C"/>
    <w:rsid w:val="6A1272C4"/>
    <w:rsid w:val="6B9317F2"/>
    <w:rsid w:val="6CE300F8"/>
    <w:rsid w:val="6E5FB77A"/>
    <w:rsid w:val="761536DE"/>
    <w:rsid w:val="7CD54586"/>
    <w:rsid w:val="7FA1B06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4A28A"/>
  <w15:chartTrackingRefBased/>
  <w15:docId w15:val="{6933F7D1-3E0B-4A95-8059-6F1EB0063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semiHidden/>
    <w:unhideWhenUsed/>
    <w:rPr>
      <w:vertAlign w:val="superscript"/>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noteTextChar">
    <w:name w:val="Footnote Text Char"/>
    <w:basedOn w:val="DefaultParagraphFont"/>
    <w:link w:val="FootnoteText"/>
    <w:semiHidden/>
    <w:rPr>
      <w:sz w:val="20"/>
      <w:szCs w:val="20"/>
    </w:rPr>
  </w:style>
  <w:style w:type="paragraph" w:styleId="FootnoteText">
    <w:name w:val="footnote text"/>
    <w:basedOn w:val="Normal"/>
    <w:link w:val="FootnoteTextChar"/>
    <w:semiHidden/>
    <w:unhideWhenUsed/>
    <w:pPr>
      <w:spacing w:after="0" w:line="240" w:lineRule="auto"/>
    </w:pPr>
    <w:rPr>
      <w:sz w:val="20"/>
      <w:szCs w:val="20"/>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unhideWhenUsed/>
    <w:rPr>
      <w:sz w:val="16"/>
      <w:szCs w:val="16"/>
    </w:rPr>
  </w:style>
  <w:style w:type="paragraph" w:styleId="CommentSubject">
    <w:name w:val="annotation subject"/>
    <w:basedOn w:val="CommentText"/>
    <w:next w:val="CommentText"/>
    <w:link w:val="CommentSubjectChar"/>
    <w:uiPriority w:val="99"/>
    <w:semiHidden/>
    <w:unhideWhenUsed/>
    <w:rsid w:val="003F6A97"/>
    <w:rPr>
      <w:b/>
      <w:bCs/>
    </w:rPr>
  </w:style>
  <w:style w:type="character" w:customStyle="1" w:styleId="CommentSubjectChar">
    <w:name w:val="Comment Subject Char"/>
    <w:basedOn w:val="CommentTextChar"/>
    <w:link w:val="CommentSubject"/>
    <w:uiPriority w:val="99"/>
    <w:semiHidden/>
    <w:rsid w:val="003F6A97"/>
    <w:rPr>
      <w:b/>
      <w:bCs/>
      <w:sz w:val="20"/>
      <w:szCs w:val="20"/>
    </w:rPr>
  </w:style>
  <w:style w:type="paragraph" w:styleId="Revision">
    <w:name w:val="Revision"/>
    <w:hidden/>
    <w:uiPriority w:val="99"/>
    <w:semiHidden/>
    <w:rsid w:val="00A57FFD"/>
    <w:pPr>
      <w:spacing w:after="0" w:line="240" w:lineRule="auto"/>
    </w:pPr>
  </w:style>
  <w:style w:type="character" w:styleId="UnresolvedMention">
    <w:name w:val="Unresolved Mention"/>
    <w:basedOn w:val="DefaultParagraphFont"/>
    <w:uiPriority w:val="99"/>
    <w:semiHidden/>
    <w:unhideWhenUsed/>
    <w:rsid w:val="00FB5854"/>
    <w:rPr>
      <w:color w:val="605E5C"/>
      <w:shd w:val="clear" w:color="auto" w:fill="E1DFDD"/>
    </w:rPr>
  </w:style>
  <w:style w:type="paragraph" w:styleId="NormalWeb">
    <w:name w:val="Normal (Web)"/>
    <w:basedOn w:val="Normal"/>
    <w:uiPriority w:val="99"/>
    <w:semiHidden/>
    <w:unhideWhenUsed/>
    <w:rsid w:val="000E5D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26905">
      <w:bodyDiv w:val="1"/>
      <w:marLeft w:val="0"/>
      <w:marRight w:val="0"/>
      <w:marTop w:val="0"/>
      <w:marBottom w:val="0"/>
      <w:divBdr>
        <w:top w:val="none" w:sz="0" w:space="0" w:color="auto"/>
        <w:left w:val="none" w:sz="0" w:space="0" w:color="auto"/>
        <w:bottom w:val="none" w:sz="0" w:space="0" w:color="auto"/>
        <w:right w:val="none" w:sz="0" w:space="0" w:color="auto"/>
      </w:divBdr>
    </w:div>
    <w:div w:id="247887756">
      <w:bodyDiv w:val="1"/>
      <w:marLeft w:val="0"/>
      <w:marRight w:val="0"/>
      <w:marTop w:val="0"/>
      <w:marBottom w:val="0"/>
      <w:divBdr>
        <w:top w:val="none" w:sz="0" w:space="0" w:color="auto"/>
        <w:left w:val="none" w:sz="0" w:space="0" w:color="auto"/>
        <w:bottom w:val="none" w:sz="0" w:space="0" w:color="auto"/>
        <w:right w:val="none" w:sz="0" w:space="0" w:color="auto"/>
      </w:divBdr>
    </w:div>
    <w:div w:id="777600712">
      <w:bodyDiv w:val="1"/>
      <w:marLeft w:val="0"/>
      <w:marRight w:val="0"/>
      <w:marTop w:val="0"/>
      <w:marBottom w:val="0"/>
      <w:divBdr>
        <w:top w:val="none" w:sz="0" w:space="0" w:color="auto"/>
        <w:left w:val="none" w:sz="0" w:space="0" w:color="auto"/>
        <w:bottom w:val="none" w:sz="0" w:space="0" w:color="auto"/>
        <w:right w:val="none" w:sz="0" w:space="0" w:color="auto"/>
      </w:divBdr>
    </w:div>
    <w:div w:id="829517791">
      <w:bodyDiv w:val="1"/>
      <w:marLeft w:val="0"/>
      <w:marRight w:val="0"/>
      <w:marTop w:val="0"/>
      <w:marBottom w:val="0"/>
      <w:divBdr>
        <w:top w:val="none" w:sz="0" w:space="0" w:color="auto"/>
        <w:left w:val="none" w:sz="0" w:space="0" w:color="auto"/>
        <w:bottom w:val="none" w:sz="0" w:space="0" w:color="auto"/>
        <w:right w:val="none" w:sz="0" w:space="0" w:color="auto"/>
      </w:divBdr>
    </w:div>
    <w:div w:id="933249392">
      <w:bodyDiv w:val="1"/>
      <w:marLeft w:val="0"/>
      <w:marRight w:val="0"/>
      <w:marTop w:val="0"/>
      <w:marBottom w:val="0"/>
      <w:divBdr>
        <w:top w:val="none" w:sz="0" w:space="0" w:color="auto"/>
        <w:left w:val="none" w:sz="0" w:space="0" w:color="auto"/>
        <w:bottom w:val="none" w:sz="0" w:space="0" w:color="auto"/>
        <w:right w:val="none" w:sz="0" w:space="0" w:color="auto"/>
      </w:divBdr>
    </w:div>
    <w:div w:id="1825272646">
      <w:bodyDiv w:val="1"/>
      <w:marLeft w:val="0"/>
      <w:marRight w:val="0"/>
      <w:marTop w:val="0"/>
      <w:marBottom w:val="0"/>
      <w:divBdr>
        <w:top w:val="none" w:sz="0" w:space="0" w:color="auto"/>
        <w:left w:val="none" w:sz="0" w:space="0" w:color="auto"/>
        <w:bottom w:val="none" w:sz="0" w:space="0" w:color="auto"/>
        <w:right w:val="none" w:sz="0" w:space="0" w:color="auto"/>
      </w:divBdr>
    </w:div>
    <w:div w:id="185128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hyperlink" Target="https://eur-lex.europa.eu/legal-content/EN/TXT/?uri=CELEX%3A52026DC0539&amp;qid=1779361897345" TargetMode="External" Id="rId12" /><Relationship Type="http://schemas.openxmlformats.org/officeDocument/2006/relationships/theme" Target="theme/theme1.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ntTable" Target="fontTable.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eur-lex.europa.eu/legal-content/EN/TXT/?uri=CELEX%3A32021H1004" TargetMode="External"/><Relationship Id="rId1" Type="http://schemas.openxmlformats.org/officeDocument/2006/relationships/hyperlink" Target="https://eur-lex.europa.eu/eli/reco/2021/1004/oj/e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2474</ap:Words>
  <ap:Characters>13609</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16051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2026-06-10T10:22:00.0000000Z</lastPrinted>
  <dcterms:created xsi:type="dcterms:W3CDTF">2026-06-12T09:25:00.0000000Z</dcterms:created>
  <dcterms:modified xsi:type="dcterms:W3CDTF">2026-06-12T09:25:00.0000000Z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0x0101009C7CE436063D44E9BE7DC0259EF7C32F006EB9F9836A634AE58B6169785FD3936F0055F681836368544EB396FE51FDFF647E</vt:lpwstr>
  </property>
  <property fmtid="{D5CDD505-2E9C-101B-9397-08002B2CF9AE}" pid="3" name="gc2efd3bfea04f7f8169be07009f5536">
    <vt:lpwstr/>
  </property>
  <property fmtid="{D5CDD505-2E9C-101B-9397-08002B2CF9AE}" pid="4" name="BZForumOrganisation">
    <vt:lpwstr>2;#Not applicable|0049e722-bfb1-4a3f-9d08-af7366a9af40</vt:lpwstr>
  </property>
  <property fmtid="{D5CDD505-2E9C-101B-9397-08002B2CF9AE}" pid="5" name="BZDossierBudgetManager">
    <vt:lpwstr/>
  </property>
  <property fmtid="{D5CDD505-2E9C-101B-9397-08002B2CF9AE}" pid="6" name="BZTheme">
    <vt:lpwstr>1;#Not applicable|ec01d90b-9d0f-4785-8785-e1ea615196bf</vt:lpwstr>
  </property>
  <property fmtid="{D5CDD505-2E9C-101B-9397-08002B2CF9AE}" pid="7" name="BZDossierSendTo">
    <vt:lpwstr/>
  </property>
  <property fmtid="{D5CDD505-2E9C-101B-9397-08002B2CF9AE}" pid="8" name="BZDossierResponsibleDepartment">
    <vt:lpwstr/>
  </property>
  <property fmtid="{D5CDD505-2E9C-101B-9397-08002B2CF9AE}" pid="9" name="BZCountryState">
    <vt:lpwstr>3;#Not applicable|ec01d90b-9d0f-4785-8785-e1ea615196bf</vt:lpwstr>
  </property>
  <property fmtid="{D5CDD505-2E9C-101B-9397-08002B2CF9AE}" pid="10" name="BZDossierGovernmentOfficial">
    <vt:lpwstr/>
  </property>
  <property fmtid="{D5CDD505-2E9C-101B-9397-08002B2CF9AE}" pid="11" name="BZDossierProcessLocation">
    <vt:lpwstr/>
  </property>
  <property fmtid="{D5CDD505-2E9C-101B-9397-08002B2CF9AE}" pid="12" name="i42ef48d5fa942a0ad0d60e44f201751">
    <vt:lpwstr/>
  </property>
  <property fmtid="{D5CDD505-2E9C-101B-9397-08002B2CF9AE}" pid="13" name="BZDossierPublishingWOOCategory">
    <vt:lpwstr/>
  </property>
  <property fmtid="{D5CDD505-2E9C-101B-9397-08002B2CF9AE}" pid="14" name="f2fb2a8e39404f1ab554e4e4a49d2918">
    <vt:lpwstr/>
  </property>
  <property fmtid="{D5CDD505-2E9C-101B-9397-08002B2CF9AE}" pid="15" name="BZMarking">
    <vt:lpwstr>5;#NO MARKING|0a4eb9ae-69eb-4d9e-b573-43ab99ef8592</vt:lpwstr>
  </property>
  <property fmtid="{D5CDD505-2E9C-101B-9397-08002B2CF9AE}" pid="16" name="_dlc_DocIdItemGuid">
    <vt:lpwstr>b8d6f23d-a118-4aeb-94dd-211ff8ee9d58</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BZDossierTemplate">
    <vt:lpwstr>ReguliereKamerbrief</vt:lpwstr>
  </property>
  <property fmtid="{D5CDD505-2E9C-101B-9397-08002B2CF9AE}" pid="21" name="e256f556a7b748329ab47889947c7d40">
    <vt:lpwstr/>
  </property>
  <property fmtid="{D5CDD505-2E9C-101B-9397-08002B2CF9AE}" pid="22" name="ed9282a3f18446ec8c17c7829edf82dd">
    <vt:lpwstr/>
  </property>
  <property fmtid="{D5CDD505-2E9C-101B-9397-08002B2CF9AE}" pid="23" name="BZDossierProcessType">
    <vt:lpwstr/>
  </property>
  <property fmtid="{D5CDD505-2E9C-101B-9397-08002B2CF9AE}" pid="24" name="URL">
    <vt:lpwstr>https://247.plaza.buzaservices.nl/subject/PV-RK2026042026/BZ2629167/Fiche%204%20-%20Versterken%20van%20de%20Europese%20Kindergarantie.docx, </vt:lpwstr>
  </property>
  <property fmtid="{D5CDD505-2E9C-101B-9397-08002B2CF9AE}" pid="25" name="_docset_NoMedatataSyncRequired">
    <vt:lpwstr>False</vt:lpwstr>
  </property>
</Properties>
</file>