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E83" w:rsidR="006B7813" w:rsidP="00FE53A6" w:rsidRDefault="006B7813" w14:paraId="2AFE0D97" w14:textId="77777777">
      <w:pPr>
        <w:rPr>
          <w:szCs w:val="18"/>
        </w:rPr>
      </w:pPr>
      <w:r w:rsidRPr="00B35E83">
        <w:rPr>
          <w:szCs w:val="18"/>
        </w:rPr>
        <w:t>Geachte Voorzitter,  </w:t>
      </w:r>
    </w:p>
    <w:p w:rsidR="006B7813" w:rsidP="00FE53A6" w:rsidRDefault="00F6693A" w14:paraId="6F5C27A1" w14:textId="24B068F5">
      <w:pPr>
        <w:rPr>
          <w:szCs w:val="18"/>
        </w:rPr>
      </w:pPr>
      <w:r>
        <w:rPr>
          <w:szCs w:val="18"/>
        </w:rPr>
        <w:t xml:space="preserve">Vooruitlopend op het Commissiedebat Visserij van 16 juni </w:t>
      </w:r>
      <w:r w:rsidR="004641EC">
        <w:rPr>
          <w:szCs w:val="18"/>
        </w:rPr>
        <w:t xml:space="preserve">2026 </w:t>
      </w:r>
      <w:r w:rsidRPr="00B35E83" w:rsidR="004641EC">
        <w:rPr>
          <w:szCs w:val="18"/>
        </w:rPr>
        <w:t>informeer</w:t>
      </w:r>
      <w:r w:rsidRPr="00B35E83" w:rsidR="006B7813">
        <w:rPr>
          <w:szCs w:val="18"/>
        </w:rPr>
        <w:t xml:space="preserve"> ik u over een aantal onderwerpen aangaande het visserijbeleid</w:t>
      </w:r>
      <w:r w:rsidR="006B7813">
        <w:rPr>
          <w:szCs w:val="18"/>
        </w:rPr>
        <w:t xml:space="preserve">. U ontvangt updates </w:t>
      </w:r>
      <w:r w:rsidRPr="00B35E83" w:rsidR="006B7813">
        <w:rPr>
          <w:szCs w:val="18"/>
        </w:rPr>
        <w:t>over</w:t>
      </w:r>
      <w:r w:rsidR="006B7813">
        <w:rPr>
          <w:szCs w:val="18"/>
        </w:rPr>
        <w:t xml:space="preserve"> de routekaart van Fully Documented Fisheries,</w:t>
      </w:r>
      <w:r w:rsidRPr="00B35E83" w:rsidR="006B7813">
        <w:rPr>
          <w:szCs w:val="18"/>
        </w:rPr>
        <w:t> het Visserij Ontwikkel Plan (VOP), bescherming pijlinktvis</w:t>
      </w:r>
      <w:r w:rsidR="009964A2">
        <w:rPr>
          <w:szCs w:val="18"/>
        </w:rPr>
        <w:t xml:space="preserve"> en</w:t>
      </w:r>
      <w:r w:rsidRPr="00B35E83" w:rsidR="006B7813">
        <w:rPr>
          <w:szCs w:val="18"/>
        </w:rPr>
        <w:t xml:space="preserve"> de herintroductie van de pulsvisserij</w:t>
      </w:r>
      <w:r w:rsidR="00847D84">
        <w:rPr>
          <w:szCs w:val="18"/>
        </w:rPr>
        <w:t>. Daarnaast informeer ik u</w:t>
      </w:r>
      <w:r w:rsidR="007C4AEB">
        <w:rPr>
          <w:szCs w:val="18"/>
        </w:rPr>
        <w:t xml:space="preserve"> over de uitspraak </w:t>
      </w:r>
      <w:r w:rsidR="00D40A27">
        <w:rPr>
          <w:szCs w:val="18"/>
        </w:rPr>
        <w:t xml:space="preserve">van de </w:t>
      </w:r>
      <w:r w:rsidR="00DE5E94">
        <w:rPr>
          <w:szCs w:val="18"/>
        </w:rPr>
        <w:t>R</w:t>
      </w:r>
      <w:r w:rsidR="007C4AEB">
        <w:rPr>
          <w:szCs w:val="18"/>
        </w:rPr>
        <w:t xml:space="preserve">aad van </w:t>
      </w:r>
      <w:r w:rsidR="00DE5E94">
        <w:rPr>
          <w:szCs w:val="18"/>
        </w:rPr>
        <w:t>S</w:t>
      </w:r>
      <w:r w:rsidR="007C4AEB">
        <w:rPr>
          <w:szCs w:val="18"/>
        </w:rPr>
        <w:t xml:space="preserve">tate </w:t>
      </w:r>
      <w:r w:rsidR="00D40A27">
        <w:rPr>
          <w:szCs w:val="18"/>
        </w:rPr>
        <w:t xml:space="preserve">m.b.t. </w:t>
      </w:r>
      <w:r w:rsidR="007C4AEB">
        <w:rPr>
          <w:szCs w:val="18"/>
        </w:rPr>
        <w:t>puls.</w:t>
      </w:r>
      <w:r w:rsidRPr="00EC5412" w:rsidR="007C4AEB">
        <w:rPr>
          <w:szCs w:val="18"/>
        </w:rPr>
        <w:t> </w:t>
      </w:r>
    </w:p>
    <w:p w:rsidRPr="00B35E83" w:rsidR="007C4AEB" w:rsidP="00FE53A6" w:rsidRDefault="007C4AEB" w14:paraId="50EF5FDB" w14:textId="77777777">
      <w:pPr>
        <w:rPr>
          <w:szCs w:val="18"/>
        </w:rPr>
      </w:pPr>
    </w:p>
    <w:p w:rsidRPr="00BD3908" w:rsidR="006B7813" w:rsidP="00FE53A6" w:rsidRDefault="006B7813" w14:paraId="3D693A28" w14:textId="77777777">
      <w:pPr>
        <w:rPr>
          <w:b/>
          <w:bCs/>
          <w:szCs w:val="18"/>
          <w:lang w:val="en-US"/>
        </w:rPr>
      </w:pPr>
      <w:r w:rsidRPr="00BD3908">
        <w:rPr>
          <w:b/>
          <w:bCs/>
          <w:szCs w:val="18"/>
          <w:lang w:val="en-US"/>
        </w:rPr>
        <w:t>Routekaart Fully Documented Fisheries (FDF</w:t>
      </w:r>
      <w:r>
        <w:rPr>
          <w:b/>
          <w:bCs/>
          <w:szCs w:val="18"/>
          <w:lang w:val="en-US"/>
        </w:rPr>
        <w:t>)</w:t>
      </w:r>
    </w:p>
    <w:p w:rsidRPr="00B35E83" w:rsidR="006B7813" w:rsidP="00FE53A6" w:rsidRDefault="006B7813" w14:paraId="488158E4" w14:textId="13A6BA8B">
      <w:pPr>
        <w:rPr>
          <w:szCs w:val="18"/>
        </w:rPr>
      </w:pPr>
      <w:r>
        <w:rPr>
          <w:szCs w:val="18"/>
        </w:rPr>
        <w:t xml:space="preserve">Sinds enkele jaren werkt een consortium van onderzoekers van onder andere Wageningen Marine Research (WMR), Wageningen Plant Research (WPR) en Wageningen University (WU) in opdracht van LVVN aan de ontwikkeling van Fully Documented Fisheries (FDF), een automatisch registratiesysteem. Onderdeel daarvan is een techniek die WMR ontwikkeld: de CatchWAM (Catch Wageningen Automated Monitoring). Dit is een camera, uitgerust met een digitale AI-tool, die aan boord de ondermaatse vis, die nu voor registratie moet worden aangeland, al automatische kan detecteren en registreren. In de bijlage bij deze brief stuur ik </w:t>
      </w:r>
      <w:r w:rsidR="007A0A46">
        <w:rPr>
          <w:szCs w:val="18"/>
        </w:rPr>
        <w:t>de K</w:t>
      </w:r>
      <w:r>
        <w:rPr>
          <w:szCs w:val="18"/>
        </w:rPr>
        <w:t xml:space="preserve">amer de routekaart “Towards Fully Documented Fisheries (FDF), creating an automated video and AI based discard recording system (FDF 2.0)”. WMR heeft deze routekaart recentelijk opgesteld en beschrijft daarin het lopende onderzoek, de gebruiksmogelijkheden en de volgende stappen. De nieuwe techniek wordt nu getest aan boord van een aantal kotters, Nederlandse vissers zijn hiermee actief betrokken in het proces. </w:t>
      </w:r>
    </w:p>
    <w:p w:rsidR="006E389B" w:rsidP="00FE53A6" w:rsidRDefault="006B7813" w14:paraId="4438BEC3" w14:textId="23E4C7D8">
      <w:pPr>
        <w:rPr>
          <w:szCs w:val="18"/>
        </w:rPr>
      </w:pPr>
      <w:r w:rsidRPr="00B35E83">
        <w:rPr>
          <w:szCs w:val="18"/>
        </w:rPr>
        <w:t>Fully Documented Fisheries</w:t>
      </w:r>
      <w:r w:rsidR="00A05CE1">
        <w:rPr>
          <w:szCs w:val="18"/>
        </w:rPr>
        <w:t xml:space="preserve"> (FDF)</w:t>
      </w:r>
      <w:r w:rsidRPr="00B35E83">
        <w:rPr>
          <w:szCs w:val="18"/>
        </w:rPr>
        <w:t xml:space="preserve"> in combinatie met de AI-camera lijkt een zeer kansrijke innovatie die als onderbouwing kan dienen voor een mogelijk en werkbaar alternatief voor de huidige aanlandplicht (art 15 GVB). </w:t>
      </w:r>
      <w:r w:rsidR="00A05CE1">
        <w:rPr>
          <w:szCs w:val="18"/>
        </w:rPr>
        <w:t xml:space="preserve">Dat de aanlandplicht in haar huidige vorm </w:t>
      </w:r>
      <w:r w:rsidR="006E389B">
        <w:rPr>
          <w:szCs w:val="18"/>
        </w:rPr>
        <w:t xml:space="preserve">lastig </w:t>
      </w:r>
      <w:r w:rsidR="00A05CE1">
        <w:rPr>
          <w:szCs w:val="18"/>
        </w:rPr>
        <w:t xml:space="preserve">uitvoerbaar is </w:t>
      </w:r>
      <w:r w:rsidRPr="00B35E83">
        <w:rPr>
          <w:szCs w:val="18"/>
        </w:rPr>
        <w:t xml:space="preserve">blijkt evaluatie van </w:t>
      </w:r>
      <w:r w:rsidR="00A05CE1">
        <w:rPr>
          <w:szCs w:val="18"/>
        </w:rPr>
        <w:t xml:space="preserve">de aanlandplicht </w:t>
      </w:r>
      <w:r w:rsidR="006E389B">
        <w:rPr>
          <w:szCs w:val="18"/>
        </w:rPr>
        <w:t xml:space="preserve">in opdracht van </w:t>
      </w:r>
      <w:r w:rsidR="00A05CE1">
        <w:rPr>
          <w:szCs w:val="18"/>
        </w:rPr>
        <w:t>de Europese Commissie</w:t>
      </w:r>
      <w:r w:rsidR="008F6C60">
        <w:rPr>
          <w:szCs w:val="18"/>
        </w:rPr>
        <w:t xml:space="preserve"> (2025)</w:t>
      </w:r>
      <w:r w:rsidR="00A05CE1">
        <w:rPr>
          <w:szCs w:val="18"/>
        </w:rPr>
        <w:t>.</w:t>
      </w:r>
      <w:r w:rsidRPr="00B35E83">
        <w:rPr>
          <w:szCs w:val="18"/>
        </w:rPr>
        <w:t> </w:t>
      </w:r>
      <w:r w:rsidDel="008F6C60" w:rsidR="008F6C60">
        <w:rPr>
          <w:szCs w:val="18"/>
        </w:rPr>
        <w:t xml:space="preserve"> </w:t>
      </w:r>
    </w:p>
    <w:p w:rsidRPr="00B35E83" w:rsidR="006B7813" w:rsidP="00FE53A6" w:rsidRDefault="006B7813" w14:paraId="6C17BD4D" w14:textId="4A8F5169">
      <w:pPr>
        <w:rPr>
          <w:szCs w:val="18"/>
        </w:rPr>
      </w:pPr>
      <w:r w:rsidRPr="00B35E83">
        <w:rPr>
          <w:szCs w:val="18"/>
        </w:rPr>
        <w:t xml:space="preserve">Nederland onderzoekt concreet hoe de aanlandplicht </w:t>
      </w:r>
      <w:r w:rsidR="006E389B">
        <w:rPr>
          <w:szCs w:val="18"/>
        </w:rPr>
        <w:t xml:space="preserve">effectief </w:t>
      </w:r>
      <w:r w:rsidRPr="00B35E83">
        <w:rPr>
          <w:szCs w:val="18"/>
        </w:rPr>
        <w:t xml:space="preserve">vervangen of aangepast zou </w:t>
      </w:r>
      <w:r w:rsidR="007A0A46">
        <w:rPr>
          <w:szCs w:val="18"/>
        </w:rPr>
        <w:t>kan</w:t>
      </w:r>
      <w:r w:rsidRPr="00B35E83" w:rsidR="007A0A46">
        <w:rPr>
          <w:szCs w:val="18"/>
        </w:rPr>
        <w:t xml:space="preserve"> </w:t>
      </w:r>
      <w:r w:rsidRPr="00B35E83">
        <w:rPr>
          <w:szCs w:val="18"/>
        </w:rPr>
        <w:t>worden</w:t>
      </w:r>
      <w:r w:rsidR="006E389B">
        <w:rPr>
          <w:szCs w:val="18"/>
        </w:rPr>
        <w:t xml:space="preserve"> met een werkbaar alternatief</w:t>
      </w:r>
      <w:r w:rsidRPr="00B35E83">
        <w:rPr>
          <w:szCs w:val="18"/>
        </w:rPr>
        <w:t>, bijvoorbeeld door een nieuwe vorm van registratieplicht o</w:t>
      </w:r>
      <w:r w:rsidR="00A05CE1">
        <w:rPr>
          <w:szCs w:val="18"/>
        </w:rPr>
        <w:t>p basis van</w:t>
      </w:r>
      <w:r w:rsidRPr="00B35E83">
        <w:rPr>
          <w:szCs w:val="18"/>
        </w:rPr>
        <w:t> FDF. De toepassing van deze technologische</w:t>
      </w:r>
      <w:r w:rsidR="007A0A46">
        <w:rPr>
          <w:szCs w:val="18"/>
        </w:rPr>
        <w:t xml:space="preserve"> i</w:t>
      </w:r>
      <w:r w:rsidRPr="00B35E83">
        <w:rPr>
          <w:szCs w:val="18"/>
        </w:rPr>
        <w:t>nnovatie</w:t>
      </w:r>
      <w:r w:rsidR="007A0A46">
        <w:rPr>
          <w:szCs w:val="18"/>
        </w:rPr>
        <w:t xml:space="preserve"> </w:t>
      </w:r>
      <w:r w:rsidRPr="00B35E83">
        <w:rPr>
          <w:szCs w:val="18"/>
        </w:rPr>
        <w:t>betekent</w:t>
      </w:r>
      <w:r w:rsidR="007A0A46">
        <w:rPr>
          <w:szCs w:val="18"/>
        </w:rPr>
        <w:t xml:space="preserve"> </w:t>
      </w:r>
      <w:r w:rsidRPr="00B35E83">
        <w:rPr>
          <w:szCs w:val="18"/>
        </w:rPr>
        <w:t>administratieve</w:t>
      </w:r>
      <w:r w:rsidR="007A0A46">
        <w:rPr>
          <w:szCs w:val="18"/>
        </w:rPr>
        <w:t xml:space="preserve"> </w:t>
      </w:r>
      <w:r w:rsidRPr="00B35E83">
        <w:rPr>
          <w:szCs w:val="18"/>
        </w:rPr>
        <w:t>lastenverlichting, waarbij de oorspronkelijke doelstellingen van de huidige maatregel gehandhaafd zouden kunnen blijven. </w:t>
      </w:r>
    </w:p>
    <w:p w:rsidR="006B7813" w:rsidP="00FE53A6" w:rsidRDefault="006B7813" w14:paraId="65C61880" w14:textId="7F1F2D4B">
      <w:pPr>
        <w:rPr>
          <w:szCs w:val="18"/>
        </w:rPr>
      </w:pPr>
      <w:r w:rsidRPr="00B35E83">
        <w:rPr>
          <w:szCs w:val="18"/>
        </w:rPr>
        <w:t xml:space="preserve">Op basis van deze routekaart kan ik de gesprekken voeren met de Europese Commissie en andere lidstaten om tot een aanpassing van de aanlandplicht te kunnen komen. Veel lidstaten en visserijsectoren ondervinden nadelen van de </w:t>
      </w:r>
      <w:r w:rsidRPr="00B35E83">
        <w:rPr>
          <w:szCs w:val="18"/>
        </w:rPr>
        <w:lastRenderedPageBreak/>
        <w:t xml:space="preserve">aanlandplicht, </w:t>
      </w:r>
      <w:r w:rsidR="008F6C60">
        <w:rPr>
          <w:szCs w:val="18"/>
        </w:rPr>
        <w:t xml:space="preserve">waarbij ook </w:t>
      </w:r>
      <w:r w:rsidRPr="00B35E83">
        <w:rPr>
          <w:szCs w:val="18"/>
        </w:rPr>
        <w:t xml:space="preserve">met name de Nederlandse demersale visserij op de Noordzee </w:t>
      </w:r>
      <w:r w:rsidR="008F6C60">
        <w:rPr>
          <w:szCs w:val="18"/>
        </w:rPr>
        <w:t xml:space="preserve">gezien dat hier sprake is van een gemengde visserij. </w:t>
      </w:r>
      <w:r w:rsidRPr="00B35E83">
        <w:rPr>
          <w:szCs w:val="18"/>
        </w:rPr>
        <w:t xml:space="preserve">In de discussie over de evaluatie van het GVB, is de herziening van de aanlandplicht </w:t>
      </w:r>
      <w:r w:rsidR="007A0A46">
        <w:rPr>
          <w:szCs w:val="18"/>
        </w:rPr>
        <w:t>één</w:t>
      </w:r>
      <w:r w:rsidRPr="00B35E83" w:rsidR="007A0A46">
        <w:rPr>
          <w:szCs w:val="18"/>
        </w:rPr>
        <w:t xml:space="preserve"> </w:t>
      </w:r>
      <w:r w:rsidRPr="00B35E83">
        <w:rPr>
          <w:szCs w:val="18"/>
        </w:rPr>
        <w:t>van mijn speerpunten. Met mijn inzet en de routekaart FDF 2.0 geef ik ook invulling aan de motie van Van der Plas (Kamerstuk 21501-32 nr. 1770). </w:t>
      </w:r>
    </w:p>
    <w:p w:rsidR="00FE53A6" w:rsidP="00FE53A6" w:rsidRDefault="00FE53A6" w14:paraId="61B811B4" w14:textId="77777777">
      <w:pPr>
        <w:rPr>
          <w:szCs w:val="18"/>
        </w:rPr>
      </w:pPr>
    </w:p>
    <w:p w:rsidR="0070439D" w:rsidP="00FE53A6" w:rsidRDefault="00E82F2E" w14:paraId="24023005" w14:textId="77777777">
      <w:pPr>
        <w:pStyle w:val="Geenafstand"/>
        <w:spacing w:line="240" w:lineRule="atLeast"/>
        <w:rPr>
          <w:b/>
          <w:bCs/>
        </w:rPr>
      </w:pPr>
      <w:r w:rsidRPr="00E82F2E">
        <w:rPr>
          <w:b/>
          <w:bCs/>
        </w:rPr>
        <w:t>Toegang tot MFK-middelen voor verduurzaming binnenvisserij</w:t>
      </w:r>
    </w:p>
    <w:p w:rsidR="0070439D" w:rsidP="00FE53A6" w:rsidRDefault="00E82F2E" w14:paraId="38111EA2" w14:textId="0711778F">
      <w:pPr>
        <w:pStyle w:val="Geenafstand"/>
        <w:spacing w:line="240" w:lineRule="atLeast"/>
      </w:pPr>
      <w:r w:rsidRPr="00B35E83">
        <w:t>Conform Motie Van der Plas (Kamerstuk 21501-32 nr. 1774), zet het kabinet zich in om ook voor de binnenvisserij toegang tot MFK-middelen voor verduurzaming te verkrijgen. Aan deze motie zal op een passend moment uitvoering worden gegeven in Brussel, in het kader van de nog lopende onderhandelingen over het Meerjarig Financieel Kader (MFK).  </w:t>
      </w:r>
    </w:p>
    <w:p w:rsidRPr="0070439D" w:rsidR="00E82F2E" w:rsidP="00FE53A6" w:rsidRDefault="00E82F2E" w14:paraId="1AFD12B2" w14:textId="4702234D">
      <w:pPr>
        <w:pStyle w:val="Geenafstand"/>
        <w:spacing w:line="240" w:lineRule="atLeast"/>
        <w:rPr>
          <w:b/>
          <w:bCs/>
        </w:rPr>
      </w:pPr>
      <w:r w:rsidRPr="00B35E83">
        <w:t> </w:t>
      </w:r>
    </w:p>
    <w:p w:rsidRPr="00E54D89" w:rsidR="006B7813" w:rsidP="00FE53A6" w:rsidRDefault="006B7813" w14:paraId="47E59300" w14:textId="77777777">
      <w:pPr>
        <w:rPr>
          <w:szCs w:val="18"/>
        </w:rPr>
      </w:pPr>
      <w:r w:rsidRPr="00BD3908">
        <w:rPr>
          <w:b/>
          <w:bCs/>
          <w:szCs w:val="18"/>
        </w:rPr>
        <w:t>Visserij Ontwikkel</w:t>
      </w:r>
      <w:r>
        <w:rPr>
          <w:b/>
          <w:bCs/>
          <w:szCs w:val="18"/>
        </w:rPr>
        <w:t xml:space="preserve"> </w:t>
      </w:r>
      <w:r w:rsidRPr="00BD3908">
        <w:rPr>
          <w:b/>
          <w:bCs/>
          <w:szCs w:val="18"/>
        </w:rPr>
        <w:t>plan</w:t>
      </w:r>
      <w:r w:rsidRPr="00E54D89">
        <w:rPr>
          <w:szCs w:val="18"/>
        </w:rPr>
        <w:t> </w:t>
      </w:r>
    </w:p>
    <w:p w:rsidRPr="00B35E83" w:rsidR="006B7813" w:rsidP="00FE53A6" w:rsidRDefault="009F380D" w14:paraId="7581C204" w14:textId="115DB0D6">
      <w:pPr>
        <w:rPr>
          <w:szCs w:val="18"/>
        </w:rPr>
      </w:pPr>
      <w:r>
        <w:rPr>
          <w:szCs w:val="18"/>
        </w:rPr>
        <w:t>Op</w:t>
      </w:r>
      <w:r w:rsidR="00C571E0">
        <w:rPr>
          <w:szCs w:val="18"/>
        </w:rPr>
        <w:t xml:space="preserve"> 13 juni 2023</w:t>
      </w:r>
      <w:r>
        <w:rPr>
          <w:szCs w:val="18"/>
        </w:rPr>
        <w:t xml:space="preserve"> bent u geïnformeerd over de vaststelling van het </w:t>
      </w:r>
      <w:r w:rsidRPr="00B35E83">
        <w:rPr>
          <w:szCs w:val="18"/>
        </w:rPr>
        <w:t>Visserij Ontwikkel Plan (VOP) (Kamerstuk 21501-32, nr. 1553)</w:t>
      </w:r>
      <w:r>
        <w:rPr>
          <w:szCs w:val="18"/>
        </w:rPr>
        <w:t xml:space="preserve">. </w:t>
      </w:r>
      <w:r w:rsidRPr="00B35E83" w:rsidR="006B7813">
        <w:rPr>
          <w:szCs w:val="18"/>
        </w:rPr>
        <w:t>Het VOP vormt de basis voor de huidige uitvoering van de nationale investeringen in de Nederlandse visserijgemeenschappen en visclusters. Het plan is opgesteld door het Bestuurlijk Platform Visserij (BPV) in samenwerking met gemeenten, provincies, ondernemers, maatschappelijke organisaties en het ministerie van Landbouw, Visserij, Voedselkwaliteit en Natuur. </w:t>
      </w:r>
      <w:r>
        <w:rPr>
          <w:szCs w:val="18"/>
        </w:rPr>
        <w:t>Het VOP bevindt zich inmiddels in de uitvoeringsfase.</w:t>
      </w:r>
    </w:p>
    <w:p w:rsidRPr="00B35E83" w:rsidR="006B7813" w:rsidP="00FE53A6" w:rsidRDefault="006B7813" w14:paraId="0DFD0220" w14:textId="0D08465D">
      <w:pPr>
        <w:rPr>
          <w:szCs w:val="18"/>
        </w:rPr>
      </w:pPr>
      <w:r w:rsidRPr="00B35E83">
        <w:rPr>
          <w:szCs w:val="18"/>
        </w:rPr>
        <w:t>Het doel van het VOP is tweeledig</w:t>
      </w:r>
      <w:r w:rsidR="00921D05">
        <w:rPr>
          <w:szCs w:val="18"/>
        </w:rPr>
        <w:t>.</w:t>
      </w:r>
      <w:r w:rsidRPr="00B35E83">
        <w:rPr>
          <w:szCs w:val="18"/>
        </w:rPr>
        <w:t xml:space="preserve"> </w:t>
      </w:r>
      <w:r w:rsidR="00921D05">
        <w:rPr>
          <w:szCs w:val="18"/>
        </w:rPr>
        <w:t>Allereerst</w:t>
      </w:r>
      <w:r w:rsidRPr="00B35E83">
        <w:rPr>
          <w:szCs w:val="18"/>
        </w:rPr>
        <w:t xml:space="preserve"> het behouden en ontwikkelen van toekomstbestendige visclusters en visserij-infrastructuur</w:t>
      </w:r>
      <w:r w:rsidR="00921D05">
        <w:rPr>
          <w:szCs w:val="18"/>
        </w:rPr>
        <w:t>.</w:t>
      </w:r>
      <w:r w:rsidR="00FE53A6">
        <w:rPr>
          <w:szCs w:val="18"/>
        </w:rPr>
        <w:t xml:space="preserve"> </w:t>
      </w:r>
      <w:r w:rsidR="00921D05">
        <w:rPr>
          <w:szCs w:val="18"/>
        </w:rPr>
        <w:t>Daarbij ook</w:t>
      </w:r>
      <w:r w:rsidRPr="00B35E83">
        <w:rPr>
          <w:szCs w:val="18"/>
        </w:rPr>
        <w:t xml:space="preserve"> het versterken van sociaaleconomische activiteiten die bijdragen aan de leefbaarheid, werkgelegenheid en identiteit van visserijgemeenschappen. Binnen deze twee</w:t>
      </w:r>
      <w:r w:rsidR="007C4AEB">
        <w:rPr>
          <w:szCs w:val="18"/>
        </w:rPr>
        <w:t xml:space="preserve"> </w:t>
      </w:r>
      <w:r w:rsidRPr="00B35E83">
        <w:rPr>
          <w:szCs w:val="18"/>
        </w:rPr>
        <w:t>doelen wordt nadrukkelijk ingezet op samenwerking tussen overheid, ondernemers en maatschappelijke partners.  </w:t>
      </w:r>
    </w:p>
    <w:p w:rsidRPr="00B35E83" w:rsidR="006B7813" w:rsidP="00FE53A6" w:rsidRDefault="006B7813" w14:paraId="3E47440A" w14:textId="77777777">
      <w:pPr>
        <w:rPr>
          <w:szCs w:val="18"/>
        </w:rPr>
      </w:pPr>
      <w:r w:rsidRPr="00B35E83">
        <w:rPr>
          <w:szCs w:val="18"/>
        </w:rPr>
        <w:t>Binnen het VOP wordt gewerkt aan projecten verspreid over vijf regio’s: Urk, Kop van Noord-Holland, Zuidwest-Nederland, Noord-Nederland en de Hollandse Haringkust. Daarnaast wordt ingezet op bovenregionale samenwerking op het gebied van visserijonderwijs en de beleving van de Nederlandse visserij-identiteit.  </w:t>
      </w:r>
    </w:p>
    <w:p w:rsidRPr="00B35E83" w:rsidR="006B7813" w:rsidP="00FE53A6" w:rsidRDefault="006B7813" w14:paraId="4F0A193C" w14:textId="3469F241">
      <w:pPr>
        <w:rPr>
          <w:szCs w:val="18"/>
        </w:rPr>
      </w:pPr>
      <w:r w:rsidRPr="00B35E83">
        <w:rPr>
          <w:szCs w:val="18"/>
        </w:rPr>
        <w:t xml:space="preserve">De financiële middelen voor de regio’s van het programma </w:t>
      </w:r>
      <w:r w:rsidR="009F380D">
        <w:rPr>
          <w:szCs w:val="18"/>
        </w:rPr>
        <w:t>zijn</w:t>
      </w:r>
      <w:r w:rsidRPr="00B35E83">
        <w:rPr>
          <w:szCs w:val="18"/>
        </w:rPr>
        <w:t xml:space="preserve"> in 2024 uitgekeerd aan de betrokken partijen. Verder zijn de middelen voor het koepelplan visserijonderwijs en het koepelplan visserijbeleving inmiddels ook uitgekeerd aan de betrokken partijen. Daarmee is het programma volledig en formeel in werking getreden en zijn de uitvoerende partijen gestart met de realisatie van de projecten en investeringen zoals opgenomen in het VOP. Op dit moment wordt in de verschillende regio’s gewerkt aan de verdere uitvoering van de plannen, de inrichting van samenwerkingsstructuren en de voortgang van de geselecteerde projecten.  </w:t>
      </w:r>
    </w:p>
    <w:p w:rsidR="006B7813" w:rsidP="00FE53A6" w:rsidRDefault="006B7813" w14:paraId="5176F853" w14:textId="66B82BA0">
      <w:pPr>
        <w:rPr>
          <w:szCs w:val="18"/>
        </w:rPr>
      </w:pPr>
      <w:r w:rsidRPr="00B35E83">
        <w:rPr>
          <w:szCs w:val="18"/>
        </w:rPr>
        <w:t xml:space="preserve">In 2028 zal ik een voortgangsupdate aan </w:t>
      </w:r>
      <w:r w:rsidR="004D4CF5">
        <w:rPr>
          <w:szCs w:val="18"/>
        </w:rPr>
        <w:t>de</w:t>
      </w:r>
      <w:r w:rsidRPr="00B35E83" w:rsidR="004D4CF5">
        <w:rPr>
          <w:szCs w:val="18"/>
        </w:rPr>
        <w:t xml:space="preserve"> </w:t>
      </w:r>
      <w:r w:rsidRPr="00B35E83">
        <w:rPr>
          <w:szCs w:val="18"/>
        </w:rPr>
        <w:t>Kamer aanbieden. In deze update zal worden ingegaan op de uitvoering van de projecten, de bereikte resultaten en de verdere ontwikkeling van het programma. </w:t>
      </w:r>
    </w:p>
    <w:p w:rsidRPr="00B35E83" w:rsidR="00FE53A6" w:rsidP="00FE53A6" w:rsidRDefault="00FE53A6" w14:paraId="0FFD4B57" w14:textId="77777777">
      <w:pPr>
        <w:rPr>
          <w:szCs w:val="18"/>
        </w:rPr>
      </w:pPr>
    </w:p>
    <w:p w:rsidRPr="00B35E83" w:rsidR="006B7813" w:rsidP="00FE53A6" w:rsidRDefault="006B7813" w14:paraId="5C2166B6" w14:textId="77777777">
      <w:pPr>
        <w:rPr>
          <w:szCs w:val="18"/>
        </w:rPr>
      </w:pPr>
      <w:r w:rsidRPr="00B35E83">
        <w:rPr>
          <w:b/>
          <w:bCs/>
          <w:szCs w:val="18"/>
        </w:rPr>
        <w:t>Bescherming van de pijlinktvissen </w:t>
      </w:r>
      <w:r w:rsidRPr="00B35E83">
        <w:rPr>
          <w:szCs w:val="18"/>
        </w:rPr>
        <w:t> </w:t>
      </w:r>
    </w:p>
    <w:p w:rsidRPr="00B35E83" w:rsidR="006B7813" w:rsidP="00FE53A6" w:rsidRDefault="006B7813" w14:paraId="086E36CD" w14:textId="77777777">
      <w:pPr>
        <w:rPr>
          <w:szCs w:val="18"/>
        </w:rPr>
      </w:pPr>
      <w:r>
        <w:rPr>
          <w:szCs w:val="18"/>
        </w:rPr>
        <w:t xml:space="preserve">Op 28 april 2026 is de motie </w:t>
      </w:r>
      <w:r w:rsidRPr="00B35E83">
        <w:rPr>
          <w:szCs w:val="18"/>
        </w:rPr>
        <w:t>van de leden Kostić (PvdD) en Bromet (GL-PvdA)</w:t>
      </w:r>
      <w:r>
        <w:rPr>
          <w:szCs w:val="18"/>
        </w:rPr>
        <w:t xml:space="preserve"> aangenomen</w:t>
      </w:r>
      <w:r w:rsidRPr="00B35E83">
        <w:rPr>
          <w:szCs w:val="18"/>
        </w:rPr>
        <w:t>. Deze motie verzoekt de regering om op korte termijn met maatregelen te komen om pijlinktvissen beter te beschermen, om in Europees verband te pleiten voor voorzorgsbeheer, met aandacht voor het verbeteren van de monitoring, het kunnen opleggen van tijdelijke vangstbeperkingen en het behouden van een gezonde pijlinktvispopulatie. </w:t>
      </w:r>
    </w:p>
    <w:p w:rsidRPr="00B35E83" w:rsidR="006B7813" w:rsidP="00FE53A6" w:rsidRDefault="006B7813" w14:paraId="0739126B" w14:textId="1CBB5B74">
      <w:pPr>
        <w:rPr>
          <w:szCs w:val="18"/>
        </w:rPr>
      </w:pPr>
      <w:r w:rsidRPr="00B35E83">
        <w:rPr>
          <w:szCs w:val="18"/>
        </w:rPr>
        <w:t xml:space="preserve">Zoals ik aangaf tijdens het tweeminutendebat Landbouw- en Visserijraad </w:t>
      </w:r>
      <w:r w:rsidR="00FE53A6">
        <w:rPr>
          <w:szCs w:val="18"/>
        </w:rPr>
        <w:t> </w:t>
      </w:r>
      <w:r w:rsidRPr="00B35E83">
        <w:rPr>
          <w:szCs w:val="18"/>
        </w:rPr>
        <w:t>d.d.</w:t>
      </w:r>
      <w:r w:rsidR="00FE53A6">
        <w:rPr>
          <w:szCs w:val="18"/>
        </w:rPr>
        <w:t> </w:t>
      </w:r>
      <w:r w:rsidRPr="00B35E83">
        <w:rPr>
          <w:szCs w:val="18"/>
        </w:rPr>
        <w:t>27 april 2026 (21501-32, nr. 1776) is de wetenschappelijke basis om de pijlinktvis (Loligo vulgaris en Loligo forbesii) duurzaam te beheren nu nog niet volledig. De komende tijd zet ik mij daarom in op het opbouwen van de wetenschappelijke kennis over dit bestand. Hoewel er op dit moment geen indicaties zijn dat het slecht gaat met het bestand, snap ik de oproep voor beheer. Inktvis wordt namelijk voor steeds meer vissers economisch belangrijk en wordt meer gevangen dan voorheen. Dit komt doordat pijlinktvis steeds meer en in grotere getalen in de zuidelijke Noordzee voorkomt. Klimaatverandering heeft waarschijnlijk geleid tot de verschuivingen in de verspreiding van pijlinktvissen, waardoor ze zich vanuit zuidelijkere wateren verder noordwaarts uitbreiden. Dit </w:t>
      </w:r>
      <w:r w:rsidRPr="00B35E83" w:rsidR="007C4AEB">
        <w:rPr>
          <w:szCs w:val="18"/>
        </w:rPr>
        <w:t>benadrukt</w:t>
      </w:r>
      <w:r w:rsidRPr="00B35E83">
        <w:rPr>
          <w:szCs w:val="18"/>
        </w:rPr>
        <w:t> het belang van goede monitoring van de ecologische effecten van deze veranderingen op het Noordzee-ecosysteem. Het behouden van een gezonde pijlinktvispopulatie is belangrijk voor de biodiversiteit en het functioneren van het mariene ecosysteem. Daarnaast is een gezond bestand van belang voor vissers die nu én in de toekomst op duurzame wijze hun boterham willen verdienen.  </w:t>
      </w:r>
    </w:p>
    <w:p w:rsidRPr="00B35E83" w:rsidR="006B7813" w:rsidP="00FE53A6" w:rsidRDefault="006B7813" w14:paraId="33845256" w14:textId="50518E9D">
      <w:pPr>
        <w:rPr>
          <w:szCs w:val="18"/>
        </w:rPr>
      </w:pPr>
      <w:r w:rsidRPr="00B35E83">
        <w:rPr>
          <w:szCs w:val="18"/>
        </w:rPr>
        <w:t>Om deze redenen word</w:t>
      </w:r>
      <w:r w:rsidR="009F380D">
        <w:rPr>
          <w:szCs w:val="18"/>
        </w:rPr>
        <w:t>en</w:t>
      </w:r>
      <w:r w:rsidRPr="00B35E83">
        <w:rPr>
          <w:szCs w:val="18"/>
        </w:rPr>
        <w:t xml:space="preserve"> er in internationaal verband al maatregelen genomen ter bescherming van het inktvisbestand. Zo heeft Nederland in 2021 op verzoek van onze visserijsector het initiatief genomen om de maaswijdte aan te passen voor de visserij op pijlinktvis. In de visserij op inktvis was het tot vorig jaar oktober toegestaan met kuilen met een maaswijdte van 40 mm te vissen. </w:t>
      </w:r>
      <w:r w:rsidR="004641EC">
        <w:rPr>
          <w:szCs w:val="18"/>
        </w:rPr>
        <w:t xml:space="preserve">Via een internationale procedure is de stap gezet naar EU-regelgeving, waardoor momenteel zowel in de Noordzee als in de Noordwestelijke wateren (waaronder het kanaal) </w:t>
      </w:r>
      <w:r w:rsidRPr="00B35E83" w:rsidR="004641EC">
        <w:rPr>
          <w:szCs w:val="18"/>
        </w:rPr>
        <w:t>een maaswijdte van 80 mm</w:t>
      </w:r>
      <w:r w:rsidR="004641EC">
        <w:rPr>
          <w:szCs w:val="18"/>
        </w:rPr>
        <w:t xml:space="preserve"> geldt.</w:t>
      </w:r>
      <w:r w:rsidRPr="00B35E83">
        <w:rPr>
          <w:szCs w:val="18"/>
        </w:rPr>
        <w:t xml:space="preserve"> Het vergroten van de maaswijdte draagt bij aan het verminderen van vangst van kleinere inktvis exemplaren.  </w:t>
      </w:r>
    </w:p>
    <w:p w:rsidRPr="00B35E83" w:rsidR="006B7813" w:rsidP="00FE53A6" w:rsidRDefault="006B7813" w14:paraId="7657814F" w14:textId="0761A8A0">
      <w:pPr>
        <w:rPr>
          <w:szCs w:val="18"/>
        </w:rPr>
      </w:pPr>
      <w:r w:rsidRPr="00B35E83">
        <w:rPr>
          <w:szCs w:val="18"/>
        </w:rPr>
        <w:t>Daarnaast wordt er momenteel gewerkt aan het vergroten van de kennis over dit bestand. Zo heeft Wageningen Marine Research (hierna: WMR) en Wageningen </w:t>
      </w:r>
      <w:r w:rsidR="00CA42A3">
        <w:rPr>
          <w:szCs w:val="18"/>
        </w:rPr>
        <w:t xml:space="preserve">Social &amp; </w:t>
      </w:r>
      <w:r w:rsidRPr="00B35E83">
        <w:rPr>
          <w:szCs w:val="18"/>
        </w:rPr>
        <w:t>Economic Research in 2025 onderzoek gedaan naar de ontwikkeling en de huidige stand van zaken in de Nederlandse inktvisvisserij op verzoek van het ministerie van LVVN</w:t>
      </w:r>
      <w:r w:rsidR="009F380D">
        <w:rPr>
          <w:szCs w:val="18"/>
        </w:rPr>
        <w:t xml:space="preserve"> (K</w:t>
      </w:r>
      <w:r w:rsidRPr="00B35E83">
        <w:rPr>
          <w:szCs w:val="18"/>
        </w:rPr>
        <w:t>amerstuk 21 501-32</w:t>
      </w:r>
      <w:r w:rsidR="009F380D">
        <w:rPr>
          <w:szCs w:val="18"/>
        </w:rPr>
        <w:t>)</w:t>
      </w:r>
      <w:r w:rsidRPr="00B35E83">
        <w:rPr>
          <w:szCs w:val="18"/>
        </w:rPr>
        <w:t>. Eind 2025 is daarnaast een rapport door WMR opgeleverd dat kijkt naar de verschillende mogelijkheden om inktvissen te beoordelen onder de</w:t>
      </w:r>
      <w:r w:rsidRPr="00B35E83">
        <w:rPr>
          <w:b/>
          <w:bCs/>
          <w:szCs w:val="18"/>
        </w:rPr>
        <w:t> </w:t>
      </w:r>
      <w:r w:rsidRPr="00B35E83">
        <w:rPr>
          <w:szCs w:val="18"/>
        </w:rPr>
        <w:t>Europese Kaderrichtlijn Mariene Strategie (hierna: KRM). Hierbij stuur ik uw Kamer dit rapport toe. Tot slot, ook buiten de vraag van LVVN om</w:t>
      </w:r>
      <w:r w:rsidR="00CA42A3">
        <w:rPr>
          <w:szCs w:val="18"/>
        </w:rPr>
        <w:t>,</w:t>
      </w:r>
      <w:r w:rsidRPr="00B35E83">
        <w:rPr>
          <w:szCs w:val="18"/>
        </w:rPr>
        <w:t xml:space="preserve"> werken onderzoekers, zowel in nationaal als in internationaal verband, aan het vergroten van kennis over dit bestand. </w:t>
      </w:r>
    </w:p>
    <w:p w:rsidRPr="00B35E83" w:rsidR="006B7813" w:rsidP="00FE53A6" w:rsidRDefault="006B7813" w14:paraId="1608AC43" w14:textId="77777777">
      <w:pPr>
        <w:rPr>
          <w:szCs w:val="18"/>
        </w:rPr>
      </w:pPr>
      <w:r w:rsidRPr="00B35E83">
        <w:rPr>
          <w:szCs w:val="18"/>
        </w:rPr>
        <w:t>Inmiddels is bekend dat pijlinktvissen relatief snel groeien, zich rap voortplanten en daarna meteen sterven. Deze levenscyclus duurt gemiddeld anderhalf jaar. Hierdoor wordt het lastig om het bestand goed te monitoren en ook brengt dit uitdagingen bij het beheer met zich mee. Huidige visserijbeheermethoden zijn vooral geschikt voor het beheer van langer levende soorten en zijn dus niet geschikt voor kortlevende soorten als pijlinktvis. </w:t>
      </w:r>
    </w:p>
    <w:p w:rsidR="006B7813" w:rsidP="00FE53A6" w:rsidRDefault="006B7813" w14:paraId="65C543DB" w14:textId="05EFB533">
      <w:pPr>
        <w:rPr>
          <w:szCs w:val="18"/>
        </w:rPr>
      </w:pPr>
      <w:r w:rsidRPr="00B35E83">
        <w:rPr>
          <w:szCs w:val="18"/>
        </w:rPr>
        <w:t>De komende periode ga ik dan ook in overleg met de wetenschap, experts en relevante stakeholders om te bepalen hoe de pijlinktvis het meest effectief beschermd kan worden. Daarbij wil ik benadrukken dat eventuele managementmaatregelen in internationaal verband genomen moeten worden, aangezien visserijbeheer onder de exclusieve competentie van de Europese Commissie valt. Dit heeft ook mijn sterke voorkeur, vanwege een gelijk speelveld voor vissers en vanwege het feit dat de pijlinktvis zich niet aan landsgrenzen houdt. Daarbij is het van belang dat beheermaatregelen niet alleen bijdragen aan een gelijk speelveld voor vissers, maar ook aan het behoud van een veerkrachtig marien ecosysteem en een duurzaam bestand op de lange termijn. Het is dus aan de lidstaten om samen met de Commissie tot goede beheermaatregelen te komen. Dit kan breder zijn dan enkel het bepalen van vangstquota. Daar zal ik mij de komende tijd op inzetten.  </w:t>
      </w:r>
    </w:p>
    <w:p w:rsidRPr="00B35E83" w:rsidR="00FE53A6" w:rsidP="00FE53A6" w:rsidRDefault="00FE53A6" w14:paraId="3BE45542" w14:textId="77777777">
      <w:pPr>
        <w:rPr>
          <w:szCs w:val="18"/>
        </w:rPr>
      </w:pPr>
    </w:p>
    <w:p w:rsidRPr="00B35E83" w:rsidR="006B7813" w:rsidP="00FE53A6" w:rsidRDefault="006B7813" w14:paraId="5BC90744" w14:textId="77777777">
      <w:pPr>
        <w:rPr>
          <w:szCs w:val="18"/>
        </w:rPr>
      </w:pPr>
      <w:r w:rsidRPr="00B35E83">
        <w:rPr>
          <w:b/>
          <w:bCs/>
          <w:szCs w:val="18"/>
        </w:rPr>
        <w:t>Pulsvisserij</w:t>
      </w:r>
      <w:r w:rsidRPr="00B35E83">
        <w:rPr>
          <w:szCs w:val="18"/>
        </w:rPr>
        <w:t> </w:t>
      </w:r>
    </w:p>
    <w:p w:rsidRPr="00B35E83" w:rsidR="006B7813" w:rsidP="00FE53A6" w:rsidRDefault="006B7813" w14:paraId="4A28AC52" w14:textId="517230A4">
      <w:pPr>
        <w:rPr>
          <w:szCs w:val="18"/>
        </w:rPr>
      </w:pPr>
      <w:r w:rsidRPr="00B35E83">
        <w:rPr>
          <w:szCs w:val="18"/>
        </w:rPr>
        <w:t xml:space="preserve">Pulsvisserij is een bewezen duurzame techniek om platvis te vangen. Deze vangsttechniek is echter verboden, zoals ik eerder met </w:t>
      </w:r>
      <w:r w:rsidR="00CA42A3">
        <w:rPr>
          <w:szCs w:val="18"/>
        </w:rPr>
        <w:t>de</w:t>
      </w:r>
      <w:r w:rsidRPr="00B35E83" w:rsidR="00CA42A3">
        <w:rPr>
          <w:szCs w:val="18"/>
        </w:rPr>
        <w:t xml:space="preserve"> </w:t>
      </w:r>
      <w:r w:rsidRPr="00B35E83">
        <w:rPr>
          <w:szCs w:val="18"/>
        </w:rPr>
        <w:t>Kamer heb gedeeld (Kamerstuk 21501-32 nr. 17</w:t>
      </w:r>
      <w:r>
        <w:rPr>
          <w:szCs w:val="18"/>
        </w:rPr>
        <w:t xml:space="preserve">19). </w:t>
      </w:r>
      <w:r w:rsidRPr="00B35E83">
        <w:rPr>
          <w:szCs w:val="18"/>
        </w:rPr>
        <w:t>Dit verbod is vastgelegd in de Technische Maatregelen Verordening (Verordening (EU) 2019/1241) en alleen de Europese Commissie kan een voorstel tot wijziging van deze verordening doen. De inzet van het kabinet is erop gericht om het draagvlak voor deze techniek te verhogen, onder andere door het uitzetten van onderzoek in samenwerking met andere landen en de Europese Commissie. De eerste gesprekken zijn reeds gevoerd</w:t>
      </w:r>
      <w:r w:rsidR="004F32A2">
        <w:rPr>
          <w:szCs w:val="18"/>
        </w:rPr>
        <w:t xml:space="preserve"> zoals ook gevraagd door de </w:t>
      </w:r>
      <w:r w:rsidR="00B74F79">
        <w:rPr>
          <w:szCs w:val="18"/>
        </w:rPr>
        <w:t xml:space="preserve">moties Van der Plas (Kamerstuk </w:t>
      </w:r>
      <w:r w:rsidR="00B74F79">
        <w:t xml:space="preserve">(21 501-20 Nr. 2326) en Van der Plas en Den Hollander (Kamerstuk </w:t>
      </w:r>
      <w:r w:rsidRPr="000700C7" w:rsidR="00B74F79">
        <w:t>21 501-32</w:t>
      </w:r>
      <w:r w:rsidR="00B74F79">
        <w:t xml:space="preserve"> Nr. 1738)</w:t>
      </w:r>
      <w:r w:rsidRPr="00B35E83">
        <w:rPr>
          <w:szCs w:val="18"/>
        </w:rPr>
        <w:t>. Uit deze gesprekken is gebleken dat er welwillendheid is om in gesprek te gaan over mogelijk onderzoek of doorontwikkeling van het pulstuig. </w:t>
      </w:r>
      <w:r w:rsidR="009F380D">
        <w:rPr>
          <w:szCs w:val="18"/>
        </w:rPr>
        <w:t>Tegelijkertijd blijft ook duidelijk dat dit nog steeds een gevoelig onderwerp is waar</w:t>
      </w:r>
      <w:r w:rsidR="004F32A2">
        <w:rPr>
          <w:szCs w:val="18"/>
        </w:rPr>
        <w:t>door</w:t>
      </w:r>
      <w:r w:rsidR="009F380D">
        <w:rPr>
          <w:szCs w:val="18"/>
        </w:rPr>
        <w:t xml:space="preserve"> dan ook </w:t>
      </w:r>
      <w:r w:rsidR="00D63282">
        <w:rPr>
          <w:szCs w:val="18"/>
        </w:rPr>
        <w:t xml:space="preserve">zorgvuldigheid </w:t>
      </w:r>
      <w:r w:rsidR="004F32A2">
        <w:rPr>
          <w:szCs w:val="18"/>
        </w:rPr>
        <w:t>belangrijk blijft.</w:t>
      </w:r>
    </w:p>
    <w:p w:rsidR="006B7813" w:rsidP="00FE53A6" w:rsidRDefault="004F32A2" w14:paraId="15679FDB" w14:textId="094FDCB7">
      <w:pPr>
        <w:rPr>
          <w:szCs w:val="18"/>
        </w:rPr>
      </w:pPr>
      <w:r>
        <w:rPr>
          <w:szCs w:val="18"/>
        </w:rPr>
        <w:t>Ter vergroting van het draagvlak bij lidstaten wordt</w:t>
      </w:r>
      <w:r w:rsidRPr="00B35E83" w:rsidR="006B7813">
        <w:rPr>
          <w:szCs w:val="18"/>
        </w:rPr>
        <w:t xml:space="preserve"> er daarom gekeken naar verschillende onderzoeksmogelijkheden: een economische verkenning of met eventueel aanvullende randvoorwaarden de huidige techniek nog steeds rendabel kan zijn, een doorontwikkeling van het pulstuig gericht op het wegnemen van bestaande zorgen</w:t>
      </w:r>
      <w:r w:rsidR="000C46D1">
        <w:rPr>
          <w:szCs w:val="18"/>
        </w:rPr>
        <w:t>, ook</w:t>
      </w:r>
      <w:r w:rsidRPr="00B35E83" w:rsidR="006B7813">
        <w:rPr>
          <w:szCs w:val="18"/>
        </w:rPr>
        <w:t xml:space="preserve"> </w:t>
      </w:r>
      <w:r w:rsidR="00E56AD4">
        <w:rPr>
          <w:szCs w:val="18"/>
        </w:rPr>
        <w:t xml:space="preserve">door middel van pilots </w:t>
      </w:r>
      <w:r w:rsidR="000C46D1">
        <w:rPr>
          <w:szCs w:val="18"/>
        </w:rPr>
        <w:t xml:space="preserve">bij voorkeur </w:t>
      </w:r>
      <w:r w:rsidR="00E56AD4">
        <w:rPr>
          <w:szCs w:val="18"/>
        </w:rPr>
        <w:t>met andere landen</w:t>
      </w:r>
      <w:r w:rsidR="000C46D1">
        <w:rPr>
          <w:szCs w:val="18"/>
        </w:rPr>
        <w:t>,</w:t>
      </w:r>
      <w:r w:rsidR="00E56AD4">
        <w:rPr>
          <w:szCs w:val="18"/>
        </w:rPr>
        <w:t xml:space="preserve"> </w:t>
      </w:r>
      <w:r w:rsidRPr="00B35E83" w:rsidR="006B7813">
        <w:rPr>
          <w:szCs w:val="18"/>
        </w:rPr>
        <w:t>en een onderzoek naar de impact van de pulstechniek op het voortplantingssucces van kwetsbare soorten. Deze onderzoeksmogelijkheden zullen bij voorkeur worden verkend in samenwerking met andere landen en buitenlandse kennisinstellingen. Transparant en zorgvuldig opereren op dit dossier is essentieel. Naast deze inzet op de herintroductie van de pulsvisserij zal ook blijvend ingezet worden op verdere innovatie-ontwikkelingen om zo bij te dragen aan een verdere verduurzaming van de boomkorvisserij. </w:t>
      </w:r>
    </w:p>
    <w:p w:rsidR="00FE53A6" w:rsidP="00FE53A6" w:rsidRDefault="00FE53A6" w14:paraId="51B66A4C" w14:textId="77777777">
      <w:pPr>
        <w:rPr>
          <w:szCs w:val="18"/>
        </w:rPr>
      </w:pPr>
    </w:p>
    <w:p w:rsidRPr="00EC5412" w:rsidR="00EC5412" w:rsidP="00FE53A6" w:rsidRDefault="00EC5412" w14:paraId="1A69574E" w14:textId="423071AB">
      <w:pPr>
        <w:rPr>
          <w:szCs w:val="18"/>
        </w:rPr>
      </w:pPr>
      <w:r w:rsidRPr="00EC5412">
        <w:rPr>
          <w:b/>
          <w:bCs/>
          <w:szCs w:val="18"/>
        </w:rPr>
        <w:t xml:space="preserve">Uitspraak </w:t>
      </w:r>
      <w:r w:rsidR="00DE5E94">
        <w:rPr>
          <w:b/>
          <w:bCs/>
          <w:szCs w:val="18"/>
        </w:rPr>
        <w:t>R</w:t>
      </w:r>
      <w:r w:rsidRPr="00EC5412">
        <w:rPr>
          <w:b/>
          <w:bCs/>
          <w:szCs w:val="18"/>
        </w:rPr>
        <w:t xml:space="preserve">aad van </w:t>
      </w:r>
      <w:r w:rsidR="00DE5E94">
        <w:rPr>
          <w:b/>
          <w:bCs/>
          <w:szCs w:val="18"/>
        </w:rPr>
        <w:t>S</w:t>
      </w:r>
      <w:r w:rsidRPr="00EC5412">
        <w:rPr>
          <w:b/>
          <w:bCs/>
          <w:szCs w:val="18"/>
        </w:rPr>
        <w:t xml:space="preserve">tate </w:t>
      </w:r>
      <w:r w:rsidR="00DE5E94">
        <w:rPr>
          <w:b/>
          <w:bCs/>
          <w:szCs w:val="18"/>
        </w:rPr>
        <w:t xml:space="preserve">m.b.t. </w:t>
      </w:r>
      <w:r w:rsidRPr="00EC5412">
        <w:rPr>
          <w:b/>
          <w:bCs/>
          <w:szCs w:val="18"/>
        </w:rPr>
        <w:t>puls</w:t>
      </w:r>
      <w:r w:rsidRPr="00EC5412">
        <w:rPr>
          <w:szCs w:val="18"/>
        </w:rPr>
        <w:t> </w:t>
      </w:r>
    </w:p>
    <w:p w:rsidRPr="00EC5412" w:rsidR="00EC5412" w:rsidP="00FE53A6" w:rsidRDefault="00EC5412" w14:paraId="5646FD3D" w14:textId="77777777">
      <w:pPr>
        <w:rPr>
          <w:szCs w:val="18"/>
        </w:rPr>
      </w:pPr>
      <w:r w:rsidRPr="00EC5412">
        <w:rPr>
          <w:szCs w:val="18"/>
        </w:rPr>
        <w:t>De Afdeling Bestuursrechtspraak van de Raad van State (hierna: ABRvS) heeft op woensdag 22 april jl. een zestal uitspraken gedaan met betrekking tot de pulsvisserij. De Minister is in alle gevallen in het gelijk gesteld, hij heeft rechtmatige besluiten genomen en de vergunningen voor de pulsvisserij zijn terecht ingetrokken. De ABRvS heeft geen uitspraak gedaan of een deel van de vissers (in totaal 42) in aanmerking komt voor nadeelcompensatie, dat besluit moet nog door de minister worden genomen.   </w:t>
      </w:r>
    </w:p>
    <w:p w:rsidRPr="00EC5412" w:rsidR="00EC5412" w:rsidP="00FE53A6" w:rsidRDefault="00EC5412" w14:paraId="7C6DE5F2" w14:textId="77777777">
      <w:pPr>
        <w:rPr>
          <w:szCs w:val="18"/>
        </w:rPr>
      </w:pPr>
      <w:r w:rsidRPr="00EC5412">
        <w:rPr>
          <w:szCs w:val="18"/>
        </w:rPr>
        <w:t>Het staat iedereen vrij om een aanvraag tot nadeelcompensatie in te dienen, maar om daadwerkelijk in aanmerking te komen, moet aan strikte en specifieke eisen worden voldaan. Het is niet waarschijnlijk dat de vissers in aanmerking zullen komen voor nadeelcompensatie. Doordat de investeringen in het pulstuig in principe binnen enkele jaren zijn terugverdiend, is er waarschijnlijk geen sprake van schade. Daarnaast moet de schade waarvoor nadeelcompensatie wordt gevraagd zijn veroorzaakt door een besluit van de minister. In dit geval is het daadwerkelijke schadeveroorzakende besluit genomen door de Europese instellingen, aangezien het intrekken van de pulsvergunningen een rechtstreeks gevolg was van het Europese verbod op pulsvisserij. Hierdoor acht ik het niet waarschijnlijk dat ik gehouden zou zijn nadeelcompensatie toe te kennen. </w:t>
      </w:r>
    </w:p>
    <w:p w:rsidR="00FE53A6" w:rsidP="00FE53A6" w:rsidRDefault="007C4AEB" w14:paraId="5949D0E1" w14:textId="77777777">
      <w:pPr>
        <w:rPr>
          <w:szCs w:val="18"/>
        </w:rPr>
      </w:pPr>
      <w:r w:rsidRPr="00EC5412">
        <w:rPr>
          <w:szCs w:val="18"/>
        </w:rPr>
        <w:t>Toch</w:t>
      </w:r>
      <w:r w:rsidRPr="00EC5412" w:rsidR="00EC5412">
        <w:rPr>
          <w:szCs w:val="18"/>
        </w:rPr>
        <w:t xml:space="preserve"> begrijp ik de impact die het pulsverbod heeft gehad op de betreffende vissers en zal ik </w:t>
      </w:r>
      <w:r w:rsidR="0075695F">
        <w:rPr>
          <w:szCs w:val="18"/>
        </w:rPr>
        <w:t xml:space="preserve">wanneer een betrokken visser ondanks bovenstaande toch in aanmerking denkt te komen voor nadeelcompensatie </w:t>
      </w:r>
      <w:r w:rsidRPr="00EC5412" w:rsidR="00EC5412">
        <w:rPr>
          <w:szCs w:val="18"/>
        </w:rPr>
        <w:t xml:space="preserve">hen de gelegenheid bieden om (aanvullende) bewijsstukken aan te leveren waarmee ze </w:t>
      </w:r>
      <w:r w:rsidR="0075695F">
        <w:rPr>
          <w:szCs w:val="18"/>
        </w:rPr>
        <w:t xml:space="preserve">dit </w:t>
      </w:r>
      <w:r w:rsidRPr="00EC5412" w:rsidR="00EC5412">
        <w:rPr>
          <w:szCs w:val="18"/>
        </w:rPr>
        <w:t>kunnen aantonen. Deze stukken zal ik zorgvuldig beoordelen en op basis daarvan een besluit nemen</w:t>
      </w:r>
      <w:r w:rsidR="00EC5412">
        <w:rPr>
          <w:szCs w:val="18"/>
        </w:rPr>
        <w:t>.</w:t>
      </w:r>
    </w:p>
    <w:p w:rsidR="00340ECA" w:rsidP="00FE53A6" w:rsidRDefault="00EC5412" w14:paraId="6C53167C" w14:textId="3AB1FD29">
      <w:pPr>
        <w:rPr>
          <w:szCs w:val="18"/>
        </w:rPr>
      </w:pPr>
      <w:r>
        <w:rPr>
          <w:szCs w:val="18"/>
        </w:rPr>
        <w:t xml:space="preserve"> </w:t>
      </w:r>
    </w:p>
    <w:p w:rsidRPr="007A6F28" w:rsidR="007A6F28" w:rsidP="00FE53A6" w:rsidRDefault="007A6F28" w14:paraId="2AD255DB" w14:textId="77777777">
      <w:pPr>
        <w:rPr>
          <w:b/>
          <w:bCs/>
          <w:szCs w:val="18"/>
        </w:rPr>
      </w:pPr>
      <w:r w:rsidRPr="007A6F28">
        <w:rPr>
          <w:b/>
          <w:bCs/>
          <w:szCs w:val="18"/>
        </w:rPr>
        <w:t xml:space="preserve">Steunmaatregel gestegen bedrijfskosten </w:t>
      </w:r>
    </w:p>
    <w:p w:rsidRPr="007A6F28" w:rsidR="007A6F28" w:rsidP="00FE53A6" w:rsidRDefault="007A6F28" w14:paraId="12D8CF4D" w14:textId="4F46BC10">
      <w:pPr>
        <w:rPr>
          <w:szCs w:val="18"/>
        </w:rPr>
      </w:pPr>
      <w:r w:rsidRPr="007A6F28">
        <w:rPr>
          <w:szCs w:val="18"/>
        </w:rPr>
        <w:t xml:space="preserve">Eerder informeerde ik uw Kamer over mijn voornemen om een steunmaatregel open te stellen voor de visserijsector onder het European Maritime, Fisheries, and Aquaculture Fund (EMFAF) (Kamerstuk 36933, nr. 1 en Kamerstuk 21501-32, nr. 1795). Dit om de gevolgen van het conflict in het Midden-Oosten op te vangen. Ik doe dit in navolging van motie Flach c.s. ( Kamerstuk 23432, nr. 713). </w:t>
      </w:r>
    </w:p>
    <w:p w:rsidRPr="007A6F28" w:rsidR="00E56AD4" w:rsidP="00FE53A6" w:rsidRDefault="007A6F28" w14:paraId="0412C06C" w14:textId="5418817F">
      <w:pPr>
        <w:rPr>
          <w:szCs w:val="18"/>
        </w:rPr>
      </w:pPr>
      <w:r w:rsidRPr="007A6F28">
        <w:rPr>
          <w:szCs w:val="18"/>
        </w:rPr>
        <w:t xml:space="preserve">De steunmaatregel richt zich op gestegen bedrijfskosten en zal vissers </w:t>
      </w:r>
      <w:r>
        <w:rPr>
          <w:szCs w:val="18"/>
        </w:rPr>
        <w:t>in een lastige tijd</w:t>
      </w:r>
      <w:r w:rsidRPr="007A6F28">
        <w:rPr>
          <w:szCs w:val="18"/>
        </w:rPr>
        <w:t xml:space="preserve"> helpen. De steunmaatregel is bijna af. Met onderbouwing van Wageningen Social and Economic Research (WSER) en in nauw overleg met sector leg ik hier nu de laatste hand aan. Doeltreffendheid staat hierbij voorop. Ik hou daarom rekening met de mate waarin verschillende vlootsegmenten last hebben van gestegen bedrijfskosten. </w:t>
      </w:r>
      <w:r w:rsidR="00E56AD4">
        <w:rPr>
          <w:szCs w:val="18"/>
        </w:rPr>
        <w:t xml:space="preserve">De regeling kijkt met terugwerkende kracht naar de gestegen bedrijfskosten die sinds uitbreken van het conflict zijn gemaakt. Met die boodschap zijn vissers weer gaan uitvaren, omdat zij weten dat steun zal volgen. </w:t>
      </w:r>
    </w:p>
    <w:p w:rsidRPr="007A6F28" w:rsidR="007A6F28" w:rsidP="00FE53A6" w:rsidRDefault="007A6F28" w14:paraId="56181FDC" w14:textId="77777777">
      <w:pPr>
        <w:rPr>
          <w:szCs w:val="18"/>
        </w:rPr>
      </w:pPr>
      <w:r w:rsidRPr="007A6F28">
        <w:rPr>
          <w:szCs w:val="18"/>
        </w:rPr>
        <w:t xml:space="preserve">Ook let ik op de uitvoerbaarheid en lage administratieve lasten voor zowel de subsidieaanvrager, als de Rijksdienst van Ondernemend Nederland (RVO) als uitvoerende instantie. Zoals gebruikelijk bij EMFAF-subsidieregelingen, leg ik de regeling voor aan het Monitoring Comité EMFAF. Daarin zitten vertegenwoordigers van sector, NGO’s, wetenschappelijke instellingen en decentrale overheden. Ik doe mijn best om uw Kamer voor het reces de regeling te sturen. </w:t>
      </w:r>
    </w:p>
    <w:p w:rsidRPr="007426AA" w:rsidR="001A4664" w:rsidP="00FE53A6" w:rsidRDefault="001A4664" w14:paraId="00AE4839" w14:textId="77777777">
      <w:pPr>
        <w:rPr>
          <w:szCs w:val="18"/>
        </w:rPr>
      </w:pPr>
    </w:p>
    <w:p w:rsidR="00927A84" w:rsidP="00FE53A6" w:rsidRDefault="006B7813" w14:paraId="42C87648" w14:textId="24B2E7E7">
      <w:r>
        <w:t xml:space="preserve">Hoogachtend, </w:t>
      </w:r>
      <w:r w:rsidR="00CA3C80">
        <w:br/>
      </w:r>
    </w:p>
    <w:p w:rsidR="00927A84" w:rsidP="00FE53A6" w:rsidRDefault="00927A84" w14:paraId="1F6E75B6" w14:textId="77777777">
      <w:pPr>
        <w:pStyle w:val="Normaalweb"/>
        <w:spacing w:before="0" w:beforeAutospacing="0" w:after="0" w:afterAutospacing="0" w:line="240" w:lineRule="atLeast"/>
      </w:pPr>
    </w:p>
    <w:p w:rsidR="00FE53A6" w:rsidP="00FE53A6" w:rsidRDefault="00FE53A6" w14:paraId="35B057A0" w14:textId="77777777">
      <w:pPr>
        <w:pStyle w:val="Normaalweb"/>
        <w:spacing w:before="0" w:beforeAutospacing="0" w:after="0" w:afterAutospacing="0" w:line="240" w:lineRule="atLeast"/>
      </w:pPr>
    </w:p>
    <w:p w:rsidR="00FE53A6" w:rsidP="00FE53A6" w:rsidRDefault="00FE53A6" w14:paraId="2BD537A3" w14:textId="77777777">
      <w:pPr>
        <w:pStyle w:val="Normaalweb"/>
        <w:spacing w:before="0" w:beforeAutospacing="0" w:after="0" w:afterAutospacing="0" w:line="240" w:lineRule="atLeast"/>
      </w:pPr>
    </w:p>
    <w:p w:rsidRPr="000160F7" w:rsidR="00927A84" w:rsidP="00FE53A6" w:rsidRDefault="00CA3C80" w14:paraId="6BA67A84" w14:textId="77777777">
      <w:pPr>
        <w:pStyle w:val="Normaalweb"/>
        <w:spacing w:before="0" w:beforeAutospacing="0" w:after="0" w:afterAutospacing="0" w:line="240" w:lineRule="atLeast"/>
        <w:rPr>
          <w:rFonts w:ascii="Verdana" w:hAnsi="Verdana"/>
          <w:sz w:val="18"/>
          <w:szCs w:val="18"/>
        </w:rPr>
      </w:pPr>
      <w:r w:rsidRPr="000160F7">
        <w:rPr>
          <w:rFonts w:ascii="Verdana" w:hAnsi="Verdana"/>
          <w:sz w:val="18"/>
          <w:szCs w:val="18"/>
        </w:rPr>
        <w:t>Silvio Erkens</w:t>
      </w:r>
    </w:p>
    <w:p w:rsidRPr="000160F7" w:rsidR="00927A84" w:rsidP="00FE53A6" w:rsidRDefault="00CA3C80" w14:paraId="6CB70B04" w14:textId="77777777">
      <w:pPr>
        <w:pStyle w:val="Normaalweb"/>
        <w:spacing w:before="0" w:beforeAutospacing="0" w:after="0" w:afterAutospacing="0" w:line="240" w:lineRule="atLeast"/>
        <w:rPr>
          <w:rFonts w:ascii="Verdana" w:hAnsi="Verdana"/>
          <w:sz w:val="18"/>
          <w:szCs w:val="18"/>
        </w:rPr>
      </w:pPr>
      <w:r w:rsidRPr="000160F7">
        <w:rPr>
          <w:rFonts w:ascii="Verdana" w:hAnsi="Verdana"/>
          <w:sz w:val="18"/>
          <w:szCs w:val="18"/>
        </w:rPr>
        <w:t>Staatssecretaris van Landbouw, Visserij, Voedselzekerheid en Natuur</w:t>
      </w:r>
    </w:p>
    <w:p w:rsidRPr="00144B73" w:rsidR="00144B73" w:rsidP="00FE53A6" w:rsidRDefault="00144B73" w14:paraId="452E9C6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36F4" w14:textId="77777777" w:rsidR="00423295" w:rsidRDefault="00423295">
      <w:r>
        <w:separator/>
      </w:r>
    </w:p>
    <w:p w14:paraId="6DD8FA64" w14:textId="77777777" w:rsidR="00423295" w:rsidRDefault="00423295"/>
  </w:endnote>
  <w:endnote w:type="continuationSeparator" w:id="0">
    <w:p w14:paraId="0F8E4128" w14:textId="77777777" w:rsidR="00423295" w:rsidRDefault="00423295">
      <w:r>
        <w:continuationSeparator/>
      </w:r>
    </w:p>
    <w:p w14:paraId="5F66579F" w14:textId="77777777" w:rsidR="00423295" w:rsidRDefault="00423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27A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B3B61" w14:paraId="2103187E" w14:textId="77777777" w:rsidTr="00CA6A25">
      <w:trPr>
        <w:trHeight w:hRule="exact" w:val="240"/>
      </w:trPr>
      <w:tc>
        <w:tcPr>
          <w:tcW w:w="7601" w:type="dxa"/>
        </w:tcPr>
        <w:p w14:paraId="04419127" w14:textId="77777777" w:rsidR="00527BD4" w:rsidRDefault="00527BD4" w:rsidP="003F1F6B">
          <w:pPr>
            <w:pStyle w:val="Huisstijl-Rubricering"/>
          </w:pPr>
        </w:p>
      </w:tc>
      <w:tc>
        <w:tcPr>
          <w:tcW w:w="2156" w:type="dxa"/>
        </w:tcPr>
        <w:p w14:paraId="626A3F16" w14:textId="5679E4FD" w:rsidR="00527BD4" w:rsidRPr="00645414" w:rsidRDefault="00CA3C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C1AA8">
            <w:t>5</w:t>
          </w:r>
          <w:r w:rsidR="00144B73">
            <w:fldChar w:fldCharType="end"/>
          </w:r>
        </w:p>
      </w:tc>
    </w:tr>
  </w:tbl>
  <w:p w14:paraId="0ECF6A0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B3B61" w14:paraId="2B8070E0" w14:textId="77777777" w:rsidTr="00CA6A25">
      <w:trPr>
        <w:trHeight w:hRule="exact" w:val="240"/>
      </w:trPr>
      <w:tc>
        <w:tcPr>
          <w:tcW w:w="7601" w:type="dxa"/>
        </w:tcPr>
        <w:p w14:paraId="3627270E" w14:textId="77777777" w:rsidR="00527BD4" w:rsidRDefault="00527BD4" w:rsidP="008C356D">
          <w:pPr>
            <w:pStyle w:val="Huisstijl-Rubricering"/>
          </w:pPr>
        </w:p>
      </w:tc>
      <w:tc>
        <w:tcPr>
          <w:tcW w:w="2170" w:type="dxa"/>
        </w:tcPr>
        <w:p w14:paraId="17121370" w14:textId="4AC0F4BA" w:rsidR="00527BD4" w:rsidRPr="00ED539E" w:rsidRDefault="00CA3C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423295">
            <w:t>1</w:t>
          </w:r>
          <w:r w:rsidR="003F2647">
            <w:fldChar w:fldCharType="end"/>
          </w:r>
        </w:p>
      </w:tc>
    </w:tr>
  </w:tbl>
  <w:p w14:paraId="79771C43" w14:textId="77777777" w:rsidR="00527BD4" w:rsidRPr="00BC3B53" w:rsidRDefault="00527BD4" w:rsidP="008C356D">
    <w:pPr>
      <w:pStyle w:val="Voettekst"/>
      <w:spacing w:line="240" w:lineRule="auto"/>
      <w:rPr>
        <w:sz w:val="2"/>
        <w:szCs w:val="2"/>
      </w:rPr>
    </w:pPr>
  </w:p>
  <w:p w14:paraId="69841CD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FCF6" w14:textId="77777777" w:rsidR="00423295" w:rsidRDefault="00423295">
      <w:r>
        <w:separator/>
      </w:r>
    </w:p>
    <w:p w14:paraId="077B2CE2" w14:textId="77777777" w:rsidR="00423295" w:rsidRDefault="00423295"/>
  </w:footnote>
  <w:footnote w:type="continuationSeparator" w:id="0">
    <w:p w14:paraId="05CE2F13" w14:textId="77777777" w:rsidR="00423295" w:rsidRDefault="00423295">
      <w:r>
        <w:continuationSeparator/>
      </w:r>
    </w:p>
    <w:p w14:paraId="51F09736" w14:textId="77777777" w:rsidR="00423295" w:rsidRDefault="00423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B3B61" w14:paraId="19B97136" w14:textId="77777777" w:rsidTr="00A50CF6">
      <w:tc>
        <w:tcPr>
          <w:tcW w:w="2156" w:type="dxa"/>
        </w:tcPr>
        <w:p w14:paraId="3B8FE10D" w14:textId="77777777" w:rsidR="00527BD4" w:rsidRPr="005819CE" w:rsidRDefault="00CA3C80" w:rsidP="00A50CF6">
          <w:pPr>
            <w:pStyle w:val="Huisstijl-Adres"/>
            <w:rPr>
              <w:b/>
            </w:rPr>
          </w:pPr>
          <w:r>
            <w:rPr>
              <w:b/>
            </w:rPr>
            <w:t>Directoraat-generaal Natuur en Visserij</w:t>
          </w:r>
          <w:r w:rsidRPr="005819CE">
            <w:rPr>
              <w:b/>
            </w:rPr>
            <w:br/>
          </w:r>
        </w:p>
      </w:tc>
    </w:tr>
    <w:tr w:rsidR="00BB3B61" w14:paraId="761C7078" w14:textId="77777777" w:rsidTr="00A50CF6">
      <w:trPr>
        <w:trHeight w:hRule="exact" w:val="200"/>
      </w:trPr>
      <w:tc>
        <w:tcPr>
          <w:tcW w:w="2156" w:type="dxa"/>
        </w:tcPr>
        <w:p w14:paraId="7A38F503" w14:textId="77777777" w:rsidR="00527BD4" w:rsidRPr="005819CE" w:rsidRDefault="00527BD4" w:rsidP="00A50CF6"/>
      </w:tc>
    </w:tr>
    <w:tr w:rsidR="00BB3B61" w14:paraId="1535FE99" w14:textId="77777777" w:rsidTr="00502512">
      <w:trPr>
        <w:trHeight w:hRule="exact" w:val="774"/>
      </w:trPr>
      <w:tc>
        <w:tcPr>
          <w:tcW w:w="2156" w:type="dxa"/>
        </w:tcPr>
        <w:p w14:paraId="3C139984" w14:textId="77777777" w:rsidR="00527BD4" w:rsidRDefault="00CA3C80" w:rsidP="003A5290">
          <w:pPr>
            <w:pStyle w:val="Huisstijl-Kopje"/>
          </w:pPr>
          <w:r>
            <w:t>Ons kenmerk</w:t>
          </w:r>
        </w:p>
        <w:p w14:paraId="56F52269" w14:textId="7769BA83" w:rsidR="00527BD4" w:rsidRPr="005819CE" w:rsidRDefault="00CA3C80" w:rsidP="001E6117">
          <w:pPr>
            <w:pStyle w:val="Huisstijl-Kopje"/>
          </w:pPr>
          <w:r>
            <w:rPr>
              <w:b w:val="0"/>
            </w:rPr>
            <w:t>DGNV</w:t>
          </w:r>
          <w:r w:rsidRPr="00502512">
            <w:rPr>
              <w:b w:val="0"/>
            </w:rPr>
            <w:t xml:space="preserve"> / </w:t>
          </w:r>
          <w:r w:rsidR="00E1781D" w:rsidRPr="00E1781D">
            <w:rPr>
              <w:b w:val="0"/>
              <w:bCs/>
            </w:rPr>
            <w:t>106598929</w:t>
          </w:r>
        </w:p>
      </w:tc>
    </w:tr>
  </w:tbl>
  <w:p w14:paraId="5374EF00" w14:textId="77777777" w:rsidR="00527BD4" w:rsidRDefault="00527BD4" w:rsidP="008C356D"/>
  <w:p w14:paraId="4801AE6A" w14:textId="77777777" w:rsidR="00527BD4" w:rsidRPr="00740712" w:rsidRDefault="00527BD4" w:rsidP="008C356D"/>
  <w:p w14:paraId="038CE311" w14:textId="77777777" w:rsidR="00527BD4" w:rsidRPr="00217880" w:rsidRDefault="00527BD4" w:rsidP="008C356D">
    <w:pPr>
      <w:spacing w:line="0" w:lineRule="atLeast"/>
      <w:rPr>
        <w:sz w:val="2"/>
        <w:szCs w:val="2"/>
      </w:rPr>
    </w:pPr>
  </w:p>
  <w:p w14:paraId="4EEFAC63" w14:textId="77777777" w:rsidR="00527BD4" w:rsidRDefault="00527BD4" w:rsidP="004F44C2">
    <w:pPr>
      <w:pStyle w:val="Koptekst"/>
      <w:rPr>
        <w:rFonts w:cs="Verdana-Bold"/>
        <w:b/>
        <w:bCs/>
        <w:smallCaps/>
        <w:szCs w:val="18"/>
      </w:rPr>
    </w:pPr>
  </w:p>
  <w:p w14:paraId="5BB5280E" w14:textId="77777777" w:rsidR="00527BD4" w:rsidRDefault="00527BD4" w:rsidP="004F44C2"/>
  <w:p w14:paraId="4FCE95F9" w14:textId="77777777" w:rsidR="00527BD4" w:rsidRPr="00740712" w:rsidRDefault="00527BD4" w:rsidP="004F44C2"/>
  <w:p w14:paraId="435C591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3B61" w14:paraId="58EA2DA4" w14:textId="77777777" w:rsidTr="00751A6A">
      <w:trPr>
        <w:trHeight w:val="2636"/>
      </w:trPr>
      <w:tc>
        <w:tcPr>
          <w:tcW w:w="737" w:type="dxa"/>
        </w:tcPr>
        <w:p w14:paraId="4EFF4A23" w14:textId="77777777" w:rsidR="00527BD4" w:rsidRDefault="00527BD4" w:rsidP="00D0609E">
          <w:pPr>
            <w:framePr w:w="6340" w:h="2750" w:hRule="exact" w:hSpace="180" w:wrap="around" w:vAnchor="page" w:hAnchor="text" w:x="3873" w:y="-140"/>
            <w:spacing w:line="240" w:lineRule="auto"/>
          </w:pPr>
        </w:p>
      </w:tc>
      <w:tc>
        <w:tcPr>
          <w:tcW w:w="5156" w:type="dxa"/>
        </w:tcPr>
        <w:p w14:paraId="32CC0BB7" w14:textId="77777777" w:rsidR="00527BD4" w:rsidRDefault="00CA3C8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DB06EC4" wp14:editId="349633B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AE5D554" w14:textId="77777777" w:rsidR="00527BD4" w:rsidRDefault="00527BD4" w:rsidP="00D0609E">
    <w:pPr>
      <w:framePr w:w="6340" w:h="2750" w:hRule="exact" w:hSpace="180" w:wrap="around" w:vAnchor="page" w:hAnchor="text" w:x="3873" w:y="-140"/>
    </w:pPr>
  </w:p>
  <w:p w14:paraId="4E35CE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B3B61" w14:paraId="0DF568FD" w14:textId="77777777" w:rsidTr="00A50CF6">
      <w:tc>
        <w:tcPr>
          <w:tcW w:w="2160" w:type="dxa"/>
        </w:tcPr>
        <w:p w14:paraId="014BA622" w14:textId="77777777" w:rsidR="00527BD4" w:rsidRPr="005819CE" w:rsidRDefault="00CA3C80" w:rsidP="00A50CF6">
          <w:pPr>
            <w:pStyle w:val="Huisstijl-Adres"/>
            <w:rPr>
              <w:b/>
            </w:rPr>
          </w:pPr>
          <w:r>
            <w:rPr>
              <w:b/>
            </w:rPr>
            <w:t>Directoraat-generaal Natuur en Visserij</w:t>
          </w:r>
          <w:r w:rsidRPr="005819CE">
            <w:rPr>
              <w:b/>
            </w:rPr>
            <w:br/>
          </w:r>
        </w:p>
        <w:p w14:paraId="4E310C0A" w14:textId="77777777" w:rsidR="00527BD4" w:rsidRPr="00BE5ED9" w:rsidRDefault="00CA3C80" w:rsidP="00A50CF6">
          <w:pPr>
            <w:pStyle w:val="Huisstijl-Adres"/>
          </w:pPr>
          <w:r>
            <w:rPr>
              <w:b/>
            </w:rPr>
            <w:t>Bezoekadres</w:t>
          </w:r>
          <w:r>
            <w:rPr>
              <w:b/>
            </w:rPr>
            <w:br/>
          </w:r>
          <w:r>
            <w:t>Bezuidenhoutseweg 73</w:t>
          </w:r>
          <w:r w:rsidRPr="005819CE">
            <w:br/>
          </w:r>
          <w:r>
            <w:t>2594 AC Den Haag</w:t>
          </w:r>
        </w:p>
        <w:p w14:paraId="4AA7C37C" w14:textId="77777777" w:rsidR="00EF495B" w:rsidRDefault="00CA3C80" w:rsidP="0098788A">
          <w:pPr>
            <w:pStyle w:val="Huisstijl-Adres"/>
          </w:pPr>
          <w:r>
            <w:rPr>
              <w:b/>
            </w:rPr>
            <w:t>Postadres</w:t>
          </w:r>
          <w:r>
            <w:rPr>
              <w:b/>
            </w:rPr>
            <w:br/>
          </w:r>
          <w:r>
            <w:t>Postbus 20401</w:t>
          </w:r>
          <w:r w:rsidRPr="005819CE">
            <w:br/>
            <w:t>2500 E</w:t>
          </w:r>
          <w:r>
            <w:t>K</w:t>
          </w:r>
          <w:r w:rsidRPr="005819CE">
            <w:t xml:space="preserve"> Den Haag</w:t>
          </w:r>
        </w:p>
        <w:p w14:paraId="210347E9" w14:textId="77777777" w:rsidR="00556BEE" w:rsidRPr="005B3814" w:rsidRDefault="00CA3C80" w:rsidP="0098788A">
          <w:pPr>
            <w:pStyle w:val="Huisstijl-Adres"/>
          </w:pPr>
          <w:r>
            <w:rPr>
              <w:b/>
            </w:rPr>
            <w:t>Overheidsidentificatienr</w:t>
          </w:r>
          <w:r>
            <w:rPr>
              <w:b/>
            </w:rPr>
            <w:br/>
          </w:r>
          <w:r w:rsidR="00BA129E">
            <w:rPr>
              <w:rFonts w:cs="Agrofont"/>
              <w:iCs/>
            </w:rPr>
            <w:t>00000001858272854000</w:t>
          </w:r>
        </w:p>
        <w:p w14:paraId="20FC6683" w14:textId="6FBB4F68" w:rsidR="00527BD4" w:rsidRPr="005819CE" w:rsidRDefault="00CA3C80"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B3B61" w14:paraId="3C0C8F96" w14:textId="77777777" w:rsidTr="00A50CF6">
      <w:trPr>
        <w:trHeight w:hRule="exact" w:val="200"/>
      </w:trPr>
      <w:tc>
        <w:tcPr>
          <w:tcW w:w="2160" w:type="dxa"/>
        </w:tcPr>
        <w:p w14:paraId="1AC96AA2" w14:textId="77777777" w:rsidR="00527BD4" w:rsidRPr="005819CE" w:rsidRDefault="00527BD4" w:rsidP="00A50CF6"/>
      </w:tc>
    </w:tr>
    <w:tr w:rsidR="00BB3B61" w14:paraId="1A10E589" w14:textId="77777777" w:rsidTr="00A50CF6">
      <w:tc>
        <w:tcPr>
          <w:tcW w:w="2160" w:type="dxa"/>
        </w:tcPr>
        <w:p w14:paraId="48ED32F3" w14:textId="77777777" w:rsidR="000C0163" w:rsidRPr="005819CE" w:rsidRDefault="00CA3C80" w:rsidP="000C0163">
          <w:pPr>
            <w:pStyle w:val="Huisstijl-Kopje"/>
          </w:pPr>
          <w:r>
            <w:t>Ons kenmerk</w:t>
          </w:r>
          <w:r w:rsidRPr="005819CE">
            <w:t xml:space="preserve"> </w:t>
          </w:r>
        </w:p>
        <w:p w14:paraId="6883D11B" w14:textId="4BF44738" w:rsidR="00527BD4" w:rsidRPr="005819CE" w:rsidRDefault="00CA3C80" w:rsidP="00A50CF6">
          <w:pPr>
            <w:pStyle w:val="Huisstijl-Gegeven"/>
          </w:pPr>
          <w:r>
            <w:t>DGNV /</w:t>
          </w:r>
          <w:r w:rsidR="00486354">
            <w:t xml:space="preserve"> </w:t>
          </w:r>
          <w:r w:rsidR="00E1781D">
            <w:t>106598929</w:t>
          </w:r>
        </w:p>
        <w:p w14:paraId="23F9E9BA" w14:textId="77777777" w:rsidR="00527BD4" w:rsidRPr="005819CE" w:rsidRDefault="00CA3C80" w:rsidP="00A50CF6">
          <w:pPr>
            <w:pStyle w:val="Huisstijl-Kopje"/>
          </w:pPr>
          <w:r>
            <w:t>Bijlage(n)</w:t>
          </w:r>
        </w:p>
        <w:p w14:paraId="45885425" w14:textId="77777777" w:rsidR="00527BD4" w:rsidRPr="005819CE" w:rsidRDefault="00CA3C80" w:rsidP="00A50CF6">
          <w:pPr>
            <w:pStyle w:val="Huisstijl-Gegeven"/>
          </w:pPr>
          <w:r>
            <w:t>2</w:t>
          </w:r>
        </w:p>
      </w:tc>
    </w:tr>
  </w:tbl>
  <w:p w14:paraId="1542874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B3B61" w14:paraId="10325FDF" w14:textId="77777777" w:rsidTr="009E2051">
      <w:trPr>
        <w:trHeight w:val="400"/>
      </w:trPr>
      <w:tc>
        <w:tcPr>
          <w:tcW w:w="7520" w:type="dxa"/>
          <w:gridSpan w:val="2"/>
        </w:tcPr>
        <w:p w14:paraId="344D2FDF" w14:textId="77777777" w:rsidR="00527BD4" w:rsidRPr="00BC3B53" w:rsidRDefault="00CA3C80" w:rsidP="00A50CF6">
          <w:pPr>
            <w:pStyle w:val="Huisstijl-Retouradres"/>
          </w:pPr>
          <w:r>
            <w:t>&gt; Retouradres Postbus 20401 2500 EK Den Haag</w:t>
          </w:r>
        </w:p>
      </w:tc>
    </w:tr>
    <w:tr w:rsidR="00BB3B61" w14:paraId="1D4BBB57" w14:textId="77777777" w:rsidTr="009E2051">
      <w:tc>
        <w:tcPr>
          <w:tcW w:w="7520" w:type="dxa"/>
          <w:gridSpan w:val="2"/>
        </w:tcPr>
        <w:p w14:paraId="7794AA07" w14:textId="77777777" w:rsidR="00527BD4" w:rsidRPr="00983E8F" w:rsidRDefault="00527BD4" w:rsidP="00A50CF6">
          <w:pPr>
            <w:pStyle w:val="Huisstijl-Rubricering"/>
          </w:pPr>
        </w:p>
      </w:tc>
    </w:tr>
    <w:tr w:rsidR="00BB3B61" w14:paraId="4A47C2D7" w14:textId="77777777" w:rsidTr="009E2051">
      <w:trPr>
        <w:trHeight w:hRule="exact" w:val="2440"/>
      </w:trPr>
      <w:tc>
        <w:tcPr>
          <w:tcW w:w="7520" w:type="dxa"/>
          <w:gridSpan w:val="2"/>
        </w:tcPr>
        <w:p w14:paraId="7D5EC88D" w14:textId="77777777" w:rsidR="00527BD4" w:rsidRDefault="00CA3C80" w:rsidP="00A50CF6">
          <w:pPr>
            <w:pStyle w:val="Huisstijl-NAW"/>
          </w:pPr>
          <w:r>
            <w:t xml:space="preserve">De Voorzitter van de Tweede Kamer </w:t>
          </w:r>
        </w:p>
        <w:p w14:paraId="3840C228" w14:textId="77777777" w:rsidR="00BB3B61" w:rsidRDefault="00CA3C80">
          <w:pPr>
            <w:pStyle w:val="Huisstijl-NAW"/>
          </w:pPr>
          <w:r>
            <w:t xml:space="preserve">der Staten-Generaal </w:t>
          </w:r>
        </w:p>
        <w:p w14:paraId="276558F7" w14:textId="77777777" w:rsidR="00BB3B61" w:rsidRDefault="00CA3C80">
          <w:pPr>
            <w:pStyle w:val="Huisstijl-NAW"/>
          </w:pPr>
          <w:r>
            <w:t xml:space="preserve">Prinses Irenestraat 6 </w:t>
          </w:r>
        </w:p>
        <w:p w14:paraId="7612CCCD" w14:textId="06E5DF97" w:rsidR="00BB3B61" w:rsidRDefault="00CA3C80">
          <w:pPr>
            <w:pStyle w:val="Huisstijl-NAW"/>
          </w:pPr>
          <w:r>
            <w:t>2595 BD  DEN HAAG</w:t>
          </w:r>
        </w:p>
      </w:tc>
    </w:tr>
    <w:tr w:rsidR="00BB3B61" w14:paraId="38DDAF99" w14:textId="77777777" w:rsidTr="009E2051">
      <w:trPr>
        <w:trHeight w:hRule="exact" w:val="400"/>
      </w:trPr>
      <w:tc>
        <w:tcPr>
          <w:tcW w:w="7520" w:type="dxa"/>
          <w:gridSpan w:val="2"/>
        </w:tcPr>
        <w:p w14:paraId="3E0AA16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B3B61" w14:paraId="142F88CE" w14:textId="77777777" w:rsidTr="009E2051">
      <w:trPr>
        <w:trHeight w:val="240"/>
      </w:trPr>
      <w:tc>
        <w:tcPr>
          <w:tcW w:w="900" w:type="dxa"/>
        </w:tcPr>
        <w:p w14:paraId="2BA6649D" w14:textId="77777777" w:rsidR="00527BD4" w:rsidRPr="007709EF" w:rsidRDefault="00CA3C80" w:rsidP="00A50CF6">
          <w:pPr>
            <w:rPr>
              <w:szCs w:val="18"/>
            </w:rPr>
          </w:pPr>
          <w:r>
            <w:rPr>
              <w:szCs w:val="18"/>
            </w:rPr>
            <w:t>Datum</w:t>
          </w:r>
        </w:p>
      </w:tc>
      <w:tc>
        <w:tcPr>
          <w:tcW w:w="6620" w:type="dxa"/>
        </w:tcPr>
        <w:p w14:paraId="296EA152" w14:textId="7C573330" w:rsidR="00527BD4" w:rsidRPr="007709EF" w:rsidRDefault="002C1AA8" w:rsidP="00A50CF6">
          <w:r>
            <w:t>12 juni 2026</w:t>
          </w:r>
        </w:p>
      </w:tc>
    </w:tr>
    <w:tr w:rsidR="00BB3B61" w14:paraId="48808657" w14:textId="77777777" w:rsidTr="009E2051">
      <w:trPr>
        <w:trHeight w:val="240"/>
      </w:trPr>
      <w:tc>
        <w:tcPr>
          <w:tcW w:w="900" w:type="dxa"/>
        </w:tcPr>
        <w:p w14:paraId="7E9FFB48" w14:textId="77777777" w:rsidR="00527BD4" w:rsidRPr="007709EF" w:rsidRDefault="00CA3C80" w:rsidP="00A50CF6">
          <w:pPr>
            <w:rPr>
              <w:szCs w:val="18"/>
            </w:rPr>
          </w:pPr>
          <w:r>
            <w:rPr>
              <w:szCs w:val="18"/>
            </w:rPr>
            <w:t>Betreft</w:t>
          </w:r>
        </w:p>
      </w:tc>
      <w:tc>
        <w:tcPr>
          <w:tcW w:w="6620" w:type="dxa"/>
        </w:tcPr>
        <w:p w14:paraId="5A77FF0D" w14:textId="1FC4D548" w:rsidR="00527BD4" w:rsidRPr="007709EF" w:rsidRDefault="00CA3C80" w:rsidP="00A50CF6">
          <w:r>
            <w:t xml:space="preserve">Diverse visserijonderwerpen </w:t>
          </w:r>
        </w:p>
      </w:tc>
    </w:tr>
  </w:tbl>
  <w:p w14:paraId="05AE91AC" w14:textId="74A91294" w:rsidR="00527BD4" w:rsidRPr="00BC4AE3" w:rsidRDefault="002C1AA8" w:rsidP="002C1AA8">
    <w:pPr>
      <w:pStyle w:val="Koptekst"/>
      <w:tabs>
        <w:tab w:val="clear" w:pos="4536"/>
        <w:tab w:val="clear" w:pos="9072"/>
        <w:tab w:val="left" w:pos="2295"/>
        <w:tab w:val="left" w:pos="469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E89572">
      <w:start w:val="1"/>
      <w:numFmt w:val="bullet"/>
      <w:pStyle w:val="Lijstopsomteken"/>
      <w:lvlText w:val="•"/>
      <w:lvlJc w:val="left"/>
      <w:pPr>
        <w:tabs>
          <w:tab w:val="num" w:pos="227"/>
        </w:tabs>
        <w:ind w:left="227" w:hanging="227"/>
      </w:pPr>
      <w:rPr>
        <w:rFonts w:ascii="Verdana" w:hAnsi="Verdana" w:hint="default"/>
        <w:sz w:val="18"/>
        <w:szCs w:val="18"/>
      </w:rPr>
    </w:lvl>
    <w:lvl w:ilvl="1" w:tplc="CB4A6AF2" w:tentative="1">
      <w:start w:val="1"/>
      <w:numFmt w:val="bullet"/>
      <w:lvlText w:val="o"/>
      <w:lvlJc w:val="left"/>
      <w:pPr>
        <w:tabs>
          <w:tab w:val="num" w:pos="1440"/>
        </w:tabs>
        <w:ind w:left="1440" w:hanging="360"/>
      </w:pPr>
      <w:rPr>
        <w:rFonts w:ascii="Courier New" w:hAnsi="Courier New" w:cs="Courier New" w:hint="default"/>
      </w:rPr>
    </w:lvl>
    <w:lvl w:ilvl="2" w:tplc="39942C6C" w:tentative="1">
      <w:start w:val="1"/>
      <w:numFmt w:val="bullet"/>
      <w:lvlText w:val=""/>
      <w:lvlJc w:val="left"/>
      <w:pPr>
        <w:tabs>
          <w:tab w:val="num" w:pos="2160"/>
        </w:tabs>
        <w:ind w:left="2160" w:hanging="360"/>
      </w:pPr>
      <w:rPr>
        <w:rFonts w:ascii="Wingdings" w:hAnsi="Wingdings" w:hint="default"/>
      </w:rPr>
    </w:lvl>
    <w:lvl w:ilvl="3" w:tplc="843A211C" w:tentative="1">
      <w:start w:val="1"/>
      <w:numFmt w:val="bullet"/>
      <w:lvlText w:val=""/>
      <w:lvlJc w:val="left"/>
      <w:pPr>
        <w:tabs>
          <w:tab w:val="num" w:pos="2880"/>
        </w:tabs>
        <w:ind w:left="2880" w:hanging="360"/>
      </w:pPr>
      <w:rPr>
        <w:rFonts w:ascii="Symbol" w:hAnsi="Symbol" w:hint="default"/>
      </w:rPr>
    </w:lvl>
    <w:lvl w:ilvl="4" w:tplc="94CAAD7A" w:tentative="1">
      <w:start w:val="1"/>
      <w:numFmt w:val="bullet"/>
      <w:lvlText w:val="o"/>
      <w:lvlJc w:val="left"/>
      <w:pPr>
        <w:tabs>
          <w:tab w:val="num" w:pos="3600"/>
        </w:tabs>
        <w:ind w:left="3600" w:hanging="360"/>
      </w:pPr>
      <w:rPr>
        <w:rFonts w:ascii="Courier New" w:hAnsi="Courier New" w:cs="Courier New" w:hint="default"/>
      </w:rPr>
    </w:lvl>
    <w:lvl w:ilvl="5" w:tplc="B8145272" w:tentative="1">
      <w:start w:val="1"/>
      <w:numFmt w:val="bullet"/>
      <w:lvlText w:val=""/>
      <w:lvlJc w:val="left"/>
      <w:pPr>
        <w:tabs>
          <w:tab w:val="num" w:pos="4320"/>
        </w:tabs>
        <w:ind w:left="4320" w:hanging="360"/>
      </w:pPr>
      <w:rPr>
        <w:rFonts w:ascii="Wingdings" w:hAnsi="Wingdings" w:hint="default"/>
      </w:rPr>
    </w:lvl>
    <w:lvl w:ilvl="6" w:tplc="35B8613A" w:tentative="1">
      <w:start w:val="1"/>
      <w:numFmt w:val="bullet"/>
      <w:lvlText w:val=""/>
      <w:lvlJc w:val="left"/>
      <w:pPr>
        <w:tabs>
          <w:tab w:val="num" w:pos="5040"/>
        </w:tabs>
        <w:ind w:left="5040" w:hanging="360"/>
      </w:pPr>
      <w:rPr>
        <w:rFonts w:ascii="Symbol" w:hAnsi="Symbol" w:hint="default"/>
      </w:rPr>
    </w:lvl>
    <w:lvl w:ilvl="7" w:tplc="81E485A6" w:tentative="1">
      <w:start w:val="1"/>
      <w:numFmt w:val="bullet"/>
      <w:lvlText w:val="o"/>
      <w:lvlJc w:val="left"/>
      <w:pPr>
        <w:tabs>
          <w:tab w:val="num" w:pos="5760"/>
        </w:tabs>
        <w:ind w:left="5760" w:hanging="360"/>
      </w:pPr>
      <w:rPr>
        <w:rFonts w:ascii="Courier New" w:hAnsi="Courier New" w:cs="Courier New" w:hint="default"/>
      </w:rPr>
    </w:lvl>
    <w:lvl w:ilvl="8" w:tplc="A76ED2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84A26E">
      <w:start w:val="1"/>
      <w:numFmt w:val="bullet"/>
      <w:pStyle w:val="Lijstopsomteken2"/>
      <w:lvlText w:val="–"/>
      <w:lvlJc w:val="left"/>
      <w:pPr>
        <w:tabs>
          <w:tab w:val="num" w:pos="227"/>
        </w:tabs>
        <w:ind w:left="227" w:firstLine="0"/>
      </w:pPr>
      <w:rPr>
        <w:rFonts w:ascii="Verdana" w:hAnsi="Verdana" w:hint="default"/>
      </w:rPr>
    </w:lvl>
    <w:lvl w:ilvl="1" w:tplc="E6943E8E" w:tentative="1">
      <w:start w:val="1"/>
      <w:numFmt w:val="bullet"/>
      <w:lvlText w:val="o"/>
      <w:lvlJc w:val="left"/>
      <w:pPr>
        <w:tabs>
          <w:tab w:val="num" w:pos="1440"/>
        </w:tabs>
        <w:ind w:left="1440" w:hanging="360"/>
      </w:pPr>
      <w:rPr>
        <w:rFonts w:ascii="Courier New" w:hAnsi="Courier New" w:cs="Courier New" w:hint="default"/>
      </w:rPr>
    </w:lvl>
    <w:lvl w:ilvl="2" w:tplc="2A80F2F2" w:tentative="1">
      <w:start w:val="1"/>
      <w:numFmt w:val="bullet"/>
      <w:lvlText w:val=""/>
      <w:lvlJc w:val="left"/>
      <w:pPr>
        <w:tabs>
          <w:tab w:val="num" w:pos="2160"/>
        </w:tabs>
        <w:ind w:left="2160" w:hanging="360"/>
      </w:pPr>
      <w:rPr>
        <w:rFonts w:ascii="Wingdings" w:hAnsi="Wingdings" w:hint="default"/>
      </w:rPr>
    </w:lvl>
    <w:lvl w:ilvl="3" w:tplc="E2A453EC" w:tentative="1">
      <w:start w:val="1"/>
      <w:numFmt w:val="bullet"/>
      <w:lvlText w:val=""/>
      <w:lvlJc w:val="left"/>
      <w:pPr>
        <w:tabs>
          <w:tab w:val="num" w:pos="2880"/>
        </w:tabs>
        <w:ind w:left="2880" w:hanging="360"/>
      </w:pPr>
      <w:rPr>
        <w:rFonts w:ascii="Symbol" w:hAnsi="Symbol" w:hint="default"/>
      </w:rPr>
    </w:lvl>
    <w:lvl w:ilvl="4" w:tplc="D9FC316E" w:tentative="1">
      <w:start w:val="1"/>
      <w:numFmt w:val="bullet"/>
      <w:lvlText w:val="o"/>
      <w:lvlJc w:val="left"/>
      <w:pPr>
        <w:tabs>
          <w:tab w:val="num" w:pos="3600"/>
        </w:tabs>
        <w:ind w:left="3600" w:hanging="360"/>
      </w:pPr>
      <w:rPr>
        <w:rFonts w:ascii="Courier New" w:hAnsi="Courier New" w:cs="Courier New" w:hint="default"/>
      </w:rPr>
    </w:lvl>
    <w:lvl w:ilvl="5" w:tplc="D33E7CBA" w:tentative="1">
      <w:start w:val="1"/>
      <w:numFmt w:val="bullet"/>
      <w:lvlText w:val=""/>
      <w:lvlJc w:val="left"/>
      <w:pPr>
        <w:tabs>
          <w:tab w:val="num" w:pos="4320"/>
        </w:tabs>
        <w:ind w:left="4320" w:hanging="360"/>
      </w:pPr>
      <w:rPr>
        <w:rFonts w:ascii="Wingdings" w:hAnsi="Wingdings" w:hint="default"/>
      </w:rPr>
    </w:lvl>
    <w:lvl w:ilvl="6" w:tplc="75F833A0" w:tentative="1">
      <w:start w:val="1"/>
      <w:numFmt w:val="bullet"/>
      <w:lvlText w:val=""/>
      <w:lvlJc w:val="left"/>
      <w:pPr>
        <w:tabs>
          <w:tab w:val="num" w:pos="5040"/>
        </w:tabs>
        <w:ind w:left="5040" w:hanging="360"/>
      </w:pPr>
      <w:rPr>
        <w:rFonts w:ascii="Symbol" w:hAnsi="Symbol" w:hint="default"/>
      </w:rPr>
    </w:lvl>
    <w:lvl w:ilvl="7" w:tplc="0568B040" w:tentative="1">
      <w:start w:val="1"/>
      <w:numFmt w:val="bullet"/>
      <w:lvlText w:val="o"/>
      <w:lvlJc w:val="left"/>
      <w:pPr>
        <w:tabs>
          <w:tab w:val="num" w:pos="5760"/>
        </w:tabs>
        <w:ind w:left="5760" w:hanging="360"/>
      </w:pPr>
      <w:rPr>
        <w:rFonts w:ascii="Courier New" w:hAnsi="Courier New" w:cs="Courier New" w:hint="default"/>
      </w:rPr>
    </w:lvl>
    <w:lvl w:ilvl="8" w:tplc="3B50FB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472074">
    <w:abstractNumId w:val="10"/>
  </w:num>
  <w:num w:numId="2" w16cid:durableId="1692102667">
    <w:abstractNumId w:val="7"/>
  </w:num>
  <w:num w:numId="3" w16cid:durableId="1405647006">
    <w:abstractNumId w:val="6"/>
  </w:num>
  <w:num w:numId="4" w16cid:durableId="1634093395">
    <w:abstractNumId w:val="5"/>
  </w:num>
  <w:num w:numId="5" w16cid:durableId="1379933326">
    <w:abstractNumId w:val="4"/>
  </w:num>
  <w:num w:numId="6" w16cid:durableId="2040230088">
    <w:abstractNumId w:val="8"/>
  </w:num>
  <w:num w:numId="7" w16cid:durableId="457071316">
    <w:abstractNumId w:val="3"/>
  </w:num>
  <w:num w:numId="8" w16cid:durableId="1768771554">
    <w:abstractNumId w:val="2"/>
  </w:num>
  <w:num w:numId="9" w16cid:durableId="1643194645">
    <w:abstractNumId w:val="1"/>
  </w:num>
  <w:num w:numId="10" w16cid:durableId="853883308">
    <w:abstractNumId w:val="0"/>
  </w:num>
  <w:num w:numId="11" w16cid:durableId="2042976039">
    <w:abstractNumId w:val="9"/>
  </w:num>
  <w:num w:numId="12" w16cid:durableId="576942345">
    <w:abstractNumId w:val="11"/>
  </w:num>
  <w:num w:numId="13" w16cid:durableId="566915660">
    <w:abstractNumId w:val="13"/>
  </w:num>
  <w:num w:numId="14" w16cid:durableId="11061485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60F7"/>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46D1"/>
    <w:rsid w:val="000D0225"/>
    <w:rsid w:val="000D5EE0"/>
    <w:rsid w:val="000D73D7"/>
    <w:rsid w:val="000E7895"/>
    <w:rsid w:val="000F1558"/>
    <w:rsid w:val="000F161D"/>
    <w:rsid w:val="001046C3"/>
    <w:rsid w:val="001064E3"/>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7222"/>
    <w:rsid w:val="00196B8B"/>
    <w:rsid w:val="001A2BEA"/>
    <w:rsid w:val="001A4664"/>
    <w:rsid w:val="001A6D93"/>
    <w:rsid w:val="001B36C9"/>
    <w:rsid w:val="001C32EC"/>
    <w:rsid w:val="001C38BD"/>
    <w:rsid w:val="001C4D5A"/>
    <w:rsid w:val="001E34C6"/>
    <w:rsid w:val="001E5581"/>
    <w:rsid w:val="001E6117"/>
    <w:rsid w:val="001F3C70"/>
    <w:rsid w:val="002001B2"/>
    <w:rsid w:val="00200D88"/>
    <w:rsid w:val="00201F68"/>
    <w:rsid w:val="00212F2A"/>
    <w:rsid w:val="00214F2B"/>
    <w:rsid w:val="00217880"/>
    <w:rsid w:val="00222D66"/>
    <w:rsid w:val="00224A8A"/>
    <w:rsid w:val="00225022"/>
    <w:rsid w:val="002309A8"/>
    <w:rsid w:val="00236CFE"/>
    <w:rsid w:val="00242694"/>
    <w:rsid w:val="002428E3"/>
    <w:rsid w:val="00243031"/>
    <w:rsid w:val="00244CC3"/>
    <w:rsid w:val="00260BAF"/>
    <w:rsid w:val="002650F7"/>
    <w:rsid w:val="002720A9"/>
    <w:rsid w:val="00273F3B"/>
    <w:rsid w:val="00274DB7"/>
    <w:rsid w:val="00275984"/>
    <w:rsid w:val="00280F74"/>
    <w:rsid w:val="002856F3"/>
    <w:rsid w:val="00286998"/>
    <w:rsid w:val="00291AB7"/>
    <w:rsid w:val="0029422B"/>
    <w:rsid w:val="002B153C"/>
    <w:rsid w:val="002B45A6"/>
    <w:rsid w:val="002B52FC"/>
    <w:rsid w:val="002B7FBA"/>
    <w:rsid w:val="002C1AA8"/>
    <w:rsid w:val="002C2830"/>
    <w:rsid w:val="002D001A"/>
    <w:rsid w:val="002D044F"/>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23295"/>
    <w:rsid w:val="004367D2"/>
    <w:rsid w:val="00441AC2"/>
    <w:rsid w:val="0044249B"/>
    <w:rsid w:val="0045023C"/>
    <w:rsid w:val="00451A5B"/>
    <w:rsid w:val="00452BCD"/>
    <w:rsid w:val="00452CEA"/>
    <w:rsid w:val="004641EC"/>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C189E"/>
    <w:rsid w:val="004C75AB"/>
    <w:rsid w:val="004D4CF5"/>
    <w:rsid w:val="004D505E"/>
    <w:rsid w:val="004D72CA"/>
    <w:rsid w:val="004E2242"/>
    <w:rsid w:val="004F32A2"/>
    <w:rsid w:val="004F42FF"/>
    <w:rsid w:val="004F44C2"/>
    <w:rsid w:val="00502512"/>
    <w:rsid w:val="00504F6F"/>
    <w:rsid w:val="00505262"/>
    <w:rsid w:val="0051132F"/>
    <w:rsid w:val="00516022"/>
    <w:rsid w:val="005171F0"/>
    <w:rsid w:val="00521CEE"/>
    <w:rsid w:val="005222CC"/>
    <w:rsid w:val="00527BD4"/>
    <w:rsid w:val="005403C8"/>
    <w:rsid w:val="005429DC"/>
    <w:rsid w:val="005565F9"/>
    <w:rsid w:val="00556BEE"/>
    <w:rsid w:val="005619AB"/>
    <w:rsid w:val="005653DC"/>
    <w:rsid w:val="005654C3"/>
    <w:rsid w:val="00573041"/>
    <w:rsid w:val="00575B80"/>
    <w:rsid w:val="0057620F"/>
    <w:rsid w:val="0057710A"/>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3B90"/>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58B7"/>
    <w:rsid w:val="006A10F8"/>
    <w:rsid w:val="006A2100"/>
    <w:rsid w:val="006A5C3B"/>
    <w:rsid w:val="006A72E0"/>
    <w:rsid w:val="006B0BF3"/>
    <w:rsid w:val="006B775E"/>
    <w:rsid w:val="006B7813"/>
    <w:rsid w:val="006B7BC7"/>
    <w:rsid w:val="006C2535"/>
    <w:rsid w:val="006C441E"/>
    <w:rsid w:val="006C4B90"/>
    <w:rsid w:val="006D1016"/>
    <w:rsid w:val="006D17F2"/>
    <w:rsid w:val="006E3546"/>
    <w:rsid w:val="006E389B"/>
    <w:rsid w:val="006E3FA9"/>
    <w:rsid w:val="006E4BA0"/>
    <w:rsid w:val="006E7D82"/>
    <w:rsid w:val="006F038F"/>
    <w:rsid w:val="006F0F93"/>
    <w:rsid w:val="006F31F2"/>
    <w:rsid w:val="006F7494"/>
    <w:rsid w:val="006F751F"/>
    <w:rsid w:val="0070439D"/>
    <w:rsid w:val="0070610D"/>
    <w:rsid w:val="00714DC5"/>
    <w:rsid w:val="00715237"/>
    <w:rsid w:val="007254A5"/>
    <w:rsid w:val="00725748"/>
    <w:rsid w:val="00732343"/>
    <w:rsid w:val="00735D88"/>
    <w:rsid w:val="0073720D"/>
    <w:rsid w:val="00737507"/>
    <w:rsid w:val="00740712"/>
    <w:rsid w:val="007426AA"/>
    <w:rsid w:val="00742AB9"/>
    <w:rsid w:val="00751A6A"/>
    <w:rsid w:val="00754FBF"/>
    <w:rsid w:val="0075695F"/>
    <w:rsid w:val="007709EF"/>
    <w:rsid w:val="00783559"/>
    <w:rsid w:val="0079551B"/>
    <w:rsid w:val="00797AA5"/>
    <w:rsid w:val="007A0A46"/>
    <w:rsid w:val="007A26BD"/>
    <w:rsid w:val="007A4105"/>
    <w:rsid w:val="007A6F28"/>
    <w:rsid w:val="007B4503"/>
    <w:rsid w:val="007C23B5"/>
    <w:rsid w:val="007C406E"/>
    <w:rsid w:val="007C4AEB"/>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47D84"/>
    <w:rsid w:val="00854037"/>
    <w:rsid w:val="008547BA"/>
    <w:rsid w:val="008553C7"/>
    <w:rsid w:val="00856D5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6C60"/>
    <w:rsid w:val="0090271B"/>
    <w:rsid w:val="00910642"/>
    <w:rsid w:val="00910DDF"/>
    <w:rsid w:val="0091242D"/>
    <w:rsid w:val="009143D7"/>
    <w:rsid w:val="00921D05"/>
    <w:rsid w:val="00927A84"/>
    <w:rsid w:val="00930B13"/>
    <w:rsid w:val="009311C8"/>
    <w:rsid w:val="00933376"/>
    <w:rsid w:val="00933A2F"/>
    <w:rsid w:val="009716D8"/>
    <w:rsid w:val="009718F9"/>
    <w:rsid w:val="00972FB9"/>
    <w:rsid w:val="00975112"/>
    <w:rsid w:val="00981768"/>
    <w:rsid w:val="00983E8F"/>
    <w:rsid w:val="00984CC9"/>
    <w:rsid w:val="0098788A"/>
    <w:rsid w:val="00994FDA"/>
    <w:rsid w:val="009964A2"/>
    <w:rsid w:val="0099739C"/>
    <w:rsid w:val="009A31BF"/>
    <w:rsid w:val="009A3B71"/>
    <w:rsid w:val="009A61BC"/>
    <w:rsid w:val="009A7E90"/>
    <w:rsid w:val="009B0138"/>
    <w:rsid w:val="009B0EC1"/>
    <w:rsid w:val="009B0FE9"/>
    <w:rsid w:val="009B173A"/>
    <w:rsid w:val="009B4566"/>
    <w:rsid w:val="009C3DCC"/>
    <w:rsid w:val="009C3F20"/>
    <w:rsid w:val="009C7CA1"/>
    <w:rsid w:val="009D043D"/>
    <w:rsid w:val="009E2051"/>
    <w:rsid w:val="009F3259"/>
    <w:rsid w:val="009F380D"/>
    <w:rsid w:val="00A00B57"/>
    <w:rsid w:val="00A056DE"/>
    <w:rsid w:val="00A05CE1"/>
    <w:rsid w:val="00A06370"/>
    <w:rsid w:val="00A128AD"/>
    <w:rsid w:val="00A20052"/>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1E7B"/>
    <w:rsid w:val="00A63B8C"/>
    <w:rsid w:val="00A715F8"/>
    <w:rsid w:val="00A75525"/>
    <w:rsid w:val="00A77F6F"/>
    <w:rsid w:val="00A831FD"/>
    <w:rsid w:val="00A83352"/>
    <w:rsid w:val="00A850A2"/>
    <w:rsid w:val="00A91FA3"/>
    <w:rsid w:val="00A927D3"/>
    <w:rsid w:val="00A957CA"/>
    <w:rsid w:val="00AA7FC9"/>
    <w:rsid w:val="00AB237D"/>
    <w:rsid w:val="00AB5933"/>
    <w:rsid w:val="00AD3E32"/>
    <w:rsid w:val="00AE013D"/>
    <w:rsid w:val="00AE11B7"/>
    <w:rsid w:val="00AE5CDE"/>
    <w:rsid w:val="00AE7F68"/>
    <w:rsid w:val="00AF2321"/>
    <w:rsid w:val="00AF52F6"/>
    <w:rsid w:val="00AF52FD"/>
    <w:rsid w:val="00AF54A8"/>
    <w:rsid w:val="00AF70E5"/>
    <w:rsid w:val="00AF7237"/>
    <w:rsid w:val="00B0043A"/>
    <w:rsid w:val="00B00C44"/>
    <w:rsid w:val="00B00D75"/>
    <w:rsid w:val="00B070CB"/>
    <w:rsid w:val="00B11257"/>
    <w:rsid w:val="00B12456"/>
    <w:rsid w:val="00B145F0"/>
    <w:rsid w:val="00B17A22"/>
    <w:rsid w:val="00B259C8"/>
    <w:rsid w:val="00B26CCF"/>
    <w:rsid w:val="00B30FC2"/>
    <w:rsid w:val="00B331A2"/>
    <w:rsid w:val="00B425F0"/>
    <w:rsid w:val="00B42DFA"/>
    <w:rsid w:val="00B51E2C"/>
    <w:rsid w:val="00B531DD"/>
    <w:rsid w:val="00B55014"/>
    <w:rsid w:val="00B6115F"/>
    <w:rsid w:val="00B62232"/>
    <w:rsid w:val="00B70BF3"/>
    <w:rsid w:val="00B71DC2"/>
    <w:rsid w:val="00B74F79"/>
    <w:rsid w:val="00B91CFC"/>
    <w:rsid w:val="00B9300F"/>
    <w:rsid w:val="00B93893"/>
    <w:rsid w:val="00BA11F9"/>
    <w:rsid w:val="00BA129E"/>
    <w:rsid w:val="00BA6EB2"/>
    <w:rsid w:val="00BA7E0A"/>
    <w:rsid w:val="00BB3B61"/>
    <w:rsid w:val="00BB6F7C"/>
    <w:rsid w:val="00BC3B53"/>
    <w:rsid w:val="00BC3B96"/>
    <w:rsid w:val="00BC4AE3"/>
    <w:rsid w:val="00BC5B28"/>
    <w:rsid w:val="00BC6021"/>
    <w:rsid w:val="00BE3F88"/>
    <w:rsid w:val="00BE4756"/>
    <w:rsid w:val="00BE5ED9"/>
    <w:rsid w:val="00BE7B41"/>
    <w:rsid w:val="00C15A91"/>
    <w:rsid w:val="00C206F1"/>
    <w:rsid w:val="00C217E1"/>
    <w:rsid w:val="00C219B1"/>
    <w:rsid w:val="00C4015B"/>
    <w:rsid w:val="00C40C60"/>
    <w:rsid w:val="00C40D26"/>
    <w:rsid w:val="00C4736E"/>
    <w:rsid w:val="00C47B23"/>
    <w:rsid w:val="00C5258E"/>
    <w:rsid w:val="00C530C9"/>
    <w:rsid w:val="00C571E0"/>
    <w:rsid w:val="00C619A7"/>
    <w:rsid w:val="00C6593A"/>
    <w:rsid w:val="00C70EDD"/>
    <w:rsid w:val="00C73D5F"/>
    <w:rsid w:val="00C8584E"/>
    <w:rsid w:val="00C938F7"/>
    <w:rsid w:val="00C97C80"/>
    <w:rsid w:val="00CA3C80"/>
    <w:rsid w:val="00CA42A3"/>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0A27"/>
    <w:rsid w:val="00D516BE"/>
    <w:rsid w:val="00D5423B"/>
    <w:rsid w:val="00D54F4E"/>
    <w:rsid w:val="00D604B3"/>
    <w:rsid w:val="00D60BA4"/>
    <w:rsid w:val="00D62419"/>
    <w:rsid w:val="00D63282"/>
    <w:rsid w:val="00D75078"/>
    <w:rsid w:val="00D77870"/>
    <w:rsid w:val="00D80977"/>
    <w:rsid w:val="00D80CCE"/>
    <w:rsid w:val="00D84E42"/>
    <w:rsid w:val="00D86EEA"/>
    <w:rsid w:val="00D87D03"/>
    <w:rsid w:val="00D95C88"/>
    <w:rsid w:val="00D97B2E"/>
    <w:rsid w:val="00DA1FAE"/>
    <w:rsid w:val="00DA241E"/>
    <w:rsid w:val="00DB36FE"/>
    <w:rsid w:val="00DB533A"/>
    <w:rsid w:val="00DB5A72"/>
    <w:rsid w:val="00DB6307"/>
    <w:rsid w:val="00DB70C3"/>
    <w:rsid w:val="00DD1DCD"/>
    <w:rsid w:val="00DD338F"/>
    <w:rsid w:val="00DD573D"/>
    <w:rsid w:val="00DD66F2"/>
    <w:rsid w:val="00DE1531"/>
    <w:rsid w:val="00DE35B7"/>
    <w:rsid w:val="00DE3FE0"/>
    <w:rsid w:val="00DE578A"/>
    <w:rsid w:val="00DE5E94"/>
    <w:rsid w:val="00DF2583"/>
    <w:rsid w:val="00DF54D9"/>
    <w:rsid w:val="00DF7283"/>
    <w:rsid w:val="00E01A59"/>
    <w:rsid w:val="00E10DC6"/>
    <w:rsid w:val="00E11F8E"/>
    <w:rsid w:val="00E15881"/>
    <w:rsid w:val="00E16A8F"/>
    <w:rsid w:val="00E1781D"/>
    <w:rsid w:val="00E21DE3"/>
    <w:rsid w:val="00E307D1"/>
    <w:rsid w:val="00E3731D"/>
    <w:rsid w:val="00E51469"/>
    <w:rsid w:val="00E53512"/>
    <w:rsid w:val="00E56AD4"/>
    <w:rsid w:val="00E634E3"/>
    <w:rsid w:val="00E717C4"/>
    <w:rsid w:val="00E77E18"/>
    <w:rsid w:val="00E77F89"/>
    <w:rsid w:val="00E80330"/>
    <w:rsid w:val="00E806C5"/>
    <w:rsid w:val="00E80E71"/>
    <w:rsid w:val="00E82F2E"/>
    <w:rsid w:val="00E850D3"/>
    <w:rsid w:val="00E853D6"/>
    <w:rsid w:val="00E864CF"/>
    <w:rsid w:val="00E876B9"/>
    <w:rsid w:val="00EC0DFF"/>
    <w:rsid w:val="00EC237D"/>
    <w:rsid w:val="00EC4706"/>
    <w:rsid w:val="00EC4D0E"/>
    <w:rsid w:val="00EC4E2B"/>
    <w:rsid w:val="00EC5412"/>
    <w:rsid w:val="00ED072A"/>
    <w:rsid w:val="00ED406F"/>
    <w:rsid w:val="00ED539E"/>
    <w:rsid w:val="00ED62CF"/>
    <w:rsid w:val="00EE3C43"/>
    <w:rsid w:val="00EE4A1F"/>
    <w:rsid w:val="00EE4C2D"/>
    <w:rsid w:val="00EE5B83"/>
    <w:rsid w:val="00EF1B5A"/>
    <w:rsid w:val="00EF24FB"/>
    <w:rsid w:val="00EF2CCA"/>
    <w:rsid w:val="00EF495B"/>
    <w:rsid w:val="00EF60DC"/>
    <w:rsid w:val="00F00F54"/>
    <w:rsid w:val="00F03963"/>
    <w:rsid w:val="00F0659A"/>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93A"/>
    <w:rsid w:val="00F66F13"/>
    <w:rsid w:val="00F74073"/>
    <w:rsid w:val="00F75603"/>
    <w:rsid w:val="00F845B4"/>
    <w:rsid w:val="00F8713B"/>
    <w:rsid w:val="00F90A14"/>
    <w:rsid w:val="00F93F9E"/>
    <w:rsid w:val="00F9764D"/>
    <w:rsid w:val="00FA2CD7"/>
    <w:rsid w:val="00FB06ED"/>
    <w:rsid w:val="00FB3F1E"/>
    <w:rsid w:val="00FC02F0"/>
    <w:rsid w:val="00FC3165"/>
    <w:rsid w:val="00FC36AB"/>
    <w:rsid w:val="00FC4300"/>
    <w:rsid w:val="00FC7F66"/>
    <w:rsid w:val="00FD5776"/>
    <w:rsid w:val="00FE0EFC"/>
    <w:rsid w:val="00FE1CB6"/>
    <w:rsid w:val="00FE35BE"/>
    <w:rsid w:val="00FE365C"/>
    <w:rsid w:val="00FE486B"/>
    <w:rsid w:val="00FE4F08"/>
    <w:rsid w:val="00FE53A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Revisie">
    <w:name w:val="Revision"/>
    <w:hidden/>
    <w:uiPriority w:val="99"/>
    <w:semiHidden/>
    <w:rsid w:val="00DE5E94"/>
    <w:rPr>
      <w:rFonts w:ascii="Verdana" w:hAnsi="Verdana"/>
      <w:sz w:val="18"/>
      <w:szCs w:val="24"/>
      <w:lang w:val="nl-NL" w:eastAsia="nl-NL"/>
    </w:rPr>
  </w:style>
  <w:style w:type="character" w:styleId="Verwijzingopmerking">
    <w:name w:val="annotation reference"/>
    <w:basedOn w:val="Standaardalinea-lettertype"/>
    <w:semiHidden/>
    <w:unhideWhenUsed/>
    <w:rsid w:val="004D4CF5"/>
    <w:rPr>
      <w:sz w:val="16"/>
      <w:szCs w:val="16"/>
    </w:rPr>
  </w:style>
  <w:style w:type="paragraph" w:styleId="Tekstopmerking">
    <w:name w:val="annotation text"/>
    <w:basedOn w:val="Standaard"/>
    <w:link w:val="TekstopmerkingChar"/>
    <w:unhideWhenUsed/>
    <w:rsid w:val="004D4CF5"/>
    <w:pPr>
      <w:spacing w:line="240" w:lineRule="auto"/>
    </w:pPr>
    <w:rPr>
      <w:sz w:val="20"/>
      <w:szCs w:val="20"/>
    </w:rPr>
  </w:style>
  <w:style w:type="character" w:customStyle="1" w:styleId="TekstopmerkingChar">
    <w:name w:val="Tekst opmerking Char"/>
    <w:basedOn w:val="Standaardalinea-lettertype"/>
    <w:link w:val="Tekstopmerking"/>
    <w:rsid w:val="004D4CF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D4CF5"/>
    <w:rPr>
      <w:b/>
      <w:bCs/>
    </w:rPr>
  </w:style>
  <w:style w:type="character" w:customStyle="1" w:styleId="OnderwerpvanopmerkingChar">
    <w:name w:val="Onderwerp van opmerking Char"/>
    <w:basedOn w:val="TekstopmerkingChar"/>
    <w:link w:val="Onderwerpvanopmerking"/>
    <w:semiHidden/>
    <w:rsid w:val="004D4CF5"/>
    <w:rPr>
      <w:rFonts w:ascii="Verdana" w:hAnsi="Verdana"/>
      <w:b/>
      <w:bCs/>
      <w:lang w:val="nl-NL" w:eastAsia="nl-NL"/>
    </w:rPr>
  </w:style>
  <w:style w:type="paragraph" w:styleId="Geenafstand">
    <w:name w:val="No Spacing"/>
    <w:uiPriority w:val="1"/>
    <w:qFormat/>
    <w:rsid w:val="0070439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2339</ap:Words>
  <ap:Characters>12870</ap:Characters>
  <ap:DocSecurity>0</ap:DocSecurity>
  <ap:Lines>107</ap:Lines>
  <ap:Paragraphs>30</ap:Paragraphs>
  <ap:ScaleCrop>false</ap:ScaleCrop>
  <ap:LinksUpToDate>false</ap:LinksUpToDate>
  <ap:CharactersWithSpaces>15179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2026-06-12T12:55:00.0000000Z</dcterms:created>
  <dcterms:modified xsi:type="dcterms:W3CDTF">2026-06-12T12:55:00.0000000Z</dcterms:modified>
  <dc:description>------------------------</dc:description>
  <dc:subject/>
  <keywords/>
  <version/>
  <category/>
</coreProperties>
</file>