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1E4E" w:rsidR="00A63457" w:rsidP="00B6537C" w:rsidRDefault="00B6537C" w14:paraId="472BDEF1" w14:textId="0F683167">
      <w:r w:rsidRPr="00EA1E4E">
        <w:t xml:space="preserve">Met deze brief informeer ik uw Kamer over de contouren </w:t>
      </w:r>
      <w:r w:rsidRPr="00EA1E4E" w:rsidR="00D047FE">
        <w:t>van de voorziene wetswijziging</w:t>
      </w:r>
      <w:r w:rsidRPr="00EA1E4E">
        <w:t xml:space="preserve"> </w:t>
      </w:r>
      <w:r w:rsidRPr="00EA1E4E" w:rsidR="003B5CD9">
        <w:t xml:space="preserve">voor </w:t>
      </w:r>
      <w:r w:rsidRPr="00EA1E4E">
        <w:t>kansspelen op afstand</w:t>
      </w:r>
      <w:r w:rsidRPr="00EA1E4E" w:rsidR="00A51C72">
        <w:t xml:space="preserve"> (online gokken)</w:t>
      </w:r>
      <w:r w:rsidRPr="00EA1E4E" w:rsidR="00A63457">
        <w:t xml:space="preserve">. </w:t>
      </w:r>
      <w:r w:rsidRPr="00EA1E4E" w:rsidR="0037467C">
        <w:t xml:space="preserve">Hiermee geef ik ook </w:t>
      </w:r>
      <w:r w:rsidRPr="00EA1E4E" w:rsidR="00F94E45">
        <w:t xml:space="preserve">aan hoe ik </w:t>
      </w:r>
      <w:r w:rsidRPr="00EA1E4E" w:rsidR="0037467C">
        <w:t>de in het coalitieakkoord aangekondigde maatregelen rond kansspelen op afstand</w:t>
      </w:r>
      <w:r w:rsidRPr="00EA1E4E" w:rsidR="00F94E45">
        <w:t xml:space="preserve"> uitvoer</w:t>
      </w:r>
      <w:r w:rsidRPr="00EA1E4E" w:rsidR="0037467C">
        <w:t xml:space="preserve">. </w:t>
      </w:r>
      <w:r w:rsidRPr="00EA1E4E" w:rsidR="00A63457">
        <w:t>D</w:t>
      </w:r>
      <w:r w:rsidRPr="00EA1E4E" w:rsidR="003D7795">
        <w:t>aar</w:t>
      </w:r>
      <w:r w:rsidRPr="00EA1E4E" w:rsidR="00287E67">
        <w:t>naast deel ik</w:t>
      </w:r>
      <w:r w:rsidRPr="00EA1E4E" w:rsidR="003D7795">
        <w:t xml:space="preserve"> de</w:t>
      </w:r>
      <w:r w:rsidRPr="00EA1E4E">
        <w:t xml:space="preserve"> </w:t>
      </w:r>
      <w:proofErr w:type="spellStart"/>
      <w:r w:rsidRPr="00EA1E4E">
        <w:t>meerjarenagenda</w:t>
      </w:r>
      <w:proofErr w:type="spellEnd"/>
      <w:r w:rsidRPr="00EA1E4E">
        <w:t xml:space="preserve"> </w:t>
      </w:r>
      <w:r w:rsidRPr="00EA1E4E" w:rsidR="00C76FFC">
        <w:t>bescherming tegen gokschade</w:t>
      </w:r>
      <w:r w:rsidRPr="00EA1E4E" w:rsidR="00287E67">
        <w:t>. Ook beschrijf ik de voortgang op de</w:t>
      </w:r>
      <w:r w:rsidRPr="00EA1E4E" w:rsidR="00A63457">
        <w:t xml:space="preserve"> maatregelen om</w:t>
      </w:r>
      <w:r w:rsidRPr="00EA1E4E">
        <w:t xml:space="preserve"> illegaal aanbod</w:t>
      </w:r>
      <w:r w:rsidRPr="00EA1E4E" w:rsidR="00A63457">
        <w:t xml:space="preserve"> en de deelname daaraan tegen te gaan</w:t>
      </w:r>
      <w:r w:rsidRPr="00EA1E4E">
        <w:t xml:space="preserve">. </w:t>
      </w:r>
      <w:r w:rsidRPr="00EA1E4E" w:rsidR="00A63457">
        <w:t>Bij de</w:t>
      </w:r>
      <w:r w:rsidRPr="00EA1E4E" w:rsidR="003D7795">
        <w:t>ze</w:t>
      </w:r>
      <w:r w:rsidRPr="00EA1E4E" w:rsidR="00A63457">
        <w:t xml:space="preserve"> uitwerking </w:t>
      </w:r>
      <w:r w:rsidRPr="00EA1E4E" w:rsidR="00542741">
        <w:t>heb ik</w:t>
      </w:r>
      <w:r w:rsidRPr="00EA1E4E" w:rsidR="00A63457">
        <w:t xml:space="preserve"> de resultaten van diverse onderzoeken die het afgelopen jaar zijn uitgevoerd en de</w:t>
      </w:r>
      <w:r w:rsidRPr="00EA1E4E" w:rsidR="00F2076A">
        <w:t xml:space="preserve"> aangenomen moties van uw Kamer op het gebied van (online) kansspelen</w:t>
      </w:r>
      <w:r w:rsidRPr="00EA1E4E" w:rsidR="00542741">
        <w:t xml:space="preserve"> betrokken</w:t>
      </w:r>
      <w:r w:rsidRPr="00EA1E4E" w:rsidR="00F2076A">
        <w:t>.</w:t>
      </w:r>
      <w:r w:rsidRPr="00EA1E4E" w:rsidR="00A63457">
        <w:t xml:space="preserve"> </w:t>
      </w:r>
    </w:p>
    <w:p w:rsidRPr="00EA1E4E" w:rsidR="00A63457" w:rsidP="00B6537C" w:rsidRDefault="00A63457" w14:paraId="601FB6AB" w14:textId="77777777"/>
    <w:p w:rsidRPr="00EA1E4E" w:rsidR="00B6537C" w:rsidP="00B6537C" w:rsidRDefault="00B6537C" w14:paraId="68EAF378" w14:textId="08E8A572">
      <w:r w:rsidRPr="00EA1E4E">
        <w:t>De volgende documenten zijn als bijlage bij deze brief gevoegd:</w:t>
      </w:r>
    </w:p>
    <w:p w:rsidRPr="00EA1E4E" w:rsidR="00AA7A69" w:rsidP="00AA7A69" w:rsidRDefault="00AA7A69" w14:paraId="66CAD0E3" w14:textId="3A7C24D4">
      <w:pPr>
        <w:pStyle w:val="Lijstalinea"/>
        <w:numPr>
          <w:ilvl w:val="0"/>
          <w:numId w:val="19"/>
        </w:numPr>
      </w:pPr>
      <w:proofErr w:type="spellStart"/>
      <w:r w:rsidRPr="00EA1E4E">
        <w:t>Meerjarenagenda</w:t>
      </w:r>
      <w:proofErr w:type="spellEnd"/>
      <w:r w:rsidRPr="00EA1E4E">
        <w:t xml:space="preserve"> bescherming tegen gokschade;</w:t>
      </w:r>
    </w:p>
    <w:p w:rsidRPr="00EA1E4E" w:rsidR="00B6537C" w:rsidP="00F73020" w:rsidRDefault="00635EF3" w14:paraId="7D4072F9" w14:textId="22DDACEF">
      <w:pPr>
        <w:pStyle w:val="Lijstalinea"/>
        <w:numPr>
          <w:ilvl w:val="0"/>
          <w:numId w:val="19"/>
        </w:numPr>
      </w:pPr>
      <w:r w:rsidRPr="00EA1E4E">
        <w:t xml:space="preserve">Voortgangsrapportage </w:t>
      </w:r>
      <w:r w:rsidRPr="00EA1E4E" w:rsidR="00C76FFC">
        <w:t xml:space="preserve">van de </w:t>
      </w:r>
      <w:r w:rsidRPr="00EA1E4E" w:rsidR="00957249">
        <w:t>K</w:t>
      </w:r>
      <w:r w:rsidRPr="00EA1E4E" w:rsidR="00C76FFC">
        <w:t>ansspelautoriteit (K</w:t>
      </w:r>
      <w:r w:rsidRPr="00EA1E4E" w:rsidR="00957249">
        <w:t>sa</w:t>
      </w:r>
      <w:r w:rsidRPr="00EA1E4E" w:rsidR="00C76FFC">
        <w:t>)</w:t>
      </w:r>
      <w:r w:rsidRPr="00EA1E4E" w:rsidR="00957249">
        <w:t xml:space="preserve"> over de </w:t>
      </w:r>
      <w:r w:rsidRPr="00EA1E4E" w:rsidR="009548D4">
        <w:t>A</w:t>
      </w:r>
      <w:r w:rsidRPr="00EA1E4E" w:rsidR="00957249">
        <w:t xml:space="preserve">lliantie </w:t>
      </w:r>
      <w:r w:rsidRPr="00EA1E4E" w:rsidR="00F07FE0">
        <w:t>tegengaan</w:t>
      </w:r>
      <w:r w:rsidRPr="00EA1E4E" w:rsidR="00D571FC">
        <w:t xml:space="preserve"> illegaal aanbod</w:t>
      </w:r>
      <w:r w:rsidRPr="00EA1E4E" w:rsidR="00B20AF7">
        <w:t>;</w:t>
      </w:r>
    </w:p>
    <w:p w:rsidRPr="00EA1E4E" w:rsidR="00E06419" w:rsidP="00B6537C" w:rsidRDefault="00E06419" w14:paraId="096753C9" w14:textId="0331D3A2"/>
    <w:p w:rsidRPr="00EA1E4E" w:rsidR="00B6537C" w:rsidP="00B6537C" w:rsidRDefault="00BA760E" w14:paraId="2EC746AA" w14:textId="59088798">
      <w:pPr>
        <w:rPr>
          <w:b/>
          <w:bCs/>
        </w:rPr>
      </w:pPr>
      <w:r w:rsidRPr="00EA1E4E">
        <w:rPr>
          <w:b/>
          <w:bCs/>
        </w:rPr>
        <w:t>Aan</w:t>
      </w:r>
      <w:r w:rsidRPr="00EA1E4E" w:rsidR="00B6537C">
        <w:rPr>
          <w:b/>
          <w:bCs/>
        </w:rPr>
        <w:t>leiding</w:t>
      </w:r>
    </w:p>
    <w:p w:rsidRPr="00EA1E4E" w:rsidR="007628D0" w:rsidP="0051622F" w:rsidRDefault="007628D0" w14:paraId="416643DE" w14:textId="59298BE0"/>
    <w:p w:rsidRPr="00EA1E4E" w:rsidR="00C21A7F" w:rsidP="00C21A7F" w:rsidRDefault="00ED7610" w14:paraId="2C4A6ECA" w14:textId="23886C74">
      <w:r w:rsidRPr="00EA1E4E">
        <w:t xml:space="preserve">Sinds de invoering van de Wet kansspelen op afstand (Wet </w:t>
      </w:r>
      <w:proofErr w:type="spellStart"/>
      <w:r w:rsidRPr="00EA1E4E">
        <w:t>koa</w:t>
      </w:r>
      <w:proofErr w:type="spellEnd"/>
      <w:r w:rsidRPr="00EA1E4E">
        <w:t>) in 2021 is de bescherming van mensen tegen de risico’s van online gokken in het geding gekomen.</w:t>
      </w:r>
      <w:r w:rsidRPr="00EA1E4E" w:rsidR="00E15AF8">
        <w:t xml:space="preserve"> In het bijzonder de bescherming van minderjarigen en jongvolwassenen. Meer mensen zijn online gaan gokken en ook het aantal mensen met risicovol gokgedrag stijgt. </w:t>
      </w:r>
      <w:r w:rsidRPr="00EA1E4E" w:rsidR="00CD5977">
        <w:t xml:space="preserve">De meest recente cijfers uit </w:t>
      </w:r>
      <w:r w:rsidRPr="00EA1E4E" w:rsidR="00C93CD8">
        <w:t>het Landelijk Alcohol en Drugs Informatiesysteem (LADIS)</w:t>
      </w:r>
      <w:r w:rsidRPr="00EA1E4E" w:rsidR="00CD5977">
        <w:t xml:space="preserve"> laten zien dat het aantal mensen in behandeling voor een gokverslaving in 2025 weer gestegen is.</w:t>
      </w:r>
      <w:r w:rsidRPr="00EA1E4E" w:rsidR="00CD5977">
        <w:rPr>
          <w:rStyle w:val="Voetnootmarkering"/>
        </w:rPr>
        <w:footnoteReference w:id="2"/>
      </w:r>
      <w:r w:rsidRPr="00EA1E4E" w:rsidR="00CD5977">
        <w:t xml:space="preserve"> </w:t>
      </w:r>
      <w:r w:rsidRPr="00EA1E4E" w:rsidR="00E15AF8">
        <w:t>Dit moet</w:t>
      </w:r>
      <w:r w:rsidRPr="00EA1E4E" w:rsidR="00D224B2">
        <w:t xml:space="preserve"> echt</w:t>
      </w:r>
      <w:r w:rsidRPr="00EA1E4E" w:rsidR="00E15AF8">
        <w:t xml:space="preserve"> anders. Het kabinet </w:t>
      </w:r>
      <w:r w:rsidRPr="00EA1E4E" w:rsidR="003924E2">
        <w:t>wil mensen</w:t>
      </w:r>
      <w:r w:rsidRPr="00EA1E4E" w:rsidR="0037467C">
        <w:t>, zowel spelers als niet-spelers,</w:t>
      </w:r>
      <w:r w:rsidRPr="00EA1E4E" w:rsidR="003924E2">
        <w:t xml:space="preserve"> </w:t>
      </w:r>
      <w:r w:rsidRPr="00EA1E4E" w:rsidR="0037467C">
        <w:t xml:space="preserve">beter </w:t>
      </w:r>
      <w:r w:rsidRPr="00EA1E4E" w:rsidR="003924E2">
        <w:t xml:space="preserve">beschermen tegen de </w:t>
      </w:r>
      <w:r w:rsidRPr="00EA1E4E" w:rsidR="00E15AF8">
        <w:t>risico’s van gokken</w:t>
      </w:r>
      <w:r w:rsidRPr="00EA1E4E" w:rsidR="00CD5977">
        <w:t>, in het bijzonder online gokken</w:t>
      </w:r>
      <w:r w:rsidRPr="00EA1E4E" w:rsidR="00E15AF8">
        <w:t>.</w:t>
      </w:r>
      <w:r w:rsidRPr="00EA1E4E" w:rsidR="0037467C">
        <w:t xml:space="preserve"> Daarbij is specifiek aandacht voor minderjarigen en jongvolwassenen. Zij zijn </w:t>
      </w:r>
      <w:r w:rsidRPr="00EA1E4E" w:rsidR="003E003E">
        <w:t xml:space="preserve">zeer vatbaar </w:t>
      </w:r>
      <w:r w:rsidRPr="00EA1E4E" w:rsidR="0037467C">
        <w:t>voor de risico’s van gokken</w:t>
      </w:r>
      <w:r w:rsidRPr="00EA1E4E" w:rsidR="00CD5977">
        <w:t xml:space="preserve"> en hebben daarom meer bescherming nodig</w:t>
      </w:r>
      <w:r w:rsidRPr="00EA1E4E" w:rsidR="0037467C">
        <w:t>.</w:t>
      </w:r>
      <w:r w:rsidRPr="00EA1E4E" w:rsidR="00E15AF8">
        <w:t xml:space="preserve"> </w:t>
      </w:r>
      <w:r w:rsidRPr="00EA1E4E" w:rsidR="00C755F8">
        <w:t>In lijn met het coalitieakkoord wil ik</w:t>
      </w:r>
      <w:r w:rsidRPr="00EA1E4E" w:rsidR="00C21A7F">
        <w:t xml:space="preserve"> de zorgplicht van online gokaanbieders</w:t>
      </w:r>
      <w:r w:rsidRPr="00EA1E4E" w:rsidR="00C755F8">
        <w:t xml:space="preserve"> verstevigen</w:t>
      </w:r>
      <w:r w:rsidRPr="00EA1E4E" w:rsidR="00C21A7F">
        <w:t xml:space="preserve">, illegaal online gokaanbod </w:t>
      </w:r>
      <w:r w:rsidRPr="00EA1E4E" w:rsidR="00C755F8">
        <w:t xml:space="preserve">aanpakken </w:t>
      </w:r>
      <w:r w:rsidRPr="00EA1E4E" w:rsidR="00C21A7F">
        <w:t xml:space="preserve">en </w:t>
      </w:r>
      <w:r w:rsidRPr="00EA1E4E" w:rsidR="00E42705">
        <w:t xml:space="preserve">een </w:t>
      </w:r>
      <w:r w:rsidRPr="00EA1E4E" w:rsidR="00C21A7F">
        <w:t xml:space="preserve">reclameverbod </w:t>
      </w:r>
      <w:r w:rsidRPr="00EA1E4E" w:rsidR="00C755F8">
        <w:t xml:space="preserve">invoeren </w:t>
      </w:r>
      <w:r w:rsidRPr="00EA1E4E" w:rsidR="00C21A7F">
        <w:t>voor online gokken. Daarnaast</w:t>
      </w:r>
      <w:r w:rsidRPr="00EA1E4E" w:rsidR="003924E2">
        <w:t xml:space="preserve"> onderzoek ik</w:t>
      </w:r>
      <w:r w:rsidRPr="00EA1E4E" w:rsidR="00C21A7F">
        <w:t xml:space="preserve"> of met het beperken van het aantal vergunningen voor online aanbieders extra bescherming kan worden geboden. </w:t>
      </w:r>
    </w:p>
    <w:p w:rsidRPr="00EA1E4E" w:rsidR="00C21A7F" w:rsidP="00C21A7F" w:rsidRDefault="00C21A7F" w14:paraId="793F1EA6" w14:textId="77777777"/>
    <w:p w:rsidRPr="00EA1E4E" w:rsidR="00FD12E4" w:rsidP="0051622F" w:rsidRDefault="00C21A7F" w14:paraId="2F881ACD" w14:textId="545F36FA">
      <w:r w:rsidRPr="00EA1E4E">
        <w:t xml:space="preserve">Met het voorgaande werkt het kabinet </w:t>
      </w:r>
      <w:r w:rsidRPr="00EA1E4E" w:rsidR="00887A43">
        <w:t xml:space="preserve">ook </w:t>
      </w:r>
      <w:r w:rsidRPr="00EA1E4E">
        <w:t xml:space="preserve">verder aan de </w:t>
      </w:r>
      <w:r w:rsidRPr="00EA1E4E" w:rsidR="00542741">
        <w:t xml:space="preserve">koers die is uitgezet </w:t>
      </w:r>
      <w:r w:rsidRPr="00EA1E4E">
        <w:t>in de Kamerbrief van 14 februari 2025.</w:t>
      </w:r>
      <w:r w:rsidRPr="00EA1E4E">
        <w:rPr>
          <w:rStyle w:val="Voetnootmarkering"/>
        </w:rPr>
        <w:footnoteReference w:id="3"/>
      </w:r>
      <w:r w:rsidRPr="00EA1E4E">
        <w:t xml:space="preserve"> </w:t>
      </w:r>
      <w:r w:rsidRPr="00EA1E4E" w:rsidR="00E6385A">
        <w:t>In deze brief is uw Kamer geïnformeerd over de nieuwe visie op kansspelen</w:t>
      </w:r>
      <w:r w:rsidRPr="00EA1E4E" w:rsidR="006373AE">
        <w:t xml:space="preserve"> en zijn maatregelen aangekondigd rond online kansspelen die vragen om wijziging van wet- en regelgeving</w:t>
      </w:r>
      <w:r w:rsidRPr="00EA1E4E" w:rsidR="00E6385A">
        <w:t xml:space="preserve">. </w:t>
      </w:r>
      <w:r w:rsidRPr="00EA1E4E" w:rsidR="00FD12E4">
        <w:t>Centraal in de</w:t>
      </w:r>
      <w:r w:rsidRPr="00EA1E4E" w:rsidR="00DF6016">
        <w:t xml:space="preserve"> nieuwe</w:t>
      </w:r>
      <w:r w:rsidRPr="00EA1E4E" w:rsidR="00FD12E4">
        <w:t xml:space="preserve"> visie staat de bescherming van mensen tegen gokschade, zoals verslavings- en schuldenproblematiek.</w:t>
      </w:r>
      <w:r w:rsidRPr="00EA1E4E" w:rsidR="008638B8">
        <w:rPr>
          <w:rStyle w:val="Voetnootmarkering"/>
        </w:rPr>
        <w:footnoteReference w:id="4"/>
      </w:r>
      <w:r w:rsidRPr="00EA1E4E" w:rsidR="00FD12E4">
        <w:t xml:space="preserve"> </w:t>
      </w:r>
      <w:r w:rsidRPr="00EA1E4E" w:rsidR="00774627">
        <w:t xml:space="preserve">In de </w:t>
      </w:r>
      <w:r w:rsidRPr="00EA1E4E" w:rsidR="00883F5C">
        <w:t>nieuwe</w:t>
      </w:r>
      <w:r w:rsidRPr="00EA1E4E" w:rsidR="00774627">
        <w:t xml:space="preserve"> visie is</w:t>
      </w:r>
      <w:r w:rsidRPr="00EA1E4E" w:rsidR="00883F5C">
        <w:t xml:space="preserve"> </w:t>
      </w:r>
      <w:r w:rsidRPr="00EA1E4E" w:rsidR="00774627">
        <w:t>veilig en verantwoord vergund gokaanbod met een hoog beschermingsniveau</w:t>
      </w:r>
      <w:r w:rsidRPr="00EA1E4E" w:rsidR="00D263FE">
        <w:t xml:space="preserve"> van groot belang</w:t>
      </w:r>
      <w:r w:rsidRPr="00EA1E4E" w:rsidR="00774627">
        <w:t>. Welk beschermingsniveau nodig is, is afhankelijk van het risico van het betreffende spel en de kwetsbaarheid van een persoon. Daarnaast is voor betere bescherming nodig dat d</w:t>
      </w:r>
      <w:r w:rsidRPr="00EA1E4E" w:rsidR="00B13987">
        <w:t xml:space="preserve">eelname aan illegale kansspelen zoveel mogelijk </w:t>
      </w:r>
      <w:r w:rsidRPr="00EA1E4E" w:rsidR="00774627">
        <w:t xml:space="preserve">wordt </w:t>
      </w:r>
      <w:r w:rsidRPr="00EA1E4E" w:rsidR="00B13987">
        <w:t>verhinderd en illegaal aanbod gericht op Nederland</w:t>
      </w:r>
      <w:r w:rsidRPr="00EA1E4E" w:rsidR="00AB3DEA">
        <w:t xml:space="preserve"> wordt</w:t>
      </w:r>
      <w:r w:rsidRPr="00EA1E4E" w:rsidR="00B13987">
        <w:t xml:space="preserve"> bestreden. Ook kansspelgerelateerde criminaliteit, zoals witwassen via (online) kansspelen, moet worden tegengegaan.</w:t>
      </w:r>
      <w:r w:rsidRPr="00EA1E4E" w:rsidR="00E6385A">
        <w:t xml:space="preserve"> In deze brief beschrijf ik de richtinggevende keuzes die ik heb gemaakt </w:t>
      </w:r>
      <w:r w:rsidRPr="00EA1E4E" w:rsidR="00887A43">
        <w:t xml:space="preserve">in </w:t>
      </w:r>
      <w:r w:rsidRPr="00EA1E4E" w:rsidR="008C437D">
        <w:t>maatregelen zoals aangekondigd in het coalitieakkoord</w:t>
      </w:r>
      <w:r w:rsidRPr="00EA1E4E" w:rsidR="006373AE">
        <w:t xml:space="preserve"> en brief van 14 februari 2025</w:t>
      </w:r>
      <w:r w:rsidRPr="00EA1E4E" w:rsidR="00E6385A">
        <w:t>.</w:t>
      </w:r>
    </w:p>
    <w:p w:rsidRPr="00EA1E4E" w:rsidR="007C3E38" w:rsidP="007C3E38" w:rsidRDefault="007C3E38" w14:paraId="3D10FD24" w14:textId="77777777"/>
    <w:p w:rsidRPr="00EA1E4E" w:rsidR="007D7293" w:rsidP="007C3E38" w:rsidRDefault="003224F5" w14:paraId="7AEF6B7C" w14:textId="77777777">
      <w:r w:rsidRPr="00EA1E4E">
        <w:t>U</w:t>
      </w:r>
      <w:r w:rsidRPr="00EA1E4E" w:rsidR="007C3E38">
        <w:t xml:space="preserve">itsluitend aanpassing van wet- en regelgeving </w:t>
      </w:r>
      <w:r w:rsidRPr="00EA1E4E">
        <w:t>is</w:t>
      </w:r>
      <w:r w:rsidRPr="00EA1E4E" w:rsidR="007C3E38">
        <w:t xml:space="preserve"> </w:t>
      </w:r>
      <w:r w:rsidRPr="00EA1E4E" w:rsidR="00B61208">
        <w:t xml:space="preserve">echter </w:t>
      </w:r>
      <w:r w:rsidRPr="00EA1E4E" w:rsidR="007C3E38">
        <w:t>niet</w:t>
      </w:r>
      <w:r w:rsidRPr="00EA1E4E">
        <w:t xml:space="preserve"> voldoende</w:t>
      </w:r>
      <w:r w:rsidRPr="00EA1E4E" w:rsidR="00F51A67">
        <w:t xml:space="preserve"> om</w:t>
      </w:r>
      <w:r w:rsidRPr="00EA1E4E" w:rsidR="007C3E38">
        <w:t xml:space="preserve"> mensen </w:t>
      </w:r>
      <w:r w:rsidRPr="00EA1E4E" w:rsidR="00F51A67">
        <w:t xml:space="preserve">te beschermen. </w:t>
      </w:r>
      <w:r w:rsidRPr="00EA1E4E" w:rsidR="00301046">
        <w:t>Het voorkomen van gokschade v</w:t>
      </w:r>
      <w:r w:rsidRPr="00EA1E4E" w:rsidR="007C3E38">
        <w:t xml:space="preserve">raagt om een brede aanpak waarbij langdurig wordt ingezet op meer preventieve maatregelen. </w:t>
      </w:r>
      <w:r w:rsidRPr="00EA1E4E" w:rsidR="00F51A67">
        <w:t>Daarom</w:t>
      </w:r>
      <w:r w:rsidRPr="00EA1E4E" w:rsidR="007C3E38">
        <w:t xml:space="preserve"> heb ik de </w:t>
      </w:r>
      <w:proofErr w:type="spellStart"/>
      <w:r w:rsidRPr="00EA1E4E" w:rsidR="007C3E38">
        <w:t>meerjarenagenda</w:t>
      </w:r>
      <w:proofErr w:type="spellEnd"/>
      <w:r w:rsidRPr="00EA1E4E" w:rsidR="007C3E38">
        <w:t xml:space="preserve"> bescherming tegen gokschade opgesteld. Hierin staan strategische doelen hoe te komen tot een daling van gokschade in Nederland en welke inzet hiervoor de komende jaren nodig is.</w:t>
      </w:r>
      <w:r w:rsidRPr="00EA1E4E" w:rsidR="00F866FE">
        <w:t xml:space="preserve"> </w:t>
      </w:r>
      <w:r w:rsidRPr="00EA1E4E" w:rsidR="00F2076A">
        <w:t>Daarnaast is een</w:t>
      </w:r>
      <w:r w:rsidRPr="00EA1E4E" w:rsidR="00756272">
        <w:t xml:space="preserve"> stevige aanpak van </w:t>
      </w:r>
      <w:r w:rsidRPr="00EA1E4E" w:rsidR="00301046">
        <w:t xml:space="preserve">het </w:t>
      </w:r>
      <w:r w:rsidRPr="00EA1E4E" w:rsidR="00756272">
        <w:t>illega</w:t>
      </w:r>
      <w:r w:rsidRPr="00EA1E4E" w:rsidR="00D12148">
        <w:t>a</w:t>
      </w:r>
      <w:r w:rsidRPr="00EA1E4E" w:rsidR="00756272">
        <w:t xml:space="preserve">l aanbod </w:t>
      </w:r>
      <w:r w:rsidRPr="00EA1E4E" w:rsidR="00F2076A">
        <w:t xml:space="preserve">en deelname daaraan </w:t>
      </w:r>
      <w:r w:rsidRPr="00EA1E4E" w:rsidR="00756272">
        <w:t>noodzakelijk</w:t>
      </w:r>
      <w:r w:rsidRPr="00EA1E4E" w:rsidR="00F2076A">
        <w:t>,</w:t>
      </w:r>
      <w:r w:rsidRPr="00EA1E4E" w:rsidR="00756272">
        <w:t xml:space="preserve"> omdat </w:t>
      </w:r>
      <w:r w:rsidRPr="00EA1E4E" w:rsidR="00F2076A">
        <w:t>bij illegaal gokken geen sprake is van bescherming</w:t>
      </w:r>
      <w:r w:rsidRPr="00EA1E4E" w:rsidR="00756272">
        <w:t xml:space="preserve"> en de kans op gokschade </w:t>
      </w:r>
      <w:r w:rsidRPr="00EA1E4E" w:rsidR="00F2076A">
        <w:t xml:space="preserve">daarmee </w:t>
      </w:r>
      <w:r w:rsidRPr="00EA1E4E" w:rsidR="00756272">
        <w:t>veel groter is.</w:t>
      </w:r>
      <w:r w:rsidRPr="00EA1E4E" w:rsidR="00F866FE">
        <w:t xml:space="preserve"> </w:t>
      </w:r>
      <w:r w:rsidRPr="00EA1E4E" w:rsidR="007A3996">
        <w:t xml:space="preserve">Deze aanpak bestaat niet alleen uit aanvullende wettelijke instrumenten, maar ook </w:t>
      </w:r>
      <w:r w:rsidRPr="00EA1E4E" w:rsidR="00FA6544">
        <w:t>uit</w:t>
      </w:r>
      <w:r w:rsidRPr="00EA1E4E" w:rsidR="007A3996">
        <w:t xml:space="preserve"> optimale inzet van de instrumenten die reeds bestaan. </w:t>
      </w:r>
    </w:p>
    <w:p w:rsidRPr="00EA1E4E" w:rsidR="007D7293" w:rsidP="007C3E38" w:rsidRDefault="007D7293" w14:paraId="1C1A13C5" w14:textId="054B6DFA"/>
    <w:p w:rsidRPr="00EA1E4E" w:rsidR="00FB5CAF" w:rsidP="007C3E38" w:rsidRDefault="007D7293" w14:paraId="0D5604AB" w14:textId="5A81D982">
      <w:r w:rsidRPr="00EA1E4E">
        <w:t xml:space="preserve">De </w:t>
      </w:r>
      <w:r w:rsidRPr="00EA1E4E" w:rsidR="002274ED">
        <w:t>principes en doelen van nieuwe visie op kansspelen evenals</w:t>
      </w:r>
      <w:r w:rsidRPr="00EA1E4E">
        <w:t xml:space="preserve"> de </w:t>
      </w:r>
      <w:proofErr w:type="spellStart"/>
      <w:r w:rsidRPr="00EA1E4E">
        <w:t>meerjarenagenda</w:t>
      </w:r>
      <w:proofErr w:type="spellEnd"/>
      <w:r w:rsidRPr="00EA1E4E">
        <w:t xml:space="preserve"> bescherming </w:t>
      </w:r>
      <w:r w:rsidRPr="00EA1E4E" w:rsidR="002274ED">
        <w:t>betreffen</w:t>
      </w:r>
      <w:r w:rsidRPr="00EA1E4E">
        <w:t xml:space="preserve"> het hele kansspelbeleid</w:t>
      </w:r>
      <w:r w:rsidRPr="00EA1E4E" w:rsidR="002274ED">
        <w:t>. Zij gelden</w:t>
      </w:r>
      <w:r w:rsidRPr="00EA1E4E">
        <w:t xml:space="preserve"> dus ook </w:t>
      </w:r>
      <w:r w:rsidRPr="00EA1E4E" w:rsidR="00D9664D">
        <w:t xml:space="preserve">ten aanzien van </w:t>
      </w:r>
      <w:proofErr w:type="spellStart"/>
      <w:r w:rsidRPr="00EA1E4E">
        <w:t>landgebonden</w:t>
      </w:r>
      <w:proofErr w:type="spellEnd"/>
      <w:r w:rsidRPr="00EA1E4E">
        <w:t xml:space="preserve"> kansspelen. </w:t>
      </w:r>
      <w:r w:rsidRPr="00EA1E4E" w:rsidR="00D224B2">
        <w:t xml:space="preserve">Het </w:t>
      </w:r>
      <w:r w:rsidRPr="00EA1E4E" w:rsidR="002274ED">
        <w:t xml:space="preserve">recent met uw Kamer gedeelde </w:t>
      </w:r>
      <w:r w:rsidRPr="00EA1E4E" w:rsidR="00D224B2">
        <w:t xml:space="preserve">onderzoek </w:t>
      </w:r>
      <w:r w:rsidRPr="00EA1E4E" w:rsidR="002274ED">
        <w:t>naar</w:t>
      </w:r>
      <w:r w:rsidRPr="00EA1E4E" w:rsidR="00D224B2">
        <w:t xml:space="preserve"> de risico’s op gokschade bij kansspelen laat zien dat ook </w:t>
      </w:r>
      <w:r w:rsidRPr="00EA1E4E" w:rsidR="00C755F8">
        <w:t xml:space="preserve">een aantal </w:t>
      </w:r>
      <w:proofErr w:type="spellStart"/>
      <w:r w:rsidRPr="00EA1E4E" w:rsidR="00D224B2">
        <w:t>landgebonden</w:t>
      </w:r>
      <w:proofErr w:type="spellEnd"/>
      <w:r w:rsidRPr="00EA1E4E" w:rsidR="00D224B2">
        <w:t xml:space="preserve"> kansspelen hoge risico’s kennen.</w:t>
      </w:r>
      <w:r w:rsidRPr="00EA1E4E" w:rsidR="00422998">
        <w:rPr>
          <w:rStyle w:val="Voetnootmarkering"/>
        </w:rPr>
        <w:footnoteReference w:id="5"/>
      </w:r>
      <w:r w:rsidRPr="00EA1E4E" w:rsidR="00D224B2">
        <w:t xml:space="preserve"> </w:t>
      </w:r>
      <w:r w:rsidRPr="00EA1E4E" w:rsidR="00FB5CAF">
        <w:t>Bij online kansspelen is het verbeteren van de bescherming tegen gokschade en het tegengaan van (deelname aan) illegaal aanbod echter het meest urgent. Ten eerste omdat dit de meest risicovolle kansspelen zijn en ten tweede omdat voornoemd onderzoek laat zien dat relatief veel mensen met problematisch gokgedrag online gokken.</w:t>
      </w:r>
      <w:r w:rsidRPr="00EA1E4E">
        <w:t xml:space="preserve"> Daarom </w:t>
      </w:r>
      <w:r w:rsidRPr="00EA1E4E" w:rsidR="00C755F8">
        <w:t xml:space="preserve">ligt </w:t>
      </w:r>
      <w:r w:rsidRPr="00EA1E4E" w:rsidR="00CD5977">
        <w:t>mijn focus</w:t>
      </w:r>
      <w:r w:rsidRPr="00EA1E4E" w:rsidR="00542741">
        <w:t xml:space="preserve"> in de eerste plaats</w:t>
      </w:r>
      <w:r w:rsidRPr="00EA1E4E">
        <w:t xml:space="preserve"> </w:t>
      </w:r>
      <w:r w:rsidRPr="00EA1E4E" w:rsidR="00D224B2">
        <w:t xml:space="preserve">op het gebied van wetgeving </w:t>
      </w:r>
      <w:r w:rsidRPr="00EA1E4E" w:rsidR="00542741">
        <w:t xml:space="preserve">ter verbetering </w:t>
      </w:r>
      <w:r w:rsidRPr="00EA1E4E" w:rsidR="00C755F8">
        <w:t>van</w:t>
      </w:r>
      <w:r w:rsidRPr="00EA1E4E">
        <w:t xml:space="preserve"> de bescherming bij online kansspelen</w:t>
      </w:r>
      <w:r w:rsidRPr="00EA1E4E" w:rsidR="00D9664D">
        <w:t xml:space="preserve">, </w:t>
      </w:r>
      <w:r w:rsidRPr="00EA1E4E" w:rsidR="00C755F8">
        <w:t>in het bijzonder</w:t>
      </w:r>
      <w:r w:rsidRPr="00EA1E4E" w:rsidR="00D9664D">
        <w:t xml:space="preserve"> voor kwetsbare groepen zoals jongvolwassenen</w:t>
      </w:r>
      <w:r w:rsidRPr="00EA1E4E">
        <w:t xml:space="preserve">. </w:t>
      </w:r>
    </w:p>
    <w:p w:rsidRPr="00EA1E4E" w:rsidR="00731A19" w:rsidP="007C3E38" w:rsidRDefault="00731A19" w14:paraId="5683F1AB" w14:textId="77777777"/>
    <w:p w:rsidRPr="00EA1E4E" w:rsidR="00B61208" w:rsidP="007C3E38" w:rsidRDefault="007A3996" w14:paraId="62F7D605" w14:textId="44EA586F">
      <w:r w:rsidRPr="00EA1E4E">
        <w:t xml:space="preserve">In deze brief </w:t>
      </w:r>
      <w:r w:rsidRPr="00EA1E4E" w:rsidR="00C755F8">
        <w:t xml:space="preserve">ga ik </w:t>
      </w:r>
      <w:r w:rsidRPr="00EA1E4E">
        <w:t xml:space="preserve">in op de stappen die hierin zijn en worden gezet. </w:t>
      </w:r>
    </w:p>
    <w:p w:rsidRPr="00EA1E4E" w:rsidR="007C3E38" w:rsidP="007C3E38" w:rsidRDefault="007C3E38" w14:paraId="4AD6276D" w14:textId="77777777"/>
    <w:p w:rsidRPr="00EA1E4E" w:rsidR="00246EB0" w:rsidP="00246EB0" w:rsidRDefault="008963AA" w14:paraId="5B1377A9" w14:textId="5D4915E2">
      <w:pPr>
        <w:pStyle w:val="Lijstalinea"/>
        <w:numPr>
          <w:ilvl w:val="0"/>
          <w:numId w:val="8"/>
        </w:numPr>
        <w:rPr>
          <w:b/>
        </w:rPr>
      </w:pPr>
      <w:r w:rsidRPr="00EA1E4E">
        <w:rPr>
          <w:b/>
        </w:rPr>
        <w:t>Contouren w</w:t>
      </w:r>
      <w:r w:rsidRPr="00EA1E4E" w:rsidR="00246EB0">
        <w:rPr>
          <w:b/>
        </w:rPr>
        <w:t>ijziging wet- en regelgeving kansspelen op afstand</w:t>
      </w:r>
    </w:p>
    <w:p w:rsidRPr="00EA1E4E" w:rsidR="007628D0" w:rsidP="00246EB0" w:rsidRDefault="007628D0" w14:paraId="5451E409" w14:textId="77777777"/>
    <w:p w:rsidRPr="00EA1E4E" w:rsidR="00D263FE" w:rsidP="00246EB0" w:rsidRDefault="00AA7A69" w14:paraId="08800B18" w14:textId="772EE14C">
      <w:r w:rsidRPr="00EA1E4E">
        <w:t xml:space="preserve">Uit de monitoringsrapportage van </w:t>
      </w:r>
      <w:r w:rsidRPr="00EA1E4E" w:rsidR="00F76FD2">
        <w:t xml:space="preserve">april </w:t>
      </w:r>
      <w:r w:rsidRPr="00EA1E4E">
        <w:t>202</w:t>
      </w:r>
      <w:r w:rsidRPr="00EA1E4E" w:rsidR="00F76FD2">
        <w:t>6</w:t>
      </w:r>
      <w:r w:rsidRPr="00EA1E4E">
        <w:t xml:space="preserve"> van de Ksa blijkt dat</w:t>
      </w:r>
      <w:r w:rsidRPr="00EA1E4E" w:rsidR="00F47E89">
        <w:t xml:space="preserve"> </w:t>
      </w:r>
      <w:r w:rsidRPr="00EA1E4E">
        <w:t xml:space="preserve">de </w:t>
      </w:r>
      <w:r w:rsidRPr="00EA1E4E" w:rsidR="00023D7B">
        <w:t xml:space="preserve">reeds doorgevoerde </w:t>
      </w:r>
      <w:r w:rsidRPr="00EA1E4E" w:rsidR="00640866">
        <w:t>aanpassing</w:t>
      </w:r>
      <w:r w:rsidRPr="00EA1E4E" w:rsidR="00023D7B">
        <w:t>en</w:t>
      </w:r>
      <w:r w:rsidRPr="00EA1E4E" w:rsidR="00640866">
        <w:t xml:space="preserve"> van</w:t>
      </w:r>
      <w:r w:rsidRPr="00EA1E4E">
        <w:t xml:space="preserve"> lagere regelgeving</w:t>
      </w:r>
      <w:r w:rsidRPr="00EA1E4E" w:rsidR="00023D7B">
        <w:t xml:space="preserve"> voor kansspelen op afstand</w:t>
      </w:r>
      <w:r w:rsidRPr="00EA1E4E">
        <w:t xml:space="preserve"> een blijvend positief effect hebben op de bescherming van spelers binnen het gereguleerde aanbod.</w:t>
      </w:r>
      <w:r w:rsidRPr="00EA1E4E" w:rsidR="00BE369F">
        <w:rPr>
          <w:rStyle w:val="Voetnootmarkering"/>
        </w:rPr>
        <w:footnoteReference w:id="6"/>
      </w:r>
      <w:r w:rsidRPr="00EA1E4E">
        <w:t xml:space="preserve"> Spelers geven gemiddeld significant minder geld uit aan online gokken</w:t>
      </w:r>
      <w:r w:rsidRPr="00EA1E4E" w:rsidR="00640866">
        <w:t>. Ook is reclame sinds de invoering van het verbod op ongerichte reclame voor online gokken verdwenen uit de publieke ruimte en maken vergunde aanbieders sinds 2025 veel minder reclame op internet.</w:t>
      </w:r>
      <w:r w:rsidRPr="00EA1E4E" w:rsidR="00BA665D">
        <w:t xml:space="preserve"> </w:t>
      </w:r>
      <w:r w:rsidRPr="00EA1E4E" w:rsidR="00D263FE">
        <w:t>D</w:t>
      </w:r>
      <w:r w:rsidRPr="00EA1E4E" w:rsidR="00BA665D">
        <w:t xml:space="preserve">e rapportage laat zien dat </w:t>
      </w:r>
      <w:r w:rsidRPr="00EA1E4E" w:rsidR="00EC448C">
        <w:t>jongvolwassenen relatief veel accounts hebben</w:t>
      </w:r>
      <w:r w:rsidRPr="00EA1E4E" w:rsidR="00D263FE">
        <w:t>. Tevens</w:t>
      </w:r>
      <w:r w:rsidRPr="00EA1E4E" w:rsidR="00EC448C">
        <w:t xml:space="preserve"> </w:t>
      </w:r>
      <w:r w:rsidRPr="00EA1E4E" w:rsidR="00BA665D">
        <w:t xml:space="preserve">blijkt </w:t>
      </w:r>
      <w:r w:rsidRPr="00EA1E4E" w:rsidR="00EC448C">
        <w:t>dat ze in verhouding tot andere spelers korter spelen en dat hun gemiddelde verliezen aanzienlijk lager liggen.</w:t>
      </w:r>
      <w:r w:rsidRPr="00EA1E4E" w:rsidR="00BA665D">
        <w:t xml:space="preserve"> Verder laat de rapportage zien dat het aantal spelersaccounts is toegenomen, terwijl het aantal spelers niet toeneemt. Zoals ik in mijn brief van</w:t>
      </w:r>
      <w:r w:rsidRPr="00EA1E4E" w:rsidR="003B0D96">
        <w:t xml:space="preserve"> 17 april 2026</w:t>
      </w:r>
      <w:r w:rsidRPr="00EA1E4E" w:rsidR="00BA665D">
        <w:t xml:space="preserve"> heb aangegeven wijst dit er mogelijk op dat een deel van de spelers probeert de speellimieten per account te omzeilen door meer accounts te gebruiken.</w:t>
      </w:r>
      <w:r w:rsidRPr="00EA1E4E" w:rsidR="00BA665D">
        <w:rPr>
          <w:rStyle w:val="Voetnootmarkering"/>
        </w:rPr>
        <w:footnoteReference w:id="7"/>
      </w:r>
      <w:r w:rsidRPr="00EA1E4E" w:rsidR="00BA665D">
        <w:t xml:space="preserve"> </w:t>
      </w:r>
    </w:p>
    <w:p w:rsidRPr="00EA1E4E" w:rsidR="00D263FE" w:rsidP="00246EB0" w:rsidRDefault="00D263FE" w14:paraId="460F699D" w14:textId="77777777"/>
    <w:p w:rsidRPr="00EA1E4E" w:rsidR="000E06E0" w:rsidP="00246EB0" w:rsidRDefault="00AA7A69" w14:paraId="3A2449E1" w14:textId="44B6E524">
      <w:r w:rsidRPr="00EA1E4E">
        <w:t xml:space="preserve">Met </w:t>
      </w:r>
      <w:r w:rsidRPr="00EA1E4E" w:rsidR="00D263FE">
        <w:t xml:space="preserve">de reeds doorgevoerde </w:t>
      </w:r>
      <w:r w:rsidRPr="00EA1E4E" w:rsidR="00640866">
        <w:t>maatregelen zijn</w:t>
      </w:r>
      <w:r w:rsidRPr="00EA1E4E">
        <w:t xml:space="preserve"> binnen de huidige wettelijke context </w:t>
      </w:r>
      <w:r w:rsidRPr="00EA1E4E" w:rsidR="00023D7B">
        <w:t>belangrijke</w:t>
      </w:r>
      <w:r w:rsidRPr="00EA1E4E" w:rsidR="00640866">
        <w:t xml:space="preserve"> stappen gezet om </w:t>
      </w:r>
      <w:r w:rsidRPr="00EA1E4E">
        <w:t>betere bescherming tegen gokschade te bieden.</w:t>
      </w:r>
      <w:r w:rsidRPr="00EA1E4E" w:rsidR="00640866">
        <w:t xml:space="preserve"> Voor fundamentele(re) wijzigingen en om </w:t>
      </w:r>
      <w:r w:rsidRPr="00EA1E4E">
        <w:t xml:space="preserve">toekomstgericht een stevige basis te kunnen bieden is wijziging van de wet nodig. </w:t>
      </w:r>
      <w:r w:rsidRPr="00EA1E4E" w:rsidR="00246EB0">
        <w:t xml:space="preserve">Het afgelopen jaar zijn </w:t>
      </w:r>
      <w:r w:rsidRPr="00EA1E4E">
        <w:t xml:space="preserve">in het kader van de aangekondigde wijzigingen van wet- en regelgeving rond online kansspelen </w:t>
      </w:r>
      <w:r w:rsidRPr="00EA1E4E" w:rsidR="00246EB0">
        <w:t xml:space="preserve">diverse onderzoeken uitgevoerd </w:t>
      </w:r>
      <w:r w:rsidRPr="00EA1E4E" w:rsidR="00324C8E">
        <w:t>en</w:t>
      </w:r>
      <w:r w:rsidRPr="00EA1E4E" w:rsidR="00246EB0">
        <w:t xml:space="preserve"> analyses gedaan en </w:t>
      </w:r>
      <w:r w:rsidRPr="00EA1E4E" w:rsidR="00F2206E">
        <w:t xml:space="preserve">is gewerkt aan de uitwerking van </w:t>
      </w:r>
      <w:r w:rsidRPr="00EA1E4E" w:rsidR="00246EB0">
        <w:t>beleidskompassen</w:t>
      </w:r>
      <w:r w:rsidRPr="00EA1E4E" w:rsidR="00B67F86">
        <w:t>.</w:t>
      </w:r>
      <w:r w:rsidRPr="00EA1E4E" w:rsidR="00023D7B">
        <w:t xml:space="preserve"> Op basis daarvan heb ik richtinggevende keuzes gemaakt voor de aanpassing van wet- en regelgeving.</w:t>
      </w:r>
      <w:r w:rsidRPr="00EA1E4E" w:rsidR="00246EB0">
        <w:t xml:space="preserve"> </w:t>
      </w:r>
      <w:r w:rsidRPr="00EA1E4E" w:rsidR="00023D7B">
        <w:t>Hierna beschrijf ik de door mij gemaakte keuzes en contouren voor de aangekondigde wijzigingen. Aan het eind van deze paragraaf schets ik het verdere proces rond het wetgevingstraject.</w:t>
      </w:r>
    </w:p>
    <w:p w:rsidRPr="00EA1E4E" w:rsidR="000E06E0" w:rsidP="00246EB0" w:rsidRDefault="000E06E0" w14:paraId="35AD89DA" w14:textId="77777777"/>
    <w:p w:rsidRPr="00EA1E4E" w:rsidR="002C37E1" w:rsidP="002C37E1" w:rsidRDefault="002C37E1" w14:paraId="7B4BC17C" w14:textId="77777777">
      <w:pPr>
        <w:pStyle w:val="Lijstalinea"/>
        <w:numPr>
          <w:ilvl w:val="0"/>
          <w:numId w:val="37"/>
        </w:numPr>
        <w:rPr>
          <w:u w:val="single"/>
        </w:rPr>
      </w:pPr>
      <w:r w:rsidRPr="00EA1E4E">
        <w:rPr>
          <w:u w:val="single"/>
        </w:rPr>
        <w:t>Wijziging basisuitgangspunten Wet op de kansspelen</w:t>
      </w:r>
    </w:p>
    <w:p w:rsidRPr="00EA1E4E" w:rsidR="00635EF3" w:rsidP="00F32DF5" w:rsidRDefault="0009561F" w14:paraId="64C2E82E" w14:textId="2C6D98DC">
      <w:r w:rsidRPr="00EA1E4E">
        <w:t xml:space="preserve">Als fundament voor </w:t>
      </w:r>
      <w:r w:rsidRPr="00EA1E4E" w:rsidR="00023D7B">
        <w:t>alle</w:t>
      </w:r>
      <w:r w:rsidRPr="00EA1E4E">
        <w:t xml:space="preserve"> wijzigingen wil ik in de eerste plaats de</w:t>
      </w:r>
      <w:r w:rsidRPr="00EA1E4E" w:rsidR="000E06E0">
        <w:t xml:space="preserve"> uitgangspunten en doelstellingen van de</w:t>
      </w:r>
      <w:r w:rsidRPr="00EA1E4E" w:rsidR="002C37E1">
        <w:t xml:space="preserve"> Wet op de kansspelen (</w:t>
      </w:r>
      <w:r w:rsidRPr="00EA1E4E" w:rsidR="000E06E0">
        <w:t>Wok</w:t>
      </w:r>
      <w:r w:rsidRPr="00EA1E4E" w:rsidR="002C37E1">
        <w:t>)</w:t>
      </w:r>
      <w:r w:rsidRPr="00EA1E4E" w:rsidR="000E06E0">
        <w:t xml:space="preserve"> </w:t>
      </w:r>
      <w:r w:rsidRPr="00EA1E4E">
        <w:t>aanpass</w:t>
      </w:r>
      <w:r w:rsidRPr="00EA1E4E" w:rsidR="008A575A">
        <w:t>en</w:t>
      </w:r>
      <w:r w:rsidRPr="00EA1E4E" w:rsidR="000E06E0">
        <w:t xml:space="preserve"> conform de nieuwe visie op kansspelen. Dit betekent dat hierin de bescherming van mensen voorop komt te staan en de bescherming wordt verbreed naar bescherming tegen gokschade. Dit brengt mee dat de vrijheid van spelers om alle keuzes zelf te maken en de vrijheid van aanbieders </w:t>
      </w:r>
      <w:r w:rsidRPr="00EA1E4E" w:rsidR="00A20FCA">
        <w:t>om keuzes te maken in de</w:t>
      </w:r>
      <w:r w:rsidRPr="00EA1E4E" w:rsidR="000E06E0">
        <w:t xml:space="preserve"> bescherming en preventie worden beperkt</w:t>
      </w:r>
      <w:r w:rsidRPr="00EA1E4E" w:rsidR="00360103">
        <w:t xml:space="preserve">. </w:t>
      </w:r>
    </w:p>
    <w:p w:rsidRPr="00EA1E4E" w:rsidR="00635EF3" w:rsidP="00F32DF5" w:rsidRDefault="00635EF3" w14:paraId="5C8A34E7" w14:textId="77777777"/>
    <w:p w:rsidRPr="00EA1E4E" w:rsidR="00635EF3" w:rsidP="00635EF3" w:rsidRDefault="00DB1DE2" w14:paraId="1ED42987" w14:textId="796D6F72">
      <w:r w:rsidRPr="00EA1E4E">
        <w:t>V</w:t>
      </w:r>
      <w:r w:rsidRPr="00EA1E4E" w:rsidR="00635EF3">
        <w:t xml:space="preserve">erschillende typen kansspelen </w:t>
      </w:r>
      <w:r w:rsidRPr="00EA1E4E">
        <w:t>kennen verschillende risico’s. Dit vraagt om risico</w:t>
      </w:r>
      <w:r w:rsidRPr="00EA1E4E" w:rsidR="005D5C48">
        <w:t>-</w:t>
      </w:r>
      <w:r w:rsidRPr="00EA1E4E">
        <w:t>gebaseerde bescherming, een</w:t>
      </w:r>
      <w:r w:rsidRPr="00EA1E4E" w:rsidR="00635EF3">
        <w:t xml:space="preserve"> uitgangspunt </w:t>
      </w:r>
      <w:r w:rsidRPr="00EA1E4E">
        <w:t>dat ik</w:t>
      </w:r>
      <w:r w:rsidRPr="00EA1E4E" w:rsidR="00635EF3">
        <w:t xml:space="preserve"> beter </w:t>
      </w:r>
      <w:r w:rsidRPr="00EA1E4E">
        <w:t xml:space="preserve">wil </w:t>
      </w:r>
      <w:r w:rsidRPr="00EA1E4E" w:rsidR="00635EF3">
        <w:t xml:space="preserve">verankeren in wet- en regelgeving. </w:t>
      </w:r>
      <w:r w:rsidRPr="00EA1E4E" w:rsidR="00F32DF5">
        <w:t xml:space="preserve">In dit kader is recent </w:t>
      </w:r>
      <w:r w:rsidRPr="00EA1E4E" w:rsidR="00635EF3">
        <w:t xml:space="preserve">het onderzoek </w:t>
      </w:r>
      <w:r w:rsidRPr="00EA1E4E" w:rsidR="00F32DF5">
        <w:t>‘Risico’s op gokschade: Een rangorde van gokproducten’</w:t>
      </w:r>
      <w:r w:rsidRPr="00EA1E4E" w:rsidR="00635EF3">
        <w:t xml:space="preserve"> naar uw Kamer gestuurd</w:t>
      </w:r>
      <w:r w:rsidRPr="00EA1E4E" w:rsidR="00F32DF5">
        <w:t>.</w:t>
      </w:r>
      <w:r w:rsidRPr="00EA1E4E" w:rsidR="00635EF3">
        <w:rPr>
          <w:rStyle w:val="Voetnootmarkering"/>
        </w:rPr>
        <w:footnoteReference w:id="8"/>
      </w:r>
      <w:r w:rsidRPr="00EA1E4E" w:rsidR="00635EF3">
        <w:t xml:space="preserve"> De risicoclassificatie zoals in het onderzoek </w:t>
      </w:r>
      <w:r w:rsidRPr="00EA1E4E" w:rsidR="00DE6B95">
        <w:t xml:space="preserve">wordt </w:t>
      </w:r>
      <w:r w:rsidRPr="00EA1E4E" w:rsidR="00635EF3">
        <w:t xml:space="preserve">gepresenteerd, geeft inzicht in de mate van risico op gokschade van verschillende typen kansspelen. Die classificatie </w:t>
      </w:r>
      <w:r w:rsidRPr="00EA1E4E" w:rsidR="00DE6B95">
        <w:t xml:space="preserve">neem ik </w:t>
      </w:r>
      <w:r w:rsidRPr="00EA1E4E" w:rsidR="00635EF3">
        <w:t xml:space="preserve">als uitgangspunt voor </w:t>
      </w:r>
      <w:r w:rsidRPr="00EA1E4E" w:rsidR="00DE6B95">
        <w:t xml:space="preserve">mijn </w:t>
      </w:r>
      <w:r w:rsidRPr="00EA1E4E" w:rsidR="00635EF3">
        <w:t>risico-gebaseerd</w:t>
      </w:r>
      <w:r w:rsidRPr="00EA1E4E" w:rsidR="00DE6B95">
        <w:t>e</w:t>
      </w:r>
      <w:r w:rsidRPr="00EA1E4E" w:rsidR="00635EF3">
        <w:t xml:space="preserve"> beleid. In </w:t>
      </w:r>
      <w:r w:rsidRPr="00EA1E4E" w:rsidR="00DE6B95">
        <w:t>dit</w:t>
      </w:r>
      <w:r w:rsidRPr="00EA1E4E" w:rsidR="00635EF3">
        <w:t xml:space="preserve"> kader bezie ik tevens waar risicovolle elementen verboden zouden kunnen worden. Ik neem de bevindingen uit het onderzoek daarin mee. </w:t>
      </w:r>
    </w:p>
    <w:p w:rsidRPr="00EA1E4E" w:rsidR="00635EF3" w:rsidP="00635EF3" w:rsidRDefault="00635EF3" w14:paraId="4C49DAC9" w14:textId="77777777"/>
    <w:p w:rsidRPr="00EA1E4E" w:rsidR="00635EF3" w:rsidP="003E003E" w:rsidRDefault="00635EF3" w14:paraId="44FE5B42" w14:textId="399817B2">
      <w:pPr>
        <w:rPr>
          <w:u w:val="single"/>
        </w:rPr>
      </w:pPr>
      <w:r w:rsidRPr="00EA1E4E">
        <w:t xml:space="preserve">Bij de uitwerking van de aangekondigde beschermende maatregelen ligt mijn </w:t>
      </w:r>
      <w:r w:rsidRPr="00EA1E4E" w:rsidR="00DB1DE2">
        <w:t>prioriteit</w:t>
      </w:r>
      <w:r w:rsidRPr="00EA1E4E">
        <w:t xml:space="preserve"> </w:t>
      </w:r>
      <w:r w:rsidRPr="00EA1E4E" w:rsidR="00D237AF">
        <w:t xml:space="preserve">zoals gezegd </w:t>
      </w:r>
      <w:r w:rsidRPr="00EA1E4E" w:rsidR="00DB1DE2">
        <w:t>bij</w:t>
      </w:r>
      <w:r w:rsidRPr="00EA1E4E">
        <w:t xml:space="preserve"> online kanssp</w:t>
      </w:r>
      <w:r w:rsidRPr="00EA1E4E" w:rsidR="003E003E">
        <w:t xml:space="preserve">elen in verband met de urgentie </w:t>
      </w:r>
      <w:r w:rsidRPr="00EA1E4E" w:rsidR="00F94E45">
        <w:t>door</w:t>
      </w:r>
      <w:r w:rsidRPr="00EA1E4E" w:rsidR="003E003E">
        <w:t xml:space="preserve"> de zorgelijke ontwikkelingen bij kansspelen op afstand.</w:t>
      </w:r>
      <w:r w:rsidRPr="00EA1E4E">
        <w:t xml:space="preserve"> Tegelijkertijd zie ik vanuit het uitgangspunt van risico-gebaseerde bescherming vraagstukken met betrekking tot het </w:t>
      </w:r>
      <w:proofErr w:type="spellStart"/>
      <w:r w:rsidRPr="00EA1E4E">
        <w:t>landgebonden</w:t>
      </w:r>
      <w:proofErr w:type="spellEnd"/>
      <w:r w:rsidRPr="00EA1E4E">
        <w:t xml:space="preserve"> kansspelaanbod. Een voorbeeld daarvan is</w:t>
      </w:r>
      <w:r w:rsidRPr="00EA1E4E" w:rsidR="00DB1DE2">
        <w:t xml:space="preserve"> de hoge risicoscore van</w:t>
      </w:r>
      <w:r w:rsidRPr="00EA1E4E">
        <w:t xml:space="preserve"> speelautomaten in de horeca</w:t>
      </w:r>
      <w:r w:rsidRPr="00EA1E4E" w:rsidR="00D237AF">
        <w:t xml:space="preserve">, </w:t>
      </w:r>
      <w:r w:rsidRPr="00EA1E4E" w:rsidR="00DB1DE2">
        <w:t xml:space="preserve">waarvoor momenteel minder beschermende maatregelen gelden dan </w:t>
      </w:r>
      <w:r w:rsidRPr="00EA1E4E" w:rsidR="00082658">
        <w:t xml:space="preserve">voor </w:t>
      </w:r>
      <w:r w:rsidRPr="00EA1E4E" w:rsidR="00DB1DE2">
        <w:t>vergelijkbare kansspelen</w:t>
      </w:r>
      <w:r w:rsidRPr="00EA1E4E" w:rsidR="00275893">
        <w:t>.</w:t>
      </w:r>
      <w:r w:rsidRPr="00EA1E4E">
        <w:t xml:space="preserve"> Nadat het </w:t>
      </w:r>
      <w:r w:rsidRPr="00EA1E4E" w:rsidR="00D237AF">
        <w:t>wetgevings</w:t>
      </w:r>
      <w:r w:rsidRPr="00EA1E4E">
        <w:t xml:space="preserve">traject </w:t>
      </w:r>
      <w:r w:rsidRPr="00EA1E4E" w:rsidR="00D237AF">
        <w:t>rond</w:t>
      </w:r>
      <w:r w:rsidRPr="00EA1E4E">
        <w:t xml:space="preserve"> kansspelen op afstand is afgerond, </w:t>
      </w:r>
      <w:r w:rsidRPr="00EA1E4E" w:rsidR="00D237AF">
        <w:t>buig ik mij over</w:t>
      </w:r>
      <w:r w:rsidRPr="00EA1E4E">
        <w:t xml:space="preserve"> de eventuele resterende vraagstukken met betrekking tot het </w:t>
      </w:r>
      <w:proofErr w:type="spellStart"/>
      <w:r w:rsidRPr="00EA1E4E">
        <w:t>landgebonden</w:t>
      </w:r>
      <w:proofErr w:type="spellEnd"/>
      <w:r w:rsidRPr="00EA1E4E">
        <w:t xml:space="preserve"> aanbod</w:t>
      </w:r>
      <w:r w:rsidRPr="00EA1E4E" w:rsidR="00D237AF">
        <w:t>.</w:t>
      </w:r>
    </w:p>
    <w:p w:rsidRPr="00EA1E4E" w:rsidR="00A67314" w:rsidP="00A67314" w:rsidRDefault="00A67314" w14:paraId="33EB2F6F" w14:textId="77777777"/>
    <w:p w:rsidRPr="00EA1E4E" w:rsidR="00AD5589" w:rsidP="00AD5589" w:rsidRDefault="00275893" w14:paraId="0D5E2566" w14:textId="64BBEC15">
      <w:pPr>
        <w:pStyle w:val="Lijstalinea"/>
        <w:numPr>
          <w:ilvl w:val="0"/>
          <w:numId w:val="37"/>
        </w:numPr>
        <w:rPr>
          <w:u w:val="single"/>
        </w:rPr>
      </w:pPr>
      <w:r w:rsidRPr="00EA1E4E">
        <w:rPr>
          <w:u w:val="single"/>
        </w:rPr>
        <w:t>Nu g</w:t>
      </w:r>
      <w:r w:rsidRPr="00EA1E4E" w:rsidR="00AD5589">
        <w:rPr>
          <w:u w:val="single"/>
        </w:rPr>
        <w:t xml:space="preserve">een verhoging minimumleeftijd voor </w:t>
      </w:r>
      <w:r w:rsidRPr="00EA1E4E" w:rsidR="00294043">
        <w:rPr>
          <w:u w:val="single"/>
        </w:rPr>
        <w:t xml:space="preserve">de meest </w:t>
      </w:r>
      <w:r w:rsidRPr="00EA1E4E" w:rsidR="00AD5589">
        <w:rPr>
          <w:u w:val="single"/>
        </w:rPr>
        <w:t>risicovolle kansspelen</w:t>
      </w:r>
    </w:p>
    <w:p w:rsidRPr="00EA1E4E" w:rsidR="00275893" w:rsidP="00D73FC8" w:rsidRDefault="00AD5589" w14:paraId="437331D8" w14:textId="191882E2">
      <w:r w:rsidRPr="00EA1E4E">
        <w:t xml:space="preserve">In de brief van 14 februari 2025 heeft de Staatssecretaris Rechtsbescherming het voornemen geuit de leeftijdsgrens voor deelname aan de meest risicovolle kansspelen te verhogen naar 21 jaar. </w:t>
      </w:r>
      <w:r w:rsidRPr="00EA1E4E" w:rsidR="00CD5977">
        <w:t xml:space="preserve">Ik </w:t>
      </w:r>
      <w:r w:rsidRPr="00EA1E4E" w:rsidR="00254349">
        <w:t>steun de gedachte achter dit</w:t>
      </w:r>
      <w:r w:rsidRPr="00EA1E4E" w:rsidR="00487C00">
        <w:t xml:space="preserve"> idee, maar ik zie ook significante risico’s. </w:t>
      </w:r>
      <w:r w:rsidRPr="00EA1E4E">
        <w:t xml:space="preserve">Vanuit </w:t>
      </w:r>
      <w:r w:rsidRPr="00EA1E4E" w:rsidR="00542741">
        <w:t>de</w:t>
      </w:r>
      <w:r w:rsidRPr="00EA1E4E">
        <w:t xml:space="preserve"> doelstelling om mensen zo goed mogelijk te beschermen tegen gokschade kies ik ervoor de aangekondigde verhoging van de minimumleeftijd nu niet door te zetten</w:t>
      </w:r>
      <w:r w:rsidRPr="00EA1E4E" w:rsidR="00487C00">
        <w:t xml:space="preserve"> en </w:t>
      </w:r>
      <w:r w:rsidRPr="00EA1E4E" w:rsidR="00CB3C40">
        <w:t xml:space="preserve">eerst </w:t>
      </w:r>
      <w:r w:rsidRPr="00EA1E4E" w:rsidR="00487C00">
        <w:t>volop</w:t>
      </w:r>
      <w:r w:rsidRPr="00EA1E4E" w:rsidR="00FC40C3">
        <w:t xml:space="preserve"> in </w:t>
      </w:r>
      <w:r w:rsidRPr="00EA1E4E" w:rsidR="00487C00">
        <w:t xml:space="preserve">te zetten </w:t>
      </w:r>
      <w:r w:rsidRPr="00EA1E4E" w:rsidR="00FC40C3">
        <w:t xml:space="preserve">op verbetering van de bescherming bij het legale aanbod en de aanpak van illegaal aanbod. </w:t>
      </w:r>
    </w:p>
    <w:p w:rsidRPr="00EA1E4E" w:rsidR="00275893" w:rsidP="00D73FC8" w:rsidRDefault="00275893" w14:paraId="7839C032" w14:textId="77777777"/>
    <w:p w:rsidRPr="00EA1E4E" w:rsidR="00275893" w:rsidP="00D73FC8" w:rsidRDefault="00FC40C3" w14:paraId="5F1410C0" w14:textId="0D566372">
      <w:r w:rsidRPr="00EA1E4E">
        <w:t xml:space="preserve">Een verhoging van de leeftijdsgrens is een ingrijpende interventie, waarvan het beschermend effect onder de huidige omstandigheden onzeker is. </w:t>
      </w:r>
      <w:r w:rsidRPr="00EA1E4E" w:rsidR="00AD5589">
        <w:t xml:space="preserve">Relatief veel jongvolwassenen gokken online en er is een reëel risico dat een </w:t>
      </w:r>
      <w:r w:rsidRPr="00EA1E4E" w:rsidR="00F05482">
        <w:t xml:space="preserve">vergaande maatregel als </w:t>
      </w:r>
      <w:r w:rsidRPr="00EA1E4E" w:rsidR="00AD5589">
        <w:t>leeftijdsverhoging jongvolwassenen naar illegaal aanbod duwt.</w:t>
      </w:r>
      <w:r w:rsidRPr="00EA1E4E" w:rsidR="00AD5589">
        <w:rPr>
          <w:rStyle w:val="Voetnootmarkering"/>
        </w:rPr>
        <w:footnoteReference w:id="9"/>
      </w:r>
      <w:r w:rsidRPr="00EA1E4E" w:rsidR="00AD5589">
        <w:t xml:space="preserve"> </w:t>
      </w:r>
      <w:r w:rsidRPr="00EA1E4E" w:rsidR="00A01269">
        <w:t>Dit is zorgelijk omdat bij illegaal gokken geen sprake is van bescherming, bewustwording en doorgeleiding naar hulp en zorg. Gokschade bij illegaal aanbod is naar verwachting groter dan bij legaal aanbod.</w:t>
      </w:r>
      <w:r w:rsidRPr="00EA1E4E" w:rsidR="00A01269">
        <w:rPr>
          <w:rStyle w:val="Voetnootmarkering"/>
        </w:rPr>
        <w:footnoteReference w:id="10"/>
      </w:r>
      <w:r w:rsidRPr="00EA1E4E" w:rsidR="00A01269">
        <w:t xml:space="preserve"> </w:t>
      </w:r>
      <w:r w:rsidRPr="00EA1E4E" w:rsidR="00AD5589">
        <w:t>Ik heb bij de afweging onder meer het onderzoeksrapport ‘Perspectief van Nederlanders op kansspelen: meting 2025’ betrokken.</w:t>
      </w:r>
      <w:r w:rsidRPr="00EA1E4E" w:rsidR="00AD5589">
        <w:rPr>
          <w:rStyle w:val="Voetnootmarkering"/>
        </w:rPr>
        <w:footnoteReference w:id="11"/>
      </w:r>
      <w:r w:rsidRPr="00EA1E4E" w:rsidR="00AD5589">
        <w:t xml:space="preserve"> In het licht van de motie van de leden </w:t>
      </w:r>
      <w:proofErr w:type="spellStart"/>
      <w:r w:rsidRPr="00EA1E4E" w:rsidR="00AD5589">
        <w:t>Dral</w:t>
      </w:r>
      <w:proofErr w:type="spellEnd"/>
      <w:r w:rsidRPr="00EA1E4E" w:rsidR="00AD5589">
        <w:t xml:space="preserve"> en </w:t>
      </w:r>
      <w:proofErr w:type="spellStart"/>
      <w:r w:rsidRPr="00EA1E4E" w:rsidR="00AD5589">
        <w:t>Wijen-Nass</w:t>
      </w:r>
      <w:proofErr w:type="spellEnd"/>
      <w:r w:rsidRPr="00EA1E4E" w:rsidR="00AD5589">
        <w:t xml:space="preserve"> is in dit onderzoek de vraag voorgelegd of verhoging van de leeftijdsgrens zal leiden tot uitwijk naar illegaal aanbod.</w:t>
      </w:r>
      <w:r w:rsidRPr="00EA1E4E" w:rsidR="00AD5589">
        <w:rPr>
          <w:rStyle w:val="Voetnootmarkering"/>
        </w:rPr>
        <w:footnoteReference w:id="12"/>
      </w:r>
      <w:r w:rsidRPr="00EA1E4E" w:rsidR="00AD5589">
        <w:t xml:space="preserve"> Uit het onderzoeksrapport blijkt in beginsel een groot draagvlak voor verhoging van de leeftijdsgrens: 85% van de Nederlanders is voor deze verhoging. Ook onder jongeren onder de 21 jaar is een meerderheid (78%) hiervoor. Desondanks blijkt ook uit dit onderzoek dat er een reëel risico bestaat op schade door de kans op uitwijk naar illegaal aanbod. In het onderzoek geeft 15% van de 21-minners die online spelen namelijk aan bij een leeftijdsverhoging te gaan zoeken naar manieren om te blijven gokken en een flink deel (19%) van de onlinespelers geeft aan dit niet te weten. Dit kan betekenen dat meer dan een derde van de huidige jongvolwassen spelers straks illegaal gokt. Ik vind dit een te groot risico. </w:t>
      </w:r>
    </w:p>
    <w:p w:rsidRPr="00EA1E4E" w:rsidR="00D73FC8" w:rsidP="00D73FC8" w:rsidRDefault="00AD5589" w14:paraId="43FF7F63" w14:textId="4345928D">
      <w:r w:rsidRPr="00EA1E4E">
        <w:t xml:space="preserve">In veel andere landen geldt </w:t>
      </w:r>
      <w:r w:rsidRPr="00EA1E4E" w:rsidR="009A3A9D">
        <w:t xml:space="preserve">overigens </w:t>
      </w:r>
      <w:r w:rsidRPr="00EA1E4E">
        <w:t>ook een minimumleeftijd van 18 jaar voor deelname aan kansspelen. Een verhoging van de minimumleeftijd alleen in Nederland zou de samenwerking met andere landen ten behoeve van betere bescherming en handhaving op illegaal aanbod bemoeilijken.</w:t>
      </w:r>
      <w:r w:rsidRPr="00EA1E4E" w:rsidR="009D4622">
        <w:t xml:space="preserve"> </w:t>
      </w:r>
      <w:r w:rsidRPr="00EA1E4E">
        <w:t xml:space="preserve">Tegelijkertijd laten bestaande maatregelen binnen het gereguleerde stelsel nu al zichtbare verbeteringen zien en kunnen </w:t>
      </w:r>
      <w:r w:rsidRPr="00EA1E4E" w:rsidR="006766AC">
        <w:t xml:space="preserve">meer proportionele </w:t>
      </w:r>
      <w:r w:rsidRPr="00EA1E4E">
        <w:t>alternatieven ook concrete en beter te borgen bescherming bieden. Mijn inzet is erop gericht om de bescherming voor jongvolwassenen verder te verstevigen, in het bijzonder met een lage overkoepelende stortingslimiet en activiteiten gericht op het tegengaan van normalisering van deelname aan risicovolle kansspelen.</w:t>
      </w:r>
      <w:r w:rsidRPr="00EA1E4E" w:rsidR="00D73FC8">
        <w:t xml:space="preserve"> </w:t>
      </w:r>
    </w:p>
    <w:p w:rsidRPr="00EA1E4E" w:rsidR="00D73FC8" w:rsidP="00D73FC8" w:rsidRDefault="00D73FC8" w14:paraId="5BC417C1" w14:textId="77777777"/>
    <w:p w:rsidRPr="00EA1E4E" w:rsidR="00D73FC8" w:rsidP="00D73FC8" w:rsidRDefault="00AC5084" w14:paraId="5CE2B03D" w14:textId="4DC94793">
      <w:r w:rsidRPr="00EA1E4E">
        <w:t xml:space="preserve">Op het moment dat </w:t>
      </w:r>
      <w:r w:rsidRPr="00EA1E4E" w:rsidR="00D73FC8">
        <w:t xml:space="preserve">de aanpak van illegaal aanbod succesvol </w:t>
      </w:r>
      <w:r w:rsidRPr="00EA1E4E">
        <w:t>is</w:t>
      </w:r>
      <w:r w:rsidRPr="00EA1E4E" w:rsidR="00D73FC8">
        <w:t xml:space="preserve"> en daarmee de kans op uitwijkgedrag gering, </w:t>
      </w:r>
      <w:r w:rsidRPr="00EA1E4E" w:rsidR="00B52EB0">
        <w:t xml:space="preserve">zal </w:t>
      </w:r>
      <w:r w:rsidRPr="00EA1E4E" w:rsidR="00D73FC8">
        <w:t>een leeftijdsverhoging opnieuw overwogen worden.</w:t>
      </w:r>
      <w:r w:rsidRPr="00EA1E4E" w:rsidR="00731A19">
        <w:t xml:space="preserve"> Dan </w:t>
      </w:r>
      <w:r w:rsidRPr="00EA1E4E" w:rsidR="00B52EB0">
        <w:t xml:space="preserve">wordt </w:t>
      </w:r>
      <w:r w:rsidRPr="00EA1E4E" w:rsidR="00731A19">
        <w:t xml:space="preserve">de effectiviteit en proportionaliteit van een leeftijdsverhoging opnieuw getoetst. In de tussentijd blijf ik </w:t>
      </w:r>
      <w:r w:rsidRPr="00EA1E4E" w:rsidR="005C7E39">
        <w:t>de deelname aan online kansspelen door</w:t>
      </w:r>
      <w:r w:rsidRPr="00EA1E4E" w:rsidR="00FC40C3">
        <w:t xml:space="preserve"> 18- tot </w:t>
      </w:r>
      <w:r w:rsidRPr="00EA1E4E" w:rsidR="00834E31">
        <w:t xml:space="preserve">en met 20-jarigen </w:t>
      </w:r>
      <w:r w:rsidRPr="00EA1E4E" w:rsidR="00B52EB0">
        <w:t xml:space="preserve">en het effect van de maatregelen </w:t>
      </w:r>
      <w:r w:rsidRPr="00EA1E4E" w:rsidR="005F0D3E">
        <w:t xml:space="preserve">nauwgezet </w:t>
      </w:r>
      <w:r w:rsidRPr="00EA1E4E" w:rsidR="00731A19">
        <w:t>monitoren</w:t>
      </w:r>
      <w:r w:rsidRPr="00EA1E4E" w:rsidR="005C7E39">
        <w:t>.</w:t>
      </w:r>
      <w:r w:rsidRPr="00EA1E4E" w:rsidR="00B52EB0">
        <w:t xml:space="preserve"> Ik zal uw Kamer hierover periodiek informeren.</w:t>
      </w:r>
    </w:p>
    <w:p w:rsidRPr="00EA1E4E" w:rsidR="00AD5589" w:rsidP="00AD5589" w:rsidRDefault="00AD5589" w14:paraId="11BD51A2" w14:textId="77777777"/>
    <w:p w:rsidRPr="00EA1E4E" w:rsidR="00BB758F" w:rsidP="00AD5589" w:rsidRDefault="00BB758F" w14:paraId="57DF210F" w14:textId="77777777">
      <w:pPr>
        <w:pStyle w:val="Lijstalinea"/>
        <w:numPr>
          <w:ilvl w:val="0"/>
          <w:numId w:val="37"/>
        </w:numPr>
        <w:rPr>
          <w:u w:val="single"/>
        </w:rPr>
      </w:pPr>
      <w:r w:rsidRPr="00EA1E4E">
        <w:rPr>
          <w:u w:val="single"/>
        </w:rPr>
        <w:t>Overkoepelende stortingslimiet met draagkrachttoets</w:t>
      </w:r>
    </w:p>
    <w:p w:rsidRPr="00EA1E4E" w:rsidR="00F575C6" w:rsidP="00BB758F" w:rsidRDefault="00FB5455" w14:paraId="479829EA" w14:textId="08801658">
      <w:r w:rsidRPr="00EA1E4E">
        <w:t>In de bijlage bij de brief van 14 februari 2025 waren reeds de contouren geschetst van een overkoepelende stortingslimiet met draagkrachttoets voor online kansspelen.</w:t>
      </w:r>
      <w:r w:rsidRPr="00EA1E4E">
        <w:rPr>
          <w:rStyle w:val="Voetnootmarkering"/>
        </w:rPr>
        <w:footnoteReference w:id="13"/>
      </w:r>
      <w:r w:rsidRPr="00EA1E4E">
        <w:t xml:space="preserve"> Alleen spelers die op basis van een financiële check voldoende draagkracht hebben, </w:t>
      </w:r>
      <w:r w:rsidRPr="00EA1E4E" w:rsidR="002B4B17">
        <w:t>z</w:t>
      </w:r>
      <w:r w:rsidRPr="00EA1E4E">
        <w:t>u</w:t>
      </w:r>
      <w:r w:rsidRPr="00EA1E4E" w:rsidR="002B4B17">
        <w:t>ll</w:t>
      </w:r>
      <w:r w:rsidRPr="00EA1E4E">
        <w:t xml:space="preserve">en hun limiet </w:t>
      </w:r>
      <w:r w:rsidRPr="00EA1E4E" w:rsidR="002B4B17">
        <w:t xml:space="preserve">kunnen </w:t>
      </w:r>
      <w:r w:rsidRPr="00EA1E4E">
        <w:t xml:space="preserve">verhogen boven de overkoepelende limiet. </w:t>
      </w:r>
      <w:bookmarkStart w:name="_Hlk219362891" w:id="0"/>
      <w:r w:rsidRPr="00EA1E4E">
        <w:t xml:space="preserve">Het systeem zal uitgaan van een centraal register, </w:t>
      </w:r>
      <w:r w:rsidRPr="00EA1E4E" w:rsidR="00952F7F">
        <w:t xml:space="preserve">ontwikkeld en </w:t>
      </w:r>
      <w:r w:rsidRPr="00EA1E4E">
        <w:t>beheerd door de Ksa, waarin de overkoepelende stortingslimiet van spelers wordt geregistreerd.</w:t>
      </w:r>
      <w:r w:rsidRPr="00EA1E4E" w:rsidR="0003337E">
        <w:t xml:space="preserve"> Voor mij is daarbij uitgangspunt dat een overkoepelende limiet moet voorkomen dat spelers binnen het legale aanbod in korte tijd excessieve verliezen lijden die zij </w:t>
      </w:r>
      <w:r w:rsidRPr="00EA1E4E" w:rsidR="000B007E">
        <w:t xml:space="preserve">zich </w:t>
      </w:r>
      <w:r w:rsidRPr="00EA1E4E" w:rsidR="0003337E">
        <w:t xml:space="preserve">niet kunnen veroorloven. </w:t>
      </w:r>
      <w:bookmarkEnd w:id="0"/>
      <w:r w:rsidRPr="00EA1E4E" w:rsidR="00AC44C0">
        <w:t>Bij de nadere uitwerking van de overkoepelende limiet betrek ik de uitkomsten van verschillende relevante onderzoeken.</w:t>
      </w:r>
      <w:r w:rsidRPr="00EA1E4E" w:rsidR="00AC44C0">
        <w:rPr>
          <w:rStyle w:val="Voetnootmarkering"/>
        </w:rPr>
        <w:footnoteReference w:id="14"/>
      </w:r>
      <w:r w:rsidRPr="00EA1E4E" w:rsidR="001421F9">
        <w:t xml:space="preserve"> </w:t>
      </w:r>
      <w:r w:rsidRPr="00EA1E4E" w:rsidR="0003337E">
        <w:t>Daarbij merk ik op dat een overkoepelende limiet niet alle schade kan voorkomen en dat het risico dat spelers uitwijken naar het illegale aanbod groter wordt wanneer een grotere groep spelers een draagkrachttoets moet doorlopen. Deze overwegingen betrek ik bij het bepalen van de hoogte van de limiet in lagere regelgeving.</w:t>
      </w:r>
    </w:p>
    <w:p w:rsidRPr="00EA1E4E" w:rsidR="00F575C6" w:rsidP="00BB758F" w:rsidRDefault="00F575C6" w14:paraId="58420E49" w14:textId="77777777"/>
    <w:p w:rsidRPr="00EA1E4E" w:rsidR="00BB758F" w:rsidP="00BB758F" w:rsidRDefault="0079708F" w14:paraId="26042EF1" w14:textId="3F221BC4">
      <w:r w:rsidRPr="00EA1E4E">
        <w:t xml:space="preserve">De invulling van de draagkrachttoets zal ik uitwerken </w:t>
      </w:r>
      <w:r w:rsidRPr="00EA1E4E" w:rsidR="0003337E">
        <w:t>langs</w:t>
      </w:r>
      <w:r w:rsidRPr="00EA1E4E">
        <w:t xml:space="preserve"> drie </w:t>
      </w:r>
      <w:r w:rsidRPr="00EA1E4E" w:rsidR="0003337E">
        <w:t>lijnen</w:t>
      </w:r>
      <w:r w:rsidRPr="00EA1E4E">
        <w:t>. Dit gaat in eerste instantie om een controle of de speler onder curatele of bewind is gesteld</w:t>
      </w:r>
      <w:r w:rsidRPr="00EA1E4E" w:rsidR="002959DF">
        <w:t xml:space="preserve">. Een tweede stap is het controleren </w:t>
      </w:r>
      <w:r w:rsidRPr="00EA1E4E">
        <w:t xml:space="preserve">of de speler een geregistreerde betalingsachterstand heeft. Voor de betalingsachterstand </w:t>
      </w:r>
      <w:r w:rsidRPr="00EA1E4E" w:rsidR="000F32F4">
        <w:t>denk ik</w:t>
      </w:r>
      <w:r w:rsidRPr="00EA1E4E">
        <w:t xml:space="preserve"> in eerste instantie </w:t>
      </w:r>
      <w:r w:rsidRPr="00EA1E4E" w:rsidR="001F493A">
        <w:t xml:space="preserve">aan </w:t>
      </w:r>
      <w:r w:rsidRPr="00EA1E4E">
        <w:t>een controle bij het Bureau Krediet Registratie (BKR)</w:t>
      </w:r>
      <w:r w:rsidRPr="00EA1E4E" w:rsidR="000F32F4">
        <w:t xml:space="preserve"> en onderzoek ik aanvullende mogelijkheden</w:t>
      </w:r>
      <w:r w:rsidRPr="00EA1E4E">
        <w:t xml:space="preserve">. </w:t>
      </w:r>
      <w:r w:rsidRPr="00EA1E4E" w:rsidR="000F32F4">
        <w:t>Hiermee geef ik ook invulling aan de motie van het lid Van Nispen c.s. om een BKR-toets uit te voeren.</w:t>
      </w:r>
      <w:r w:rsidRPr="00EA1E4E" w:rsidR="000F32F4">
        <w:rPr>
          <w:rStyle w:val="Voetnootmarkering"/>
        </w:rPr>
        <w:footnoteReference w:id="15"/>
      </w:r>
      <w:r w:rsidRPr="00EA1E4E" w:rsidR="000F32F4">
        <w:t xml:space="preserve"> </w:t>
      </w:r>
      <w:r w:rsidRPr="00EA1E4E">
        <w:t>Wanneer sprake is van één van deze registraties, wordt het verzoek tot verhoging van de stortingslimiet afgewezen. In een derde stap wordt gekeken naar het maandelijks inkomen van een speler en de noodzakelijke uitgaven.</w:t>
      </w:r>
      <w:r w:rsidRPr="00EA1E4E" w:rsidR="00953897">
        <w:t xml:space="preserve"> Ook het liquide vermogen van een speler kan in bepaalde mate worden betrokken.</w:t>
      </w:r>
      <w:r w:rsidRPr="00EA1E4E" w:rsidR="000F32F4">
        <w:t xml:space="preserve"> Dit voorstel </w:t>
      </w:r>
      <w:r w:rsidRPr="00EA1E4E" w:rsidR="007E5133">
        <w:t>is in lijn</w:t>
      </w:r>
      <w:r w:rsidRPr="00EA1E4E" w:rsidR="000F32F4">
        <w:t xml:space="preserve"> met de aanbevelingen uit het rapport van SIRA Consulting naar</w:t>
      </w:r>
      <w:r w:rsidRPr="00EA1E4E" w:rsidR="00BB758F">
        <w:t xml:space="preserve"> opties voor de invulling van de draagkrachttoets.</w:t>
      </w:r>
      <w:r w:rsidRPr="00EA1E4E" w:rsidR="00BB758F">
        <w:rPr>
          <w:rStyle w:val="Voetnootmarkering"/>
        </w:rPr>
        <w:footnoteReference w:id="16"/>
      </w:r>
      <w:r w:rsidRPr="00EA1E4E" w:rsidR="00BB758F">
        <w:t xml:space="preserve"> </w:t>
      </w:r>
      <w:r w:rsidRPr="00EA1E4E" w:rsidR="007F3A31">
        <w:t>I</w:t>
      </w:r>
      <w:r w:rsidRPr="00EA1E4E" w:rsidR="00C3491D">
        <w:t xml:space="preserve">k </w:t>
      </w:r>
      <w:r w:rsidRPr="00EA1E4E" w:rsidR="007F3A31">
        <w:t xml:space="preserve">werk nu </w:t>
      </w:r>
      <w:r w:rsidRPr="00EA1E4E" w:rsidR="00C3491D">
        <w:t>nader uit aan welke eisen een</w:t>
      </w:r>
      <w:r w:rsidRPr="00EA1E4E" w:rsidR="00BB758F">
        <w:t xml:space="preserve"> draagkrachttoets </w:t>
      </w:r>
      <w:r w:rsidRPr="00EA1E4E" w:rsidR="00C3491D">
        <w:t>moet voldoen</w:t>
      </w:r>
      <w:r w:rsidRPr="00EA1E4E" w:rsidR="00B1128A">
        <w:t>,</w:t>
      </w:r>
      <w:r w:rsidRPr="00EA1E4E" w:rsidR="00C3491D">
        <w:t xml:space="preserve"> wie deze dient uit te voeren</w:t>
      </w:r>
      <w:r w:rsidRPr="00EA1E4E" w:rsidR="00B1128A">
        <w:t xml:space="preserve"> en welke kosten hieraan verbonden zijn</w:t>
      </w:r>
      <w:r w:rsidRPr="00EA1E4E" w:rsidR="00C3491D">
        <w:t>.</w:t>
      </w:r>
      <w:r w:rsidRPr="00EA1E4E" w:rsidR="00BB758F">
        <w:t xml:space="preserve"> </w:t>
      </w:r>
      <w:r w:rsidRPr="00EA1E4E" w:rsidR="000F32F4">
        <w:t xml:space="preserve">Ik hanteer hierbij als uitgangspunten dat de toets bescherming biedt voor de speler, </w:t>
      </w:r>
      <w:r w:rsidRPr="00EA1E4E" w:rsidR="00953897">
        <w:t xml:space="preserve">de </w:t>
      </w:r>
      <w:r w:rsidRPr="00EA1E4E" w:rsidR="000F32F4">
        <w:t xml:space="preserve">inbreuk op de privacy en persoonlijke levenssfeer zoveel mogelijk beperkt </w:t>
      </w:r>
      <w:r w:rsidRPr="00EA1E4E" w:rsidR="00CB61A0">
        <w:t xml:space="preserve">is </w:t>
      </w:r>
      <w:r w:rsidRPr="00EA1E4E" w:rsidR="000F32F4">
        <w:t xml:space="preserve">en </w:t>
      </w:r>
      <w:r w:rsidRPr="00EA1E4E" w:rsidR="00953897">
        <w:t xml:space="preserve">de toets </w:t>
      </w:r>
      <w:r w:rsidRPr="00EA1E4E" w:rsidR="000F32F4">
        <w:t>onafhankelijk wordt uitge</w:t>
      </w:r>
      <w:r w:rsidRPr="00EA1E4E" w:rsidR="00953897">
        <w:t xml:space="preserve">voerd van partijen met een belang </w:t>
      </w:r>
      <w:r w:rsidRPr="00EA1E4E" w:rsidR="007E5133">
        <w:t>in de uitkomst van de toets</w:t>
      </w:r>
      <w:r w:rsidRPr="00EA1E4E" w:rsidR="00CB61A0">
        <w:t>,</w:t>
      </w:r>
      <w:r w:rsidRPr="00EA1E4E" w:rsidR="007E5133">
        <w:t xml:space="preserve"> </w:t>
      </w:r>
      <w:r w:rsidRPr="00EA1E4E" w:rsidR="00953897">
        <w:t xml:space="preserve">zoals vergunninghouders. </w:t>
      </w:r>
    </w:p>
    <w:p w:rsidRPr="00EA1E4E" w:rsidR="00BB758F" w:rsidP="00BB758F" w:rsidRDefault="00BB758F" w14:paraId="09899C03" w14:textId="77777777"/>
    <w:p w:rsidRPr="00EA1E4E" w:rsidR="00BB758F" w:rsidP="00AD5589" w:rsidRDefault="00BB758F" w14:paraId="7F32C500" w14:textId="2A0EB46A">
      <w:pPr>
        <w:pStyle w:val="Lijstalinea"/>
        <w:numPr>
          <w:ilvl w:val="0"/>
          <w:numId w:val="37"/>
        </w:numPr>
        <w:rPr>
          <w:u w:val="single"/>
        </w:rPr>
      </w:pPr>
      <w:r w:rsidRPr="00EA1E4E">
        <w:rPr>
          <w:u w:val="single"/>
        </w:rPr>
        <w:t>Verbeteren C</w:t>
      </w:r>
      <w:r w:rsidRPr="00EA1E4E" w:rsidR="00997BF1">
        <w:rPr>
          <w:u w:val="single"/>
        </w:rPr>
        <w:t>entraal register uitsluiting kansspelen (</w:t>
      </w:r>
      <w:proofErr w:type="spellStart"/>
      <w:r w:rsidRPr="00EA1E4E" w:rsidR="00997BF1">
        <w:rPr>
          <w:u w:val="single"/>
        </w:rPr>
        <w:t>C</w:t>
      </w:r>
      <w:r w:rsidRPr="00EA1E4E">
        <w:rPr>
          <w:u w:val="single"/>
        </w:rPr>
        <w:t>ruks</w:t>
      </w:r>
      <w:proofErr w:type="spellEnd"/>
      <w:r w:rsidRPr="00EA1E4E" w:rsidR="00997BF1">
        <w:rPr>
          <w:u w:val="single"/>
        </w:rPr>
        <w:t>)</w:t>
      </w:r>
    </w:p>
    <w:p w:rsidRPr="00EA1E4E" w:rsidR="00813AC9" w:rsidP="00BB758F" w:rsidRDefault="00BB758F" w14:paraId="4E4F5F06" w14:textId="44DD5078">
      <w:r w:rsidRPr="00EA1E4E">
        <w:t xml:space="preserve">Inmiddels hebben meer dan 100.000 mensen in Nederland een </w:t>
      </w:r>
      <w:proofErr w:type="spellStart"/>
      <w:r w:rsidRPr="00EA1E4E">
        <w:t>Gokstop</w:t>
      </w:r>
      <w:proofErr w:type="spellEnd"/>
      <w:r w:rsidRPr="00EA1E4E">
        <w:t xml:space="preserve"> genomen door een inschrijving in het Centraal register uitsluiting kansspelen (</w:t>
      </w:r>
      <w:proofErr w:type="spellStart"/>
      <w:r w:rsidRPr="00EA1E4E">
        <w:t>Cruks</w:t>
      </w:r>
      <w:proofErr w:type="spellEnd"/>
      <w:r w:rsidRPr="00EA1E4E">
        <w:t>).</w:t>
      </w:r>
      <w:r w:rsidRPr="00EA1E4E" w:rsidR="00D1668D">
        <w:rPr>
          <w:rStyle w:val="Voetnootmarkering"/>
        </w:rPr>
        <w:footnoteReference w:id="17"/>
      </w:r>
      <w:r w:rsidRPr="00EA1E4E">
        <w:t xml:space="preserve"> Het register heeft daarmee een belangrijke rol in de bescherming tegen gokschade, zowel voor mensen die zelf voor een </w:t>
      </w:r>
      <w:proofErr w:type="spellStart"/>
      <w:r w:rsidRPr="00EA1E4E">
        <w:t>Gokstop</w:t>
      </w:r>
      <w:proofErr w:type="spellEnd"/>
      <w:r w:rsidRPr="00EA1E4E">
        <w:t xml:space="preserve"> kiezen, als mensen die onvrijwillig in het register geplaatst worden. </w:t>
      </w:r>
      <w:r w:rsidRPr="00EA1E4E" w:rsidR="00A511F1">
        <w:t xml:space="preserve">Ik wil op zes punten de effectiviteit van </w:t>
      </w:r>
      <w:proofErr w:type="spellStart"/>
      <w:r w:rsidRPr="00EA1E4E" w:rsidR="00A511F1">
        <w:t>Cruks</w:t>
      </w:r>
      <w:proofErr w:type="spellEnd"/>
      <w:r w:rsidRPr="00EA1E4E" w:rsidR="00A511F1">
        <w:t xml:space="preserve"> verbeteren. </w:t>
      </w:r>
      <w:r w:rsidRPr="00EA1E4E" w:rsidR="00813AC9">
        <w:t>Ik ben gekomen tot deze maatregelen op basis van onderzoeken en gesprekken met belanghebbenden, waaronder experts op het gebied van verslaving en gokschade, ervaringsdeskundigen, online</w:t>
      </w:r>
      <w:r w:rsidRPr="00EA1E4E" w:rsidR="003F4579">
        <w:t xml:space="preserve"> </w:t>
      </w:r>
      <w:r w:rsidRPr="00EA1E4E" w:rsidR="00813AC9">
        <w:t>kansspelaanbieders, bewindvoerders, mentoren, schuldhulpverleners en de Ksa.</w:t>
      </w:r>
      <w:r w:rsidRPr="00EA1E4E" w:rsidR="009E52CD">
        <w:t xml:space="preserve"> </w:t>
      </w:r>
      <w:r w:rsidRPr="00EA1E4E" w:rsidR="009D4622">
        <w:t xml:space="preserve">Op dit punt zet ik verdergaande stappen </w:t>
      </w:r>
      <w:r w:rsidRPr="00EA1E4E" w:rsidR="009E52CD">
        <w:t xml:space="preserve">dan </w:t>
      </w:r>
      <w:r w:rsidRPr="00EA1E4E" w:rsidR="009B571D">
        <w:t>eerder</w:t>
      </w:r>
      <w:r w:rsidRPr="00EA1E4E" w:rsidR="009E52CD">
        <w:t xml:space="preserve"> aangekondigd in de </w:t>
      </w:r>
      <w:r w:rsidRPr="00EA1E4E" w:rsidR="00AD5589">
        <w:t>brief van 14 februari 2025</w:t>
      </w:r>
      <w:r w:rsidRPr="00EA1E4E" w:rsidR="009E52CD">
        <w:t xml:space="preserve">.  </w:t>
      </w:r>
    </w:p>
    <w:p w:rsidRPr="00EA1E4E" w:rsidR="00813AC9" w:rsidP="00BB758F" w:rsidRDefault="00813AC9" w14:paraId="4A173EF3" w14:textId="77777777"/>
    <w:p w:rsidRPr="00EA1E4E" w:rsidR="00F228CA" w:rsidP="00F228CA" w:rsidRDefault="00F228CA" w14:paraId="6980777E" w14:textId="3FBED060">
      <w:r w:rsidRPr="00EA1E4E">
        <w:t>Allereerst wil ik bi</w:t>
      </w:r>
      <w:r w:rsidRPr="00EA1E4E" w:rsidR="00BA079B">
        <w:t xml:space="preserve">j de vrijwillige inschrijving de </w:t>
      </w:r>
      <w:r w:rsidRPr="00EA1E4E" w:rsidR="004071A0">
        <w:t xml:space="preserve">huidige </w:t>
      </w:r>
      <w:r w:rsidRPr="00EA1E4E" w:rsidR="00BA079B">
        <w:t xml:space="preserve">keuze voor een termijn tussen de 6 maanden en 99 jaar </w:t>
      </w:r>
      <w:r w:rsidRPr="00EA1E4E" w:rsidR="002B4B17">
        <w:t xml:space="preserve">met automatische uitschrijving </w:t>
      </w:r>
      <w:r w:rsidRPr="00EA1E4E" w:rsidR="00BA079B">
        <w:t>vervangen door een inschrijving voor onbepaalde tijd</w:t>
      </w:r>
      <w:r w:rsidRPr="00EA1E4E" w:rsidR="002B4B17">
        <w:t xml:space="preserve"> zonder automatische uitschrijving</w:t>
      </w:r>
      <w:r w:rsidRPr="00EA1E4E" w:rsidR="007F3A31">
        <w:t xml:space="preserve">. Dit </w:t>
      </w:r>
      <w:r w:rsidRPr="00EA1E4E" w:rsidR="00BA079B">
        <w:t>stimule</w:t>
      </w:r>
      <w:r w:rsidRPr="00EA1E4E" w:rsidR="007F3A31">
        <w:t>e</w:t>
      </w:r>
      <w:r w:rsidRPr="00EA1E4E" w:rsidR="00BA079B">
        <w:t>r</w:t>
      </w:r>
      <w:r w:rsidRPr="00EA1E4E" w:rsidR="007F3A31">
        <w:t>t mensen</w:t>
      </w:r>
      <w:r w:rsidRPr="00EA1E4E" w:rsidR="00BA079B">
        <w:t xml:space="preserve"> een langere </w:t>
      </w:r>
      <w:proofErr w:type="spellStart"/>
      <w:r w:rsidRPr="00EA1E4E" w:rsidR="00BA079B">
        <w:t>Gokstop</w:t>
      </w:r>
      <w:proofErr w:type="spellEnd"/>
      <w:r w:rsidRPr="00EA1E4E" w:rsidR="00BA079B">
        <w:t xml:space="preserve"> te nemen</w:t>
      </w:r>
      <w:r w:rsidRPr="00EA1E4E" w:rsidR="007F3A31">
        <w:t xml:space="preserve">. Ook voorkomt dit dat een inschrijving in </w:t>
      </w:r>
      <w:proofErr w:type="spellStart"/>
      <w:r w:rsidRPr="00EA1E4E" w:rsidR="007F3A31">
        <w:t>Cruks</w:t>
      </w:r>
      <w:proofErr w:type="spellEnd"/>
      <w:r w:rsidRPr="00EA1E4E" w:rsidR="007F3A31">
        <w:t xml:space="preserve"> automatisch beëindigd wordt, zoals nu het geval is.</w:t>
      </w:r>
      <w:r w:rsidRPr="00EA1E4E" w:rsidR="00BA079B">
        <w:t xml:space="preserve"> </w:t>
      </w:r>
      <w:r w:rsidRPr="00EA1E4E" w:rsidR="00C31E25">
        <w:t xml:space="preserve">Daarnaast wil ik de huidige </w:t>
      </w:r>
      <w:r w:rsidRPr="00EA1E4E" w:rsidR="002B4B17">
        <w:t xml:space="preserve">minimale </w:t>
      </w:r>
      <w:r w:rsidRPr="00EA1E4E" w:rsidR="00C31E25">
        <w:t xml:space="preserve">termijn van zes maanden voor het beëindigen van de vrijwillige </w:t>
      </w:r>
      <w:proofErr w:type="spellStart"/>
      <w:r w:rsidRPr="00EA1E4E" w:rsidR="00C31E25">
        <w:t>Gokstop</w:t>
      </w:r>
      <w:proofErr w:type="spellEnd"/>
      <w:r w:rsidRPr="00EA1E4E" w:rsidR="00C31E25">
        <w:t xml:space="preserve"> </w:t>
      </w:r>
      <w:r w:rsidRPr="00EA1E4E" w:rsidR="002B4B17">
        <w:t xml:space="preserve">oprekken naar twaalf maanden </w:t>
      </w:r>
      <w:r w:rsidRPr="00EA1E4E" w:rsidR="00C31E25">
        <w:t xml:space="preserve">om meer ruimte te bieden aan structurele gedragsverandering. Door daarnaast de mogelijkheid aan te bieden om de </w:t>
      </w:r>
      <w:r w:rsidRPr="00EA1E4E" w:rsidR="002B4B17">
        <w:t xml:space="preserve">minimale </w:t>
      </w:r>
      <w:r w:rsidRPr="00EA1E4E" w:rsidR="00C31E25">
        <w:t>uitschrijftermijn</w:t>
      </w:r>
      <w:r w:rsidRPr="00EA1E4E" w:rsidR="002B4B17">
        <w:t xml:space="preserve"> van </w:t>
      </w:r>
      <w:r w:rsidRPr="00EA1E4E" w:rsidR="00552238">
        <w:t>dan</w:t>
      </w:r>
      <w:r w:rsidRPr="00EA1E4E" w:rsidR="002B4B17">
        <w:t xml:space="preserve"> twaalf maanden</w:t>
      </w:r>
      <w:r w:rsidRPr="00EA1E4E" w:rsidR="00C31E25">
        <w:t xml:space="preserve"> tussentijds te verlengen, kunnen spelers zich langduriger beschermen tegen het risico van terugval. </w:t>
      </w:r>
      <w:r w:rsidRPr="00EA1E4E" w:rsidR="00C31E25">
        <w:rPr>
          <w:strike/>
        </w:rPr>
        <w:t xml:space="preserve"> </w:t>
      </w:r>
    </w:p>
    <w:p w:rsidRPr="00EA1E4E" w:rsidR="00F228CA" w:rsidP="00F228CA" w:rsidRDefault="00F228CA" w14:paraId="3E26D2EF" w14:textId="77777777"/>
    <w:p w:rsidRPr="00EA1E4E" w:rsidR="00AC4214" w:rsidP="00AC4214" w:rsidRDefault="00AC4214" w14:paraId="236B7BBD" w14:textId="3F84E369">
      <w:bookmarkStart w:name="_Hlk219468174" w:id="1"/>
      <w:r w:rsidRPr="00EA1E4E">
        <w:t xml:space="preserve">Ten tweede wil ik de drempels voor beëindiging van de vrijwillige </w:t>
      </w:r>
      <w:proofErr w:type="spellStart"/>
      <w:r w:rsidRPr="00EA1E4E">
        <w:t>Gokstop</w:t>
      </w:r>
      <w:proofErr w:type="spellEnd"/>
      <w:r w:rsidRPr="00EA1E4E">
        <w:t xml:space="preserve"> verhogen door een wettelijke bedenktijd in te voeren bij uitschrijving en door spelers bij inschrijving de optie aan te bieden om een naaste op te geven die op het moment van verzoek tot beëindiging van de </w:t>
      </w:r>
      <w:proofErr w:type="spellStart"/>
      <w:r w:rsidRPr="00EA1E4E">
        <w:t>Gokstop</w:t>
      </w:r>
      <w:proofErr w:type="spellEnd"/>
      <w:r w:rsidRPr="00EA1E4E">
        <w:t xml:space="preserve"> een kennisgeving ontvangt. </w:t>
      </w:r>
      <w:bookmarkEnd w:id="1"/>
      <w:r w:rsidRPr="00EA1E4E">
        <w:t>Hierdoor worden spelers gestimuleerd bewuste</w:t>
      </w:r>
      <w:r w:rsidRPr="00EA1E4E" w:rsidR="002B4B17">
        <w:t>re</w:t>
      </w:r>
      <w:r w:rsidRPr="00EA1E4E">
        <w:t xml:space="preserve"> en weloverwogen keuzes te maken ten aanzien van een eventuele beëindiging van de </w:t>
      </w:r>
      <w:proofErr w:type="spellStart"/>
      <w:r w:rsidRPr="00EA1E4E">
        <w:t>Gokstop</w:t>
      </w:r>
      <w:proofErr w:type="spellEnd"/>
      <w:r w:rsidRPr="00EA1E4E">
        <w:t>.</w:t>
      </w:r>
    </w:p>
    <w:p w:rsidRPr="00EA1E4E" w:rsidR="00AC4214" w:rsidP="00AC4214" w:rsidRDefault="00AC4214" w14:paraId="6EDCFBC1" w14:textId="77777777"/>
    <w:p w:rsidRPr="00EA1E4E" w:rsidR="00CD05AA" w:rsidP="00F228CA" w:rsidRDefault="002A6966" w14:paraId="12AEC502" w14:textId="4EEA2A83">
      <w:r w:rsidRPr="00EA1E4E">
        <w:t xml:space="preserve">Als </w:t>
      </w:r>
      <w:r w:rsidRPr="00EA1E4E" w:rsidR="00AC4214">
        <w:t xml:space="preserve">derde verbetering </w:t>
      </w:r>
      <w:r w:rsidRPr="00EA1E4E">
        <w:t>wil</w:t>
      </w:r>
      <w:r w:rsidRPr="00EA1E4E" w:rsidR="00F228CA">
        <w:t xml:space="preserve"> ik d</w:t>
      </w:r>
      <w:r w:rsidRPr="00EA1E4E" w:rsidR="007E5133">
        <w:t xml:space="preserve">e inschrijftermijn </w:t>
      </w:r>
      <w:r w:rsidRPr="00EA1E4E" w:rsidR="002B4B17">
        <w:t xml:space="preserve">van zes maanden </w:t>
      </w:r>
      <w:r w:rsidRPr="00EA1E4E" w:rsidR="007E5133">
        <w:t>bij de onvrijwillige inschrijving</w:t>
      </w:r>
      <w:r w:rsidRPr="00EA1E4E" w:rsidR="00F228CA">
        <w:t xml:space="preserve"> </w:t>
      </w:r>
      <w:r w:rsidRPr="00EA1E4E" w:rsidR="002B4B17">
        <w:t>oprekken naar twaalf maanden</w:t>
      </w:r>
      <w:r w:rsidRPr="00EA1E4E" w:rsidR="004071A0">
        <w:t xml:space="preserve">, omdat voor spelers met problematisch gokgedrag meer tijd nodig is voor structurele gedragsverandering en het in gang zetten van verdere hulp. Na afloop van deze </w:t>
      </w:r>
      <w:r w:rsidRPr="00EA1E4E" w:rsidR="002B4B17">
        <w:t xml:space="preserve">langere </w:t>
      </w:r>
      <w:r w:rsidRPr="00EA1E4E" w:rsidR="004071A0">
        <w:t>inschrijftermijn w</w:t>
      </w:r>
      <w:r w:rsidRPr="00EA1E4E" w:rsidR="007E5133">
        <w:t>ordt</w:t>
      </w:r>
      <w:r w:rsidRPr="00EA1E4E" w:rsidR="004071A0">
        <w:t xml:space="preserve"> de </w:t>
      </w:r>
      <w:proofErr w:type="spellStart"/>
      <w:r w:rsidRPr="00EA1E4E" w:rsidR="004071A0">
        <w:t>Gokstop</w:t>
      </w:r>
      <w:proofErr w:type="spellEnd"/>
      <w:r w:rsidRPr="00EA1E4E" w:rsidR="004071A0">
        <w:t xml:space="preserve"> </w:t>
      </w:r>
      <w:r w:rsidRPr="00EA1E4E" w:rsidR="007E5133">
        <w:t>omgezet</w:t>
      </w:r>
      <w:r w:rsidRPr="00EA1E4E" w:rsidR="004071A0">
        <w:t xml:space="preserve"> in een vrijwillige inschrijving</w:t>
      </w:r>
      <w:r w:rsidRPr="00EA1E4E" w:rsidR="002B4B17">
        <w:t xml:space="preserve"> zonder automatische uitschrijving</w:t>
      </w:r>
      <w:r w:rsidRPr="00EA1E4E" w:rsidR="004071A0">
        <w:t xml:space="preserve">, met dezelfde voorwaarden voor </w:t>
      </w:r>
      <w:r w:rsidRPr="00EA1E4E" w:rsidR="00CD05AA">
        <w:t xml:space="preserve">beëindiging van de </w:t>
      </w:r>
      <w:proofErr w:type="spellStart"/>
      <w:r w:rsidRPr="00EA1E4E" w:rsidR="00CD05AA">
        <w:t>Gokstop</w:t>
      </w:r>
      <w:proofErr w:type="spellEnd"/>
      <w:r w:rsidRPr="00EA1E4E" w:rsidR="004071A0">
        <w:t>, om te voorkomen dat deze automatisch afloopt en een extra drempel in te bouwen</w:t>
      </w:r>
      <w:r w:rsidRPr="00EA1E4E" w:rsidR="00CD05AA">
        <w:t xml:space="preserve">. </w:t>
      </w:r>
      <w:r w:rsidRPr="00EA1E4E" w:rsidR="00B54EB6">
        <w:t>De</w:t>
      </w:r>
      <w:r w:rsidRPr="00EA1E4E">
        <w:t xml:space="preserve"> voorgaande</w:t>
      </w:r>
      <w:r w:rsidRPr="00EA1E4E" w:rsidR="00B54EB6">
        <w:t xml:space="preserve"> maatregelen moeten ervoor zorgen dat de inschrijving</w:t>
      </w:r>
      <w:r w:rsidRPr="00EA1E4E" w:rsidR="00FB2B9D">
        <w:t xml:space="preserve"> </w:t>
      </w:r>
      <w:r w:rsidRPr="00EA1E4E" w:rsidR="00B54EB6">
        <w:t xml:space="preserve">vergemakkelijkt wordt en de uitschrijving </w:t>
      </w:r>
      <w:r w:rsidRPr="00EA1E4E" w:rsidR="00052054">
        <w:t>be</w:t>
      </w:r>
      <w:r w:rsidRPr="00EA1E4E" w:rsidR="00B54EB6">
        <w:t>moeilijk</w:t>
      </w:r>
      <w:r w:rsidRPr="00EA1E4E" w:rsidR="00052054">
        <w:t>t</w:t>
      </w:r>
      <w:r w:rsidRPr="00EA1E4E" w:rsidR="00B54EB6">
        <w:t xml:space="preserve">, waarbij de regie in grote mate bij de inschrijver zelf blijft. </w:t>
      </w:r>
    </w:p>
    <w:p w:rsidRPr="00EA1E4E" w:rsidR="00CD05AA" w:rsidP="00BB758F" w:rsidRDefault="00CD05AA" w14:paraId="62195466" w14:textId="77777777"/>
    <w:p w:rsidRPr="00EA1E4E" w:rsidR="00CD05AA" w:rsidP="00BB758F" w:rsidRDefault="002A6966" w14:paraId="2EEFB515" w14:textId="09F3E1B1">
      <w:r w:rsidRPr="00EA1E4E">
        <w:t xml:space="preserve">Als vierde </w:t>
      </w:r>
      <w:r w:rsidRPr="00EA1E4E" w:rsidR="00CD05AA">
        <w:t>wil ik de procedures voor de onvrijwillige inschrijving, door bijvoorbeeld een naaste, effectiever en doelmatiger maken.</w:t>
      </w:r>
      <w:r w:rsidRPr="00EA1E4E" w:rsidR="008D15DC">
        <w:t xml:space="preserve"> </w:t>
      </w:r>
      <w:r w:rsidRPr="00EA1E4E" w:rsidR="00A820C5">
        <w:t xml:space="preserve">Ik werk aan het verminderen van de belemmeringen voor het vergaren van bewijs door de Ksa. Hiermee </w:t>
      </w:r>
      <w:r w:rsidRPr="00EA1E4E" w:rsidR="009004B8">
        <w:t>wil</w:t>
      </w:r>
      <w:r w:rsidRPr="00EA1E4E" w:rsidR="00A820C5">
        <w:t xml:space="preserve"> ik </w:t>
      </w:r>
      <w:r w:rsidRPr="00EA1E4E" w:rsidR="008D15DC">
        <w:t>tegemoet</w:t>
      </w:r>
      <w:r w:rsidRPr="00EA1E4E" w:rsidR="009004B8">
        <w:t xml:space="preserve"> komen</w:t>
      </w:r>
      <w:r w:rsidRPr="00EA1E4E" w:rsidR="008D15DC">
        <w:t xml:space="preserve"> aan de hoge bewijslast van belanghebbenden</w:t>
      </w:r>
      <w:r w:rsidRPr="00EA1E4E" w:rsidR="00A820C5">
        <w:t xml:space="preserve"> bij een verzoek tot onvrijwillige inschrijving van een derde</w:t>
      </w:r>
      <w:r w:rsidRPr="00EA1E4E" w:rsidR="0035379D">
        <w:t>.</w:t>
      </w:r>
      <w:r w:rsidRPr="00EA1E4E" w:rsidR="00CD05AA">
        <w:t xml:space="preserve"> In bijzondere gevallen</w:t>
      </w:r>
      <w:r w:rsidRPr="00EA1E4E" w:rsidR="00ED74A1">
        <w:t xml:space="preserve"> is urgente inschrijving door derden nodig. Ik </w:t>
      </w:r>
      <w:r w:rsidRPr="00EA1E4E" w:rsidR="008D15DC">
        <w:t xml:space="preserve">kijk daarvoor naar de mogelijkheden tot een verkorte inschrijvingsprocedure om </w:t>
      </w:r>
      <w:r w:rsidRPr="00EA1E4E" w:rsidR="00ED74A1">
        <w:t xml:space="preserve">in </w:t>
      </w:r>
      <w:r w:rsidRPr="00EA1E4E" w:rsidR="003830D3">
        <w:t xml:space="preserve">bepaalde gevallen </w:t>
      </w:r>
      <w:r w:rsidRPr="00EA1E4E" w:rsidR="00ED74A1">
        <w:t xml:space="preserve">sneller en met minder juridische belemmeringen </w:t>
      </w:r>
      <w:r w:rsidRPr="00EA1E4E" w:rsidR="003830D3">
        <w:t xml:space="preserve">te </w:t>
      </w:r>
      <w:r w:rsidRPr="00EA1E4E" w:rsidR="00ED74A1">
        <w:t>kunnen ingrijpen wanneer sprake is van</w:t>
      </w:r>
      <w:r w:rsidRPr="00EA1E4E" w:rsidR="003830D3">
        <w:t xml:space="preserve"> </w:t>
      </w:r>
      <w:r w:rsidRPr="00EA1E4E" w:rsidR="007320F9">
        <w:t xml:space="preserve">signalen van </w:t>
      </w:r>
      <w:r w:rsidRPr="00EA1E4E" w:rsidR="003830D3">
        <w:t>zeer</w:t>
      </w:r>
      <w:r w:rsidRPr="00EA1E4E" w:rsidR="00ED74A1">
        <w:t xml:space="preserve"> problematisch gokgedrag</w:t>
      </w:r>
      <w:r w:rsidRPr="00EA1E4E" w:rsidR="00CD05AA">
        <w:t xml:space="preserve">. Daarbij houd ik uiteraard aandacht voor de rechten van de speler en de inbreuk die een </w:t>
      </w:r>
      <w:proofErr w:type="spellStart"/>
      <w:r w:rsidRPr="00EA1E4E" w:rsidR="00CD05AA">
        <w:t>Gokstop</w:t>
      </w:r>
      <w:proofErr w:type="spellEnd"/>
      <w:r w:rsidRPr="00EA1E4E" w:rsidR="00CD05AA">
        <w:t xml:space="preserve"> op de persoonlijke levenssfeer maakt. Specifiek ten aanzien van bewindvoerders</w:t>
      </w:r>
      <w:r w:rsidRPr="00EA1E4E" w:rsidR="008D15DC">
        <w:t xml:space="preserve"> heeft de Ksa de afgelopen maanden belangrijke stappen gezet in het verbeteren van de werkwijze voor aanvragen vanuit bewindvoerders. Ik bekijk welke eventuele stappen hiernaast in wet- en regelgeving nog nodig zijn om</w:t>
      </w:r>
      <w:r w:rsidRPr="00EA1E4E" w:rsidR="00CD05AA">
        <w:t xml:space="preserve"> </w:t>
      </w:r>
      <w:r w:rsidRPr="00EA1E4E" w:rsidR="008D15DC">
        <w:t xml:space="preserve">een </w:t>
      </w:r>
      <w:r w:rsidRPr="00EA1E4E" w:rsidR="007320F9">
        <w:t>versoepelde toetsing op</w:t>
      </w:r>
      <w:r w:rsidRPr="00EA1E4E" w:rsidR="00CD05AA">
        <w:t xml:space="preserve"> basis van de onderbewindstelling</w:t>
      </w:r>
      <w:r w:rsidRPr="00EA1E4E" w:rsidR="00AC6865">
        <w:t xml:space="preserve"> mogelijk te maken</w:t>
      </w:r>
      <w:r w:rsidRPr="00EA1E4E" w:rsidR="00CD05AA">
        <w:t>.</w:t>
      </w:r>
      <w:r w:rsidRPr="00EA1E4E" w:rsidR="007320F9">
        <w:t xml:space="preserve"> </w:t>
      </w:r>
      <w:r w:rsidRPr="00EA1E4E" w:rsidR="007E5133">
        <w:t xml:space="preserve">Met </w:t>
      </w:r>
      <w:r w:rsidRPr="00EA1E4E" w:rsidR="000D34AF">
        <w:t>het</w:t>
      </w:r>
      <w:r w:rsidRPr="00EA1E4E" w:rsidR="007E5133">
        <w:t xml:space="preserve"> bovenstaande wil ik bereiken dat</w:t>
      </w:r>
      <w:r w:rsidRPr="00EA1E4E" w:rsidR="00CD05AA">
        <w:t xml:space="preserve"> schade eerder en vaker word</w:t>
      </w:r>
      <w:r w:rsidRPr="00EA1E4E" w:rsidR="007E5133">
        <w:t>t</w:t>
      </w:r>
      <w:r w:rsidRPr="00EA1E4E" w:rsidR="00CD05AA">
        <w:t xml:space="preserve"> beperkt en geef ik tevens invulling aan de motie</w:t>
      </w:r>
      <w:r w:rsidRPr="00EA1E4E" w:rsidR="00832D9E">
        <w:t>-</w:t>
      </w:r>
      <w:proofErr w:type="spellStart"/>
      <w:r w:rsidRPr="00EA1E4E" w:rsidR="00CD05AA">
        <w:t>Mutluer</w:t>
      </w:r>
      <w:proofErr w:type="spellEnd"/>
      <w:r w:rsidRPr="00EA1E4E" w:rsidR="00832D9E">
        <w:t>/</w:t>
      </w:r>
      <w:proofErr w:type="spellStart"/>
      <w:r w:rsidRPr="00EA1E4E" w:rsidR="00CD05AA">
        <w:t>Tseggai</w:t>
      </w:r>
      <w:proofErr w:type="spellEnd"/>
      <w:r w:rsidRPr="00EA1E4E" w:rsidR="00CD05AA">
        <w:t xml:space="preserve"> om te onderzoeken hoe de positie van bewindvoerders en mentoren bij inschrijving van hun cliënten in het </w:t>
      </w:r>
      <w:proofErr w:type="spellStart"/>
      <w:r w:rsidRPr="00EA1E4E" w:rsidR="00CD05AA">
        <w:t>Cruks</w:t>
      </w:r>
      <w:proofErr w:type="spellEnd"/>
      <w:r w:rsidRPr="00EA1E4E" w:rsidR="00CD05AA">
        <w:t xml:space="preserve"> kan worden versterkt en de motie</w:t>
      </w:r>
      <w:r w:rsidRPr="00EA1E4E" w:rsidR="00832D9E">
        <w:t>-</w:t>
      </w:r>
      <w:proofErr w:type="spellStart"/>
      <w:r w:rsidRPr="00EA1E4E" w:rsidR="00CD05AA">
        <w:t>Dral</w:t>
      </w:r>
      <w:proofErr w:type="spellEnd"/>
      <w:r w:rsidRPr="00EA1E4E" w:rsidR="00832D9E">
        <w:t>/</w:t>
      </w:r>
      <w:proofErr w:type="spellStart"/>
      <w:r w:rsidRPr="00EA1E4E" w:rsidR="00CD05AA">
        <w:t>Tseggai</w:t>
      </w:r>
      <w:proofErr w:type="spellEnd"/>
      <w:r w:rsidRPr="00EA1E4E" w:rsidR="00CD05AA">
        <w:t xml:space="preserve"> over het zorgen dat het aanmelden van gokverslaafden door anderen goed mogelijk is.</w:t>
      </w:r>
      <w:r w:rsidRPr="00EA1E4E" w:rsidR="00CD05AA">
        <w:rPr>
          <w:rStyle w:val="Voetnootmarkering"/>
        </w:rPr>
        <w:footnoteReference w:id="18"/>
      </w:r>
      <w:r w:rsidRPr="00EA1E4E" w:rsidR="00CD05AA">
        <w:t xml:space="preserve"> </w:t>
      </w:r>
    </w:p>
    <w:p w:rsidRPr="00EA1E4E" w:rsidR="00CD05AA" w:rsidP="00BB758F" w:rsidRDefault="00CD05AA" w14:paraId="01A11772" w14:textId="77777777"/>
    <w:p w:rsidRPr="00EA1E4E" w:rsidR="002A6966" w:rsidP="00BB758F" w:rsidRDefault="00CD05AA" w14:paraId="02DC5A45" w14:textId="5E633B74">
      <w:r w:rsidRPr="00EA1E4E">
        <w:t xml:space="preserve">Ten vijfde </w:t>
      </w:r>
      <w:r w:rsidRPr="00EA1E4E" w:rsidR="00796CF8">
        <w:t xml:space="preserve">wil ik de koppeling tussen hulpverlening en het nemen van een </w:t>
      </w:r>
      <w:proofErr w:type="spellStart"/>
      <w:r w:rsidRPr="00EA1E4E" w:rsidR="00796CF8">
        <w:t>Gokstop</w:t>
      </w:r>
      <w:proofErr w:type="spellEnd"/>
      <w:r w:rsidRPr="00EA1E4E" w:rsidR="00796CF8">
        <w:t xml:space="preserve"> verbeteren, omdat gokproblematiek vaak complex en diepgeworteld is en een bredere aanpak vraagt dan enkel het stoppen van de deelname aan kansspelen. Het nemen van een </w:t>
      </w:r>
      <w:proofErr w:type="spellStart"/>
      <w:r w:rsidRPr="00EA1E4E" w:rsidR="00796CF8">
        <w:t>Gokstop</w:t>
      </w:r>
      <w:proofErr w:type="spellEnd"/>
      <w:r w:rsidRPr="00EA1E4E" w:rsidR="00796CF8">
        <w:t xml:space="preserve"> is voor veel spelers een goed moment om in gesprek te gaan over laagdrempelige hulp. Ik wil </w:t>
      </w:r>
      <w:r w:rsidRPr="00EA1E4E" w:rsidR="001F5699">
        <w:t xml:space="preserve">mensen </w:t>
      </w:r>
      <w:r w:rsidRPr="00EA1E4E" w:rsidR="00796CF8">
        <w:t xml:space="preserve">daarom </w:t>
      </w:r>
      <w:bookmarkStart w:name="_Hlk219468367" w:id="2"/>
      <w:r w:rsidRPr="00EA1E4E" w:rsidR="00796CF8">
        <w:t xml:space="preserve">zowel bij in- als uitschrijving in </w:t>
      </w:r>
      <w:proofErr w:type="spellStart"/>
      <w:r w:rsidRPr="00EA1E4E" w:rsidR="00796CF8">
        <w:t>Cruks</w:t>
      </w:r>
      <w:proofErr w:type="spellEnd"/>
      <w:r w:rsidRPr="00EA1E4E" w:rsidR="00796CF8">
        <w:t xml:space="preserve"> </w:t>
      </w:r>
      <w:r w:rsidRPr="00EA1E4E" w:rsidR="008E57B6">
        <w:t>expliciet</w:t>
      </w:r>
      <w:r w:rsidRPr="00EA1E4E" w:rsidR="00796CF8">
        <w:t xml:space="preserve"> aanbieden om gecontacteerd te worden vanuit hulpverlening. </w:t>
      </w:r>
      <w:bookmarkEnd w:id="2"/>
      <w:r w:rsidRPr="00EA1E4E" w:rsidR="00796CF8">
        <w:t xml:space="preserve">Ik onderzoek hoe dit kan worden ingericht. </w:t>
      </w:r>
      <w:bookmarkStart w:name="_Hlk219468407" w:id="3"/>
      <w:r w:rsidRPr="00EA1E4E" w:rsidR="002A6966">
        <w:t xml:space="preserve">Als zesde maatregel </w:t>
      </w:r>
      <w:r w:rsidRPr="00EA1E4E" w:rsidR="00796CF8">
        <w:t xml:space="preserve">bekijk ik hoe voorkomen kan worden dat ingeschrevenen in </w:t>
      </w:r>
      <w:proofErr w:type="spellStart"/>
      <w:r w:rsidRPr="00EA1E4E" w:rsidR="00796CF8">
        <w:t>Cruks</w:t>
      </w:r>
      <w:proofErr w:type="spellEnd"/>
      <w:r w:rsidRPr="00EA1E4E" w:rsidR="00796CF8">
        <w:t xml:space="preserve"> geconfronteerd worden met reclame- en wervingsactiviteiten</w:t>
      </w:r>
      <w:bookmarkEnd w:id="3"/>
      <w:r w:rsidRPr="00EA1E4E" w:rsidR="00796CF8">
        <w:t xml:space="preserve">. </w:t>
      </w:r>
    </w:p>
    <w:p w:rsidRPr="00EA1E4E" w:rsidR="002A6966" w:rsidP="00BB758F" w:rsidRDefault="002A6966" w14:paraId="52B28E69" w14:textId="77777777"/>
    <w:p w:rsidRPr="00EA1E4E" w:rsidR="00BB758F" w:rsidP="00BB758F" w:rsidRDefault="00813AC9" w14:paraId="31970F96" w14:textId="6CD812F8">
      <w:r w:rsidRPr="00EA1E4E">
        <w:t>Bij de verdere uitwerking van deze contouren</w:t>
      </w:r>
      <w:r w:rsidRPr="00EA1E4E" w:rsidR="00BB758F">
        <w:t xml:space="preserve"> zal ik steeds aandacht hebben voor </w:t>
      </w:r>
      <w:r w:rsidRPr="00EA1E4E" w:rsidR="006B2D0A">
        <w:t xml:space="preserve">de balans tussen </w:t>
      </w:r>
      <w:r w:rsidRPr="00EA1E4E" w:rsidR="00BB758F">
        <w:t xml:space="preserve">bescherming van de privacy van degene die </w:t>
      </w:r>
      <w:r w:rsidRPr="00EA1E4E" w:rsidR="00676728">
        <w:t xml:space="preserve">een </w:t>
      </w:r>
      <w:proofErr w:type="spellStart"/>
      <w:r w:rsidRPr="00EA1E4E" w:rsidR="00676728">
        <w:t>Gokstop</w:t>
      </w:r>
      <w:proofErr w:type="spellEnd"/>
      <w:r w:rsidRPr="00EA1E4E" w:rsidR="00676728">
        <w:t xml:space="preserve"> neemt</w:t>
      </w:r>
      <w:r w:rsidRPr="00EA1E4E" w:rsidR="006B2D0A">
        <w:t xml:space="preserve"> en het belang van bescherming van degene voor risico’s op gokschade</w:t>
      </w:r>
      <w:r w:rsidRPr="00EA1E4E" w:rsidR="00BB758F">
        <w:t xml:space="preserve">. Dit ter bescherming van de persoonsgegevens en om de drempel voor vrijwillige inschrijving zo laag mogelijk te houden. Ook zal ik hierbij rekening houden met de behoeften van zo veel mogelijk </w:t>
      </w:r>
      <w:r w:rsidRPr="00EA1E4E" w:rsidR="00653BD5">
        <w:t>mensen</w:t>
      </w:r>
      <w:r w:rsidRPr="00EA1E4E" w:rsidR="00BB758F">
        <w:t xml:space="preserve">. </w:t>
      </w:r>
      <w:proofErr w:type="spellStart"/>
      <w:r w:rsidRPr="00EA1E4E" w:rsidR="00BB758F">
        <w:t>Cruks</w:t>
      </w:r>
      <w:proofErr w:type="spellEnd"/>
      <w:r w:rsidRPr="00EA1E4E" w:rsidR="00BB758F">
        <w:t xml:space="preserve"> wordt namelijk door verschillende typen </w:t>
      </w:r>
      <w:r w:rsidRPr="00EA1E4E" w:rsidR="004D070E">
        <w:t xml:space="preserve">mensen </w:t>
      </w:r>
      <w:r w:rsidRPr="00EA1E4E" w:rsidR="00BB758F">
        <w:t>gebruikt</w:t>
      </w:r>
      <w:r w:rsidRPr="00EA1E4E">
        <w:t>,</w:t>
      </w:r>
      <w:r w:rsidRPr="00EA1E4E" w:rsidR="00BB758F">
        <w:t xml:space="preserve"> van </w:t>
      </w:r>
      <w:r w:rsidRPr="00EA1E4E" w:rsidR="004D070E">
        <w:t>niet</w:t>
      </w:r>
      <w:r w:rsidRPr="00EA1E4E" w:rsidR="000D34AF">
        <w:t>-</w:t>
      </w:r>
      <w:r w:rsidRPr="00EA1E4E" w:rsidR="004D070E">
        <w:t xml:space="preserve">spelers tot </w:t>
      </w:r>
      <w:r w:rsidRPr="00EA1E4E" w:rsidR="00BB758F">
        <w:t xml:space="preserve">recreatieve en </w:t>
      </w:r>
      <w:proofErr w:type="spellStart"/>
      <w:r w:rsidRPr="00EA1E4E" w:rsidR="00BB758F">
        <w:t>laagrisicospelers</w:t>
      </w:r>
      <w:proofErr w:type="spellEnd"/>
      <w:r w:rsidRPr="00EA1E4E" w:rsidR="00BB758F">
        <w:t xml:space="preserve"> tot spelers die kampen met gokverslaving. Zij hebben </w:t>
      </w:r>
      <w:r w:rsidRPr="00EA1E4E">
        <w:t xml:space="preserve">immers </w:t>
      </w:r>
      <w:r w:rsidRPr="00EA1E4E" w:rsidR="00BB758F">
        <w:t xml:space="preserve">verschillende </w:t>
      </w:r>
      <w:r w:rsidRPr="00EA1E4E" w:rsidR="00D80E4C">
        <w:t>voorkeuren</w:t>
      </w:r>
      <w:r w:rsidRPr="00EA1E4E" w:rsidR="00BB758F">
        <w:t xml:space="preserve"> ten aanzien van inschrijftermijnen, anonimiteit en hulp.</w:t>
      </w:r>
    </w:p>
    <w:p w:rsidRPr="00EA1E4E" w:rsidR="00BB758F" w:rsidP="00BB758F" w:rsidRDefault="00BB758F" w14:paraId="0B3DCB9B" w14:textId="77777777"/>
    <w:p w:rsidRPr="00EA1E4E" w:rsidR="00BB758F" w:rsidP="00AD5589" w:rsidRDefault="00BB758F" w14:paraId="5CB8B22E" w14:textId="6D2C538F">
      <w:pPr>
        <w:pStyle w:val="Lijstalinea"/>
        <w:numPr>
          <w:ilvl w:val="0"/>
          <w:numId w:val="37"/>
        </w:numPr>
        <w:rPr>
          <w:u w:val="single"/>
        </w:rPr>
      </w:pPr>
      <w:r w:rsidRPr="00EA1E4E">
        <w:rPr>
          <w:u w:val="single"/>
        </w:rPr>
        <w:t>Reclame</w:t>
      </w:r>
      <w:r w:rsidRPr="00EA1E4E" w:rsidR="00AA4651">
        <w:rPr>
          <w:u w:val="single"/>
        </w:rPr>
        <w:t>verbod</w:t>
      </w:r>
    </w:p>
    <w:p w:rsidRPr="00EA1E4E" w:rsidR="00C02930" w:rsidP="00BB758F" w:rsidRDefault="00BB758F" w14:paraId="464A9ECE" w14:textId="218C4ECC">
      <w:r w:rsidRPr="00EA1E4E">
        <w:t xml:space="preserve">Na de opening van de markt voor online kansspelen </w:t>
      </w:r>
      <w:r w:rsidRPr="00EA1E4E" w:rsidR="00D61E1B">
        <w:t>hebben</w:t>
      </w:r>
      <w:r w:rsidRPr="00EA1E4E">
        <w:t xml:space="preserve"> </w:t>
      </w:r>
      <w:r w:rsidRPr="00EA1E4E" w:rsidR="008E57B6">
        <w:t xml:space="preserve">vergunde </w:t>
      </w:r>
      <w:r w:rsidRPr="00EA1E4E">
        <w:t xml:space="preserve">aanbieders intensief </w:t>
      </w:r>
      <w:r w:rsidRPr="00EA1E4E" w:rsidR="00653BD5">
        <w:t xml:space="preserve">en breed verspreid </w:t>
      </w:r>
      <w:r w:rsidRPr="00EA1E4E">
        <w:t>reclame gemaakt. Dit was aanleiding voor stevige beperkingen in de toegestane wervings- en reclameactiviteiten</w:t>
      </w:r>
      <w:r w:rsidRPr="00EA1E4E" w:rsidR="00596467">
        <w:t xml:space="preserve"> (</w:t>
      </w:r>
      <w:r w:rsidRPr="00EA1E4E" w:rsidR="008E57B6">
        <w:t xml:space="preserve">het rolmodellenverbod en </w:t>
      </w:r>
      <w:r w:rsidRPr="00EA1E4E" w:rsidR="000D6C24">
        <w:t xml:space="preserve">het </w:t>
      </w:r>
      <w:r w:rsidRPr="00EA1E4E" w:rsidR="008A4F19">
        <w:t>Besluit ongerichte reclame kansspelen op afstand (Besluit orka)</w:t>
      </w:r>
      <w:r w:rsidRPr="00EA1E4E" w:rsidR="001F5699">
        <w:t>)</w:t>
      </w:r>
      <w:r w:rsidRPr="00EA1E4E" w:rsidR="008A4F19">
        <w:rPr>
          <w:rStyle w:val="Voetnootmarkering"/>
        </w:rPr>
        <w:footnoteReference w:id="19"/>
      </w:r>
      <w:r w:rsidRPr="00EA1E4E" w:rsidR="002D201E">
        <w:t xml:space="preserve">. Zoals </w:t>
      </w:r>
      <w:r w:rsidRPr="00EA1E4E" w:rsidR="00C02930">
        <w:t>eerder in deze brief vermeld,</w:t>
      </w:r>
      <w:r w:rsidRPr="00EA1E4E" w:rsidR="002D201E">
        <w:t xml:space="preserve"> is het </w:t>
      </w:r>
      <w:r w:rsidRPr="00EA1E4E">
        <w:t xml:space="preserve">zichtbare effect </w:t>
      </w:r>
      <w:r w:rsidRPr="00EA1E4E" w:rsidR="002D201E">
        <w:t xml:space="preserve">hiervan </w:t>
      </w:r>
      <w:r w:rsidRPr="00EA1E4E">
        <w:t xml:space="preserve">dat </w:t>
      </w:r>
      <w:r w:rsidRPr="00EA1E4E" w:rsidR="002E7F33">
        <w:t xml:space="preserve">ongerichte </w:t>
      </w:r>
      <w:r w:rsidRPr="00EA1E4E">
        <w:t>reclame voor online gokken is verdwenen van televisie, radio en uit het straatbeeld</w:t>
      </w:r>
      <w:r w:rsidRPr="00EA1E4E" w:rsidR="00E974C2">
        <w:t>. Ook het aantal reclames op internet is sterk gedaald, zo blijkt uit de recente monitoringsrapportage van de Ksa</w:t>
      </w:r>
      <w:r w:rsidRPr="00EA1E4E">
        <w:t>.</w:t>
      </w:r>
      <w:r w:rsidRPr="00EA1E4E">
        <w:rPr>
          <w:rStyle w:val="Voetnootmarkering"/>
        </w:rPr>
        <w:footnoteReference w:id="20"/>
      </w:r>
      <w:r w:rsidRPr="00EA1E4E">
        <w:t xml:space="preserve"> </w:t>
      </w:r>
      <w:r w:rsidRPr="00EA1E4E" w:rsidR="00FB6580">
        <w:t>Desondanks zien nog</w:t>
      </w:r>
      <w:r w:rsidRPr="00EA1E4E" w:rsidR="005D71DA">
        <w:t xml:space="preserve"> steeds veel </w:t>
      </w:r>
      <w:r w:rsidRPr="00EA1E4E" w:rsidR="00FB6580">
        <w:t>mensen reclame voor online gokken, ook mensen die hier niet naar op zoek zijn</w:t>
      </w:r>
      <w:r w:rsidRPr="00EA1E4E" w:rsidR="00C02930">
        <w:t xml:space="preserve">. </w:t>
      </w:r>
    </w:p>
    <w:p w:rsidRPr="00EA1E4E" w:rsidR="00C02930" w:rsidP="00BB758F" w:rsidRDefault="00C02930" w14:paraId="07876CA7" w14:textId="1AED40AE"/>
    <w:p w:rsidRPr="00EA1E4E" w:rsidR="00C02930" w:rsidP="00C02930" w:rsidRDefault="00C02930" w14:paraId="2FF5BA2E" w14:textId="5C61C8BB">
      <w:r w:rsidRPr="00EA1E4E">
        <w:t>De huidige wettelijke beperkingen blijken onvoldoende om bestaande spelers, met name jongvolwassenen en andere kwetsbare spelers te beschermen.</w:t>
      </w:r>
      <w:r w:rsidRPr="00EA1E4E">
        <w:rPr>
          <w:rStyle w:val="Voetnootmarkering"/>
        </w:rPr>
        <w:footnoteReference w:id="21"/>
      </w:r>
      <w:r w:rsidRPr="00EA1E4E">
        <w:t xml:space="preserve"> Daarom kies ik ervoor om reclame voor online kansspelen te verbieden. Dit is in lijn met het coalitieakkoord en de door uw Kamer aangenomen motie.</w:t>
      </w:r>
      <w:r w:rsidRPr="00EA1E4E">
        <w:rPr>
          <w:rStyle w:val="Voetnootmarkering"/>
        </w:rPr>
        <w:footnoteReference w:id="22"/>
      </w:r>
      <w:r w:rsidRPr="00EA1E4E">
        <w:t xml:space="preserve"> Onder reclame versta ik ook het aanbieden van bonussen, </w:t>
      </w:r>
      <w:r w:rsidRPr="00EA1E4E" w:rsidR="00E42705">
        <w:t>die</w:t>
      </w:r>
      <w:r w:rsidRPr="00EA1E4E">
        <w:t xml:space="preserve"> ik </w:t>
      </w:r>
      <w:r w:rsidRPr="00EA1E4E" w:rsidR="002B5545">
        <w:t>meeneem in de uitwerking van het verbod</w:t>
      </w:r>
      <w:r w:rsidRPr="00EA1E4E">
        <w:t>.</w:t>
      </w:r>
      <w:r w:rsidRPr="00EA1E4E" w:rsidR="00966FA5">
        <w:rPr>
          <w:rStyle w:val="Voetnootmarkering"/>
        </w:rPr>
        <w:footnoteReference w:id="23"/>
      </w:r>
      <w:r w:rsidRPr="00EA1E4E">
        <w:t xml:space="preserve"> Daarmee ga ik verder dan eerder met uw Kamer is gewisseld. </w:t>
      </w:r>
    </w:p>
    <w:p w:rsidRPr="00EA1E4E" w:rsidR="00C02930" w:rsidP="00C02930" w:rsidRDefault="00C02930" w14:paraId="00F4411E" w14:textId="77777777"/>
    <w:p w:rsidRPr="00EA1E4E" w:rsidR="00C02930" w:rsidP="00E42705" w:rsidRDefault="008E57B6" w14:paraId="12AF780D" w14:textId="1F8782EB">
      <w:r w:rsidRPr="00EA1E4E">
        <w:t xml:space="preserve">Met een verbod op reclame voor vergunde online gokaanbieders is naar verwachting echter niet alle reclame voor </w:t>
      </w:r>
      <w:r w:rsidRPr="00EA1E4E" w:rsidR="002C0168">
        <w:t>online gokken</w:t>
      </w:r>
      <w:r w:rsidRPr="00EA1E4E">
        <w:t xml:space="preserve"> verdwenen. </w:t>
      </w:r>
      <w:r w:rsidRPr="00EA1E4E" w:rsidR="00C02930">
        <w:t>Het</w:t>
      </w:r>
      <w:r w:rsidRPr="00EA1E4E" w:rsidR="001D731C">
        <w:t xml:space="preserve"> is</w:t>
      </w:r>
      <w:r w:rsidRPr="00EA1E4E" w:rsidR="00C02930">
        <w:t xml:space="preserve"> tot nu toe slechts beperkt mogelijk om reclames van illegale goksites tegen te gaan en er </w:t>
      </w:r>
      <w:r w:rsidRPr="00EA1E4E">
        <w:t xml:space="preserve">moet </w:t>
      </w:r>
      <w:r w:rsidRPr="00EA1E4E" w:rsidR="00C02930">
        <w:t xml:space="preserve">rekening mee gehouden worden dat dit ook met een versterkt wettelijk instrumentarium beperkt effectief blijft. </w:t>
      </w:r>
      <w:r w:rsidRPr="00EA1E4E">
        <w:t xml:space="preserve">De Ksa signaleert dat verreweg de meeste reclame voor online gokken waar Nederlanders mee geconfronteerd worden afkomstig </w:t>
      </w:r>
      <w:r w:rsidRPr="00EA1E4E" w:rsidR="00731A19">
        <w:t>is</w:t>
      </w:r>
      <w:r w:rsidRPr="00EA1E4E">
        <w:t xml:space="preserve"> van illegale aanbieders. </w:t>
      </w:r>
      <w:r w:rsidRPr="00EA1E4E" w:rsidR="00A01269">
        <w:t>Zoals eerder genoemd</w:t>
      </w:r>
      <w:r w:rsidRPr="00EA1E4E" w:rsidR="00C02930">
        <w:t xml:space="preserve"> </w:t>
      </w:r>
      <w:r w:rsidRPr="00EA1E4E" w:rsidR="0017417D">
        <w:t xml:space="preserve">is </w:t>
      </w:r>
      <w:r w:rsidRPr="00EA1E4E" w:rsidR="00C02930">
        <w:t>bij illegaal gokken geen sprake van bescherming, bewustwording en doorgeleiding naar hulp</w:t>
      </w:r>
      <w:r w:rsidRPr="00EA1E4E" w:rsidR="0017417D">
        <w:t>,</w:t>
      </w:r>
      <w:r w:rsidRPr="00EA1E4E" w:rsidR="00C02930">
        <w:t xml:space="preserve"> en zorg. </w:t>
      </w:r>
      <w:r w:rsidRPr="00EA1E4E" w:rsidR="0017417D">
        <w:t>Naar</w:t>
      </w:r>
      <w:r w:rsidRPr="00EA1E4E" w:rsidR="00C02930">
        <w:t xml:space="preserve"> verwachting </w:t>
      </w:r>
      <w:r w:rsidRPr="00EA1E4E" w:rsidR="0017417D">
        <w:t xml:space="preserve">is de gokschade bij illegaal aanbod </w:t>
      </w:r>
      <w:r w:rsidRPr="00EA1E4E" w:rsidR="00C02930">
        <w:t>groter dan bij legaal aanbod.</w:t>
      </w:r>
      <w:r w:rsidRPr="00EA1E4E" w:rsidR="00FB6580">
        <w:rPr>
          <w:rStyle w:val="Voetnootmarkering"/>
        </w:rPr>
        <w:footnoteReference w:id="24"/>
      </w:r>
      <w:r w:rsidRPr="00EA1E4E" w:rsidR="00C02930">
        <w:t xml:space="preserve"> Om te waarborgen dat mensen die </w:t>
      </w:r>
      <w:r w:rsidRPr="00EA1E4E" w:rsidR="00385565">
        <w:t xml:space="preserve">reeds </w:t>
      </w:r>
      <w:r w:rsidRPr="00EA1E4E" w:rsidR="00C02930">
        <w:t xml:space="preserve">geïnteresseerd zijn in online kansspelen niet </w:t>
      </w:r>
      <w:r w:rsidRPr="00EA1E4E">
        <w:t xml:space="preserve">alsnog </w:t>
      </w:r>
      <w:r w:rsidRPr="00EA1E4E" w:rsidR="00C02930">
        <w:t xml:space="preserve">bij illegaal aanbod terechtkomen, voorzie ik daarom in zeer beperkte en strikt begrensde uitzonderingen op het reclameverbod. </w:t>
      </w:r>
      <w:r w:rsidRPr="00EA1E4E" w:rsidR="003A699C">
        <w:t xml:space="preserve">Op basis van de huidige inzichten voorzie ik op dit moment als enige uitzonderingen de reclame in de vorm van de eigen website van de aanbieder en reclame bij resultaten van expliciete zoekopdrachten voor online goksites. Met behulp van het beleidskompas zal dit nader onderzocht worden. Ook de rol van </w:t>
      </w:r>
      <w:proofErr w:type="spellStart"/>
      <w:r w:rsidRPr="00EA1E4E" w:rsidR="003A699C">
        <w:t>affiliates</w:t>
      </w:r>
      <w:proofErr w:type="spellEnd"/>
      <w:r w:rsidRPr="00EA1E4E" w:rsidR="003A699C">
        <w:t xml:space="preserve"> wordt daarin meegenomen.</w:t>
      </w:r>
      <w:r w:rsidRPr="00EA1E4E" w:rsidR="00385565">
        <w:t>.</w:t>
      </w:r>
      <w:r w:rsidRPr="00EA1E4E" w:rsidR="00A816D4">
        <w:rPr>
          <w:rStyle w:val="Voetnootmarkering"/>
        </w:rPr>
        <w:footnoteReference w:id="25"/>
      </w:r>
      <w:r w:rsidRPr="00EA1E4E" w:rsidR="00385565">
        <w:t xml:space="preserve"> </w:t>
      </w:r>
    </w:p>
    <w:p w:rsidRPr="00EA1E4E" w:rsidR="00C02930" w:rsidP="00C02930" w:rsidRDefault="00C02930" w14:paraId="684BC54B" w14:textId="77777777"/>
    <w:p w:rsidRPr="00EA1E4E" w:rsidR="00BB758F" w:rsidP="00DD2800" w:rsidRDefault="00BB758F" w14:paraId="6A5C951F" w14:textId="77777777">
      <w:pPr>
        <w:pStyle w:val="Lijstalinea"/>
        <w:numPr>
          <w:ilvl w:val="0"/>
          <w:numId w:val="37"/>
        </w:numPr>
        <w:rPr>
          <w:u w:val="single"/>
        </w:rPr>
      </w:pPr>
      <w:r w:rsidRPr="00EA1E4E">
        <w:rPr>
          <w:u w:val="single"/>
        </w:rPr>
        <w:t>Toezicht en handhaving vergunde aanbieders</w:t>
      </w:r>
    </w:p>
    <w:p w:rsidRPr="00EA1E4E" w:rsidR="00405651" w:rsidP="00405651" w:rsidRDefault="00065BF5" w14:paraId="4B8467C4" w14:textId="0B741178">
      <w:r w:rsidRPr="00EA1E4E">
        <w:t xml:space="preserve">De Ksa heeft </w:t>
      </w:r>
      <w:r w:rsidRPr="00EA1E4E" w:rsidR="003F7240">
        <w:t xml:space="preserve">het toezicht en de handhaving </w:t>
      </w:r>
      <w:r w:rsidRPr="00EA1E4E" w:rsidR="00CC1C44">
        <w:t xml:space="preserve">bij vergunde aanbieders van online kansspelen </w:t>
      </w:r>
      <w:r w:rsidRPr="00EA1E4E" w:rsidR="003F7240">
        <w:t xml:space="preserve">de afgelopen jaren </w:t>
      </w:r>
      <w:r w:rsidRPr="00EA1E4E">
        <w:t xml:space="preserve">geïntensiveerd. </w:t>
      </w:r>
      <w:r w:rsidRPr="00EA1E4E" w:rsidR="00CC1C44">
        <w:t>De Ksa zet in op snelle interventies en gedragsverandering, onder meer gebaseerd op advies van gedragsdeskundigen.</w:t>
      </w:r>
      <w:r w:rsidRPr="00EA1E4E" w:rsidR="0017105B">
        <w:rPr>
          <w:rStyle w:val="Voetnootmarkering"/>
        </w:rPr>
        <w:footnoteReference w:id="26"/>
      </w:r>
      <w:r w:rsidRPr="00EA1E4E" w:rsidR="00CC1C44">
        <w:t xml:space="preserve"> </w:t>
      </w:r>
      <w:r w:rsidRPr="00EA1E4E" w:rsidR="00040EF1">
        <w:t xml:space="preserve">Zo heeft de </w:t>
      </w:r>
      <w:proofErr w:type="spellStart"/>
      <w:r w:rsidRPr="00EA1E4E" w:rsidR="00040EF1">
        <w:t>Ksa</w:t>
      </w:r>
      <w:proofErr w:type="spellEnd"/>
      <w:r w:rsidRPr="00EA1E4E" w:rsidR="00040EF1">
        <w:t xml:space="preserve"> in 2025 </w:t>
      </w:r>
      <w:proofErr w:type="spellStart"/>
      <w:r w:rsidRPr="00EA1E4E" w:rsidR="00040EF1">
        <w:t>normoverdragende</w:t>
      </w:r>
      <w:proofErr w:type="spellEnd"/>
      <w:r w:rsidRPr="00EA1E4E" w:rsidR="00040EF1">
        <w:t xml:space="preserve"> gesprekken gevoerd en waarschuwingen gegeven voor overtredingen van onder andere reclameregels waarna de overtreding is gestaakt. </w:t>
      </w:r>
      <w:r w:rsidRPr="00EA1E4E" w:rsidR="00CC1C44">
        <w:t xml:space="preserve">Daarnaast </w:t>
      </w:r>
      <w:r w:rsidRPr="00EA1E4E" w:rsidR="006617AA">
        <w:t>hee</w:t>
      </w:r>
      <w:r w:rsidRPr="00EA1E4E">
        <w:t>ft zij diverse boetes voor overtredingen opgelegd</w:t>
      </w:r>
      <w:r w:rsidRPr="00EA1E4E" w:rsidR="006617AA">
        <w:t xml:space="preserve"> voor </w:t>
      </w:r>
      <w:r w:rsidRPr="00EA1E4E" w:rsidR="00CC1C44">
        <w:t xml:space="preserve">het </w:t>
      </w:r>
      <w:r w:rsidRPr="00EA1E4E" w:rsidR="006617AA">
        <w:t>niet</w:t>
      </w:r>
      <w:r w:rsidRPr="00EA1E4E" w:rsidR="0059355A">
        <w:t>-</w:t>
      </w:r>
      <w:r w:rsidRPr="00EA1E4E" w:rsidR="006617AA">
        <w:t>nalev</w:t>
      </w:r>
      <w:r w:rsidRPr="00EA1E4E" w:rsidR="00CC1C44">
        <w:t>en</w:t>
      </w:r>
      <w:r w:rsidRPr="00EA1E4E" w:rsidR="006617AA">
        <w:t xml:space="preserve"> van de wettelijke verplichtingen op het gebied van onder andere de zorgplicht. </w:t>
      </w:r>
      <w:r w:rsidRPr="00EA1E4E" w:rsidR="00BD187E">
        <w:t xml:space="preserve">Uit de evaluatie van de Wet </w:t>
      </w:r>
      <w:proofErr w:type="spellStart"/>
      <w:r w:rsidRPr="00EA1E4E" w:rsidR="00BD187E">
        <w:t>koa</w:t>
      </w:r>
      <w:proofErr w:type="spellEnd"/>
      <w:r w:rsidRPr="00EA1E4E" w:rsidR="00BD187E">
        <w:t xml:space="preserve"> blijkt desalniettemin dat het instrumentarium van de Ksa voor toezicht en handhaving bij vergunde aanbieders verbetering behoeft.</w:t>
      </w:r>
      <w:r w:rsidRPr="00EA1E4E" w:rsidR="00405651">
        <w:t xml:space="preserve"> </w:t>
      </w:r>
    </w:p>
    <w:p w:rsidRPr="00EA1E4E" w:rsidR="00405651" w:rsidP="00405651" w:rsidRDefault="00405651" w14:paraId="5A60CFA6" w14:textId="77777777"/>
    <w:p w:rsidRPr="00EA1E4E" w:rsidR="00405651" w:rsidP="00405651" w:rsidRDefault="00BD187E" w14:paraId="4740F4C4" w14:textId="695294E7">
      <w:r w:rsidRPr="00EA1E4E">
        <w:t>Dit betreft ten eerste i</w:t>
      </w:r>
      <w:r w:rsidRPr="00EA1E4E" w:rsidR="00405651">
        <w:t xml:space="preserve">nstrumenten om inzicht te krijgen in de spelomgeving voor verschillende spelersprofielen. In dit kader vraagt de motie van het lid Van Nispen </w:t>
      </w:r>
      <w:r w:rsidRPr="00EA1E4E" w:rsidR="0059355A">
        <w:t xml:space="preserve">c.s. </w:t>
      </w:r>
      <w:r w:rsidRPr="00EA1E4E" w:rsidR="00405651">
        <w:t xml:space="preserve">om het gebruik van </w:t>
      </w:r>
      <w:r w:rsidRPr="00EA1E4E" w:rsidR="00CC1C44">
        <w:t>valse identiteiten</w:t>
      </w:r>
      <w:r w:rsidRPr="00EA1E4E" w:rsidR="00405651">
        <w:t xml:space="preserve"> </w:t>
      </w:r>
      <w:r w:rsidRPr="00EA1E4E" w:rsidR="00CC1C44">
        <w:t xml:space="preserve">door de Ksa mogelijk te maken, </w:t>
      </w:r>
      <w:r w:rsidRPr="00EA1E4E" w:rsidR="00405651">
        <w:t xml:space="preserve">als extra middel voor controle </w:t>
      </w:r>
      <w:r w:rsidRPr="00EA1E4E" w:rsidR="00CC1C44">
        <w:t xml:space="preserve">bij </w:t>
      </w:r>
      <w:r w:rsidRPr="00EA1E4E" w:rsidR="00405651">
        <w:t>kansspelaanbieders.</w:t>
      </w:r>
      <w:r w:rsidRPr="00EA1E4E" w:rsidR="00405651">
        <w:rPr>
          <w:rStyle w:val="Voetnootmarkering"/>
        </w:rPr>
        <w:footnoteReference w:id="27"/>
      </w:r>
      <w:r w:rsidRPr="00EA1E4E" w:rsidR="00405651">
        <w:t xml:space="preserve"> </w:t>
      </w:r>
      <w:r w:rsidRPr="00EA1E4E" w:rsidR="00CC1C44">
        <w:t>Ik heb verkend of het mogelijk is om valse identiteiten in te richten voor de Ksa. Uit deze verkenning is gebleken dat dit</w:t>
      </w:r>
      <w:r w:rsidRPr="00EA1E4E" w:rsidR="00405651">
        <w:t xml:space="preserve"> </w:t>
      </w:r>
      <w:r w:rsidRPr="00EA1E4E" w:rsidR="0014481F">
        <w:t xml:space="preserve">in het kader van het traject tot aanpassing van de Wet </w:t>
      </w:r>
      <w:proofErr w:type="spellStart"/>
      <w:r w:rsidRPr="00EA1E4E" w:rsidR="0014481F">
        <w:t>koa</w:t>
      </w:r>
      <w:proofErr w:type="spellEnd"/>
      <w:r w:rsidRPr="00EA1E4E" w:rsidR="0014481F">
        <w:t xml:space="preserve"> </w:t>
      </w:r>
      <w:r w:rsidRPr="00EA1E4E" w:rsidR="00405651">
        <w:t xml:space="preserve">niet haalbaar is. Om </w:t>
      </w:r>
      <w:r w:rsidRPr="00EA1E4E" w:rsidR="0034508C">
        <w:t>anoniem</w:t>
      </w:r>
      <w:r w:rsidRPr="00EA1E4E" w:rsidR="00405651">
        <w:t xml:space="preserve"> bij een vergunde online aanbieder in de spelomgeving te kunnen komen, moet een volledige nieuwe identiteit gecreëerd worden, inclusief </w:t>
      </w:r>
      <w:proofErr w:type="spellStart"/>
      <w:r w:rsidRPr="00EA1E4E" w:rsidR="00117073">
        <w:t>b</w:t>
      </w:r>
      <w:r w:rsidRPr="00EA1E4E" w:rsidR="009E4F6F">
        <w:t>urgerservicenummer</w:t>
      </w:r>
      <w:proofErr w:type="spellEnd"/>
      <w:r w:rsidRPr="00EA1E4E" w:rsidR="00405651">
        <w:t xml:space="preserve">. Het werken met dit soort valse identiteiten is op dit moment voorbehouden aan politie en de inlichtingen- en veiligheidsdiensten en is omkleed met strenge waarborgen. </w:t>
      </w:r>
      <w:r w:rsidRPr="00EA1E4E" w:rsidR="00C749F7">
        <w:t xml:space="preserve">Het wordt ingezet ter bestrijding van zware criminaliteit en/of bij een ernstige inbreuk op de rechtsorde en mag alleen ingezet worden wanneer minder ingrijpende middelen niet toereikend zijn. </w:t>
      </w:r>
      <w:r w:rsidRPr="00EA1E4E" w:rsidR="00405651">
        <w:t xml:space="preserve">Het inzetten van deze bevoegdheid voor de Ksa kan de toetsen van proportionaliteit en subsidiariteit niet doorstaan. Ik kan daarom niet op de gewenste wijze invulling geven aan de hiervoor genoemde motie. Ik </w:t>
      </w:r>
      <w:r w:rsidRPr="00EA1E4E" w:rsidR="0034508C">
        <w:t xml:space="preserve">onderschrijf </w:t>
      </w:r>
      <w:r w:rsidRPr="00EA1E4E" w:rsidR="00405651">
        <w:t xml:space="preserve">wel </w:t>
      </w:r>
      <w:r w:rsidRPr="00EA1E4E" w:rsidR="00700CE2">
        <w:t xml:space="preserve">de </w:t>
      </w:r>
      <w:r w:rsidRPr="00EA1E4E" w:rsidR="00405651">
        <w:t xml:space="preserve">noodzaak voor de Ksa om inzicht te </w:t>
      </w:r>
      <w:r w:rsidRPr="00EA1E4E" w:rsidR="003A18E6">
        <w:t xml:space="preserve">hebben </w:t>
      </w:r>
      <w:r w:rsidRPr="00EA1E4E" w:rsidR="00405651">
        <w:t xml:space="preserve">in de spelomgeving voor verschillende spelersprofielen. Daarom </w:t>
      </w:r>
      <w:r w:rsidRPr="00EA1E4E" w:rsidR="0034508C">
        <w:t>onderzoek ik samen met de Ksa</w:t>
      </w:r>
      <w:r w:rsidRPr="00EA1E4E" w:rsidR="00405651">
        <w:t xml:space="preserve"> op welke andere manieren de Ksa voldoende toezicht kan houden op de naleving van </w:t>
      </w:r>
      <w:r w:rsidRPr="00EA1E4E" w:rsidR="003A18E6">
        <w:t>wet- en regelgeving in de spelomgeving</w:t>
      </w:r>
      <w:r w:rsidRPr="00EA1E4E" w:rsidR="00405651">
        <w:t xml:space="preserve">. Er wordt bijvoorbeeld nog onderzocht of </w:t>
      </w:r>
      <w:r w:rsidRPr="00EA1E4E" w:rsidR="00E7031F">
        <w:t>er technische oplossingen mogelijk zijn</w:t>
      </w:r>
      <w:r w:rsidRPr="00EA1E4E" w:rsidR="00405651">
        <w:t xml:space="preserve"> en of voldoende toezicht mogelijk is door een combinatie van instrumenten. </w:t>
      </w:r>
      <w:r w:rsidRPr="00EA1E4E" w:rsidR="00E7031F">
        <w:t xml:space="preserve">Daarnaast willen de Ksa en ik op dit punt samen optrekken met andere toezichthouders die te maken hebben met online omgevingen. We willen met hen bezien of een andere mogelijkheid gecreëerd kan worden waarmee toezichthouders anoniem in online omgevingen kunnen inloggen, die wel de toets van proportionaliteit en subsidiariteit doorstaat. </w:t>
      </w:r>
    </w:p>
    <w:p w:rsidRPr="00EA1E4E" w:rsidR="00405651" w:rsidP="00405651" w:rsidRDefault="00405651" w14:paraId="273FB0A5" w14:textId="77777777"/>
    <w:p w:rsidRPr="00EA1E4E" w:rsidR="00BB758F" w:rsidP="00BB758F" w:rsidRDefault="00BD187E" w14:paraId="73DCE92A" w14:textId="7AE1F03A">
      <w:r w:rsidRPr="00EA1E4E">
        <w:t>Ten tweede heb ik bezien</w:t>
      </w:r>
      <w:r w:rsidRPr="00EA1E4E" w:rsidR="0034508C">
        <w:t xml:space="preserve"> hoe</w:t>
      </w:r>
      <w:r w:rsidRPr="00EA1E4E" w:rsidR="00044DFA">
        <w:t xml:space="preserve"> de huidige bevoegdheden van de Ksa bij de constatering van een overtreding</w:t>
      </w:r>
      <w:r w:rsidRPr="00EA1E4E" w:rsidR="0034508C">
        <w:t xml:space="preserve"> </w:t>
      </w:r>
      <w:r w:rsidRPr="00EA1E4E" w:rsidR="003A18E6">
        <w:t xml:space="preserve">door vergunde aanbieders </w:t>
      </w:r>
      <w:r w:rsidRPr="00EA1E4E" w:rsidR="0034508C">
        <w:t>kunnen worden verruimd</w:t>
      </w:r>
      <w:r w:rsidRPr="00EA1E4E" w:rsidR="00044DFA">
        <w:t xml:space="preserve">. </w:t>
      </w:r>
      <w:r w:rsidRPr="00EA1E4E" w:rsidR="00BB758F">
        <w:t>Wanneer de Ksa een overtreding constateert, is het doel deze overtreding te doen stoppen</w:t>
      </w:r>
      <w:r w:rsidRPr="00EA1E4E" w:rsidR="0014481F">
        <w:t xml:space="preserve">. </w:t>
      </w:r>
      <w:r w:rsidRPr="00EA1E4E" w:rsidR="00BB758F">
        <w:t xml:space="preserve">De bevoegdheden die de Ksa daar momenteel voor heeft, zoals de last onder dwangsom, bereiken dit effect niet altijd, dan wel niet snel genoeg. De overtreding duurt dan nog voort, met risico’s op meer gokschade. Een effectieve methode om de overtreding direct te stoppen, totdat de aanbieder de aanwijzing(en) van de Ksa opvolgt, is het tijdelijk schorsen van (een deel van) de vergunning. Dat kan de Ksa momenteel echter alleen doen wanneer </w:t>
      </w:r>
      <w:r w:rsidRPr="00EA1E4E" w:rsidR="002B4B17">
        <w:t>zij ernstige vermoedens heeft dat er grond is om de vergunning in te trekken</w:t>
      </w:r>
      <w:r w:rsidRPr="00EA1E4E" w:rsidR="00C326D0">
        <w:t>, hangende en met het oog op het onderzoek naar de wenselijkheid om die vergunning in te trekken</w:t>
      </w:r>
      <w:r w:rsidRPr="00EA1E4E" w:rsidR="00BB758F">
        <w:t xml:space="preserve">. Het is daarmee een zeer zwaar middel dat de Ksa zeer terughoudend - en tot heden nooit - inzet. </w:t>
      </w:r>
      <w:r w:rsidRPr="00EA1E4E" w:rsidR="00AD4A0D">
        <w:t xml:space="preserve">Momenteel </w:t>
      </w:r>
      <w:r w:rsidRPr="00EA1E4E">
        <w:t xml:space="preserve">werk ik </w:t>
      </w:r>
      <w:r w:rsidRPr="00EA1E4E" w:rsidR="0014481F">
        <w:t>aan een</w:t>
      </w:r>
      <w:r w:rsidRPr="00EA1E4E" w:rsidR="00E7031F">
        <w:t xml:space="preserve"> zelfstandige schorsingsbevoegdheid </w:t>
      </w:r>
      <w:r w:rsidRPr="00EA1E4E">
        <w:t>voor de Ksa</w:t>
      </w:r>
      <w:r w:rsidRPr="00EA1E4E" w:rsidR="00542741">
        <w:t>, die zij afhankelijk van de geconstateerde overtreding kan inzetten zonder de vergunning vervolgens ook in te hoeven trekken</w:t>
      </w:r>
      <w:r w:rsidRPr="00EA1E4E" w:rsidR="00BB758F">
        <w:t xml:space="preserve">. </w:t>
      </w:r>
    </w:p>
    <w:p w:rsidRPr="00EA1E4E" w:rsidR="00BB758F" w:rsidP="00BB758F" w:rsidRDefault="00BB758F" w14:paraId="38D44BDF" w14:textId="77777777">
      <w:pPr>
        <w:rPr>
          <w:b/>
          <w:bCs/>
        </w:rPr>
      </w:pPr>
    </w:p>
    <w:p w:rsidRPr="00EA1E4E" w:rsidR="00BB758F" w:rsidP="00BB758F" w:rsidRDefault="0047462D" w14:paraId="436F6940" w14:textId="3C13C461">
      <w:pPr>
        <w:ind w:left="360"/>
        <w:rPr>
          <w:u w:val="single"/>
        </w:rPr>
      </w:pPr>
      <w:r w:rsidRPr="00EA1E4E">
        <w:rPr>
          <w:u w:val="single"/>
        </w:rPr>
        <w:t>g</w:t>
      </w:r>
      <w:r w:rsidRPr="00EA1E4E" w:rsidR="00BB758F">
        <w:rPr>
          <w:u w:val="single"/>
        </w:rPr>
        <w:t>.</w:t>
      </w:r>
      <w:r w:rsidRPr="00EA1E4E" w:rsidR="00BB758F">
        <w:rPr>
          <w:u w:val="single"/>
        </w:rPr>
        <w:tab/>
        <w:t xml:space="preserve">Handhaving </w:t>
      </w:r>
      <w:r w:rsidRPr="00EA1E4E" w:rsidR="00FA6544">
        <w:rPr>
          <w:u w:val="single"/>
        </w:rPr>
        <w:t xml:space="preserve">bij </w:t>
      </w:r>
      <w:r w:rsidRPr="00EA1E4E" w:rsidR="00BB758F">
        <w:rPr>
          <w:u w:val="single"/>
        </w:rPr>
        <w:t>illegaal aanbod</w:t>
      </w:r>
    </w:p>
    <w:p w:rsidRPr="00EA1E4E" w:rsidR="00A37591" w:rsidP="00BB758F" w:rsidRDefault="00BB758F" w14:paraId="4AD98DBB" w14:textId="362D7BB8">
      <w:r w:rsidRPr="00EA1E4E">
        <w:t>Hoe strenger gereguleerd het vergunde aanbod is, des te meer ook ingezet moet worden op het tegengaan van illegaal aanbod</w:t>
      </w:r>
      <w:r w:rsidRPr="00EA1E4E" w:rsidR="00A37591">
        <w:t xml:space="preserve"> en deelname daaraan</w:t>
      </w:r>
      <w:r w:rsidRPr="00EA1E4E">
        <w:t xml:space="preserve">. Op dit moment zijn </w:t>
      </w:r>
      <w:r w:rsidRPr="00EA1E4E" w:rsidR="00FA6544">
        <w:t xml:space="preserve">er </w:t>
      </w:r>
      <w:r w:rsidRPr="00EA1E4E">
        <w:t xml:space="preserve">tienduizenden illegale </w:t>
      </w:r>
      <w:r w:rsidRPr="00EA1E4E" w:rsidR="00DC5EF1">
        <w:t>online</w:t>
      </w:r>
      <w:r w:rsidRPr="00EA1E4E" w:rsidR="002B4B17">
        <w:t xml:space="preserve"> </w:t>
      </w:r>
      <w:r w:rsidRPr="00EA1E4E" w:rsidR="00DC5EF1">
        <w:t>goksites</w:t>
      </w:r>
      <w:r w:rsidRPr="00EA1E4E" w:rsidR="002B4B17">
        <w:t xml:space="preserve"> en apps</w:t>
      </w:r>
      <w:r w:rsidRPr="00EA1E4E" w:rsidR="00DC5EF1">
        <w:t xml:space="preserve"> </w:t>
      </w:r>
      <w:r w:rsidRPr="00EA1E4E">
        <w:t xml:space="preserve">actief in Nederland. </w:t>
      </w:r>
      <w:r w:rsidRPr="00EA1E4E" w:rsidR="00DC5EF1">
        <w:t xml:space="preserve">De </w:t>
      </w:r>
      <w:r w:rsidRPr="00EA1E4E">
        <w:t>websites</w:t>
      </w:r>
      <w:r w:rsidRPr="00EA1E4E" w:rsidR="00E7031F">
        <w:t xml:space="preserve"> en apps</w:t>
      </w:r>
      <w:r w:rsidRPr="00EA1E4E">
        <w:t xml:space="preserve"> zijn voor Nederlanders (inclusief minderjarigen) gemakkelijk te bezoeken. Omdat het illegaal aanbod zich niet houdt aan de beschermingsmaatregelen van de overheid is de kans op gokschade hier groter</w:t>
      </w:r>
      <w:r w:rsidRPr="00EA1E4E" w:rsidR="00EB2A49">
        <w:t xml:space="preserve"> dan in het vergunde aanbod</w:t>
      </w:r>
      <w:r w:rsidRPr="00EA1E4E">
        <w:t xml:space="preserve">. </w:t>
      </w:r>
      <w:r w:rsidRPr="00EA1E4E" w:rsidR="00DC5EF1">
        <w:t xml:space="preserve">De illegale aanbieders zetten veelal bewust in op het verleiden van kwetsbare groepen om bij hen te komen gokken. Dat doen ze door veel ongerichte en misleidende reclame te maken, aantrekkelijke bonussen aan te bieden, spelen zonder limiet mogelijk te maken en het ontbreken van een </w:t>
      </w:r>
      <w:proofErr w:type="spellStart"/>
      <w:r w:rsidRPr="00EA1E4E" w:rsidR="00DC5EF1">
        <w:t>Cruks</w:t>
      </w:r>
      <w:proofErr w:type="spellEnd"/>
      <w:r w:rsidRPr="00EA1E4E" w:rsidR="00DC5EF1">
        <w:t>-toe</w:t>
      </w:r>
      <w:r w:rsidRPr="00EA1E4E" w:rsidR="003A3A7C">
        <w:t xml:space="preserve">ts. </w:t>
      </w:r>
      <w:r w:rsidRPr="00EA1E4E">
        <w:t xml:space="preserve">Uit </w:t>
      </w:r>
      <w:r w:rsidRPr="00EA1E4E" w:rsidR="009B571D">
        <w:t>de</w:t>
      </w:r>
      <w:r w:rsidRPr="00EA1E4E" w:rsidR="00AA4651">
        <w:t xml:space="preserve"> recente monitoring</w:t>
      </w:r>
      <w:r w:rsidRPr="00EA1E4E" w:rsidR="009B571D">
        <w:t>srapportages</w:t>
      </w:r>
      <w:r w:rsidRPr="00EA1E4E">
        <w:t xml:space="preserve"> van de Ksa blijkt dat er op de illegale markt </w:t>
      </w:r>
      <w:r w:rsidRPr="00EA1E4E" w:rsidR="00EB2A49">
        <w:t>inmiddels meer</w:t>
      </w:r>
      <w:r w:rsidRPr="00EA1E4E">
        <w:t xml:space="preserve"> geld wordt besteed </w:t>
      </w:r>
      <w:r w:rsidRPr="00EA1E4E" w:rsidR="00EB2A49">
        <w:t>dan</w:t>
      </w:r>
      <w:r w:rsidRPr="00EA1E4E">
        <w:t xml:space="preserve"> op de legale markt, terwijl slechts </w:t>
      </w:r>
      <w:r w:rsidRPr="00EA1E4E" w:rsidR="00FF3866">
        <w:t xml:space="preserve">ongeveer </w:t>
      </w:r>
      <w:r w:rsidRPr="00EA1E4E">
        <w:t>10</w:t>
      </w:r>
      <w:r w:rsidRPr="00EA1E4E" w:rsidR="005052C1">
        <w:t>%</w:t>
      </w:r>
      <w:r w:rsidRPr="00EA1E4E">
        <w:t xml:space="preserve"> van het totale aantal spelers illegaal speelt.</w:t>
      </w:r>
      <w:r w:rsidRPr="00EA1E4E">
        <w:rPr>
          <w:rStyle w:val="Voetnootmarkering"/>
        </w:rPr>
        <w:footnoteReference w:id="28"/>
      </w:r>
      <w:r w:rsidRPr="00EA1E4E">
        <w:t xml:space="preserve"> </w:t>
      </w:r>
    </w:p>
    <w:p w:rsidRPr="00EA1E4E" w:rsidR="00A37591" w:rsidP="00BB758F" w:rsidRDefault="00A37591" w14:paraId="67D41B26" w14:textId="77777777"/>
    <w:p w:rsidRPr="00EA1E4E" w:rsidR="00BB758F" w:rsidP="00BB758F" w:rsidRDefault="00BB758F" w14:paraId="1837E6E1" w14:textId="595C61DD">
      <w:r w:rsidRPr="00EA1E4E">
        <w:t xml:space="preserve">De aanpak hiervan is dan ook hard nodig. </w:t>
      </w:r>
      <w:r w:rsidRPr="00EA1E4E" w:rsidR="00241E2F">
        <w:t>Tegengaan van illegaal</w:t>
      </w:r>
      <w:r w:rsidRPr="00EA1E4E">
        <w:t xml:space="preserve"> aanbod is </w:t>
      </w:r>
      <w:r w:rsidRPr="00EA1E4E" w:rsidR="00B9265A">
        <w:t xml:space="preserve">tegelijkertijd </w:t>
      </w:r>
      <w:r w:rsidRPr="00EA1E4E">
        <w:t xml:space="preserve">lastig. De illegale aanbieders verschuilen zich vaak achter ingewikkelde constructies met verschillende rechtspersonen en zijn gevestigd in landen waar geen rechtshulpverdragen mee bestaan en naleving van regels daarmee moeilijk kan worden afgedwongen. Dit betekent dat de traditionele bestuursrechtelijke instrumenten van boeteoplegging en last onder dwangsom </w:t>
      </w:r>
      <w:r w:rsidRPr="00EA1E4E" w:rsidR="00CA2101">
        <w:t xml:space="preserve">nauwelijks </w:t>
      </w:r>
      <w:r w:rsidRPr="00EA1E4E">
        <w:t xml:space="preserve">werken. </w:t>
      </w:r>
      <w:r w:rsidRPr="00EA1E4E" w:rsidR="00856A20">
        <w:t>Daarom werk ik in afstemming met de Ksa aan aanvullende instrumenten en verbetering in bestaande instrumenten om illegale aanbieders beter aan te kunnen pakken en om de infrastructuur te frustreren die deze aanbieders gebruiken. Daarbij geef ik invulling aan verschillende moties op het gebied van de aanpak van illegaal aanbod.</w:t>
      </w:r>
      <w:r w:rsidRPr="00EA1E4E" w:rsidR="00856A20">
        <w:rPr>
          <w:rStyle w:val="Voetnootmarkering"/>
        </w:rPr>
        <w:footnoteReference w:id="29"/>
      </w:r>
    </w:p>
    <w:p w:rsidRPr="00EA1E4E" w:rsidR="00B9265A" w:rsidP="00BB758F" w:rsidRDefault="00B9265A" w14:paraId="352639CD" w14:textId="77777777"/>
    <w:p w:rsidRPr="00EA1E4E" w:rsidR="00BB758F" w:rsidP="00BB758F" w:rsidRDefault="00B9265A" w14:paraId="675391B3" w14:textId="4823465C">
      <w:r w:rsidRPr="00EA1E4E">
        <w:t xml:space="preserve">Allereerst </w:t>
      </w:r>
      <w:r w:rsidRPr="00EA1E4E" w:rsidR="0036399A">
        <w:t xml:space="preserve">bezie ik </w:t>
      </w:r>
      <w:r w:rsidRPr="00EA1E4E">
        <w:t xml:space="preserve">hoe het illegaal aanbod ontoegankelijk kan worden gemaakt voor mensen in Nederland. </w:t>
      </w:r>
      <w:r w:rsidRPr="00EA1E4E" w:rsidR="002C51F0">
        <w:t xml:space="preserve">Ik wil voorkomen dat spelers vanuit Nederland websites van </w:t>
      </w:r>
      <w:proofErr w:type="spellStart"/>
      <w:r w:rsidRPr="00EA1E4E" w:rsidR="002C51F0">
        <w:t>onvergund</w:t>
      </w:r>
      <w:proofErr w:type="spellEnd"/>
      <w:r w:rsidRPr="00EA1E4E" w:rsidR="002C51F0">
        <w:t xml:space="preserve"> kansspelaanbod kunnen bereiken.</w:t>
      </w:r>
      <w:r w:rsidRPr="00EA1E4E">
        <w:t xml:space="preserve"> De </w:t>
      </w:r>
      <w:r w:rsidRPr="00EA1E4E" w:rsidR="0020490C">
        <w:t xml:space="preserve">inzet </w:t>
      </w:r>
      <w:r w:rsidRPr="00EA1E4E" w:rsidR="00BB758F">
        <w:t xml:space="preserve">is dat de Ksa zo veel mogelijk websites, </w:t>
      </w:r>
      <w:r w:rsidRPr="00EA1E4E" w:rsidR="0020490C">
        <w:t>zo efficiënt en</w:t>
      </w:r>
      <w:r w:rsidRPr="00EA1E4E" w:rsidR="00BB758F">
        <w:t xml:space="preserve"> effectief</w:t>
      </w:r>
      <w:r w:rsidRPr="00EA1E4E" w:rsidR="0020490C">
        <w:t xml:space="preserve"> mogelijk</w:t>
      </w:r>
      <w:r w:rsidRPr="00EA1E4E" w:rsidR="00BB758F">
        <w:t xml:space="preserve"> aan kan pakken. De analyses tot nu toe hebben </w:t>
      </w:r>
      <w:r w:rsidRPr="00EA1E4E" w:rsidR="0036399A">
        <w:t xml:space="preserve">aangetoond </w:t>
      </w:r>
      <w:r w:rsidRPr="00EA1E4E" w:rsidR="00BB758F">
        <w:t xml:space="preserve">dat de </w:t>
      </w:r>
      <w:r w:rsidRPr="00EA1E4E" w:rsidR="002D322A">
        <w:t>werking van het internet hierbij uitdaging</w:t>
      </w:r>
      <w:r w:rsidRPr="00EA1E4E" w:rsidR="0020490C">
        <w:t>en oplevert</w:t>
      </w:r>
      <w:r w:rsidRPr="00EA1E4E" w:rsidR="002D322A">
        <w:t>. Er is sprake van veel verschillende, veelal buitenlandse, partijen die tezamen bijdragen aan de werking van het internet. Daarbij is er vaak sprake van alternatieven. Zo zou een hostingpartij kunnen stoppen met het hosten van een illegale website, maar kan een andere hostingpartij die snel en eenvoudig overnemen. Deze kenmerken maken dat h</w:t>
      </w:r>
      <w:r w:rsidRPr="00EA1E4E" w:rsidR="0036399A">
        <w:t xml:space="preserve">et een kat-en-muisspel </w:t>
      </w:r>
      <w:r w:rsidRPr="00EA1E4E" w:rsidR="002D322A">
        <w:t xml:space="preserve">zal </w:t>
      </w:r>
      <w:r w:rsidRPr="00EA1E4E" w:rsidR="0036399A">
        <w:t>blijven.</w:t>
      </w:r>
      <w:r w:rsidRPr="00EA1E4E" w:rsidR="00BB758F">
        <w:t xml:space="preserve"> Desalniettemin is de verwachting dat een aanzienlijk aantal mensen dat nu illegaal gokt, overstapt naar het legaal aanbod wanneer </w:t>
      </w:r>
      <w:r w:rsidRPr="00EA1E4E" w:rsidR="002D322A">
        <w:t>het lukt</w:t>
      </w:r>
      <w:r w:rsidRPr="00EA1E4E" w:rsidR="00BB758F">
        <w:t xml:space="preserve"> de toegang </w:t>
      </w:r>
      <w:r w:rsidRPr="00EA1E4E" w:rsidR="002D322A">
        <w:t xml:space="preserve">te </w:t>
      </w:r>
      <w:r w:rsidRPr="00EA1E4E" w:rsidR="00BB758F">
        <w:t>beperk</w:t>
      </w:r>
      <w:r w:rsidRPr="00EA1E4E" w:rsidR="002D322A">
        <w:t>en</w:t>
      </w:r>
      <w:r w:rsidRPr="00EA1E4E" w:rsidR="00BB758F">
        <w:t>. Het is van belang om dit technisch duurzaam vorm te geven en dat de Ksa snel kan handelen.</w:t>
      </w:r>
    </w:p>
    <w:p w:rsidRPr="00EA1E4E" w:rsidR="00EB2A49" w:rsidP="00BB758F" w:rsidRDefault="00EB2A49" w14:paraId="29F18C53" w14:textId="77777777"/>
    <w:p w:rsidRPr="00EA1E4E" w:rsidR="00243D37" w:rsidP="00243D37" w:rsidRDefault="00243D37" w14:paraId="68998A8E" w14:textId="6EC891A0">
      <w:r w:rsidRPr="00EA1E4E">
        <w:t>D</w:t>
      </w:r>
      <w:r w:rsidRPr="00EA1E4E" w:rsidR="002C20C8">
        <w:t xml:space="preserve">aarnaast wil ik dat er duidelijke wettelijke normen zijn met betrekking tot </w:t>
      </w:r>
      <w:r w:rsidRPr="00EA1E4E" w:rsidR="00275C5A">
        <w:t xml:space="preserve">alle </w:t>
      </w:r>
      <w:r w:rsidRPr="00EA1E4E" w:rsidR="002C20C8">
        <w:t xml:space="preserve">partijen die illegaal aanbod mede mogelijk maken, zodat de Ksa die partijen daarop kan aanspreken. Ik pas hier waar nodig de wet op aan. </w:t>
      </w:r>
      <w:r w:rsidRPr="00EA1E4E" w:rsidR="00275C5A">
        <w:t>Verschillende</w:t>
      </w:r>
      <w:r w:rsidRPr="00EA1E4E" w:rsidR="002C20C8">
        <w:t xml:space="preserve"> bedrijven en instellingen </w:t>
      </w:r>
      <w:r w:rsidRPr="00EA1E4E" w:rsidR="00275C5A">
        <w:t xml:space="preserve">leveren </w:t>
      </w:r>
      <w:r w:rsidRPr="00EA1E4E" w:rsidR="002C20C8">
        <w:t>diensten aan vergunde en illegale kansspelaanbieders, waarmee zij dit aanbod faciliteren. Te denken valt aan betaaldienstverleners, marketingpartijen en internetplatforms zoals hostingbedrijven en internetserviceproviders. Op dit moment ervaart de Ksa dat de wet vaak onvoldoende duidelijkheid verschaft over wat precies wordt verstaan onder het faciliteren van illegaal aanbod.</w:t>
      </w:r>
      <w:r w:rsidRPr="00EA1E4E" w:rsidR="00275C5A">
        <w:t xml:space="preserve"> </w:t>
      </w:r>
    </w:p>
    <w:p w:rsidRPr="00EA1E4E" w:rsidR="000E06E0" w:rsidP="00246EB0" w:rsidRDefault="000E06E0" w14:paraId="1AAA8E02" w14:textId="77777777"/>
    <w:p w:rsidRPr="00EA1E4E" w:rsidR="00700CE2" w:rsidP="0047462D" w:rsidRDefault="0047462D" w14:paraId="1CF1CFEF" w14:textId="0D86A352">
      <w:pPr>
        <w:ind w:left="360"/>
        <w:rPr>
          <w:u w:val="single"/>
        </w:rPr>
      </w:pPr>
      <w:r w:rsidRPr="00EA1E4E">
        <w:rPr>
          <w:u w:val="single"/>
        </w:rPr>
        <w:t xml:space="preserve">h. </w:t>
      </w:r>
      <w:r w:rsidRPr="00EA1E4E">
        <w:rPr>
          <w:u w:val="single"/>
        </w:rPr>
        <w:tab/>
      </w:r>
      <w:r w:rsidRPr="00EA1E4E" w:rsidR="00700CE2">
        <w:rPr>
          <w:u w:val="single"/>
        </w:rPr>
        <w:t xml:space="preserve">Informatiedeling </w:t>
      </w:r>
    </w:p>
    <w:p w:rsidRPr="00EA1E4E" w:rsidR="0014481F" w:rsidP="0014481F" w:rsidRDefault="00700CE2" w14:paraId="553B3B08" w14:textId="2F8C8682">
      <w:pPr>
        <w:rPr>
          <w:i/>
          <w:iCs/>
        </w:rPr>
      </w:pPr>
      <w:r w:rsidRPr="00EA1E4E">
        <w:t xml:space="preserve">In de brief van 14 februari </w:t>
      </w:r>
      <w:r w:rsidRPr="00EA1E4E" w:rsidR="00831151">
        <w:t xml:space="preserve">2025 </w:t>
      </w:r>
      <w:r w:rsidRPr="00EA1E4E" w:rsidR="005D3A51">
        <w:t xml:space="preserve">heeft de Staatssecretaris Rechtsbescherming </w:t>
      </w:r>
      <w:r w:rsidRPr="00EA1E4E">
        <w:t xml:space="preserve">naar aanleiding van de evaluatie van de Wet </w:t>
      </w:r>
      <w:proofErr w:type="spellStart"/>
      <w:r w:rsidRPr="00EA1E4E">
        <w:t>koa</w:t>
      </w:r>
      <w:proofErr w:type="spellEnd"/>
      <w:r w:rsidRPr="00EA1E4E">
        <w:t xml:space="preserve"> aangekondigd dat op het terrein van matchfixing zal worden bekeken in hoeverre informatiedeling kan worden verbeterd binnen het beleidsterrein van kansspelen en </w:t>
      </w:r>
      <w:r w:rsidRPr="00EA1E4E" w:rsidR="005D3A51">
        <w:t xml:space="preserve">dat </w:t>
      </w:r>
      <w:r w:rsidRPr="00EA1E4E">
        <w:t xml:space="preserve">hiervoor de samenwerking zal worden gezocht met de nodige collega’s waar het andere beleidsterreinen betreft. Op 18 december 2025 heeft de </w:t>
      </w:r>
      <w:r w:rsidRPr="00EA1E4E" w:rsidR="005D3A51">
        <w:t>Ksa</w:t>
      </w:r>
      <w:r w:rsidRPr="00EA1E4E">
        <w:t xml:space="preserve"> de Leidraad ‘inzet op integriteit’ gepubliceerd.</w:t>
      </w:r>
      <w:r w:rsidRPr="00EA1E4E">
        <w:rPr>
          <w:rStyle w:val="Voetnootmarkering"/>
        </w:rPr>
        <w:footnoteReference w:id="30"/>
      </w:r>
      <w:r w:rsidRPr="00EA1E4E">
        <w:t xml:space="preserve"> Op basis van deze </w:t>
      </w:r>
      <w:r w:rsidRPr="00EA1E4E" w:rsidR="00782EBF">
        <w:t>l</w:t>
      </w:r>
      <w:r w:rsidRPr="00EA1E4E">
        <w:t xml:space="preserve">eidraad wordt het gemakkelijker om vanuit de vergunde kansspelaanbieders informatie te delen over sportweddenschappen waar een vermoeden van matchfixing ontstaat dat niet ook een vermoeden van witwassen oplevert. Daarmee is naar verwachting een deel van het vraagstuk met betrekking tot informatiedeling over signalen van matchfixing opgelost, namelijk met betrekking tot de weddenschappen zelf. </w:t>
      </w:r>
    </w:p>
    <w:p w:rsidRPr="00EA1E4E" w:rsidR="00700CE2" w:rsidP="00246EB0" w:rsidRDefault="00700CE2" w14:paraId="64180770" w14:textId="77777777"/>
    <w:p w:rsidRPr="00EA1E4E" w:rsidR="00AD5589" w:rsidP="00AD5589" w:rsidRDefault="00AD5589" w14:paraId="5C7B9C00" w14:textId="32B9FB36">
      <w:pPr>
        <w:pStyle w:val="Lijstalinea"/>
        <w:numPr>
          <w:ilvl w:val="0"/>
          <w:numId w:val="42"/>
        </w:numPr>
        <w:rPr>
          <w:u w:val="single"/>
        </w:rPr>
      </w:pPr>
      <w:r w:rsidRPr="00EA1E4E">
        <w:rPr>
          <w:u w:val="single"/>
        </w:rPr>
        <w:t>Onderzoek beperken vergunningen</w:t>
      </w:r>
    </w:p>
    <w:p w:rsidRPr="00EA1E4E" w:rsidR="00AD5589" w:rsidP="00AD5589" w:rsidRDefault="00AD5589" w14:paraId="3DAC0CDA" w14:textId="13E1567B">
      <w:r w:rsidRPr="00EA1E4E">
        <w:t xml:space="preserve">Verder </w:t>
      </w:r>
      <w:r w:rsidRPr="00EA1E4E" w:rsidR="009C3BD0">
        <w:t>heb</w:t>
      </w:r>
      <w:r w:rsidRPr="00EA1E4E">
        <w:t xml:space="preserve"> ik conform het coalitieakkoord een onderzoek uit</w:t>
      </w:r>
      <w:r w:rsidRPr="00EA1E4E" w:rsidR="009C3BD0">
        <w:t>gezet</w:t>
      </w:r>
      <w:r w:rsidRPr="00EA1E4E">
        <w:t xml:space="preserve"> naar het beperken van het aantal vergunningen voor online goksites. Hierbij zal worden gekeken naar de voor- en nadelen van verschillende </w:t>
      </w:r>
      <w:r w:rsidRPr="00EA1E4E" w:rsidR="00EB6922">
        <w:t>vormen van marktordening</w:t>
      </w:r>
      <w:r w:rsidRPr="00EA1E4E">
        <w:t xml:space="preserve">. Onderdeel daarvan is te bezien </w:t>
      </w:r>
      <w:r w:rsidRPr="00EA1E4E" w:rsidR="00EB6922">
        <w:t>in welke mate</w:t>
      </w:r>
      <w:r w:rsidRPr="00EA1E4E">
        <w:t xml:space="preserve"> beperking van het aantal vergunningen bijdraagt aan betere bescherming. </w:t>
      </w:r>
      <w:r w:rsidRPr="00EA1E4E" w:rsidR="00C326D0">
        <w:t xml:space="preserve">Ik streef ernaar dat dit onderzoek in </w:t>
      </w:r>
      <w:r w:rsidRPr="00EA1E4E" w:rsidR="009C3BD0">
        <w:t xml:space="preserve">de eerste helft </w:t>
      </w:r>
      <w:r w:rsidRPr="00EA1E4E" w:rsidR="00C326D0">
        <w:t xml:space="preserve">2027 kan worden afgerond. </w:t>
      </w:r>
      <w:r w:rsidRPr="00EA1E4E">
        <w:t>De resultaten van dit onderzoek verwerk ik vervolgens in een beleidskompas waarna ik uw Kamer zal informeren over vervolgstappen</w:t>
      </w:r>
      <w:r w:rsidRPr="00EA1E4E" w:rsidR="0062701C">
        <w:t xml:space="preserve"> en in hoeverre dit </w:t>
      </w:r>
      <w:r w:rsidRPr="00EA1E4E" w:rsidR="00C326D0">
        <w:t xml:space="preserve">nog </w:t>
      </w:r>
      <w:r w:rsidRPr="00EA1E4E" w:rsidR="0062701C">
        <w:t>kan worden betrokken bij het huidige wetgevingstraject</w:t>
      </w:r>
      <w:r w:rsidRPr="00EA1E4E">
        <w:t>.</w:t>
      </w:r>
    </w:p>
    <w:p w:rsidRPr="00EA1E4E" w:rsidR="00AD5589" w:rsidP="00246EB0" w:rsidRDefault="00AD5589" w14:paraId="7AF72AFB" w14:textId="77777777"/>
    <w:p w:rsidRPr="00EA1E4E" w:rsidR="000E06E0" w:rsidP="00BB758F" w:rsidRDefault="00BB758F" w14:paraId="3C333AA3" w14:textId="14C64CEA">
      <w:pPr>
        <w:rPr>
          <w:u w:val="single"/>
        </w:rPr>
      </w:pPr>
      <w:r w:rsidRPr="00EA1E4E">
        <w:rPr>
          <w:u w:val="single"/>
        </w:rPr>
        <w:t>Verdere proces</w:t>
      </w:r>
      <w:r w:rsidRPr="00EA1E4E" w:rsidR="00185E06">
        <w:rPr>
          <w:u w:val="single"/>
        </w:rPr>
        <w:t xml:space="preserve"> wetgevingstraject Kansspelen op afstand</w:t>
      </w:r>
    </w:p>
    <w:p w:rsidRPr="00EA1E4E" w:rsidR="00AE4810" w:rsidP="00AE4810" w:rsidRDefault="00185E06" w14:paraId="2563FCFF" w14:textId="48C9EDC9">
      <w:r w:rsidRPr="00EA1E4E">
        <w:t xml:space="preserve">Met het voorgaande </w:t>
      </w:r>
      <w:r w:rsidRPr="00EA1E4E" w:rsidR="00847088">
        <w:t xml:space="preserve">heb ik </w:t>
      </w:r>
      <w:r w:rsidRPr="00EA1E4E">
        <w:t>v</w:t>
      </w:r>
      <w:r w:rsidRPr="00EA1E4E" w:rsidR="00246EB0">
        <w:t xml:space="preserve">oor </w:t>
      </w:r>
      <w:r w:rsidRPr="00EA1E4E" w:rsidR="00D86E49">
        <w:t xml:space="preserve">de meeste </w:t>
      </w:r>
      <w:r w:rsidRPr="00EA1E4E">
        <w:t>maatregelen</w:t>
      </w:r>
      <w:r w:rsidRPr="00EA1E4E" w:rsidR="00246EB0">
        <w:t xml:space="preserve"> </w:t>
      </w:r>
      <w:r w:rsidRPr="00EA1E4E" w:rsidR="00847088">
        <w:t>richtinggevende keuzes gemaakt voor de aanpassing van</w:t>
      </w:r>
      <w:r w:rsidRPr="00EA1E4E" w:rsidR="00246EB0">
        <w:t xml:space="preserve"> </w:t>
      </w:r>
      <w:r w:rsidRPr="00EA1E4E" w:rsidR="00847088">
        <w:t>wet- en regelgeving</w:t>
      </w:r>
      <w:r w:rsidRPr="00EA1E4E">
        <w:t xml:space="preserve">. </w:t>
      </w:r>
      <w:r w:rsidRPr="00EA1E4E" w:rsidR="00AE4810">
        <w:t xml:space="preserve">Voor </w:t>
      </w:r>
      <w:r w:rsidRPr="00EA1E4E" w:rsidR="00255955">
        <w:t xml:space="preserve">twee </w:t>
      </w:r>
      <w:r w:rsidRPr="00EA1E4E" w:rsidR="00AE4810">
        <w:t>voorgenomen wijzigingen in de wet geldt dat er nog een aantal stappen moeten worden gezet voordat ik hierin de koers kan bepalen. Allereerst geldt dit voor de aangekondigde maatregel rond het aanscherpen van de zorgplicht</w:t>
      </w:r>
      <w:r w:rsidRPr="00EA1E4E" w:rsidR="00255955">
        <w:t>. Begin dit jaar</w:t>
      </w:r>
      <w:r w:rsidRPr="00EA1E4E" w:rsidR="00AE4810">
        <w:t xml:space="preserve"> is </w:t>
      </w:r>
      <w:r w:rsidRPr="00EA1E4E" w:rsidR="00847088">
        <w:t>het Expertisecentrum Gokken van het Trimbos-</w:t>
      </w:r>
      <w:r w:rsidRPr="00EA1E4E" w:rsidR="00C07C0B">
        <w:t>I</w:t>
      </w:r>
      <w:r w:rsidRPr="00EA1E4E" w:rsidR="00847088">
        <w:t>nst</w:t>
      </w:r>
      <w:r w:rsidRPr="00EA1E4E" w:rsidR="00C07C0B">
        <w:t>it</w:t>
      </w:r>
      <w:r w:rsidRPr="00EA1E4E" w:rsidR="00847088">
        <w:t xml:space="preserve">uut </w:t>
      </w:r>
      <w:r w:rsidRPr="00EA1E4E" w:rsidR="00AE4810">
        <w:t xml:space="preserve">een expertgroep met </w:t>
      </w:r>
      <w:r w:rsidRPr="00EA1E4E" w:rsidR="00847088">
        <w:t xml:space="preserve">nationale </w:t>
      </w:r>
      <w:r w:rsidRPr="00EA1E4E" w:rsidR="00C07C0B">
        <w:t xml:space="preserve">en </w:t>
      </w:r>
      <w:r w:rsidRPr="00EA1E4E" w:rsidR="00AE4810">
        <w:t xml:space="preserve">internationale deskundigen gestart om </w:t>
      </w:r>
      <w:r w:rsidRPr="00EA1E4E" w:rsidR="000C3DB8">
        <w:t>aankomende</w:t>
      </w:r>
      <w:r w:rsidRPr="00EA1E4E" w:rsidR="000C6076">
        <w:t xml:space="preserve"> zomer </w:t>
      </w:r>
      <w:r w:rsidRPr="00EA1E4E" w:rsidR="00AE4810">
        <w:t xml:space="preserve">aanbevelingen te doen over hoe de zorgplicht zou moeten worden aangescherpt. Zoals ook genoemd in de Kamerbrief van </w:t>
      </w:r>
      <w:r w:rsidRPr="00EA1E4E" w:rsidR="00D51D6A">
        <w:t xml:space="preserve">3 </w:t>
      </w:r>
      <w:r w:rsidRPr="00EA1E4E" w:rsidR="00AE4810">
        <w:t>juli 2025</w:t>
      </w:r>
      <w:r w:rsidRPr="00EA1E4E" w:rsidR="00847088">
        <w:t>,</w:t>
      </w:r>
      <w:r w:rsidRPr="00EA1E4E" w:rsidR="00AE4810">
        <w:t xml:space="preserve"> buigen zij zich met voorrang over mogelijke fundamentele wijzigingen van de zorgplicht, zodat deze </w:t>
      </w:r>
      <w:r w:rsidRPr="00EA1E4E" w:rsidR="00D97FE2">
        <w:t xml:space="preserve">indien nodig </w:t>
      </w:r>
      <w:r w:rsidRPr="00EA1E4E" w:rsidR="00AE4810">
        <w:t>mee kunnen worden genomen in het wetgevingstraject.</w:t>
      </w:r>
      <w:r w:rsidRPr="00EA1E4E" w:rsidR="00AE4810">
        <w:rPr>
          <w:rStyle w:val="Voetnootmarkering"/>
        </w:rPr>
        <w:footnoteReference w:id="31"/>
      </w:r>
      <w:r w:rsidRPr="00EA1E4E" w:rsidR="00707972">
        <w:t xml:space="preserve"> </w:t>
      </w:r>
      <w:r w:rsidRPr="00EA1E4E" w:rsidR="00255955">
        <w:t>Ten tweede</w:t>
      </w:r>
      <w:r w:rsidRPr="00EA1E4E" w:rsidR="00A06032">
        <w:t xml:space="preserve"> onderzoek ik in het kader van de aangekondigde maatregel </w:t>
      </w:r>
      <w:r w:rsidRPr="00EA1E4E" w:rsidR="002B570A">
        <w:t>die ziet op</w:t>
      </w:r>
      <w:r w:rsidRPr="00EA1E4E" w:rsidR="00A06032">
        <w:t xml:space="preserve"> het toegankelijk maken van data voor onderzoek hoe een goede grondslag voor het gebruik van data uit de controledatabank (CDB) bij de Ksa voor onderzoeksdoeleinden kan worden gecreëerd. Ook gaat het om het </w:t>
      </w:r>
      <w:proofErr w:type="spellStart"/>
      <w:r w:rsidRPr="00EA1E4E" w:rsidR="00A06032">
        <w:t>gepseudonimiseerd</w:t>
      </w:r>
      <w:proofErr w:type="spellEnd"/>
      <w:r w:rsidRPr="00EA1E4E" w:rsidR="00A06032">
        <w:t xml:space="preserve"> kunnen verkrijgen van data voor wetenschappelijk onderzoek om op deze wijze spelers over de aanbieders heen te kunnen volgen. </w:t>
      </w:r>
      <w:bookmarkStart w:name="_Hlk227091734" w:id="4"/>
      <w:r w:rsidRPr="00EA1E4E" w:rsidR="00A06032">
        <w:t>In opdracht van het W</w:t>
      </w:r>
      <w:r w:rsidRPr="00EA1E4E" w:rsidR="00D97FE2">
        <w:t xml:space="preserve">etenschappelijk </w:t>
      </w:r>
      <w:r w:rsidRPr="00EA1E4E" w:rsidR="00A06032">
        <w:t>O</w:t>
      </w:r>
      <w:r w:rsidRPr="00EA1E4E" w:rsidR="00D97FE2">
        <w:t>nderzoek</w:t>
      </w:r>
      <w:r w:rsidRPr="00EA1E4E" w:rsidR="008A3C74">
        <w:t xml:space="preserve">- en </w:t>
      </w:r>
      <w:r w:rsidRPr="00EA1E4E" w:rsidR="00A06032">
        <w:t>D</w:t>
      </w:r>
      <w:r w:rsidRPr="00EA1E4E" w:rsidR="008A3C74">
        <w:t>atacentrum (WODC)</w:t>
      </w:r>
      <w:r w:rsidRPr="00EA1E4E" w:rsidR="00A06032">
        <w:t xml:space="preserve"> </w:t>
      </w:r>
      <w:r w:rsidRPr="00EA1E4E" w:rsidR="008A3C74">
        <w:t>is</w:t>
      </w:r>
      <w:r w:rsidRPr="00EA1E4E" w:rsidR="00A06032">
        <w:t xml:space="preserve"> geïnventariseerd wat de behoefte is aan data over speelgedrag bij kansspelen op spelersniveau voor onderzoek met maatschappelijk en/of wetenschappelijk doel. </w:t>
      </w:r>
      <w:r w:rsidRPr="00EA1E4E" w:rsidR="00542741">
        <w:t>Ook wordt onderzocht</w:t>
      </w:r>
      <w:r w:rsidRPr="00EA1E4E" w:rsidR="00A06032">
        <w:t xml:space="preserve"> of momenteel in deze behoefte wordt voorzien en zo niet, wat daarvoor de belangrijkste knelpunten zijn, hoe deze kunnen worden aangepakt</w:t>
      </w:r>
      <w:r w:rsidRPr="00EA1E4E" w:rsidR="008A3C74">
        <w:t>.</w:t>
      </w:r>
      <w:r w:rsidRPr="00EA1E4E" w:rsidR="008A3C74">
        <w:rPr>
          <w:rStyle w:val="Voetnootmarkering"/>
        </w:rPr>
        <w:footnoteReference w:id="32"/>
      </w:r>
      <w:r w:rsidRPr="00EA1E4E" w:rsidR="008A3C74">
        <w:t xml:space="preserve"> </w:t>
      </w:r>
      <w:r w:rsidRPr="00EA1E4E" w:rsidR="00B1128A">
        <w:t xml:space="preserve"> </w:t>
      </w:r>
      <w:r w:rsidRPr="00EA1E4E" w:rsidR="00A06032">
        <w:t>De oplossingsrichtingen die uit dit onderzoek naar voren komen</w:t>
      </w:r>
      <w:r w:rsidRPr="00EA1E4E" w:rsidR="008A3C74">
        <w:t xml:space="preserve"> en de mogelijk daaraan verbonden kosten werk ik verder uit en</w:t>
      </w:r>
      <w:r w:rsidRPr="00EA1E4E" w:rsidR="00A06032">
        <w:t xml:space="preserve"> neem ik mee in </w:t>
      </w:r>
      <w:r w:rsidRPr="00EA1E4E" w:rsidR="001107AF">
        <w:t>het</w:t>
      </w:r>
      <w:r w:rsidRPr="00EA1E4E" w:rsidR="00A06032">
        <w:t xml:space="preserve"> wetsvoorstel.</w:t>
      </w:r>
      <w:r w:rsidRPr="00EA1E4E" w:rsidR="008A3C74">
        <w:t xml:space="preserve"> </w:t>
      </w:r>
    </w:p>
    <w:p w:rsidRPr="00EA1E4E" w:rsidR="00966FA5" w:rsidP="00AE4810" w:rsidRDefault="00966FA5" w14:paraId="4BEA94EE" w14:textId="77777777"/>
    <w:p w:rsidRPr="00EA1E4E" w:rsidR="00966FA5" w:rsidP="00AE4810" w:rsidRDefault="00966FA5" w14:paraId="568465DE" w14:textId="25982715">
      <w:r w:rsidRPr="00EA1E4E">
        <w:t xml:space="preserve">Daarnaast wordt nog bezien in hoeverre de nieuwe bepalingen voor kansspelen ook moeten gelden voor Caribisch Nederland. De doelstellingen voor het kansspelbeleid gelden voor heel Nederland: Europees en Caribisch Nederland. Voordat ik keuzes maak met betrekking tot wetgeving in Caribisch Nederland, is het belangrijk om de situatie en eventuele problematiek in Caribisch Nederland </w:t>
      </w:r>
      <w:r w:rsidRPr="00EA1E4E" w:rsidR="006D5F81">
        <w:t>in kaart te brengen</w:t>
      </w:r>
      <w:r w:rsidRPr="00EA1E4E">
        <w:t xml:space="preserve">. </w:t>
      </w:r>
      <w:r w:rsidRPr="00EA1E4E" w:rsidR="00BB59C8">
        <w:t>Ik laat dit jaar onderzoek doen</w:t>
      </w:r>
      <w:r w:rsidRPr="00EA1E4E">
        <w:t xml:space="preserve"> naar kansspeldeelname en kansspelaanbod</w:t>
      </w:r>
      <w:r w:rsidRPr="00EA1E4E" w:rsidR="00BB59C8">
        <w:t xml:space="preserve"> in Caribisch Nederland</w:t>
      </w:r>
      <w:r w:rsidRPr="00EA1E4E">
        <w:t xml:space="preserve">. </w:t>
      </w:r>
    </w:p>
    <w:bookmarkEnd w:id="4"/>
    <w:p w:rsidRPr="00EA1E4E" w:rsidR="00AE4810" w:rsidP="00AE4810" w:rsidRDefault="00AE4810" w14:paraId="4455318C" w14:textId="77777777"/>
    <w:p w:rsidRPr="00EA1E4E" w:rsidR="003846AB" w:rsidP="003846AB" w:rsidRDefault="00AE4810" w14:paraId="2CED5CD9" w14:textId="4E89C076">
      <w:r w:rsidRPr="00EA1E4E">
        <w:t xml:space="preserve">Bij de uitwerking van de verschillende maatregelen wordt elke maatregel gewogen op proportionaliteit, subsidiariteit, doelmatigheid en doeltreffendheid. </w:t>
      </w:r>
      <w:r w:rsidRPr="00EA1E4E" w:rsidR="000A77EA">
        <w:t xml:space="preserve">Uiteindelijk zullen de effecten van het </w:t>
      </w:r>
      <w:r w:rsidRPr="00EA1E4E" w:rsidR="005D6ED1">
        <w:t>ge</w:t>
      </w:r>
      <w:r w:rsidRPr="00EA1E4E" w:rsidR="000A77EA">
        <w:t xml:space="preserve">hele pakket aan maatregelen moeten worden gewogen. </w:t>
      </w:r>
      <w:r w:rsidRPr="00EA1E4E">
        <w:t xml:space="preserve">Onderdeel daarvan is dat </w:t>
      </w:r>
      <w:r w:rsidRPr="00EA1E4E" w:rsidR="00882A89">
        <w:t xml:space="preserve">uitvoeringsanalyses en uitvoeringstoetsen worden gedaan, </w:t>
      </w:r>
      <w:r w:rsidRPr="00EA1E4E" w:rsidR="00847088">
        <w:t xml:space="preserve">evenals </w:t>
      </w:r>
      <w:proofErr w:type="spellStart"/>
      <w:r w:rsidRPr="00EA1E4E" w:rsidR="00882A89">
        <w:t>privacyimpactassessments</w:t>
      </w:r>
      <w:proofErr w:type="spellEnd"/>
      <w:r w:rsidRPr="00EA1E4E" w:rsidR="004A32DD">
        <w:t xml:space="preserve"> en</w:t>
      </w:r>
      <w:r w:rsidRPr="00EA1E4E" w:rsidR="00882A89">
        <w:t xml:space="preserve"> lastendruk</w:t>
      </w:r>
      <w:r w:rsidRPr="00EA1E4E" w:rsidR="001107AF">
        <w:t>-</w:t>
      </w:r>
      <w:r w:rsidRPr="00EA1E4E" w:rsidR="00882A89">
        <w:t xml:space="preserve"> en regeldrukmetingen</w:t>
      </w:r>
      <w:r w:rsidRPr="00EA1E4E" w:rsidR="006F72F6">
        <w:t xml:space="preserve"> worden uitgevoerd</w:t>
      </w:r>
      <w:r w:rsidRPr="00EA1E4E">
        <w:t xml:space="preserve">. </w:t>
      </w:r>
      <w:r w:rsidRPr="00EA1E4E" w:rsidR="00C07C0B">
        <w:t xml:space="preserve">Daarnaast is van belang dat </w:t>
      </w:r>
      <w:r w:rsidRPr="00EA1E4E">
        <w:t xml:space="preserve">een balans wordt gevonden in het verbeteren van de bescherming van mensen binnen het legale aanbod en het tegengaan van toestroom naar illegaal aanbod. Daarmee wordt een zo groot mogelijke bescherming tegen </w:t>
      </w:r>
      <w:r w:rsidRPr="00EA1E4E" w:rsidR="00C07C0B">
        <w:t>gok</w:t>
      </w:r>
      <w:r w:rsidRPr="00EA1E4E">
        <w:t xml:space="preserve">schade geboden en </w:t>
      </w:r>
      <w:r w:rsidRPr="00EA1E4E" w:rsidR="005D6ED1">
        <w:t xml:space="preserve">wordt </w:t>
      </w:r>
      <w:r w:rsidRPr="00EA1E4E">
        <w:t xml:space="preserve">criminaliteit </w:t>
      </w:r>
      <w:r w:rsidRPr="00EA1E4E" w:rsidR="005D6ED1">
        <w:t xml:space="preserve">zo veel mogelijk </w:t>
      </w:r>
      <w:r w:rsidRPr="00EA1E4E">
        <w:t xml:space="preserve">tegengegaan. </w:t>
      </w:r>
      <w:r w:rsidRPr="00EA1E4E" w:rsidR="003846AB">
        <w:t xml:space="preserve">De implementatie van voorgenomen wijzigingen heeft mogelijk ook financiële gevolgen. Deze zal ik in de loop van de verdere uitwerking in kaart brengen met behulp van uitvoeringstoetsen en lastenmetingen. </w:t>
      </w:r>
      <w:r w:rsidRPr="00EA1E4E" w:rsidR="002031D0">
        <w:t>De financiële gevolgen voor de Ksa worden gedekt binnen de begroting van Ksa</w:t>
      </w:r>
      <w:r w:rsidRPr="00EA1E4E" w:rsidR="00B55C04">
        <w:t xml:space="preserve"> en zo nodig door het </w:t>
      </w:r>
      <w:r w:rsidRPr="00EA1E4E" w:rsidR="00542741">
        <w:t>M</w:t>
      </w:r>
      <w:r w:rsidRPr="00EA1E4E" w:rsidR="00B55C04">
        <w:t>inisterie van Justitie en Veiligheid</w:t>
      </w:r>
      <w:r w:rsidRPr="00EA1E4E" w:rsidR="002031D0">
        <w:t>.</w:t>
      </w:r>
    </w:p>
    <w:p w:rsidRPr="00EA1E4E" w:rsidR="000A77EA" w:rsidP="00021723" w:rsidRDefault="000A77EA" w14:paraId="4FC70F56" w14:textId="06548495"/>
    <w:p w:rsidRPr="00EA1E4E" w:rsidR="00021723" w:rsidP="00021723" w:rsidRDefault="00021723" w14:paraId="1C125104" w14:textId="5C74FBA4">
      <w:bookmarkStart w:name="_Hlk219467821" w:id="5"/>
      <w:r w:rsidRPr="00EA1E4E">
        <w:t xml:space="preserve">Eerder is met uw Kamer het streven gedeeld om het wetsvoorstel tot wijziging van de Wok eind 2026 in consultatie te geven. Gelet op de </w:t>
      </w:r>
      <w:r w:rsidRPr="00EA1E4E" w:rsidR="0062701C">
        <w:t xml:space="preserve">omvang van de </w:t>
      </w:r>
      <w:r w:rsidRPr="00EA1E4E" w:rsidR="002331ED">
        <w:t>wijzigingen en</w:t>
      </w:r>
      <w:r w:rsidRPr="00EA1E4E">
        <w:t xml:space="preserve"> </w:t>
      </w:r>
      <w:r w:rsidRPr="00EA1E4E" w:rsidR="00C85CEF">
        <w:t xml:space="preserve">de </w:t>
      </w:r>
      <w:r w:rsidRPr="00EA1E4E">
        <w:t>benodigde zorgvuldigheid van dit traject hou</w:t>
      </w:r>
      <w:r w:rsidRPr="00EA1E4E" w:rsidR="001107AF">
        <w:t>d</w:t>
      </w:r>
      <w:r w:rsidRPr="00EA1E4E">
        <w:t xml:space="preserve"> ik </w:t>
      </w:r>
      <w:r w:rsidRPr="00EA1E4E" w:rsidR="00EB5F1F">
        <w:t xml:space="preserve">er </w:t>
      </w:r>
      <w:r w:rsidRPr="00EA1E4E">
        <w:t>rekening me</w:t>
      </w:r>
      <w:r w:rsidRPr="00EA1E4E" w:rsidR="00EB5F1F">
        <w:t>e dat dit in 2027 gebeurt</w:t>
      </w:r>
      <w:r w:rsidRPr="00EA1E4E">
        <w:t>.</w:t>
      </w:r>
      <w:r w:rsidRPr="00EA1E4E" w:rsidR="00C958D4">
        <w:t xml:space="preserve"> Het kabinet hecht groot belang aan </w:t>
      </w:r>
      <w:r w:rsidRPr="00EA1E4E" w:rsidR="0073166D">
        <w:t>het beter beschermen van mensen tegen gokschade en zet zich in om zo snel mogelijk te komen tot goede wet- en regelgeving.</w:t>
      </w:r>
    </w:p>
    <w:bookmarkEnd w:id="5"/>
    <w:p w:rsidRPr="00EA1E4E" w:rsidR="00185E06" w:rsidP="00246EB0" w:rsidRDefault="00185E06" w14:paraId="0AD928DE" w14:textId="5A52C386"/>
    <w:p w:rsidRPr="00EA1E4E" w:rsidR="00E75ACF" w:rsidP="00705E23" w:rsidRDefault="00E75ACF" w14:paraId="23BBD2B6" w14:textId="1025429B">
      <w:pPr>
        <w:pStyle w:val="Lijstalinea"/>
        <w:numPr>
          <w:ilvl w:val="0"/>
          <w:numId w:val="8"/>
        </w:numPr>
        <w:rPr>
          <w:b/>
          <w:bCs/>
        </w:rPr>
      </w:pPr>
      <w:bookmarkStart w:name="_Hlk219466427" w:id="6"/>
      <w:r w:rsidRPr="00EA1E4E">
        <w:rPr>
          <w:b/>
          <w:bCs/>
        </w:rPr>
        <w:t xml:space="preserve">Bredere aanpak: </w:t>
      </w:r>
      <w:proofErr w:type="spellStart"/>
      <w:r w:rsidRPr="00EA1E4E" w:rsidR="007357DF">
        <w:rPr>
          <w:b/>
          <w:bCs/>
        </w:rPr>
        <w:t>Meerjarenagenda</w:t>
      </w:r>
      <w:proofErr w:type="spellEnd"/>
      <w:r w:rsidRPr="00EA1E4E" w:rsidR="007357DF">
        <w:rPr>
          <w:b/>
          <w:bCs/>
        </w:rPr>
        <w:t xml:space="preserve"> bescherming tegen gokschade</w:t>
      </w:r>
      <w:bookmarkEnd w:id="6"/>
    </w:p>
    <w:p w:rsidRPr="00EA1E4E" w:rsidR="007628D0" w:rsidP="00843C90" w:rsidRDefault="007628D0" w14:paraId="79DC9382" w14:textId="77777777"/>
    <w:p w:rsidRPr="00EA1E4E" w:rsidR="00326227" w:rsidP="00843C90" w:rsidRDefault="003846AB" w14:paraId="2D9933D5" w14:textId="19234A0D">
      <w:r w:rsidRPr="00EA1E4E">
        <w:t>U</w:t>
      </w:r>
      <w:r w:rsidRPr="00EA1E4E" w:rsidR="004875F6">
        <w:t xml:space="preserve">itsluitend aanpassing van wet- en regelgeving </w:t>
      </w:r>
      <w:r w:rsidRPr="00EA1E4E">
        <w:t xml:space="preserve">is </w:t>
      </w:r>
      <w:r w:rsidRPr="00EA1E4E" w:rsidR="004875F6">
        <w:t xml:space="preserve">niet voldoende om mensen te beschermen tegen gokschade. Effectieve bescherming vraagt om een brede aanpak die ook meer preventieve maatregelen bevat, zowel voor </w:t>
      </w:r>
      <w:proofErr w:type="spellStart"/>
      <w:r w:rsidRPr="00EA1E4E" w:rsidR="004875F6">
        <w:t>landgebonden</w:t>
      </w:r>
      <w:proofErr w:type="spellEnd"/>
      <w:r w:rsidRPr="00EA1E4E" w:rsidR="004875F6">
        <w:t xml:space="preserve"> als online kansspelen. In dat kader </w:t>
      </w:r>
      <w:r w:rsidRPr="00EA1E4E" w:rsidR="0044148E">
        <w:t>hebben diverse partijen</w:t>
      </w:r>
      <w:r w:rsidRPr="00EA1E4E" w:rsidR="004875F6">
        <w:t xml:space="preserve"> d</w:t>
      </w:r>
      <w:r w:rsidRPr="00EA1E4E" w:rsidR="00843C90">
        <w:t xml:space="preserve">e afgelopen jaren binnen de werkagenda Verslavingspreventie Kansspelen 2024 belangrijke stappen </w:t>
      </w:r>
      <w:r w:rsidRPr="00EA1E4E" w:rsidR="00D53195">
        <w:t xml:space="preserve">gezet </w:t>
      </w:r>
      <w:r w:rsidRPr="00EA1E4E" w:rsidR="00843C90">
        <w:t>om (potentiële) spelers beter te beschermen tegen de risico’s van kansspelen.</w:t>
      </w:r>
      <w:r w:rsidRPr="00EA1E4E" w:rsidR="00D53195">
        <w:rPr>
          <w:rStyle w:val="Voetnootmarkering"/>
        </w:rPr>
        <w:footnoteReference w:id="33"/>
      </w:r>
      <w:r w:rsidRPr="00EA1E4E" w:rsidR="00843C90">
        <w:t xml:space="preserve"> Zo is het Expertisecentrum Gokken opgericht binnen het Trimbos-instituut en zijn verschillende preventieve initiatieven uitgevoerd, waaronder voorlichtings</w:t>
      </w:r>
      <w:r w:rsidRPr="00EA1E4E" w:rsidR="00017C6D">
        <w:t>activiteiten en -</w:t>
      </w:r>
      <w:r w:rsidRPr="00EA1E4E" w:rsidR="00843C90">
        <w:t xml:space="preserve">campagnes, onderzoeken en de ontwikkeling en lancering van het platform </w:t>
      </w:r>
      <w:proofErr w:type="spellStart"/>
      <w:r w:rsidRPr="00EA1E4E" w:rsidR="00843C90">
        <w:t>OpenOverGokken</w:t>
      </w:r>
      <w:proofErr w:type="spellEnd"/>
      <w:r w:rsidRPr="00EA1E4E" w:rsidR="00BB572E">
        <w:t>.</w:t>
      </w:r>
      <w:r w:rsidRPr="00EA1E4E" w:rsidR="00843C90">
        <w:rPr>
          <w:rStyle w:val="Voetnootmarkering"/>
        </w:rPr>
        <w:footnoteReference w:id="34"/>
      </w:r>
      <w:r w:rsidRPr="00EA1E4E" w:rsidR="00843C90">
        <w:t xml:space="preserve"> </w:t>
      </w:r>
      <w:r w:rsidRPr="00EA1E4E" w:rsidR="005C1B42">
        <w:t>Het v</w:t>
      </w:r>
      <w:r w:rsidRPr="00EA1E4E" w:rsidR="00676728">
        <w:t xml:space="preserve">oorgaande </w:t>
      </w:r>
      <w:r w:rsidRPr="00EA1E4E" w:rsidR="00D53195">
        <w:t xml:space="preserve">wordt </w:t>
      </w:r>
      <w:r w:rsidRPr="00EA1E4E" w:rsidR="00676728">
        <w:t xml:space="preserve">gefinancierd vanuit het Verslavingspreventiefonds dat onder beheer staat van de </w:t>
      </w:r>
      <w:proofErr w:type="spellStart"/>
      <w:r w:rsidRPr="00EA1E4E" w:rsidR="00676728">
        <w:t>Ksa</w:t>
      </w:r>
      <w:proofErr w:type="spellEnd"/>
      <w:r w:rsidRPr="00EA1E4E" w:rsidR="00676728">
        <w:t>.</w:t>
      </w:r>
      <w:r w:rsidRPr="00EA1E4E" w:rsidR="00EF3C63">
        <w:t xml:space="preserve"> </w:t>
      </w:r>
    </w:p>
    <w:p w:rsidRPr="00EA1E4E" w:rsidR="00004346" w:rsidP="00843C90" w:rsidRDefault="00004346" w14:paraId="6CB72200" w14:textId="77777777"/>
    <w:p w:rsidRPr="00EA1E4E" w:rsidR="00073BDB" w:rsidP="00F85435" w:rsidRDefault="00843C90" w14:paraId="48125EB3" w14:textId="51001FBF">
      <w:r w:rsidRPr="00EA1E4E">
        <w:t>Om te komen tot duurzame, effectieve bescherming van mensen tegen gokschade is een langetermijnstrategie nodig</w:t>
      </w:r>
      <w:r w:rsidRPr="00EA1E4E" w:rsidR="005C1B42">
        <w:t xml:space="preserve"> die</w:t>
      </w:r>
      <w:r w:rsidRPr="00EA1E4E">
        <w:t xml:space="preserve"> niet alleen ziet op het voorkomen van gokverslaving, maar</w:t>
      </w:r>
      <w:r w:rsidRPr="00EA1E4E" w:rsidR="00004346">
        <w:t xml:space="preserve"> is</w:t>
      </w:r>
      <w:r w:rsidRPr="00EA1E4E">
        <w:t xml:space="preserve"> gericht op het breder voorkomen van gokschade. </w:t>
      </w:r>
      <w:r w:rsidRPr="00EA1E4E" w:rsidR="00EF2733">
        <w:t xml:space="preserve">Het Expertisecentrum Gokken </w:t>
      </w:r>
      <w:r w:rsidRPr="00EA1E4E" w:rsidR="00073BDB">
        <w:t xml:space="preserve">legt </w:t>
      </w:r>
      <w:r w:rsidRPr="00EA1E4E" w:rsidR="00EF2733">
        <w:t>op basis van</w:t>
      </w:r>
      <w:r w:rsidRPr="00EA1E4E" w:rsidR="00021723">
        <w:t xml:space="preserve"> wetenschappelijke (</w:t>
      </w:r>
      <w:r w:rsidRPr="00EA1E4E" w:rsidR="00EF2733">
        <w:t>internationale</w:t>
      </w:r>
      <w:r w:rsidRPr="00EA1E4E" w:rsidR="00021723">
        <w:t>) literatuur</w:t>
      </w:r>
      <w:r w:rsidRPr="00EA1E4E" w:rsidR="00EF2733">
        <w:t xml:space="preserve"> </w:t>
      </w:r>
      <w:r w:rsidRPr="00EA1E4E" w:rsidR="00073BDB">
        <w:t>het begrip gokschade als</w:t>
      </w:r>
      <w:r w:rsidRPr="00EA1E4E" w:rsidR="00B00CDE">
        <w:t xml:space="preserve"> </w:t>
      </w:r>
      <w:r w:rsidRPr="00EA1E4E" w:rsidR="00073BDB">
        <w:t>volgt uit</w:t>
      </w:r>
      <w:r w:rsidRPr="00EA1E4E" w:rsidR="006C32F4">
        <w:rPr>
          <w:rStyle w:val="Voetnootmarkering"/>
        </w:rPr>
        <w:footnoteReference w:id="35"/>
      </w:r>
      <w:r w:rsidRPr="00EA1E4E" w:rsidR="00073BDB">
        <w:t>:</w:t>
      </w:r>
    </w:p>
    <w:p w:rsidRPr="00EA1E4E" w:rsidR="006C32F4" w:rsidP="00F85435" w:rsidRDefault="00713284" w14:paraId="46DBEA0B" w14:textId="48FF1C34">
      <w:r w:rsidRPr="00EA1E4E">
        <w:rPr>
          <w:noProof/>
        </w:rPr>
        <mc:AlternateContent>
          <mc:Choice Requires="wps">
            <w:drawing>
              <wp:anchor distT="45720" distB="45720" distL="114300" distR="114300" simplePos="0" relativeHeight="251659264" behindDoc="0" locked="0" layoutInCell="1" allowOverlap="1" wp14:editId="33A2ADE2" wp14:anchorId="4E62B75E">
                <wp:simplePos x="0" y="0"/>
                <wp:positionH relativeFrom="column">
                  <wp:posOffset>1270</wp:posOffset>
                </wp:positionH>
                <wp:positionV relativeFrom="paragraph">
                  <wp:posOffset>206375</wp:posOffset>
                </wp:positionV>
                <wp:extent cx="4733925" cy="1404620"/>
                <wp:effectExtent l="0" t="0" r="28575"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solidFill>
                          <a:srgbClr val="FFFFFF"/>
                        </a:solidFill>
                        <a:ln w="9525">
                          <a:solidFill>
                            <a:srgbClr val="000000"/>
                          </a:solidFill>
                          <a:miter lim="800000"/>
                          <a:headEnd/>
                          <a:tailEnd/>
                        </a:ln>
                      </wps:spPr>
                      <wps:txbx>
                        <w:txbxContent>
                          <w:p w:rsidR="006C32F4" w:rsidRDefault="006C32F4" w14:paraId="1B82419E" w14:textId="614E53BE">
                            <w:r>
                              <w:t>Gokschade is</w:t>
                            </w:r>
                            <w:r w:rsidRPr="006C32F4">
                              <w:t xml:space="preserve"> de negatieve gevolgen van gokken voor mensen, gezinnen en de maatschappij. Deze negatieve gevolgen kunnen optreden op verschillende gebieden, zoals financiën, gezondheid en relaties. Soms is gokschade tijdelijk. Maar het kan ook blijvend zijn, zelfs nadat iemand is gestopt met gokken. In sommige gevallen raakt gokschade zelfs meerdere generaties.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2B75E">
                <v:stroke joinstyle="miter"/>
                <v:path gradientshapeok="t" o:connecttype="rect"/>
              </v:shapetype>
              <v:shape id="Tekstvak 2" style="position:absolute;margin-left:.1pt;margin-top:16.25pt;width:37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YdEAIAACAEAAAOAAAAZHJzL2Uyb0RvYy54bWysU9tu2zAMfR+wfxD0vthJnbYx4hRdugwD&#10;ugvQ7QNoWY6FyaImKbG7rx+lpGnQDXsYpgdBFKmjw0NyeTP2mu2l8wpNxaeTnDNpBDbKbCv+7evm&#10;zTVnPoBpQKORFX+Unt+sXr9aDraUM+xQN9IxAjG+HGzFuxBsmWVedLIHP0ErDTlbdD0EMt02axwM&#10;hN7rbJbnl9mArrEOhfSebu8OTr5K+G0rRfjctl4GpitO3ELaXdrruGerJZRbB7ZT4kgD/oFFD8rQ&#10;pyeoOwjAdk79BtUr4dBjGyYC+wzbVgmZcqBspvmLbB46sDLlQuJ4e5LJ/z9Y8Wn/YL84Fsa3OFIB&#10;UxLe3qP47pnBdQdmK2+dw6GT0NDH0yhZNlhfHp9GqX3pI0g9fMSGigy7gAlobF0fVaE8GaFTAR5P&#10;ossxMEGXxdXFxWI250yQb1rkxeUslSWD8um5dT68l9izeKi4o6omeNjf+xDpQPkUEn/zqFWzUVon&#10;w23rtXZsD9QBm7RSBi/CtGFDxRdzIvJ3iDytP0H0KlAra9VX/PoUBGXU7Z1pUqMFUPpwJsraHIWM&#10;2h1UDGM9UmAUtMbmkSR1eGhZGjE6dOh+cjZQu1bc/9iBk5zpD4bKspgWRezvZBTzK9KQuXNPfe4B&#10;Iwiq4oGzw3Ed0kyk1O0tlW+jkrDPTI5cqQ2T3seRiX1+bqeo58Fe/QIAAP//AwBQSwMEFAAGAAgA&#10;AAAhAAu/8ErbAAAABwEAAA8AAABkcnMvZG93bnJldi54bWxMjs1OwzAQhO9IvIO1SFwq6pDgBoU4&#10;FVTqiVNDubvxkkTE6xC7bfr2LCd6nB/NfOV6doM44RR6TxoelwkIpMbbnloN+4/twzOIEA1ZM3hC&#10;DRcMsK5ub0pTWH+mHZ7q2AoeoVAYDV2MYyFlaDp0Jiz9iMTZl5+ciSynVtrJnHncDTJNkpV0pid+&#10;6MyImw6b7/roNKx+6mzx/mkXtLts36bGKbvZK63v7+bXFxAR5/hfhj98RoeKmQ7+SDaIQUPKPQ1Z&#10;qkBwmj+pHMSBbZXlIKtSXvNXvwAAAP//AwBQSwECLQAUAAYACAAAACEAtoM4kv4AAADhAQAAEwAA&#10;AAAAAAAAAAAAAAAAAAAAW0NvbnRlbnRfVHlwZXNdLnhtbFBLAQItABQABgAIAAAAIQA4/SH/1gAA&#10;AJQBAAALAAAAAAAAAAAAAAAAAC8BAABfcmVscy8ucmVsc1BLAQItABQABgAIAAAAIQDntWYdEAIA&#10;ACAEAAAOAAAAAAAAAAAAAAAAAC4CAABkcnMvZTJvRG9jLnhtbFBLAQItABQABgAIAAAAIQALv/BK&#10;2wAAAAcBAAAPAAAAAAAAAAAAAAAAAGoEAABkcnMvZG93bnJldi54bWxQSwUGAAAAAAQABADzAAAA&#10;cgUAAAAA&#10;">
                <v:textbox style="mso-fit-shape-to-text:t">
                  <w:txbxContent>
                    <w:p w:rsidR="006C32F4" w:rsidRDefault="006C32F4" w14:paraId="1B82419E" w14:textId="614E53BE">
                      <w:r>
                        <w:t>Gokschade is</w:t>
                      </w:r>
                      <w:r w:rsidRPr="006C32F4">
                        <w:t xml:space="preserve"> de negatieve gevolgen van gokken voor mensen, gezinnen en de maatschappij. Deze negatieve gevolgen kunnen optreden op verschillende gebieden, zoals financiën, gezondheid en relaties. Soms is gokschade tijdelijk. Maar het kan ook blijvend zijn, zelfs nadat iemand is gestopt met gokken. In sommige gevallen raakt gokschade zelfs meerdere generaties.</w:t>
                      </w:r>
                    </w:p>
                  </w:txbxContent>
                </v:textbox>
                <w10:wrap type="square"/>
              </v:shape>
            </w:pict>
          </mc:Fallback>
        </mc:AlternateContent>
      </w:r>
    </w:p>
    <w:p w:rsidRPr="00EA1E4E" w:rsidR="00080AA7" w:rsidP="00F85435" w:rsidRDefault="00080AA7" w14:paraId="1A27140D" w14:textId="77777777"/>
    <w:p w:rsidRPr="00EA1E4E" w:rsidR="00B66FD5" w:rsidP="00F85435" w:rsidRDefault="00EF2733" w14:paraId="76FD3412" w14:textId="49F6BFC0">
      <w:r w:rsidRPr="00EA1E4E">
        <w:t xml:space="preserve">Ik omarm deze definitie en zet in op het voorkomen van gokschade </w:t>
      </w:r>
      <w:r w:rsidRPr="00EA1E4E" w:rsidR="00021723">
        <w:t xml:space="preserve">op deze gebieden </w:t>
      </w:r>
      <w:r w:rsidRPr="00EA1E4E">
        <w:t xml:space="preserve">voor alle mensen. Daarbij heb ik steeds nadrukkelijk aandacht voor kwetsbare personen, waaronder minderjarigen en jongvolwassenen. </w:t>
      </w:r>
    </w:p>
    <w:p w:rsidRPr="00EA1E4E" w:rsidR="00B66FD5" w:rsidP="00F85435" w:rsidRDefault="00B66FD5" w14:paraId="52D1DCFA" w14:textId="77777777"/>
    <w:p w:rsidRPr="00EA1E4E" w:rsidR="009D6499" w:rsidP="009D6499" w:rsidRDefault="00BB572E" w14:paraId="19B42137" w14:textId="04D8115D">
      <w:r w:rsidRPr="00EA1E4E">
        <w:t xml:space="preserve">In samenwerking met het </w:t>
      </w:r>
      <w:r w:rsidRPr="00EA1E4E" w:rsidR="005C1B42">
        <w:t>M</w:t>
      </w:r>
      <w:r w:rsidRPr="00EA1E4E">
        <w:t>inisterie van Volksgezondheid, Welzijn en Sport en de Ksa en na gesprekken met verschillende stakeholders die betrokken zijn bij (het voorkomen van) gokschade, heb ik</w:t>
      </w:r>
      <w:r w:rsidRPr="00EA1E4E" w:rsidR="00991FDF">
        <w:t xml:space="preserve"> </w:t>
      </w:r>
      <w:r w:rsidRPr="00EA1E4E">
        <w:t>strategische doelen vastgesteld om te komen tot effectieve, duurzame bescherming tegen gokschade.</w:t>
      </w:r>
      <w:r w:rsidRPr="00EA1E4E" w:rsidR="00F85435">
        <w:t xml:space="preserve"> </w:t>
      </w:r>
      <w:r w:rsidRPr="00EA1E4E" w:rsidR="00B66FD5">
        <w:t xml:space="preserve">In de </w:t>
      </w:r>
      <w:proofErr w:type="spellStart"/>
      <w:r w:rsidRPr="00EA1E4E" w:rsidR="00B66FD5">
        <w:t>meerjarenagenda</w:t>
      </w:r>
      <w:proofErr w:type="spellEnd"/>
      <w:r w:rsidRPr="00EA1E4E" w:rsidR="00B66FD5">
        <w:t xml:space="preserve"> die als bijlage bij deze brief is gevoegd, beschrijf ik per strategisch doel de inzet voor de komende vijf jaren (2026-2030).</w:t>
      </w:r>
      <w:r w:rsidRPr="00EA1E4E" w:rsidR="003846AB">
        <w:t xml:space="preserve"> </w:t>
      </w:r>
      <w:r w:rsidRPr="00EA1E4E" w:rsidR="009D6499">
        <w:t>Met de volgende vijf strategische doelen streef ik naar een structurele daling van de omvang van gokschade in Nederland</w:t>
      </w:r>
      <w:r w:rsidRPr="00EA1E4E" w:rsidR="00B66FD5">
        <w:t>:</w:t>
      </w:r>
      <w:r w:rsidRPr="00EA1E4E" w:rsidR="006C50D4">
        <w:t xml:space="preserve"> </w:t>
      </w:r>
    </w:p>
    <w:p w:rsidRPr="00EA1E4E" w:rsidR="007628D0" w:rsidP="009D6499" w:rsidRDefault="007628D0" w14:paraId="7B225A20" w14:textId="77777777"/>
    <w:p w:rsidRPr="00EA1E4E" w:rsidR="009D6499" w:rsidP="009D6499" w:rsidRDefault="009D6499" w14:paraId="65615EAE" w14:textId="0342E3B6">
      <w:pPr>
        <w:pStyle w:val="Lijstalinea"/>
        <w:numPr>
          <w:ilvl w:val="0"/>
          <w:numId w:val="15"/>
        </w:numPr>
      </w:pPr>
      <w:r w:rsidRPr="00EA1E4E">
        <w:t xml:space="preserve">Meer bewustzijn bij mensen die gokken (of dit overwegen) en hun omgeving </w:t>
      </w:r>
      <w:r w:rsidRPr="00EA1E4E" w:rsidR="00017C6D">
        <w:t xml:space="preserve">over de risico’s van </w:t>
      </w:r>
      <w:r w:rsidRPr="00EA1E4E">
        <w:t>gokken</w:t>
      </w:r>
    </w:p>
    <w:p w:rsidRPr="00EA1E4E" w:rsidR="009D6499" w:rsidP="008443B3" w:rsidRDefault="00B66FD5" w14:paraId="28023694" w14:textId="1330E9E7">
      <w:pPr>
        <w:pStyle w:val="Lijstalinea"/>
      </w:pPr>
      <w:r w:rsidRPr="00EA1E4E">
        <w:t>H</w:t>
      </w:r>
      <w:r w:rsidRPr="00EA1E4E" w:rsidR="009D6499">
        <w:t xml:space="preserve">et verbeteren van de informatievoorziening </w:t>
      </w:r>
      <w:r w:rsidRPr="00EA1E4E">
        <w:t>over</w:t>
      </w:r>
      <w:r w:rsidRPr="00EA1E4E" w:rsidR="009D6499">
        <w:t xml:space="preserve"> de risico’s van gokken</w:t>
      </w:r>
      <w:r w:rsidRPr="00EA1E4E" w:rsidR="00316DBC">
        <w:t>.</w:t>
      </w:r>
      <w:r w:rsidRPr="00EA1E4E" w:rsidR="009D6499">
        <w:t xml:space="preserve"> Gokken moet niet worden gezien als een reguliere, onschuldige, tijdsbesteding.</w:t>
      </w:r>
      <w:r w:rsidRPr="00EA1E4E" w:rsidR="008443B3">
        <w:t xml:space="preserve"> Normalisering van deelname aan risicovolle kansspelen onder jongvolwassenen dient te worden tegengegaan.</w:t>
      </w:r>
    </w:p>
    <w:p w:rsidRPr="00EA1E4E" w:rsidR="009D6499" w:rsidP="009D6499" w:rsidRDefault="009D6499" w14:paraId="3C850809" w14:textId="77777777">
      <w:pPr>
        <w:pStyle w:val="Lijstalinea"/>
      </w:pPr>
    </w:p>
    <w:p w:rsidRPr="00EA1E4E" w:rsidR="008443B3" w:rsidP="008443B3" w:rsidRDefault="008443B3" w14:paraId="79D5A89A" w14:textId="3FCDE1C8">
      <w:pPr>
        <w:pStyle w:val="Lijstalinea"/>
        <w:numPr>
          <w:ilvl w:val="0"/>
          <w:numId w:val="15"/>
        </w:numPr>
      </w:pPr>
      <w:r w:rsidRPr="00EA1E4E">
        <w:t>Een veiliger gokaanbod</w:t>
      </w:r>
      <w:r w:rsidRPr="00EA1E4E" w:rsidR="00D0614A">
        <w:t xml:space="preserve"> en hoger beschermingsniveau</w:t>
      </w:r>
    </w:p>
    <w:p w:rsidRPr="00EA1E4E" w:rsidR="008443B3" w:rsidP="008443B3" w:rsidRDefault="008443B3" w14:paraId="14B208AB" w14:textId="77777777">
      <w:pPr>
        <w:pStyle w:val="Lijstalinea"/>
      </w:pPr>
      <w:r w:rsidRPr="00EA1E4E">
        <w:t>Het veiliger maken van de aangeboden gokproducten zelf en de omgeving waarin dit wordt aangeboden. Het tegengaan van illegaal aanbod valt hier ook onder.</w:t>
      </w:r>
    </w:p>
    <w:p w:rsidRPr="00EA1E4E" w:rsidR="008443B3" w:rsidP="008443B3" w:rsidRDefault="008443B3" w14:paraId="2F6649A5" w14:textId="77777777">
      <w:pPr>
        <w:pStyle w:val="Lijstalinea"/>
      </w:pPr>
    </w:p>
    <w:p w:rsidRPr="00EA1E4E" w:rsidR="009D6499" w:rsidP="009D6499" w:rsidRDefault="009D6499" w14:paraId="637A1B11" w14:textId="282C8010">
      <w:pPr>
        <w:pStyle w:val="Lijstalinea"/>
        <w:numPr>
          <w:ilvl w:val="0"/>
          <w:numId w:val="15"/>
        </w:numPr>
      </w:pPr>
      <w:r w:rsidRPr="00EA1E4E">
        <w:t>Tijdige signalering en effectiever ingrijpen bij (dreiging van) gokschade</w:t>
      </w:r>
    </w:p>
    <w:p w:rsidRPr="00EA1E4E" w:rsidR="009D6499" w:rsidP="009D6499" w:rsidRDefault="00B66FD5" w14:paraId="64D12A69" w14:textId="67FE8CAE">
      <w:pPr>
        <w:pStyle w:val="Lijstalinea"/>
      </w:pPr>
      <w:r w:rsidRPr="00EA1E4E">
        <w:t>H</w:t>
      </w:r>
      <w:r w:rsidRPr="00EA1E4E" w:rsidR="009D6499">
        <w:t xml:space="preserve">et eerder herkennen van (dreigende) gokproblemen door gokaanbieders, </w:t>
      </w:r>
      <w:r w:rsidRPr="00EA1E4E" w:rsidR="002B0806">
        <w:t xml:space="preserve">professionals, </w:t>
      </w:r>
      <w:r w:rsidRPr="00EA1E4E" w:rsidR="009D6499">
        <w:t xml:space="preserve">spelers </w:t>
      </w:r>
      <w:r w:rsidRPr="00EA1E4E" w:rsidR="002B0806">
        <w:t>en</w:t>
      </w:r>
      <w:r w:rsidRPr="00EA1E4E" w:rsidR="009D6499">
        <w:t xml:space="preserve"> </w:t>
      </w:r>
      <w:r w:rsidRPr="00EA1E4E">
        <w:t xml:space="preserve">hun </w:t>
      </w:r>
      <w:r w:rsidRPr="00EA1E4E" w:rsidR="009D6499">
        <w:t xml:space="preserve">naasten. </w:t>
      </w:r>
      <w:r w:rsidRPr="00EA1E4E">
        <w:t>Daarnaast</w:t>
      </w:r>
      <w:r w:rsidRPr="00EA1E4E" w:rsidR="009D6499">
        <w:t xml:space="preserve"> ingrijpen bij risicovol gedrag, waaronder invulling van de zorgplicht en hoe een speler zichzelf effectiever zou kunnen beschermen.</w:t>
      </w:r>
    </w:p>
    <w:p w:rsidRPr="00EA1E4E" w:rsidR="00056845" w:rsidP="009D6499" w:rsidRDefault="00056845" w14:paraId="092831DC" w14:textId="77777777">
      <w:pPr>
        <w:pStyle w:val="Lijstalinea"/>
      </w:pPr>
    </w:p>
    <w:p w:rsidRPr="00EA1E4E" w:rsidR="009D6499" w:rsidP="009D6499" w:rsidRDefault="009D6499" w14:paraId="5E6D3D8E" w14:textId="3F4285DA">
      <w:pPr>
        <w:pStyle w:val="Lijstalinea"/>
        <w:numPr>
          <w:ilvl w:val="0"/>
          <w:numId w:val="15"/>
        </w:numPr>
      </w:pPr>
      <w:r w:rsidRPr="00EA1E4E">
        <w:t>Betere doorgeleiding naar passende hulp en ondersteuning bij gokproblematiek</w:t>
      </w:r>
    </w:p>
    <w:p w:rsidRPr="00EA1E4E" w:rsidR="009D6499" w:rsidP="009D6499" w:rsidRDefault="00B66FD5" w14:paraId="4647BBDE" w14:textId="6241D97E">
      <w:pPr>
        <w:pStyle w:val="Lijstalinea"/>
      </w:pPr>
      <w:r w:rsidRPr="00EA1E4E">
        <w:t>T</w:t>
      </w:r>
      <w:r w:rsidRPr="00EA1E4E" w:rsidR="00FF1C6A">
        <w:t xml:space="preserve">ijdig </w:t>
      </w:r>
      <w:r w:rsidRPr="00EA1E4E" w:rsidR="009D6499">
        <w:t>passende hulp en ondersteuning is voor de speler en diens naasten</w:t>
      </w:r>
      <w:r w:rsidRPr="00EA1E4E">
        <w:t xml:space="preserve"> bij gokschade</w:t>
      </w:r>
      <w:r w:rsidRPr="00EA1E4E" w:rsidR="009D6499">
        <w:t>.</w:t>
      </w:r>
    </w:p>
    <w:p w:rsidRPr="00EA1E4E" w:rsidR="009D6499" w:rsidP="009D6499" w:rsidRDefault="009D6499" w14:paraId="5D0A0580" w14:textId="77777777">
      <w:pPr>
        <w:pStyle w:val="Lijstalinea"/>
      </w:pPr>
    </w:p>
    <w:p w:rsidRPr="00EA1E4E" w:rsidR="009D6499" w:rsidP="00705E23" w:rsidRDefault="009D6499" w14:paraId="548AABA1" w14:textId="0F1964BD">
      <w:pPr>
        <w:pStyle w:val="Lijstalinea"/>
        <w:numPr>
          <w:ilvl w:val="0"/>
          <w:numId w:val="15"/>
        </w:numPr>
      </w:pPr>
      <w:r w:rsidRPr="00EA1E4E">
        <w:t>Meer kennis over gokschade</w:t>
      </w:r>
    </w:p>
    <w:p w:rsidRPr="00EA1E4E" w:rsidR="009D6499" w:rsidP="009D6499" w:rsidRDefault="00B66FD5" w14:paraId="5961537F" w14:textId="5DD63E54">
      <w:pPr>
        <w:pStyle w:val="Lijstalinea"/>
      </w:pPr>
      <w:r w:rsidRPr="00EA1E4E">
        <w:t>V</w:t>
      </w:r>
      <w:r w:rsidRPr="00EA1E4E" w:rsidR="009D6499">
        <w:t>oortdurende kennisontwikkeling, kennisuitwisseling en toepassing van wetenschappelijke kennis in de praktijk.</w:t>
      </w:r>
    </w:p>
    <w:p w:rsidRPr="00EA1E4E" w:rsidR="00BA17CD" w:rsidP="00BA17CD" w:rsidRDefault="00BA17CD" w14:paraId="14D99E1E" w14:textId="77777777"/>
    <w:p w:rsidRPr="00EA1E4E" w:rsidR="002068B1" w:rsidDel="00C44B6F" w:rsidP="00FC77F5" w:rsidRDefault="00BA17CD" w14:paraId="4F3C7115" w14:textId="7338B604">
      <w:bookmarkStart w:name="_Hlk218683286" w:id="7"/>
      <w:r w:rsidRPr="00EA1E4E">
        <w:t xml:space="preserve">Bij de ontwikkeling </w:t>
      </w:r>
      <w:r w:rsidRPr="00EA1E4E" w:rsidR="00E24F80">
        <w:t>van</w:t>
      </w:r>
      <w:r w:rsidRPr="00EA1E4E">
        <w:t xml:space="preserve"> de </w:t>
      </w:r>
      <w:proofErr w:type="spellStart"/>
      <w:r w:rsidRPr="00EA1E4E">
        <w:t>meerjarenagenda</w:t>
      </w:r>
      <w:proofErr w:type="spellEnd"/>
      <w:r w:rsidRPr="00EA1E4E">
        <w:t xml:space="preserve"> </w:t>
      </w:r>
      <w:r w:rsidRPr="00EA1E4E" w:rsidR="005A3929">
        <w:t xml:space="preserve">en de bovengenoemde strategische doelen heb ik gebruikgemaakt van </w:t>
      </w:r>
      <w:r w:rsidRPr="00EA1E4E">
        <w:t>de resultaten van verschillende recente onderzoeken rond gokken en gokproblematiek.</w:t>
      </w:r>
      <w:r w:rsidRPr="00EA1E4E" w:rsidR="00C44B6F">
        <w:t xml:space="preserve"> </w:t>
      </w:r>
      <w:r w:rsidRPr="00EA1E4E" w:rsidR="00EA74C2">
        <w:t>Uit deze onderzoeken blijkt bijvoorbeeld het belang van het</w:t>
      </w:r>
      <w:r w:rsidRPr="00EA1E4E" w:rsidR="00075408">
        <w:t xml:space="preserve"> </w:t>
      </w:r>
      <w:r w:rsidRPr="00EA1E4E" w:rsidR="00C44B6F">
        <w:t>tegengaan van het stigma rond gokproblematiek, vroegsignalering</w:t>
      </w:r>
      <w:r w:rsidRPr="00EA1E4E" w:rsidR="006F473A">
        <w:t>, bekendheid van hulp</w:t>
      </w:r>
      <w:r w:rsidRPr="00EA1E4E" w:rsidR="00080AA7">
        <w:t>(</w:t>
      </w:r>
      <w:r w:rsidRPr="00EA1E4E" w:rsidR="006F473A">
        <w:t>organisaties</w:t>
      </w:r>
      <w:r w:rsidRPr="00EA1E4E" w:rsidR="00080AA7">
        <w:t>)</w:t>
      </w:r>
      <w:r w:rsidRPr="00EA1E4E" w:rsidR="006F473A">
        <w:t xml:space="preserve"> bij gokproblematiek</w:t>
      </w:r>
      <w:r w:rsidRPr="00EA1E4E" w:rsidR="00C44B6F">
        <w:t xml:space="preserve"> en specifieke aandacht voor suïcidepreventie</w:t>
      </w:r>
      <w:r w:rsidRPr="00EA1E4E" w:rsidR="00624FAC">
        <w:t>. Deze onderwerpen</w:t>
      </w:r>
      <w:r w:rsidRPr="00EA1E4E" w:rsidR="00C44B6F">
        <w:t xml:space="preserve"> zijn expliciet onderdeel van de </w:t>
      </w:r>
      <w:proofErr w:type="spellStart"/>
      <w:r w:rsidRPr="00EA1E4E" w:rsidR="00C44B6F">
        <w:t>meerjarenagenda</w:t>
      </w:r>
      <w:proofErr w:type="spellEnd"/>
      <w:r w:rsidRPr="00EA1E4E" w:rsidR="00C44B6F">
        <w:t>.</w:t>
      </w:r>
      <w:r w:rsidRPr="00EA1E4E" w:rsidR="006F473A">
        <w:t xml:space="preserve"> Relevant in het kader van vroegsignalering is dat het a</w:t>
      </w:r>
      <w:r w:rsidRPr="00EA1E4E" w:rsidR="007E415D">
        <w:t>fgelopen jaar</w:t>
      </w:r>
      <w:r w:rsidRPr="00EA1E4E" w:rsidR="00474FCD">
        <w:t xml:space="preserve"> </w:t>
      </w:r>
      <w:r w:rsidRPr="00EA1E4E" w:rsidR="00C354CE">
        <w:t xml:space="preserve">een landelijk </w:t>
      </w:r>
      <w:r w:rsidRPr="00EA1E4E" w:rsidR="007E415D">
        <w:t xml:space="preserve">Samenwerkingsverband Vroegsignalering </w:t>
      </w:r>
      <w:r w:rsidRPr="00EA1E4E" w:rsidR="00C354CE">
        <w:t xml:space="preserve">Schade door </w:t>
      </w:r>
      <w:r w:rsidRPr="00EA1E4E" w:rsidR="007E415D">
        <w:t>Gok</w:t>
      </w:r>
      <w:r w:rsidRPr="00EA1E4E" w:rsidR="00C354CE">
        <w:t>ken</w:t>
      </w:r>
      <w:r w:rsidRPr="00EA1E4E" w:rsidR="007E415D">
        <w:t xml:space="preserve"> </w:t>
      </w:r>
      <w:r w:rsidRPr="00EA1E4E" w:rsidR="006F473A">
        <w:t xml:space="preserve">is </w:t>
      </w:r>
      <w:r w:rsidRPr="00EA1E4E" w:rsidR="007E415D">
        <w:t>gestart</w:t>
      </w:r>
      <w:r w:rsidRPr="00EA1E4E" w:rsidR="00C354CE">
        <w:t xml:space="preserve"> dat zich </w:t>
      </w:r>
      <w:r w:rsidRPr="00EA1E4E" w:rsidR="002068B1">
        <w:t xml:space="preserve">de komende jaren </w:t>
      </w:r>
      <w:r w:rsidRPr="00EA1E4E" w:rsidR="00C354CE">
        <w:t>inzet om</w:t>
      </w:r>
      <w:r w:rsidRPr="00EA1E4E" w:rsidR="00FB5485">
        <w:t xml:space="preserve"> op lokaal niveau</w:t>
      </w:r>
      <w:r w:rsidRPr="00EA1E4E" w:rsidR="00C354CE">
        <w:t xml:space="preserve"> gokschade eerder te signaleren en verdere problemen te voorkomen.</w:t>
      </w:r>
      <w:r w:rsidRPr="00EA1E4E" w:rsidR="006F473A">
        <w:rPr>
          <w:rStyle w:val="Voetnootmarkering"/>
        </w:rPr>
        <w:footnoteReference w:id="36"/>
      </w:r>
      <w:r w:rsidRPr="00EA1E4E" w:rsidR="00C354CE">
        <w:t xml:space="preserve"> </w:t>
      </w:r>
      <w:r w:rsidRPr="00EA1E4E" w:rsidR="00080AA7">
        <w:t xml:space="preserve">Daarnaast </w:t>
      </w:r>
      <w:r w:rsidRPr="00EA1E4E" w:rsidR="00CA7374">
        <w:t xml:space="preserve">breidt de </w:t>
      </w:r>
      <w:proofErr w:type="spellStart"/>
      <w:r w:rsidRPr="00EA1E4E" w:rsidR="00CA7374">
        <w:t>Ksa</w:t>
      </w:r>
      <w:proofErr w:type="spellEnd"/>
      <w:r w:rsidRPr="00EA1E4E" w:rsidR="00676E8C">
        <w:t xml:space="preserve"> </w:t>
      </w:r>
      <w:proofErr w:type="spellStart"/>
      <w:r w:rsidRPr="00EA1E4E" w:rsidR="00676E8C">
        <w:t>Gokstop</w:t>
      </w:r>
      <w:proofErr w:type="spellEnd"/>
      <w:r w:rsidRPr="00EA1E4E" w:rsidR="00676E8C">
        <w:t xml:space="preserve"> uit met gratis blokkeersoftware voor zowel legale als illegale goksites. Iedereen die dat wil kan hier naar verwachting vanaf de zomer van 2026 gebruik van maken.</w:t>
      </w:r>
      <w:r w:rsidRPr="00EA1E4E" w:rsidR="00CA7374">
        <w:t xml:space="preserve"> </w:t>
      </w:r>
      <w:bookmarkEnd w:id="7"/>
      <w:r w:rsidRPr="00EA1E4E" w:rsidR="002068B1">
        <w:t>Ook is bescherming tegen gokschade als onderwerp opgenomen in de op 12 december 2025 aan uw Kamer toegestuurde Landelijke nota Gezondheidsbeleid 2025-2028.</w:t>
      </w:r>
      <w:r w:rsidRPr="00EA1E4E" w:rsidR="002068B1">
        <w:rPr>
          <w:rStyle w:val="Voetnootmarkering"/>
        </w:rPr>
        <w:footnoteReference w:id="37"/>
      </w:r>
      <w:r w:rsidRPr="00EA1E4E" w:rsidR="002068B1">
        <w:t xml:space="preserve"> Het belang van inzet op bescherming tegen gokschade is daarmee ook op lokaal niveau onder de aandacht gebracht. </w:t>
      </w:r>
    </w:p>
    <w:p w:rsidRPr="00EA1E4E" w:rsidR="00004346" w:rsidP="00FC77F5" w:rsidRDefault="00004346" w14:paraId="0FD48438" w14:textId="77777777"/>
    <w:p w:rsidRPr="00EA1E4E" w:rsidR="00F97874" w:rsidP="00F97874" w:rsidRDefault="00F85435" w14:paraId="7DFBF8E6" w14:textId="77777777">
      <w:r w:rsidRPr="00EA1E4E">
        <w:t>Voor effectieve bescherming tegen gokschade is inzet nodig van alle partijen die invloed op die bescherming kunnen uitoefenen. Van vergunninghouders tot preventiemedewerkers, verslavings- en ervaringsdeskundigen en overheidsinstanties. Bescherming van mensen tegen gokschade is immers een gedeelde verantwoordelijkheid van alle partijen die invloed kunnen hebben op die bescherming.</w:t>
      </w:r>
      <w:r w:rsidRPr="00EA1E4E">
        <w:rPr>
          <w:rStyle w:val="Voetnootmarkering"/>
        </w:rPr>
        <w:footnoteReference w:id="38"/>
      </w:r>
      <w:r w:rsidRPr="00EA1E4E">
        <w:t xml:space="preserve"> Vanuit de overheid zorg ik voor duidelijke regels </w:t>
      </w:r>
      <w:r w:rsidRPr="00EA1E4E" w:rsidR="00C975DA">
        <w:t xml:space="preserve">en </w:t>
      </w:r>
      <w:r w:rsidRPr="00EA1E4E">
        <w:t>stimuleer ik dat alle belanghebbenden in positie worden gebracht om verantwoordelijkheid te nemen. Het afgelopen jaar is hierover vanuit mijn ministerie individueel gesproken met verschillende stakeholders en ook gezamenlijk tijdens een bijeenkomst in december</w:t>
      </w:r>
      <w:r w:rsidRPr="00EA1E4E" w:rsidR="0007339E">
        <w:t xml:space="preserve"> 2025</w:t>
      </w:r>
      <w:r w:rsidRPr="00EA1E4E">
        <w:t xml:space="preserve">. Onder meer om te bezien of organisaties elkaar op bepaalde onderdelen kunnen versterken in het verbeteren van de bescherming. Hieruit zijn een aantal thema’s naar voren gekomen waarop vanuit het </w:t>
      </w:r>
      <w:r w:rsidRPr="00EA1E4E" w:rsidR="00AA1B35">
        <w:t>M</w:t>
      </w:r>
      <w:r w:rsidRPr="00EA1E4E">
        <w:t>inisterie van J</w:t>
      </w:r>
      <w:r w:rsidRPr="00EA1E4E" w:rsidR="00AA1B35">
        <w:t xml:space="preserve">ustitie </w:t>
      </w:r>
      <w:r w:rsidRPr="00EA1E4E">
        <w:t>en</w:t>
      </w:r>
      <w:r w:rsidRPr="00EA1E4E" w:rsidR="00AA1B35">
        <w:t xml:space="preserve"> </w:t>
      </w:r>
      <w:r w:rsidRPr="00EA1E4E">
        <w:t>V</w:t>
      </w:r>
      <w:r w:rsidRPr="00EA1E4E" w:rsidR="00AA1B35">
        <w:t>eiligheid</w:t>
      </w:r>
      <w:r w:rsidRPr="00EA1E4E">
        <w:t xml:space="preserve"> verdiepende gesprekken zullen worden georganiseerd met relevante stakeholders. Bijvoorbeeld hoe mensen met gokproblematiek </w:t>
      </w:r>
      <w:r w:rsidRPr="00EA1E4E" w:rsidR="00C975DA">
        <w:t>effectiever</w:t>
      </w:r>
      <w:r w:rsidRPr="00EA1E4E">
        <w:t xml:space="preserve"> kunnen worden </w:t>
      </w:r>
      <w:r w:rsidRPr="00EA1E4E" w:rsidR="00C975DA">
        <w:t xml:space="preserve">doorgeleid </w:t>
      </w:r>
      <w:r w:rsidRPr="00EA1E4E">
        <w:t xml:space="preserve">naar de juiste hulp en ondersteuning. Een ander voorbeeld is hoe de samenwerking tussen professionals vanuit verschillende expertises, zoals schuldhulpverlening, verslavingszorg en zelfmoordpreventie kan worden versterkt als het gaat om gokproblematiek. </w:t>
      </w:r>
    </w:p>
    <w:p w:rsidRPr="00EA1E4E" w:rsidR="00F97874" w:rsidP="00F97874" w:rsidRDefault="00F97874" w14:paraId="46889E5E" w14:textId="195744F0">
      <w:r w:rsidRPr="00EA1E4E">
        <w:t>De bescherming van minderjarigen en jongvolwassenen</w:t>
      </w:r>
      <w:r w:rsidRPr="00EA1E4E" w:rsidR="00D33FD6">
        <w:t xml:space="preserve"> </w:t>
      </w:r>
      <w:r w:rsidRPr="00EA1E4E">
        <w:t>is eveneens een belangrijk thema. Veel jongeren komen al voor hun 18</w:t>
      </w:r>
      <w:r w:rsidRPr="00EA1E4E">
        <w:rPr>
          <w:vertAlign w:val="superscript"/>
        </w:rPr>
        <w:t>e</w:t>
      </w:r>
      <w:r w:rsidRPr="00EA1E4E">
        <w:t xml:space="preserve"> in aanraking met gokken of andere risicovolle producten. Daarom</w:t>
      </w:r>
      <w:r w:rsidRPr="00EA1E4E" w:rsidR="00D33FD6">
        <w:t xml:space="preserve"> trek ik</w:t>
      </w:r>
      <w:r w:rsidRPr="00EA1E4E">
        <w:t xml:space="preserve"> </w:t>
      </w:r>
      <w:r w:rsidRPr="00EA1E4E" w:rsidR="00D33FD6">
        <w:t xml:space="preserve">op </w:t>
      </w:r>
      <w:r w:rsidRPr="00EA1E4E">
        <w:t xml:space="preserve">met </w:t>
      </w:r>
      <w:r w:rsidRPr="00EA1E4E" w:rsidR="007E55C1">
        <w:t>andere departementen o</w:t>
      </w:r>
      <w:r w:rsidRPr="00EA1E4E" w:rsidR="00D33FD6">
        <w:t>m de verbinding te zoeken op</w:t>
      </w:r>
      <w:r w:rsidRPr="00EA1E4E" w:rsidR="007E55C1">
        <w:t xml:space="preserve"> het gebied van bijvoorbeeld online kinderrechten</w:t>
      </w:r>
      <w:r w:rsidRPr="00EA1E4E" w:rsidR="00D33FD6">
        <w:t>, games</w:t>
      </w:r>
      <w:r w:rsidRPr="00EA1E4E" w:rsidR="007E55C1">
        <w:t xml:space="preserve"> en andere risicovolle producten zoals handel in cryptovaluta.</w:t>
      </w:r>
      <w:r w:rsidRPr="00EA1E4E">
        <w:t xml:space="preserve"> </w:t>
      </w:r>
    </w:p>
    <w:p w:rsidRPr="00EA1E4E" w:rsidR="002952CF" w:rsidP="00F85435" w:rsidRDefault="002952CF" w14:paraId="0FFE6A0F" w14:textId="02305E15"/>
    <w:p w:rsidRPr="00EA1E4E" w:rsidR="006C50D4" w:rsidP="00F85435" w:rsidRDefault="00F85435" w14:paraId="1A13AC9F" w14:textId="5CB3FA87">
      <w:r w:rsidRPr="00EA1E4E">
        <w:t xml:space="preserve">In het kader van de </w:t>
      </w:r>
      <w:proofErr w:type="spellStart"/>
      <w:r w:rsidRPr="00EA1E4E">
        <w:t>meerjarenagenda</w:t>
      </w:r>
      <w:proofErr w:type="spellEnd"/>
      <w:r w:rsidRPr="00EA1E4E">
        <w:t xml:space="preserve"> zal ik daarnaast </w:t>
      </w:r>
      <w:r w:rsidRPr="00EA1E4E" w:rsidR="0007339E">
        <w:t xml:space="preserve">regelmatig </w:t>
      </w:r>
      <w:r w:rsidRPr="00EA1E4E" w:rsidR="00C975DA">
        <w:t xml:space="preserve">met </w:t>
      </w:r>
      <w:r w:rsidRPr="00EA1E4E" w:rsidR="006E7041">
        <w:t>relevante</w:t>
      </w:r>
      <w:r w:rsidRPr="00EA1E4E" w:rsidR="0007339E">
        <w:t xml:space="preserve"> organisaties</w:t>
      </w:r>
      <w:r w:rsidRPr="00EA1E4E" w:rsidR="00C975DA">
        <w:t xml:space="preserve"> spreken </w:t>
      </w:r>
      <w:r w:rsidRPr="00EA1E4E">
        <w:t xml:space="preserve">over de voortgang op de strategische doelen. </w:t>
      </w:r>
    </w:p>
    <w:p w:rsidRPr="00EA1E4E" w:rsidR="006C50D4" w:rsidP="00F85435" w:rsidRDefault="006C50D4" w14:paraId="573BF84B" w14:textId="77777777"/>
    <w:p w:rsidRPr="00EA1E4E" w:rsidR="009D4CF4" w:rsidP="009D4CF4" w:rsidRDefault="009D4CF4" w14:paraId="631110F9" w14:textId="132F518F">
      <w:r w:rsidRPr="00EA1E4E">
        <w:t>Met de genoemde doelstellingen streef</w:t>
      </w:r>
      <w:r w:rsidRPr="00EA1E4E" w:rsidR="0075209E">
        <w:t xml:space="preserve"> ik </w:t>
      </w:r>
      <w:r w:rsidRPr="00EA1E4E">
        <w:t xml:space="preserve">naar een structurele daling van de omvang van gokschade in Nederland. Er is nog geen meetinstrument beschikbaar om deze gokschade te meten. </w:t>
      </w:r>
      <w:r w:rsidRPr="00EA1E4E" w:rsidR="00E60BD9">
        <w:t>Het Expertisecentrum Gokken ontwikkelt d</w:t>
      </w:r>
      <w:r w:rsidRPr="00EA1E4E">
        <w:t xml:space="preserve">it instrument momenteel en </w:t>
      </w:r>
      <w:r w:rsidRPr="00EA1E4E" w:rsidR="00E60BD9">
        <w:t xml:space="preserve">het </w:t>
      </w:r>
      <w:r w:rsidRPr="00EA1E4E">
        <w:t>is naar verwachting eind 2026 gereed. Daarna stel</w:t>
      </w:r>
      <w:r w:rsidRPr="00EA1E4E" w:rsidR="00A84129">
        <w:t xml:space="preserve"> ik </w:t>
      </w:r>
      <w:r w:rsidRPr="00EA1E4E">
        <w:t>tijdgebonden doelen met betrekking tot de daling van gokschade.</w:t>
      </w:r>
      <w:r w:rsidRPr="00EA1E4E" w:rsidR="00E50E71">
        <w:t xml:space="preserve"> Na een eerste meting van gokschade bezie ik of het beleid verder moet worden aangescherpt. </w:t>
      </w:r>
      <w:r w:rsidRPr="00EA1E4E" w:rsidR="006E7041">
        <w:t>Ook</w:t>
      </w:r>
      <w:r w:rsidRPr="00EA1E4E">
        <w:t xml:space="preserve"> kijk ik naar en stuur ik op de indicatoren die middels verschillende monitoringsrapportages worden gemeten, zoals het aantal en percentage laag-, gemiddeld en </w:t>
      </w:r>
      <w:proofErr w:type="spellStart"/>
      <w:r w:rsidRPr="00EA1E4E">
        <w:t>hoogrisicospelers</w:t>
      </w:r>
      <w:proofErr w:type="spellEnd"/>
      <w:r w:rsidRPr="00EA1E4E">
        <w:t xml:space="preserve">. </w:t>
      </w:r>
    </w:p>
    <w:p w:rsidRPr="00EA1E4E" w:rsidR="00BA41A5" w:rsidP="007357DF" w:rsidRDefault="00BA41A5" w14:paraId="639E93F7" w14:textId="77777777"/>
    <w:p w:rsidRPr="00EA1E4E" w:rsidR="007357DF" w:rsidP="007F4433" w:rsidRDefault="007357DF" w14:paraId="620DE2B0" w14:textId="3B8A441C">
      <w:pPr>
        <w:pStyle w:val="Lijstalinea"/>
        <w:numPr>
          <w:ilvl w:val="0"/>
          <w:numId w:val="8"/>
        </w:numPr>
        <w:rPr>
          <w:b/>
          <w:bCs/>
        </w:rPr>
      </w:pPr>
      <w:bookmarkStart w:name="_Hlk229488851" w:id="8"/>
      <w:r w:rsidRPr="00EA1E4E">
        <w:rPr>
          <w:b/>
          <w:bCs/>
        </w:rPr>
        <w:t>Aanpak</w:t>
      </w:r>
      <w:r w:rsidRPr="00EA1E4E" w:rsidR="00D4643E">
        <w:rPr>
          <w:b/>
          <w:bCs/>
        </w:rPr>
        <w:t xml:space="preserve"> illegaliteit</w:t>
      </w:r>
    </w:p>
    <w:p w:rsidRPr="00EA1E4E" w:rsidR="007628D0" w:rsidP="00446ED1" w:rsidRDefault="007628D0" w14:paraId="473D3470" w14:textId="77777777"/>
    <w:p w:rsidRPr="00EA1E4E" w:rsidR="00997BF1" w:rsidP="00446ED1" w:rsidRDefault="00360103" w14:paraId="1EEC3B08" w14:textId="7DC8CEDC">
      <w:r w:rsidRPr="00EA1E4E">
        <w:t>Voor effectieve bescherming is het tot slot noodzakelijk dat illegaal aanbod stevig wordt aangepakt. Niet alleen met aanvullende wettelijke instrumenten, maar ook met optimaal gebruik van de bestaande instrumenten en in samenwerking met partijen die hierin kunnen helpen.</w:t>
      </w:r>
      <w:r w:rsidRPr="00EA1E4E" w:rsidR="003846AB">
        <w:t xml:space="preserve"> </w:t>
      </w:r>
      <w:r w:rsidRPr="00EA1E4E">
        <w:t>Zo heeft de Ksa in het programma ‘</w:t>
      </w:r>
      <w:proofErr w:type="spellStart"/>
      <w:r w:rsidRPr="00EA1E4E">
        <w:t>Disconnect</w:t>
      </w:r>
      <w:proofErr w:type="spellEnd"/>
      <w:r w:rsidRPr="00EA1E4E">
        <w:t>’ uitvoerig het gehele ecosysteem rondom een aanbieder van online kansspelen in kaart gebracht. Naast partijen die een rol spelen in het betalingsverkeer, gaat dat bijvoorbeeld ook om organisaties die bijdragen aan marketing en organisaties die bijdragen aan het functioneren van de website. Daarom heeft de Ksa ten behoeve van de aanpak van het illegale aanbod de Alliantie tegen illegale kansspelen opgericht. Dit is een samenwerkingsverband tussen de Ksa en hiervoor genoemde partijen. Het doel van de samenwerking is om gezamenlijk maatregelen te treffen om het illegaal aanbod en het faciliteren ervan tegen te gaan.</w:t>
      </w:r>
      <w:r w:rsidRPr="00EA1E4E">
        <w:rPr>
          <w:rStyle w:val="Voetnootmarkering"/>
        </w:rPr>
        <w:footnoteReference w:id="39"/>
      </w:r>
      <w:r w:rsidRPr="00EA1E4E">
        <w:t xml:space="preserve"> In de bijlage bij deze brief ontvangt u een rapportage van de </w:t>
      </w:r>
      <w:r w:rsidRPr="00EA1E4E" w:rsidR="00324BD2">
        <w:t>Ksa</w:t>
      </w:r>
      <w:r w:rsidRPr="00EA1E4E">
        <w:t xml:space="preserve"> over de Alliantie.</w:t>
      </w:r>
      <w:r w:rsidRPr="00EA1E4E" w:rsidR="00446ED1">
        <w:t xml:space="preserve"> </w:t>
      </w:r>
      <w:r w:rsidRPr="00EA1E4E" w:rsidR="006D3FE7">
        <w:t xml:space="preserve"> Inmiddels hebben er drie bijeenkomsten van de Alliantie plaatsgevonden, laatstelijk op 12 mei jl.</w:t>
      </w:r>
    </w:p>
    <w:p w:rsidRPr="00EA1E4E" w:rsidR="00997BF1" w:rsidP="00446ED1" w:rsidRDefault="00997BF1" w14:paraId="0C76BA79" w14:textId="77777777"/>
    <w:p w:rsidRPr="00EA1E4E" w:rsidR="00D0614A" w:rsidP="00CC6D10" w:rsidRDefault="00446ED1" w14:paraId="5E4418BE" w14:textId="728B760B">
      <w:pPr>
        <w:rPr>
          <w:i/>
          <w:iCs/>
        </w:rPr>
      </w:pPr>
      <w:r w:rsidRPr="00EA1E4E">
        <w:t xml:space="preserve">De rapportage laat zien dat de Alliantie in het afgelopen jaar </w:t>
      </w:r>
      <w:r w:rsidRPr="00EA1E4E" w:rsidR="00997BF1">
        <w:t>een aantal</w:t>
      </w:r>
      <w:r w:rsidRPr="00EA1E4E">
        <w:t xml:space="preserve"> successen heeft geboekt. </w:t>
      </w:r>
      <w:r w:rsidRPr="00EA1E4E" w:rsidR="00557FC5">
        <w:t xml:space="preserve">Zo melden de Ksa en alliantiepartners gezamenlijk illegale advertenties bij Google. De Ksa ziet van augustus 2025 tot nu weinig tot geen advertenties voor illegale kansspelen meer bij Google. Dit is een belangrijke stap om te voorkomen dat mensen die interesse hebben in online kansspelen terechtkomen bij illegale aanbieders. </w:t>
      </w:r>
      <w:r w:rsidRPr="00EA1E4E" w:rsidR="00F60FCE">
        <w:t>In het afgelopen half jaar</w:t>
      </w:r>
      <w:r w:rsidRPr="00EA1E4E" w:rsidR="006309A2">
        <w:t xml:space="preserve"> </w:t>
      </w:r>
      <w:r w:rsidRPr="00EA1E4E" w:rsidR="007E55C1">
        <w:t xml:space="preserve">is </w:t>
      </w:r>
      <w:r w:rsidRPr="00EA1E4E" w:rsidR="006309A2">
        <w:t>met name het aantal verwijderingsverzoeken voor illegale content op Facebook en Insta</w:t>
      </w:r>
      <w:r w:rsidRPr="00EA1E4E" w:rsidR="00F60FCE">
        <w:t>gram</w:t>
      </w:r>
      <w:r w:rsidRPr="00EA1E4E" w:rsidR="006309A2">
        <w:t xml:space="preserve"> </w:t>
      </w:r>
      <w:r w:rsidRPr="00EA1E4E" w:rsidR="00F60FCE">
        <w:t xml:space="preserve">(Meta) </w:t>
      </w:r>
      <w:r w:rsidRPr="00EA1E4E" w:rsidR="006309A2">
        <w:t xml:space="preserve">flink opgeschaald. </w:t>
      </w:r>
      <w:r w:rsidRPr="00EA1E4E" w:rsidR="00F60FCE">
        <w:t xml:space="preserve">Zo heeft de Ksa </w:t>
      </w:r>
      <w:r w:rsidRPr="00EA1E4E" w:rsidR="00D33FD6">
        <w:t xml:space="preserve">tussen 1 en 15 mei al 15.000 </w:t>
      </w:r>
      <w:r w:rsidRPr="00EA1E4E" w:rsidR="00F60FCE">
        <w:t>verw</w:t>
      </w:r>
      <w:r w:rsidRPr="00EA1E4E" w:rsidR="00D33FD6">
        <w:t>ij</w:t>
      </w:r>
      <w:r w:rsidRPr="00EA1E4E" w:rsidR="00F60FCE">
        <w:t xml:space="preserve">deringsverzoeken aan Meta gedaan. </w:t>
      </w:r>
      <w:r w:rsidRPr="00EA1E4E" w:rsidR="00182DE6">
        <w:t xml:space="preserve">Ook </w:t>
      </w:r>
      <w:r w:rsidRPr="00EA1E4E">
        <w:t>zijn meldkanalen ingericht bij een aantal betaaldienstverleners/creditcardmaatschappijen</w:t>
      </w:r>
      <w:r w:rsidRPr="00EA1E4E" w:rsidR="00182DE6">
        <w:t xml:space="preserve">, waarbij </w:t>
      </w:r>
      <w:r w:rsidRPr="00EA1E4E" w:rsidR="00324BD2">
        <w:t xml:space="preserve">zij </w:t>
      </w:r>
      <w:r w:rsidRPr="00EA1E4E" w:rsidR="00182DE6">
        <w:t xml:space="preserve">meldingen </w:t>
      </w:r>
      <w:r w:rsidRPr="00EA1E4E">
        <w:t>consequent op</w:t>
      </w:r>
      <w:r w:rsidRPr="00EA1E4E" w:rsidR="00324BD2">
        <w:t>volgen</w:t>
      </w:r>
      <w:r w:rsidRPr="00EA1E4E">
        <w:t xml:space="preserve">. </w:t>
      </w:r>
      <w:r w:rsidRPr="00EA1E4E" w:rsidR="00E7751B">
        <w:t>Daarnaast</w:t>
      </w:r>
      <w:r w:rsidRPr="00EA1E4E" w:rsidR="00182DE6">
        <w:t xml:space="preserve"> </w:t>
      </w:r>
      <w:r w:rsidRPr="00EA1E4E" w:rsidR="007D2BAE">
        <w:t>is een succesvolle samenwerking opgestart met Stichting Internet Domeinregistratie Nederland om illegale affiliat</w:t>
      </w:r>
      <w:r w:rsidRPr="00EA1E4E" w:rsidR="00201C37">
        <w:t>i</w:t>
      </w:r>
      <w:r w:rsidRPr="00EA1E4E" w:rsidR="007D2BAE">
        <w:t>ewebsites op het .nl</w:t>
      </w:r>
      <w:r w:rsidRPr="00EA1E4E" w:rsidR="00324BD2">
        <w:t>-</w:t>
      </w:r>
      <w:r w:rsidRPr="00EA1E4E" w:rsidR="007D2BAE">
        <w:t>domein op zwart te zetten</w:t>
      </w:r>
      <w:r w:rsidRPr="00EA1E4E">
        <w:t xml:space="preserve">. </w:t>
      </w:r>
      <w:r w:rsidRPr="00EA1E4E" w:rsidR="007A7ED2">
        <w:t>Dit jaar zijn al ruim 200 illegale affiliatiewebsites met een .nl</w:t>
      </w:r>
      <w:r w:rsidRPr="00EA1E4E" w:rsidR="007E55C1">
        <w:t>-</w:t>
      </w:r>
      <w:r w:rsidRPr="00EA1E4E" w:rsidR="007A7ED2">
        <w:t xml:space="preserve">extensie onbereikbaar gemaakt. </w:t>
      </w:r>
      <w:r w:rsidRPr="00EA1E4E" w:rsidR="00201C37">
        <w:t xml:space="preserve">Ook </w:t>
      </w:r>
      <w:r w:rsidRPr="00EA1E4E" w:rsidR="007A7ED2">
        <w:t xml:space="preserve">hebben er verschillende </w:t>
      </w:r>
      <w:proofErr w:type="spellStart"/>
      <w:r w:rsidRPr="00EA1E4E" w:rsidR="007A7ED2">
        <w:t>werkgroep</w:t>
      </w:r>
      <w:r w:rsidRPr="00EA1E4E" w:rsidR="00E7751B">
        <w:t>bijeenkomst</w:t>
      </w:r>
      <w:r w:rsidRPr="00EA1E4E" w:rsidR="00F60FCE">
        <w:t>en</w:t>
      </w:r>
      <w:proofErr w:type="spellEnd"/>
      <w:r w:rsidRPr="00EA1E4E" w:rsidR="007A7ED2">
        <w:t xml:space="preserve"> onder de vlag van de Alliantie</w:t>
      </w:r>
      <w:r w:rsidRPr="00EA1E4E" w:rsidR="00E7751B">
        <w:t xml:space="preserve"> met zeven aanbieders </w:t>
      </w:r>
      <w:r w:rsidRPr="00EA1E4E" w:rsidR="00F60FCE">
        <w:t xml:space="preserve">van spelsoftware </w:t>
      </w:r>
      <w:r w:rsidRPr="00EA1E4E" w:rsidR="00E7751B">
        <w:t>plaatsgevonden.</w:t>
      </w:r>
      <w:r w:rsidRPr="00EA1E4E" w:rsidR="00AC02CC">
        <w:t xml:space="preserve"> </w:t>
      </w:r>
      <w:r w:rsidRPr="00EA1E4E" w:rsidR="00E7751B">
        <w:t xml:space="preserve">Deze aanbieders </w:t>
      </w:r>
      <w:r w:rsidRPr="00EA1E4E" w:rsidR="00201C37">
        <w:t xml:space="preserve">hebben spellen die ook </w:t>
      </w:r>
      <w:r w:rsidRPr="00EA1E4E" w:rsidR="00E7751B">
        <w:t>op illegale sites stonden</w:t>
      </w:r>
      <w:r w:rsidRPr="00EA1E4E" w:rsidR="00324BD2">
        <w:t>,</w:t>
      </w:r>
      <w:r w:rsidRPr="00EA1E4E" w:rsidR="00E7751B">
        <w:t xml:space="preserve"> </w:t>
      </w:r>
      <w:r w:rsidRPr="00EA1E4E" w:rsidR="00201C37">
        <w:t xml:space="preserve">daar </w:t>
      </w:r>
      <w:r w:rsidRPr="00EA1E4E" w:rsidR="00E7751B">
        <w:t xml:space="preserve">geblokkeerd. </w:t>
      </w:r>
      <w:r w:rsidRPr="00EA1E4E" w:rsidR="006309A2">
        <w:t>En hostingbedrijven worden op basis van de Digital Service</w:t>
      </w:r>
      <w:r w:rsidRPr="00EA1E4E" w:rsidR="00610248">
        <w:t>s</w:t>
      </w:r>
      <w:r w:rsidRPr="00EA1E4E" w:rsidR="006309A2">
        <w:t xml:space="preserve"> Act aangeschreven o</w:t>
      </w:r>
      <w:r w:rsidRPr="00EA1E4E" w:rsidR="00F60FCE">
        <w:t>m</w:t>
      </w:r>
      <w:r w:rsidRPr="00EA1E4E" w:rsidR="006309A2">
        <w:t xml:space="preserve"> illegale website</w:t>
      </w:r>
      <w:r w:rsidRPr="00EA1E4E" w:rsidR="00F60FCE">
        <w:t>s</w:t>
      </w:r>
      <w:r w:rsidRPr="00EA1E4E" w:rsidR="006309A2">
        <w:t xml:space="preserve"> niet meer te hosten. </w:t>
      </w:r>
      <w:r w:rsidRPr="00EA1E4E" w:rsidR="00610248">
        <w:t>Net als de Ksa</w:t>
      </w:r>
      <w:r w:rsidRPr="00EA1E4E" w:rsidR="00CB61A1">
        <w:t xml:space="preserve"> zie ik </w:t>
      </w:r>
      <w:r w:rsidRPr="00EA1E4E" w:rsidR="00AC16A4">
        <w:t xml:space="preserve">de </w:t>
      </w:r>
      <w:r w:rsidRPr="00EA1E4E" w:rsidR="00CB61A1">
        <w:t>A</w:t>
      </w:r>
      <w:r w:rsidRPr="00EA1E4E" w:rsidR="00AC16A4">
        <w:t xml:space="preserve">lliantie </w:t>
      </w:r>
      <w:r w:rsidRPr="00EA1E4E" w:rsidR="00CB61A1">
        <w:t xml:space="preserve">als </w:t>
      </w:r>
      <w:r w:rsidRPr="00EA1E4E" w:rsidR="00AC16A4">
        <w:t xml:space="preserve">een waardevol samenwerkingsverband </w:t>
      </w:r>
      <w:r w:rsidRPr="00EA1E4E" w:rsidR="00610248">
        <w:t xml:space="preserve">met </w:t>
      </w:r>
      <w:r w:rsidRPr="00EA1E4E" w:rsidR="00AC16A4">
        <w:t>gebundelde en gedeelde expertise en inzichten</w:t>
      </w:r>
      <w:r w:rsidRPr="00EA1E4E" w:rsidR="00CB61A1">
        <w:t xml:space="preserve"> om een vuist te maken tegen de illegaliteit</w:t>
      </w:r>
      <w:r w:rsidRPr="00EA1E4E" w:rsidR="00AC16A4">
        <w:t xml:space="preserve">. </w:t>
      </w:r>
      <w:r w:rsidRPr="00EA1E4E" w:rsidR="00AD6651">
        <w:t>De praktijk laat zien dat illegaal aanbod niet eenvoudig aan te pakken is. Daarvoor is nodig dat alle beschikbare instrumenten structureel en in samenwerking worden ingezet</w:t>
      </w:r>
      <w:r w:rsidRPr="00EA1E4E" w:rsidR="002952CF">
        <w:t xml:space="preserve"> en deze worden versterkt met </w:t>
      </w:r>
      <w:r w:rsidRPr="00EA1E4E" w:rsidR="006D3FE7">
        <w:t>de in deze brief</w:t>
      </w:r>
      <w:r w:rsidRPr="00EA1E4E" w:rsidR="002952CF">
        <w:t xml:space="preserve"> genoemde nieuwe instrumenten</w:t>
      </w:r>
      <w:r w:rsidRPr="00EA1E4E" w:rsidR="00AD6651">
        <w:t xml:space="preserve">. </w:t>
      </w:r>
      <w:bookmarkEnd w:id="8"/>
    </w:p>
    <w:p w:rsidRPr="00EA1E4E" w:rsidR="00D0614A" w:rsidP="00CC6D10" w:rsidRDefault="00D0614A" w14:paraId="4F7CB013" w14:textId="77777777">
      <w:pPr>
        <w:rPr>
          <w:i/>
          <w:iCs/>
        </w:rPr>
      </w:pPr>
    </w:p>
    <w:p w:rsidRPr="00EA1E4E" w:rsidR="002952CF" w:rsidP="00CC6D10" w:rsidRDefault="002952CF" w14:paraId="321213D0" w14:textId="47E5E2AA">
      <w:r w:rsidRPr="00EA1E4E">
        <w:t xml:space="preserve">Naast de intensivering die de Ksa heeft vormgegeven met </w:t>
      </w:r>
      <w:proofErr w:type="spellStart"/>
      <w:r w:rsidRPr="00EA1E4E">
        <w:t>Disconnect</w:t>
      </w:r>
      <w:proofErr w:type="spellEnd"/>
      <w:r w:rsidRPr="00EA1E4E">
        <w:t xml:space="preserve"> en de Alliantie, </w:t>
      </w:r>
      <w:r w:rsidRPr="00EA1E4E" w:rsidR="00610248">
        <w:t xml:space="preserve">kijk ik </w:t>
      </w:r>
      <w:r w:rsidRPr="00EA1E4E" w:rsidR="006D3FE7">
        <w:t xml:space="preserve">samen met de Ksa </w:t>
      </w:r>
      <w:r w:rsidRPr="00EA1E4E" w:rsidR="00610248">
        <w:t xml:space="preserve">hoe illegale aanbod </w:t>
      </w:r>
      <w:r w:rsidRPr="00EA1E4E" w:rsidR="006D3FE7">
        <w:t xml:space="preserve">in internationaal verband effectiever bestreden kan worden. </w:t>
      </w:r>
      <w:r w:rsidRPr="00EA1E4E" w:rsidR="00A511C7">
        <w:t xml:space="preserve">Daarbij </w:t>
      </w:r>
      <w:r w:rsidRPr="00EA1E4E" w:rsidR="006D3FE7">
        <w:t xml:space="preserve">zet ik vooral in op betere samenwerking met landen </w:t>
      </w:r>
      <w:r w:rsidRPr="00EA1E4E" w:rsidR="00A511C7">
        <w:t xml:space="preserve">binnen </w:t>
      </w:r>
      <w:r w:rsidRPr="00EA1E4E" w:rsidR="00542741">
        <w:t>Europa</w:t>
      </w:r>
      <w:r w:rsidRPr="00EA1E4E" w:rsidR="00A511C7">
        <w:t xml:space="preserve">. </w:t>
      </w:r>
    </w:p>
    <w:p w:rsidRPr="00EA1E4E" w:rsidR="007A7ED2" w:rsidP="00CC6D10" w:rsidRDefault="007A7ED2" w14:paraId="4E90E37C" w14:textId="77777777">
      <w:pPr>
        <w:rPr>
          <w:i/>
          <w:iCs/>
        </w:rPr>
      </w:pPr>
    </w:p>
    <w:p w:rsidRPr="00EA1E4E" w:rsidR="00CC6D10" w:rsidP="00CC6D10" w:rsidRDefault="002A2E58" w14:paraId="22FA097C" w14:textId="3DF4EE62">
      <w:pPr>
        <w:rPr>
          <w:b/>
          <w:bCs/>
        </w:rPr>
      </w:pPr>
      <w:r w:rsidRPr="00EA1E4E">
        <w:rPr>
          <w:b/>
          <w:bCs/>
        </w:rPr>
        <w:t>Slot</w:t>
      </w:r>
    </w:p>
    <w:p w:rsidRPr="00EA1E4E" w:rsidR="000C3DB8" w:rsidP="00C92676" w:rsidRDefault="000C3DB8" w14:paraId="58CCB5FC" w14:textId="77777777"/>
    <w:p w:rsidRPr="00EA1E4E" w:rsidR="00AD6651" w:rsidP="00C92676" w:rsidRDefault="00C21A73" w14:paraId="420BD603" w14:textId="2F9A145C">
      <w:r w:rsidRPr="00EA1E4E">
        <w:t xml:space="preserve">De eerder doorgevoerde maatregelen laten </w:t>
      </w:r>
      <w:r w:rsidRPr="00EA1E4E" w:rsidR="006C09B5">
        <w:t>eerste verbeteringen zien</w:t>
      </w:r>
      <w:r w:rsidRPr="00EA1E4E" w:rsidR="00385565">
        <w:t xml:space="preserve"> in de bescherming</w:t>
      </w:r>
      <w:r w:rsidRPr="00EA1E4E" w:rsidR="00C41DB6">
        <w:t xml:space="preserve"> van mensen</w:t>
      </w:r>
      <w:r w:rsidRPr="00EA1E4E" w:rsidR="00153E10">
        <w:t xml:space="preserve"> tegen gokschade</w:t>
      </w:r>
      <w:r w:rsidRPr="00EA1E4E" w:rsidR="001B79C4">
        <w:t>.</w:t>
      </w:r>
      <w:r w:rsidRPr="00EA1E4E" w:rsidR="00153E10">
        <w:t xml:space="preserve"> </w:t>
      </w:r>
      <w:r w:rsidRPr="00EA1E4E" w:rsidR="00C41DB6">
        <w:t>Deze bescherming moet echter nog vele malen beter, in het bijzonder om te voorkomen dat kwetsbare groepen zoals minderjarigen en jongvolwassenen door gokken in de problemen komen</w:t>
      </w:r>
      <w:r w:rsidRPr="00EA1E4E" w:rsidR="00466B4C">
        <w:t>,</w:t>
      </w:r>
    </w:p>
    <w:p w:rsidRPr="00EA1E4E" w:rsidR="00AD6651" w:rsidP="00C92676" w:rsidRDefault="00AD6651" w14:paraId="4CC6ADEE" w14:textId="77777777"/>
    <w:p w:rsidRPr="00EA1E4E" w:rsidR="00F45504" w:rsidP="00C92676" w:rsidRDefault="00153E10" w14:paraId="5A71CD4E" w14:textId="1B2C584A">
      <w:r w:rsidRPr="00EA1E4E">
        <w:t>Met de voorgenomen maatregelen en wijziging van de wet- en regelgeving zet ik erop in om gokschade binnen het vergunde aanbod zoveel mogelijk tegen te gaan en</w:t>
      </w:r>
      <w:r w:rsidRPr="00EA1E4E" w:rsidR="001B79C4">
        <w:t xml:space="preserve"> </w:t>
      </w:r>
      <w:r w:rsidRPr="00EA1E4E" w:rsidR="00EB6922">
        <w:t>te voorkomen dat mensen illegaal gokken</w:t>
      </w:r>
      <w:r w:rsidRPr="00EA1E4E" w:rsidR="003216FA">
        <w:t xml:space="preserve"> zonder enige vorm van bescherming</w:t>
      </w:r>
      <w:r w:rsidRPr="00EA1E4E">
        <w:t>. Dit jaar werk ik de maatregelen verder uit</w:t>
      </w:r>
      <w:r w:rsidRPr="00EA1E4E" w:rsidR="00AD6651">
        <w:t xml:space="preserve"> in de hier aangegeven richting</w:t>
      </w:r>
      <w:r w:rsidRPr="00EA1E4E" w:rsidR="008946DE">
        <w:t>.</w:t>
      </w:r>
      <w:r w:rsidRPr="00EA1E4E" w:rsidR="00830161">
        <w:t xml:space="preserve"> </w:t>
      </w:r>
      <w:r w:rsidRPr="00EA1E4E" w:rsidR="001B79C4">
        <w:t xml:space="preserve">Ik </w:t>
      </w:r>
      <w:r w:rsidRPr="00EA1E4E" w:rsidR="00C41DB6">
        <w:t>wil in</w:t>
      </w:r>
      <w:r w:rsidRPr="00EA1E4E" w:rsidR="00EB5F1F">
        <w:t xml:space="preserve"> </w:t>
      </w:r>
      <w:r w:rsidRPr="00EA1E4E" w:rsidR="00FC467F">
        <w:t xml:space="preserve">de eerste helft van </w:t>
      </w:r>
      <w:r w:rsidRPr="00EA1E4E" w:rsidR="00021723">
        <w:t xml:space="preserve">2027 </w:t>
      </w:r>
      <w:r w:rsidRPr="00EA1E4E" w:rsidR="00C41DB6">
        <w:t>de consultatieversie van het wetsvoorstel gereed hebben</w:t>
      </w:r>
      <w:r w:rsidRPr="00EA1E4E" w:rsidR="001B79C4">
        <w:t xml:space="preserve">. </w:t>
      </w:r>
      <w:r w:rsidRPr="00EA1E4E" w:rsidR="00F42A4E">
        <w:t>Ik zal</w:t>
      </w:r>
      <w:r w:rsidRPr="00EA1E4E" w:rsidR="001B79C4">
        <w:t xml:space="preserve"> uw Kamer</w:t>
      </w:r>
      <w:r w:rsidRPr="00EA1E4E" w:rsidR="001861C7">
        <w:t xml:space="preserve"> </w:t>
      </w:r>
      <w:r w:rsidRPr="00EA1E4E" w:rsidR="00D0614A">
        <w:t xml:space="preserve">dan </w:t>
      </w:r>
      <w:r w:rsidRPr="00EA1E4E" w:rsidR="003846AB">
        <w:t xml:space="preserve">ook </w:t>
      </w:r>
      <w:r w:rsidRPr="00EA1E4E" w:rsidR="001861C7">
        <w:t>informeren</w:t>
      </w:r>
      <w:r w:rsidRPr="00EA1E4E" w:rsidR="001B79C4">
        <w:t xml:space="preserve"> over </w:t>
      </w:r>
      <w:r w:rsidRPr="00EA1E4E" w:rsidR="001861C7">
        <w:t xml:space="preserve">de voortgang de </w:t>
      </w:r>
      <w:proofErr w:type="spellStart"/>
      <w:r w:rsidRPr="00EA1E4E" w:rsidR="001861C7">
        <w:t>meerjarenagenda</w:t>
      </w:r>
      <w:proofErr w:type="spellEnd"/>
      <w:r w:rsidRPr="00EA1E4E" w:rsidR="001861C7">
        <w:t xml:space="preserve"> bescherming tegen gokschade en aanpak van illegaliteit</w:t>
      </w:r>
      <w:r w:rsidRPr="00EA1E4E" w:rsidR="001B79C4">
        <w:t xml:space="preserve">. </w:t>
      </w:r>
      <w:r w:rsidRPr="00EA1E4E" w:rsidR="00FE5086">
        <w:t>In de tussentijd blijf ik de ontwikkelingen rondom deelname aan online kansspelen nauwlettend monitoren, zodat waar nodig tijdig kan worden bijgestuurd</w:t>
      </w:r>
      <w:r w:rsidRPr="00EA1E4E" w:rsidR="00D0614A">
        <w:t>.</w:t>
      </w:r>
    </w:p>
    <w:p w:rsidRPr="00EA1E4E" w:rsidR="00D4625E" w:rsidP="00CC6D10" w:rsidRDefault="00D4625E" w14:paraId="32E936AA" w14:textId="77777777">
      <w:pPr>
        <w:rPr>
          <w:b/>
          <w:bCs/>
        </w:rPr>
      </w:pPr>
    </w:p>
    <w:p w:rsidRPr="00EA1E4E" w:rsidR="00732644" w:rsidRDefault="00732644" w14:paraId="071AB298" w14:textId="77777777"/>
    <w:p w:rsidRPr="00EA1E4E" w:rsidR="00683AE8" w:rsidRDefault="00683AE8" w14:paraId="127C775F" w14:textId="77777777">
      <w:r w:rsidRPr="00EA1E4E">
        <w:t xml:space="preserve">De Staatssecretaris </w:t>
      </w:r>
      <w:r w:rsidRPr="00EA1E4E" w:rsidR="00E60BD9">
        <w:t xml:space="preserve">van </w:t>
      </w:r>
      <w:r w:rsidRPr="00EA1E4E">
        <w:t xml:space="preserve">Justitie en Veiligheid, </w:t>
      </w:r>
    </w:p>
    <w:p w:rsidRPr="00EA1E4E" w:rsidR="00683AE8" w:rsidRDefault="00683AE8" w14:paraId="239CC280" w14:textId="77777777"/>
    <w:p w:rsidRPr="00EA1E4E" w:rsidR="00683AE8" w:rsidRDefault="00683AE8" w14:paraId="20E2D2D7" w14:textId="77777777"/>
    <w:p w:rsidRPr="00EA1E4E" w:rsidR="00683AE8" w:rsidRDefault="00683AE8" w14:paraId="1B299EC9" w14:textId="77777777"/>
    <w:p w:rsidRPr="00EA1E4E" w:rsidR="00683AE8" w:rsidRDefault="00683AE8" w14:paraId="1AC43026" w14:textId="77777777"/>
    <w:p w:rsidR="00732644" w:rsidRDefault="009401F4" w14:paraId="09AADFB1" w14:textId="0975AAA5">
      <w:r w:rsidRPr="00EA1E4E">
        <w:t>Claudia van Bruggen</w:t>
      </w:r>
    </w:p>
    <w:p w:rsidR="00732644" w:rsidRDefault="00732644" w14:paraId="7B544E4E" w14:textId="77777777"/>
    <w:sectPr w:rsidR="0073264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450A" w14:textId="77777777" w:rsidR="004632BD" w:rsidRDefault="004632BD">
      <w:pPr>
        <w:spacing w:line="240" w:lineRule="auto"/>
      </w:pPr>
      <w:r>
        <w:separator/>
      </w:r>
    </w:p>
  </w:endnote>
  <w:endnote w:type="continuationSeparator" w:id="0">
    <w:p w14:paraId="7DDBD2E9" w14:textId="77777777" w:rsidR="004632BD" w:rsidRDefault="004632BD">
      <w:pPr>
        <w:spacing w:line="240" w:lineRule="auto"/>
      </w:pPr>
      <w:r>
        <w:continuationSeparator/>
      </w:r>
    </w:p>
  </w:endnote>
  <w:endnote w:type="continuationNotice" w:id="1">
    <w:p w14:paraId="606C4C2A" w14:textId="77777777" w:rsidR="004632BD" w:rsidRDefault="004632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6D3D" w14:textId="77777777" w:rsidR="00732644" w:rsidRDefault="0073264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D1B2" w14:textId="77777777" w:rsidR="004632BD" w:rsidRDefault="004632BD">
      <w:pPr>
        <w:spacing w:line="240" w:lineRule="auto"/>
      </w:pPr>
      <w:r>
        <w:separator/>
      </w:r>
    </w:p>
  </w:footnote>
  <w:footnote w:type="continuationSeparator" w:id="0">
    <w:p w14:paraId="723E0351" w14:textId="77777777" w:rsidR="004632BD" w:rsidRDefault="004632BD">
      <w:pPr>
        <w:spacing w:line="240" w:lineRule="auto"/>
      </w:pPr>
      <w:r>
        <w:continuationSeparator/>
      </w:r>
    </w:p>
  </w:footnote>
  <w:footnote w:type="continuationNotice" w:id="1">
    <w:p w14:paraId="63830523" w14:textId="77777777" w:rsidR="004632BD" w:rsidRDefault="004632BD">
      <w:pPr>
        <w:spacing w:line="240" w:lineRule="auto"/>
      </w:pPr>
    </w:p>
  </w:footnote>
  <w:footnote w:id="2">
    <w:p w14:paraId="75178C8B" w14:textId="548474B5" w:rsidR="00CD5977" w:rsidRPr="001D54D1" w:rsidRDefault="00CD5977">
      <w:pPr>
        <w:pStyle w:val="Voetnoottekst"/>
        <w:rPr>
          <w:sz w:val="16"/>
          <w:szCs w:val="16"/>
        </w:rPr>
      </w:pPr>
      <w:r w:rsidRPr="001D54D1">
        <w:rPr>
          <w:rStyle w:val="Voetnootmarkering"/>
          <w:sz w:val="16"/>
          <w:szCs w:val="16"/>
        </w:rPr>
        <w:footnoteRef/>
      </w:r>
      <w:r w:rsidRPr="001D54D1">
        <w:rPr>
          <w:sz w:val="16"/>
          <w:szCs w:val="16"/>
        </w:rPr>
        <w:t xml:space="preserve"> </w:t>
      </w:r>
      <w:r w:rsidR="001D54D1" w:rsidRPr="001D54D1">
        <w:rPr>
          <w:sz w:val="16"/>
          <w:szCs w:val="16"/>
        </w:rPr>
        <w:t xml:space="preserve">Stichting Informatievoorziening Zorg (IVZ) (2026). </w:t>
      </w:r>
      <w:r w:rsidR="001D54D1">
        <w:rPr>
          <w:sz w:val="16"/>
          <w:szCs w:val="16"/>
        </w:rPr>
        <w:t xml:space="preserve">Landelijk Alcohol en Drugs Informatie Systeem. </w:t>
      </w:r>
      <w:r w:rsidR="001D54D1" w:rsidRPr="001D54D1">
        <w:rPr>
          <w:sz w:val="16"/>
          <w:szCs w:val="16"/>
        </w:rPr>
        <w:t>Kerncijfers verslavingszorg 2016–2025. Geraadpleegd via https://www.ladis.eu/nl/publicaties/kerncijfers</w:t>
      </w:r>
    </w:p>
  </w:footnote>
  <w:footnote w:id="3">
    <w:p w14:paraId="53391E0D" w14:textId="77777777" w:rsidR="00C21A7F" w:rsidRPr="008638B8" w:rsidRDefault="00C21A7F" w:rsidP="00C21A7F">
      <w:pPr>
        <w:pStyle w:val="Voetnoottekst"/>
        <w:rPr>
          <w:sz w:val="16"/>
          <w:szCs w:val="16"/>
        </w:rPr>
      </w:pPr>
      <w:r w:rsidRPr="008638B8">
        <w:rPr>
          <w:rStyle w:val="Voetnootmarkering"/>
          <w:sz w:val="16"/>
          <w:szCs w:val="16"/>
        </w:rPr>
        <w:footnoteRef/>
      </w:r>
      <w:r w:rsidRPr="008638B8">
        <w:rPr>
          <w:sz w:val="16"/>
          <w:szCs w:val="16"/>
        </w:rPr>
        <w:t xml:space="preserve"> </w:t>
      </w:r>
      <w:r w:rsidRPr="008638B8">
        <w:rPr>
          <w:i/>
          <w:iCs/>
          <w:sz w:val="16"/>
          <w:szCs w:val="16"/>
        </w:rPr>
        <w:t xml:space="preserve">Kamerstukken II </w:t>
      </w:r>
      <w:r w:rsidRPr="008638B8">
        <w:rPr>
          <w:sz w:val="16"/>
          <w:szCs w:val="16"/>
        </w:rPr>
        <w:t>2024/25, 24 557, nr. 245.</w:t>
      </w:r>
    </w:p>
  </w:footnote>
  <w:footnote w:id="4">
    <w:p w14:paraId="6936B56B" w14:textId="30142006" w:rsidR="008638B8" w:rsidRPr="005A0F9A" w:rsidRDefault="008638B8">
      <w:pPr>
        <w:pStyle w:val="Voetnoottekst"/>
        <w:rPr>
          <w:sz w:val="16"/>
          <w:szCs w:val="16"/>
        </w:rPr>
      </w:pPr>
      <w:r w:rsidRPr="005A0F9A">
        <w:rPr>
          <w:rStyle w:val="Voetnootmarkering"/>
          <w:sz w:val="16"/>
          <w:szCs w:val="16"/>
        </w:rPr>
        <w:footnoteRef/>
      </w:r>
      <w:r w:rsidRPr="005A0F9A">
        <w:rPr>
          <w:sz w:val="16"/>
          <w:szCs w:val="16"/>
        </w:rPr>
        <w:t xml:space="preserve"> De visie is gericht op alle burgers</w:t>
      </w:r>
      <w:r w:rsidR="00DC6C79" w:rsidRPr="005A0F9A">
        <w:rPr>
          <w:sz w:val="16"/>
          <w:szCs w:val="16"/>
        </w:rPr>
        <w:t xml:space="preserve"> van Nederland</w:t>
      </w:r>
      <w:r w:rsidRPr="005A0F9A">
        <w:rPr>
          <w:sz w:val="16"/>
          <w:szCs w:val="16"/>
        </w:rPr>
        <w:t>, zowel woonachtig in Europees Nederland als in Caribisch Nederland. De jaarlijkse monitoring van deelname aan kansspelen wordt dit jaar uitgebreid met een meting onder de inwoners op Bonaire, Saba en Sint Eustatius.</w:t>
      </w:r>
    </w:p>
  </w:footnote>
  <w:footnote w:id="5">
    <w:p w14:paraId="4D1ED4D9" w14:textId="62DAE2F6" w:rsidR="00422998" w:rsidRDefault="00422998">
      <w:pPr>
        <w:pStyle w:val="Voetnoottekst"/>
      </w:pPr>
      <w:r w:rsidRPr="005A0F9A">
        <w:rPr>
          <w:rStyle w:val="Voetnootmarkering"/>
          <w:sz w:val="16"/>
          <w:szCs w:val="16"/>
        </w:rPr>
        <w:footnoteRef/>
      </w:r>
      <w:r w:rsidRPr="005A0F9A">
        <w:rPr>
          <w:sz w:val="16"/>
          <w:szCs w:val="16"/>
        </w:rPr>
        <w:t xml:space="preserve"> </w:t>
      </w:r>
      <w:r w:rsidR="005A0F9A" w:rsidRPr="005A0F9A">
        <w:rPr>
          <w:sz w:val="16"/>
          <w:szCs w:val="16"/>
        </w:rPr>
        <w:t xml:space="preserve">Onderzoeksrapport van </w:t>
      </w:r>
      <w:proofErr w:type="spellStart"/>
      <w:r w:rsidR="005A0F9A" w:rsidRPr="005A0F9A">
        <w:rPr>
          <w:sz w:val="16"/>
          <w:szCs w:val="16"/>
        </w:rPr>
        <w:t>Dialogic</w:t>
      </w:r>
      <w:proofErr w:type="spellEnd"/>
      <w:r w:rsidR="005A0F9A" w:rsidRPr="005A0F9A">
        <w:rPr>
          <w:sz w:val="16"/>
          <w:szCs w:val="16"/>
        </w:rPr>
        <w:t xml:space="preserve"> in opdracht van het WODC: ‘Risico’s op gokschade: een rangorde</w:t>
      </w:r>
      <w:r w:rsidR="005A0F9A" w:rsidRPr="0069011F">
        <w:rPr>
          <w:sz w:val="16"/>
          <w:szCs w:val="16"/>
        </w:rPr>
        <w:t xml:space="preserve"> van gokproducten</w:t>
      </w:r>
      <w:r w:rsidR="005A0F9A">
        <w:rPr>
          <w:sz w:val="16"/>
          <w:szCs w:val="16"/>
        </w:rPr>
        <w:t xml:space="preserve">’, bijlage bij </w:t>
      </w:r>
      <w:r w:rsidR="005A0F9A">
        <w:rPr>
          <w:i/>
          <w:iCs/>
          <w:sz w:val="16"/>
          <w:szCs w:val="16"/>
        </w:rPr>
        <w:t xml:space="preserve">Kamerstukken II </w:t>
      </w:r>
      <w:r w:rsidR="005A0F9A">
        <w:rPr>
          <w:sz w:val="16"/>
          <w:szCs w:val="16"/>
        </w:rPr>
        <w:t>2025/26, 24 557, nr. 281.</w:t>
      </w:r>
    </w:p>
  </w:footnote>
  <w:footnote w:id="6">
    <w:p w14:paraId="2B1BBE7E" w14:textId="5FF33F77" w:rsidR="00BE369F" w:rsidRPr="00F17D24" w:rsidRDefault="00BE369F" w:rsidP="00BE369F">
      <w:pPr>
        <w:pStyle w:val="Voetnoottekst"/>
        <w:rPr>
          <w:sz w:val="16"/>
          <w:szCs w:val="16"/>
        </w:rPr>
      </w:pPr>
      <w:r w:rsidRPr="006415F7">
        <w:rPr>
          <w:rStyle w:val="Voetnootmarkering"/>
          <w:sz w:val="16"/>
          <w:szCs w:val="16"/>
        </w:rPr>
        <w:footnoteRef/>
      </w:r>
      <w:r w:rsidRPr="006415F7">
        <w:rPr>
          <w:sz w:val="16"/>
          <w:szCs w:val="16"/>
        </w:rPr>
        <w:t xml:space="preserve"> Dit betreft het per 30 juni 2022 in</w:t>
      </w:r>
      <w:r w:rsidR="00B132A3">
        <w:rPr>
          <w:sz w:val="16"/>
          <w:szCs w:val="16"/>
        </w:rPr>
        <w:t xml:space="preserve"> </w:t>
      </w:r>
      <w:r w:rsidRPr="006415F7">
        <w:rPr>
          <w:sz w:val="16"/>
          <w:szCs w:val="16"/>
        </w:rPr>
        <w:t>werking getreden verbod om rolmodellen in te zetten voor reclames voor risicovolle kansspelen (</w:t>
      </w:r>
      <w:r w:rsidRPr="009C7976">
        <w:rPr>
          <w:sz w:val="16"/>
          <w:szCs w:val="16"/>
        </w:rPr>
        <w:t>Regeling van de Minister voor Rechtsbescherming van 26 april 2022, nr. 3982479, tot wijziging van artikel 4 van de Regeling werving, reclame en verslavingspreventie kansspelen</w:t>
      </w:r>
      <w:r w:rsidR="00B132A3">
        <w:rPr>
          <w:sz w:val="16"/>
          <w:szCs w:val="16"/>
        </w:rPr>
        <w:t>,</w:t>
      </w:r>
      <w:r w:rsidRPr="009C7976">
        <w:rPr>
          <w:sz w:val="16"/>
          <w:szCs w:val="16"/>
        </w:rPr>
        <w:t xml:space="preserve"> Staatscourant 2022, 11826)</w:t>
      </w:r>
      <w:r w:rsidR="00D40009">
        <w:rPr>
          <w:sz w:val="16"/>
          <w:szCs w:val="16"/>
        </w:rPr>
        <w:t>.</w:t>
      </w:r>
      <w:r w:rsidRPr="009C7976">
        <w:rPr>
          <w:sz w:val="16"/>
          <w:szCs w:val="16"/>
        </w:rPr>
        <w:t xml:space="preserve"> </w:t>
      </w:r>
      <w:r w:rsidR="00D40009">
        <w:rPr>
          <w:sz w:val="16"/>
          <w:szCs w:val="16"/>
        </w:rPr>
        <w:t>P</w:t>
      </w:r>
      <w:r w:rsidRPr="006415F7">
        <w:rPr>
          <w:sz w:val="16"/>
          <w:szCs w:val="16"/>
        </w:rPr>
        <w:t>er 1 juli 2023 is ongerichte reclame voor online kansspelen verboden</w:t>
      </w:r>
      <w:r w:rsidR="00B132A3">
        <w:rPr>
          <w:sz w:val="16"/>
          <w:szCs w:val="16"/>
        </w:rPr>
        <w:t xml:space="preserve"> en per 1 juli </w:t>
      </w:r>
      <w:r w:rsidR="00D40009">
        <w:rPr>
          <w:sz w:val="16"/>
          <w:szCs w:val="16"/>
        </w:rPr>
        <w:t xml:space="preserve">2024 </w:t>
      </w:r>
      <w:r w:rsidR="00B132A3">
        <w:rPr>
          <w:sz w:val="16"/>
          <w:szCs w:val="16"/>
        </w:rPr>
        <w:t>sponsoring, uitgezonderd sportsponsoring dat is verboden per 1 juli 2025</w:t>
      </w:r>
      <w:r w:rsidRPr="006415F7">
        <w:rPr>
          <w:sz w:val="16"/>
          <w:szCs w:val="16"/>
        </w:rPr>
        <w:t xml:space="preserve"> (</w:t>
      </w:r>
      <w:r w:rsidRPr="009C7976">
        <w:rPr>
          <w:sz w:val="16"/>
          <w:szCs w:val="16"/>
        </w:rPr>
        <w:t>Besluit ongerichte reclame kansspelen op afstand</w:t>
      </w:r>
      <w:r w:rsidR="002A6966">
        <w:rPr>
          <w:sz w:val="16"/>
          <w:szCs w:val="16"/>
        </w:rPr>
        <w:t xml:space="preserve"> (Besluit orka)</w:t>
      </w:r>
      <w:r w:rsidRPr="009C7976">
        <w:rPr>
          <w:sz w:val="16"/>
          <w:szCs w:val="16"/>
        </w:rPr>
        <w:t>, Staatsblad 2023, 120)</w:t>
      </w:r>
      <w:r w:rsidR="00D40009">
        <w:rPr>
          <w:sz w:val="16"/>
          <w:szCs w:val="16"/>
        </w:rPr>
        <w:t>.</w:t>
      </w:r>
      <w:r w:rsidRPr="009C7976">
        <w:rPr>
          <w:sz w:val="16"/>
          <w:szCs w:val="16"/>
        </w:rPr>
        <w:t xml:space="preserve"> </w:t>
      </w:r>
      <w:r w:rsidR="00D40009">
        <w:rPr>
          <w:sz w:val="16"/>
          <w:szCs w:val="16"/>
        </w:rPr>
        <w:t>P</w:t>
      </w:r>
      <w:r w:rsidRPr="006415F7">
        <w:rPr>
          <w:sz w:val="16"/>
          <w:szCs w:val="16"/>
        </w:rPr>
        <w:t>er oktober 2024 zijn maatregelen getroffen met betrekking tot de invulling van de zorgplicht, speellimieten en bewuster speelgedrag (</w:t>
      </w:r>
      <w:r w:rsidRPr="009C7976">
        <w:rPr>
          <w:sz w:val="16"/>
          <w:szCs w:val="16"/>
        </w:rPr>
        <w:t>Regeling speellimieten en bewuster speelgedrag</w:t>
      </w:r>
      <w:r>
        <w:rPr>
          <w:sz w:val="16"/>
          <w:szCs w:val="16"/>
        </w:rPr>
        <w:t>,</w:t>
      </w:r>
      <w:r w:rsidRPr="009C7976">
        <w:rPr>
          <w:sz w:val="16"/>
          <w:szCs w:val="16"/>
        </w:rPr>
        <w:t xml:space="preserve"> Staatscourant 2024, 19648 en Beleidsregel verantwoord spelen 2024</w:t>
      </w:r>
      <w:r w:rsidR="00B132A3">
        <w:rPr>
          <w:sz w:val="16"/>
          <w:szCs w:val="16"/>
        </w:rPr>
        <w:t>,</w:t>
      </w:r>
      <w:r w:rsidRPr="009C7976">
        <w:rPr>
          <w:sz w:val="16"/>
          <w:szCs w:val="16"/>
        </w:rPr>
        <w:t xml:space="preserve"> Staatscourant 2024, 18177). </w:t>
      </w:r>
    </w:p>
  </w:footnote>
  <w:footnote w:id="7">
    <w:p w14:paraId="2946D7CD" w14:textId="1EE9E6FC" w:rsidR="00BA665D" w:rsidRPr="008F1CEA" w:rsidRDefault="00BA665D" w:rsidP="00BA665D">
      <w:pPr>
        <w:pStyle w:val="Voetnoottekst"/>
        <w:rPr>
          <w:sz w:val="16"/>
          <w:szCs w:val="16"/>
        </w:rPr>
      </w:pPr>
      <w:r w:rsidRPr="008F1CEA">
        <w:rPr>
          <w:rStyle w:val="Voetnootmarkering"/>
          <w:sz w:val="16"/>
          <w:szCs w:val="16"/>
        </w:rPr>
        <w:footnoteRef/>
      </w:r>
      <w:r w:rsidRPr="008F1CEA">
        <w:rPr>
          <w:sz w:val="16"/>
          <w:szCs w:val="16"/>
        </w:rPr>
        <w:t xml:space="preserve"> Cijfers tot en met het eerste half jaar van 2025, bijlage bij </w:t>
      </w:r>
      <w:r w:rsidRPr="008F1CEA">
        <w:rPr>
          <w:i/>
          <w:iCs/>
          <w:sz w:val="16"/>
          <w:szCs w:val="16"/>
        </w:rPr>
        <w:t>Kamerstukken II</w:t>
      </w:r>
      <w:r w:rsidRPr="008F1CEA">
        <w:rPr>
          <w:sz w:val="16"/>
          <w:szCs w:val="16"/>
        </w:rPr>
        <w:t xml:space="preserve"> 2025/26, 24 557, nr. 276; cijfers tot en met mei 2025, bijlage bij </w:t>
      </w:r>
      <w:r w:rsidRPr="008F1CEA">
        <w:rPr>
          <w:i/>
          <w:iCs/>
          <w:sz w:val="16"/>
          <w:szCs w:val="16"/>
        </w:rPr>
        <w:t xml:space="preserve">Kamerstukken II </w:t>
      </w:r>
      <w:r w:rsidRPr="008F1CEA">
        <w:rPr>
          <w:sz w:val="16"/>
          <w:szCs w:val="16"/>
        </w:rPr>
        <w:t xml:space="preserve">2024/25, 24 557, nr. 245 en bijlage bij </w:t>
      </w:r>
      <w:r w:rsidRPr="008F1CEA">
        <w:rPr>
          <w:i/>
          <w:iCs/>
          <w:sz w:val="16"/>
          <w:szCs w:val="16"/>
        </w:rPr>
        <w:t>Kamerstukken II</w:t>
      </w:r>
      <w:r w:rsidRPr="008F1CEA">
        <w:rPr>
          <w:sz w:val="16"/>
          <w:szCs w:val="16"/>
        </w:rPr>
        <w:t xml:space="preserve"> 2024/25, 24 557, nr. 273.</w:t>
      </w:r>
      <w:r w:rsidR="003B0D96" w:rsidRPr="008F1CEA">
        <w:rPr>
          <w:sz w:val="16"/>
          <w:szCs w:val="16"/>
        </w:rPr>
        <w:t xml:space="preserve"> Monitoringsrapportage Ksa voorjaar 2026: Bijlage bij </w:t>
      </w:r>
      <w:r w:rsidR="003B0D96" w:rsidRPr="008F1CEA">
        <w:rPr>
          <w:i/>
          <w:iCs/>
          <w:sz w:val="16"/>
          <w:szCs w:val="16"/>
        </w:rPr>
        <w:t xml:space="preserve">Kamerstukken II </w:t>
      </w:r>
      <w:r w:rsidR="003B0D96" w:rsidRPr="008F1CEA">
        <w:rPr>
          <w:sz w:val="16"/>
          <w:szCs w:val="16"/>
        </w:rPr>
        <w:t>2025/26, 24 557, nr. 281.</w:t>
      </w:r>
      <w:r w:rsidRPr="008F1CEA">
        <w:rPr>
          <w:sz w:val="16"/>
          <w:szCs w:val="16"/>
        </w:rPr>
        <w:t xml:space="preserve"> </w:t>
      </w:r>
    </w:p>
  </w:footnote>
  <w:footnote w:id="8">
    <w:p w14:paraId="60CC2E12" w14:textId="2F821009" w:rsidR="00635EF3" w:rsidRDefault="00635EF3" w:rsidP="00635EF3">
      <w:pPr>
        <w:pStyle w:val="Voetnoottekst"/>
      </w:pPr>
      <w:r w:rsidRPr="008F1CEA">
        <w:rPr>
          <w:rStyle w:val="Voetnootmarkering"/>
          <w:sz w:val="16"/>
          <w:szCs w:val="16"/>
        </w:rPr>
        <w:footnoteRef/>
      </w:r>
      <w:r w:rsidRPr="008F1CEA">
        <w:rPr>
          <w:sz w:val="16"/>
          <w:szCs w:val="16"/>
        </w:rPr>
        <w:t xml:space="preserve"> </w:t>
      </w:r>
      <w:r w:rsidR="005A0F9A">
        <w:rPr>
          <w:sz w:val="16"/>
          <w:szCs w:val="16"/>
        </w:rPr>
        <w:t xml:space="preserve">Onderzoeksrapport van </w:t>
      </w:r>
      <w:proofErr w:type="spellStart"/>
      <w:r w:rsidR="005A0F9A">
        <w:rPr>
          <w:sz w:val="16"/>
          <w:szCs w:val="16"/>
        </w:rPr>
        <w:t>Dialogic</w:t>
      </w:r>
      <w:proofErr w:type="spellEnd"/>
      <w:r w:rsidR="005A0F9A">
        <w:rPr>
          <w:sz w:val="16"/>
          <w:szCs w:val="16"/>
        </w:rPr>
        <w:t xml:space="preserve"> in opdracht van het WODC:</w:t>
      </w:r>
      <w:r w:rsidR="005A0F9A" w:rsidRPr="0069011F">
        <w:rPr>
          <w:sz w:val="16"/>
          <w:szCs w:val="16"/>
        </w:rPr>
        <w:t xml:space="preserve"> </w:t>
      </w:r>
      <w:r w:rsidR="005A0F9A">
        <w:rPr>
          <w:sz w:val="16"/>
          <w:szCs w:val="16"/>
        </w:rPr>
        <w:t>‘</w:t>
      </w:r>
      <w:r w:rsidR="005A0F9A" w:rsidRPr="0069011F">
        <w:rPr>
          <w:sz w:val="16"/>
          <w:szCs w:val="16"/>
        </w:rPr>
        <w:t>Risico’s op gokschade: een rangorde van gokproducten</w:t>
      </w:r>
      <w:r w:rsidR="005A0F9A">
        <w:rPr>
          <w:sz w:val="16"/>
          <w:szCs w:val="16"/>
        </w:rPr>
        <w:t xml:space="preserve">’, bijlage bij </w:t>
      </w:r>
      <w:r w:rsidR="005A0F9A">
        <w:rPr>
          <w:i/>
          <w:iCs/>
          <w:sz w:val="16"/>
          <w:szCs w:val="16"/>
        </w:rPr>
        <w:t xml:space="preserve">Kamerstukken II </w:t>
      </w:r>
      <w:r w:rsidR="005A0F9A">
        <w:rPr>
          <w:sz w:val="16"/>
          <w:szCs w:val="16"/>
        </w:rPr>
        <w:t>2025/26, 24 557, nr. 281.</w:t>
      </w:r>
    </w:p>
  </w:footnote>
  <w:footnote w:id="9">
    <w:p w14:paraId="34391407" w14:textId="77777777" w:rsidR="00AD5589" w:rsidRPr="00FB1819" w:rsidRDefault="00AD5589" w:rsidP="00AD5589">
      <w:pPr>
        <w:pStyle w:val="Voetnoottekst"/>
        <w:rPr>
          <w:sz w:val="16"/>
          <w:szCs w:val="16"/>
        </w:rPr>
      </w:pPr>
      <w:r w:rsidRPr="00FB1819">
        <w:rPr>
          <w:rStyle w:val="Voetnootmarkering"/>
          <w:sz w:val="16"/>
          <w:szCs w:val="16"/>
        </w:rPr>
        <w:footnoteRef/>
      </w:r>
      <w:r w:rsidRPr="00FB1819">
        <w:rPr>
          <w:sz w:val="16"/>
          <w:szCs w:val="16"/>
        </w:rPr>
        <w:t xml:space="preserve"> </w:t>
      </w:r>
      <w:r>
        <w:rPr>
          <w:sz w:val="16"/>
          <w:szCs w:val="16"/>
        </w:rPr>
        <w:t xml:space="preserve">Onderzoeksrapport van </w:t>
      </w:r>
      <w:proofErr w:type="spellStart"/>
      <w:r>
        <w:rPr>
          <w:sz w:val="16"/>
          <w:szCs w:val="16"/>
        </w:rPr>
        <w:t>Ipsos</w:t>
      </w:r>
      <w:proofErr w:type="spellEnd"/>
      <w:r>
        <w:rPr>
          <w:sz w:val="16"/>
          <w:szCs w:val="16"/>
        </w:rPr>
        <w:t xml:space="preserve"> I&amp;O in opdracht van het WODC ‘</w:t>
      </w:r>
      <w:r w:rsidRPr="00FB1819">
        <w:rPr>
          <w:sz w:val="16"/>
          <w:szCs w:val="16"/>
        </w:rPr>
        <w:t>Deelname aan kansspelen in Nederland, meting 2025</w:t>
      </w:r>
      <w:r>
        <w:rPr>
          <w:sz w:val="16"/>
          <w:szCs w:val="16"/>
        </w:rPr>
        <w:t xml:space="preserve">’, </w:t>
      </w:r>
      <w:r w:rsidRPr="00FB1819">
        <w:rPr>
          <w:sz w:val="16"/>
          <w:szCs w:val="16"/>
        </w:rPr>
        <w:t xml:space="preserve">bijlage bij: </w:t>
      </w:r>
      <w:r w:rsidRPr="00FB1819">
        <w:rPr>
          <w:i/>
          <w:iCs/>
          <w:sz w:val="16"/>
          <w:szCs w:val="16"/>
        </w:rPr>
        <w:t>Kamerstukken II</w:t>
      </w:r>
      <w:r w:rsidRPr="00FB1819">
        <w:rPr>
          <w:sz w:val="16"/>
          <w:szCs w:val="16"/>
        </w:rPr>
        <w:t xml:space="preserve"> 2024/25, 24 557, nr. 273</w:t>
      </w:r>
      <w:r>
        <w:rPr>
          <w:sz w:val="16"/>
          <w:szCs w:val="16"/>
        </w:rPr>
        <w:t>, p. 50. M</w:t>
      </w:r>
      <w:r w:rsidRPr="000F1417">
        <w:rPr>
          <w:sz w:val="16"/>
          <w:szCs w:val="16"/>
        </w:rPr>
        <w:t xml:space="preserve">onitoringsrapportage Ksa najaar 2025, bijlage bij: </w:t>
      </w:r>
      <w:r w:rsidRPr="000F1417">
        <w:rPr>
          <w:i/>
          <w:iCs/>
          <w:sz w:val="16"/>
          <w:szCs w:val="16"/>
        </w:rPr>
        <w:t>Kamerstukken II</w:t>
      </w:r>
      <w:r w:rsidRPr="000F1417">
        <w:rPr>
          <w:sz w:val="16"/>
          <w:szCs w:val="16"/>
        </w:rPr>
        <w:t xml:space="preserve"> 2025/26, 24</w:t>
      </w:r>
      <w:r>
        <w:rPr>
          <w:sz w:val="16"/>
          <w:szCs w:val="16"/>
        </w:rPr>
        <w:t xml:space="preserve"> </w:t>
      </w:r>
      <w:r w:rsidRPr="000F1417">
        <w:rPr>
          <w:sz w:val="16"/>
          <w:szCs w:val="16"/>
        </w:rPr>
        <w:t>557, nr. 276</w:t>
      </w:r>
      <w:r>
        <w:rPr>
          <w:sz w:val="16"/>
          <w:szCs w:val="16"/>
        </w:rPr>
        <w:t>.</w:t>
      </w:r>
    </w:p>
  </w:footnote>
  <w:footnote w:id="10">
    <w:p w14:paraId="4631CB94" w14:textId="77777777" w:rsidR="00A01269" w:rsidRPr="00781960" w:rsidRDefault="00A01269" w:rsidP="00A01269">
      <w:pPr>
        <w:pStyle w:val="Voetnoottekst"/>
        <w:rPr>
          <w:sz w:val="16"/>
          <w:szCs w:val="16"/>
        </w:rPr>
      </w:pPr>
      <w:r w:rsidRPr="00781960">
        <w:rPr>
          <w:rStyle w:val="Voetnootmarkering"/>
          <w:sz w:val="16"/>
          <w:szCs w:val="16"/>
        </w:rPr>
        <w:footnoteRef/>
      </w:r>
      <w:r w:rsidRPr="00781960">
        <w:rPr>
          <w:sz w:val="16"/>
          <w:szCs w:val="16"/>
        </w:rPr>
        <w:t xml:space="preserve"> Meer dan een derde van de spelers die (ook) illegale websites gebruikten om online te gokken, voldoet volgens onderzoek aan de criteria van hoog-risico gokker. Bij spelers van online kansspelen is dit 9 procent, zie bijlage bij: Kamerstukken II 2024/25, 24 557, nr. 273, p. 41</w:t>
      </w:r>
      <w:r>
        <w:rPr>
          <w:sz w:val="16"/>
          <w:szCs w:val="16"/>
        </w:rPr>
        <w:t>.</w:t>
      </w:r>
    </w:p>
  </w:footnote>
  <w:footnote w:id="11">
    <w:p w14:paraId="0CC21B2D" w14:textId="77777777" w:rsidR="00AD5589" w:rsidRPr="00F17D24" w:rsidRDefault="00AD5589" w:rsidP="00AD5589">
      <w:pPr>
        <w:pStyle w:val="Voetnoottekst"/>
        <w:rPr>
          <w:i/>
          <w:iCs/>
          <w:sz w:val="16"/>
          <w:szCs w:val="16"/>
        </w:rPr>
      </w:pPr>
      <w:r w:rsidRPr="00F17D24">
        <w:rPr>
          <w:rStyle w:val="Voetnootmarkering"/>
          <w:sz w:val="16"/>
          <w:szCs w:val="16"/>
        </w:rPr>
        <w:footnoteRef/>
      </w:r>
      <w:r w:rsidRPr="00F17D24">
        <w:rPr>
          <w:sz w:val="16"/>
          <w:szCs w:val="16"/>
        </w:rPr>
        <w:t xml:space="preserve"> </w:t>
      </w:r>
      <w:r>
        <w:rPr>
          <w:sz w:val="16"/>
          <w:szCs w:val="16"/>
        </w:rPr>
        <w:t xml:space="preserve">Onderzoeksrapport van </w:t>
      </w:r>
      <w:proofErr w:type="spellStart"/>
      <w:r>
        <w:rPr>
          <w:sz w:val="16"/>
          <w:szCs w:val="16"/>
        </w:rPr>
        <w:t>Ipsos</w:t>
      </w:r>
      <w:proofErr w:type="spellEnd"/>
      <w:r>
        <w:rPr>
          <w:sz w:val="16"/>
          <w:szCs w:val="16"/>
        </w:rPr>
        <w:t xml:space="preserve"> I&amp;O in opdracht van het WODC</w:t>
      </w:r>
      <w:r w:rsidRPr="003C7353">
        <w:rPr>
          <w:sz w:val="16"/>
          <w:szCs w:val="16"/>
        </w:rPr>
        <w:t xml:space="preserve"> </w:t>
      </w:r>
      <w:r>
        <w:rPr>
          <w:sz w:val="16"/>
          <w:szCs w:val="16"/>
        </w:rPr>
        <w:t>‘</w:t>
      </w:r>
      <w:r w:rsidRPr="003C7353">
        <w:rPr>
          <w:sz w:val="16"/>
          <w:szCs w:val="16"/>
        </w:rPr>
        <w:t>Perspectief van Nederlanders op kansspelen, meting 2025</w:t>
      </w:r>
      <w:r>
        <w:rPr>
          <w:sz w:val="16"/>
          <w:szCs w:val="16"/>
        </w:rPr>
        <w:t xml:space="preserve">’, bijlage bij: </w:t>
      </w:r>
      <w:r w:rsidRPr="00F17D24">
        <w:rPr>
          <w:i/>
          <w:iCs/>
          <w:sz w:val="16"/>
          <w:szCs w:val="16"/>
        </w:rPr>
        <w:t>Kamerstukken II</w:t>
      </w:r>
      <w:r w:rsidRPr="00F17D24">
        <w:rPr>
          <w:sz w:val="16"/>
          <w:szCs w:val="16"/>
        </w:rPr>
        <w:t xml:space="preserve"> 2025/26, 24 557, nr. 278.</w:t>
      </w:r>
      <w:r w:rsidRPr="00FB1819">
        <w:rPr>
          <w:sz w:val="16"/>
          <w:szCs w:val="16"/>
        </w:rPr>
        <w:t xml:space="preserve"> </w:t>
      </w:r>
      <w:r w:rsidRPr="00F17D24">
        <w:rPr>
          <w:sz w:val="16"/>
          <w:szCs w:val="16"/>
        </w:rPr>
        <w:t>D</w:t>
      </w:r>
      <w:r>
        <w:rPr>
          <w:sz w:val="16"/>
          <w:szCs w:val="16"/>
        </w:rPr>
        <w:t>it rapport</w:t>
      </w:r>
      <w:r w:rsidRPr="00F17D24">
        <w:rPr>
          <w:sz w:val="16"/>
          <w:szCs w:val="16"/>
        </w:rPr>
        <w:t xml:space="preserve"> is een vervolg op de meting die in 2024 is uitgevoerd en aangepast aan de recente informatiebehoefte</w:t>
      </w:r>
      <w:r>
        <w:rPr>
          <w:sz w:val="16"/>
          <w:szCs w:val="16"/>
        </w:rPr>
        <w:t>, b</w:t>
      </w:r>
      <w:r w:rsidRPr="003D4D98">
        <w:rPr>
          <w:sz w:val="16"/>
          <w:szCs w:val="16"/>
        </w:rPr>
        <w:t xml:space="preserve">ijlage bij: </w:t>
      </w:r>
      <w:r w:rsidRPr="003D4D98">
        <w:rPr>
          <w:i/>
          <w:iCs/>
          <w:sz w:val="16"/>
          <w:szCs w:val="16"/>
        </w:rPr>
        <w:t xml:space="preserve">Kamerstukken II </w:t>
      </w:r>
      <w:r w:rsidRPr="003D4D98">
        <w:rPr>
          <w:sz w:val="16"/>
          <w:szCs w:val="16"/>
        </w:rPr>
        <w:t>2023/24, 24 557, nr. 240.</w:t>
      </w:r>
    </w:p>
  </w:footnote>
  <w:footnote w:id="12">
    <w:p w14:paraId="0D993D88" w14:textId="77777777" w:rsidR="00AD5589" w:rsidRPr="005B55FE" w:rsidRDefault="00AD5589" w:rsidP="00AD5589">
      <w:pPr>
        <w:pStyle w:val="Voetnoottekst"/>
        <w:rPr>
          <w:sz w:val="16"/>
          <w:szCs w:val="16"/>
        </w:rPr>
      </w:pPr>
      <w:r w:rsidRPr="003D4D98">
        <w:rPr>
          <w:rStyle w:val="Voetnootmarkering"/>
          <w:sz w:val="16"/>
          <w:szCs w:val="16"/>
        </w:rPr>
        <w:footnoteRef/>
      </w:r>
      <w:r w:rsidRPr="003D4D98">
        <w:rPr>
          <w:sz w:val="16"/>
          <w:szCs w:val="16"/>
        </w:rPr>
        <w:t xml:space="preserve"> </w:t>
      </w:r>
      <w:r>
        <w:rPr>
          <w:sz w:val="16"/>
          <w:szCs w:val="16"/>
        </w:rPr>
        <w:t xml:space="preserve">Motie: </w:t>
      </w:r>
      <w:r w:rsidRPr="003D4D98">
        <w:rPr>
          <w:i/>
          <w:iCs/>
          <w:sz w:val="16"/>
          <w:szCs w:val="16"/>
        </w:rPr>
        <w:t>Kamerstukken II</w:t>
      </w:r>
      <w:r w:rsidRPr="003D4D98">
        <w:rPr>
          <w:sz w:val="16"/>
          <w:szCs w:val="16"/>
        </w:rPr>
        <w:t xml:space="preserve"> 2024/25, 24 557, nr. 266. </w:t>
      </w:r>
    </w:p>
  </w:footnote>
  <w:footnote w:id="13">
    <w:p w14:paraId="70526E9E" w14:textId="77777777" w:rsidR="00FB5455" w:rsidRPr="00AC44C0" w:rsidRDefault="00FB5455" w:rsidP="00FB5455">
      <w:pPr>
        <w:pStyle w:val="Voetnoottekst"/>
        <w:rPr>
          <w:sz w:val="16"/>
          <w:szCs w:val="16"/>
        </w:rPr>
      </w:pPr>
      <w:r w:rsidRPr="000F1417">
        <w:rPr>
          <w:rStyle w:val="Voetnootmarkering"/>
          <w:sz w:val="16"/>
          <w:szCs w:val="16"/>
        </w:rPr>
        <w:footnoteRef/>
      </w:r>
      <w:r w:rsidRPr="000F1417">
        <w:rPr>
          <w:sz w:val="16"/>
          <w:szCs w:val="16"/>
        </w:rPr>
        <w:t xml:space="preserve"> </w:t>
      </w:r>
      <w:r w:rsidRPr="000F1417">
        <w:rPr>
          <w:i/>
          <w:iCs/>
          <w:sz w:val="16"/>
          <w:szCs w:val="16"/>
        </w:rPr>
        <w:t>Contouren voor overkoepelende speellimieten en beleidsreactie onderzoek D&amp;B,</w:t>
      </w:r>
      <w:r w:rsidRPr="000F1417">
        <w:rPr>
          <w:sz w:val="16"/>
          <w:szCs w:val="16"/>
        </w:rPr>
        <w:t xml:space="preserve"> bijlage bij: </w:t>
      </w:r>
      <w:r w:rsidRPr="00AC44C0">
        <w:rPr>
          <w:i/>
          <w:iCs/>
          <w:sz w:val="16"/>
          <w:szCs w:val="16"/>
        </w:rPr>
        <w:t>Kamerstukken II</w:t>
      </w:r>
      <w:r w:rsidRPr="00AC44C0">
        <w:rPr>
          <w:sz w:val="16"/>
          <w:szCs w:val="16"/>
        </w:rPr>
        <w:t xml:space="preserve"> 2024/25, 24 557, nr. 245.</w:t>
      </w:r>
    </w:p>
  </w:footnote>
  <w:footnote w:id="14">
    <w:p w14:paraId="6A6901B4" w14:textId="77777777" w:rsidR="00AC44C0" w:rsidRDefault="00AC44C0" w:rsidP="00AC44C0">
      <w:pPr>
        <w:pStyle w:val="Voetnoottekst"/>
        <w:rPr>
          <w:sz w:val="16"/>
          <w:szCs w:val="16"/>
        </w:rPr>
      </w:pPr>
      <w:r w:rsidRPr="00AC44C0">
        <w:rPr>
          <w:rStyle w:val="Voetnootmarkering"/>
          <w:sz w:val="16"/>
          <w:szCs w:val="16"/>
        </w:rPr>
        <w:footnoteRef/>
      </w:r>
      <w:r w:rsidRPr="00AC44C0">
        <w:rPr>
          <w:sz w:val="16"/>
          <w:szCs w:val="16"/>
        </w:rPr>
        <w:t xml:space="preserve"> Onderzoeksrapport ‘Ervaringen met speellimieten bij online kansspelen, meting 2025’, bijlage bij: </w:t>
      </w:r>
      <w:r w:rsidRPr="00AC44C0">
        <w:rPr>
          <w:i/>
          <w:iCs/>
          <w:sz w:val="16"/>
          <w:szCs w:val="16"/>
        </w:rPr>
        <w:t>Kamerstukken II</w:t>
      </w:r>
      <w:r w:rsidRPr="00AC44C0">
        <w:rPr>
          <w:sz w:val="16"/>
          <w:szCs w:val="16"/>
        </w:rPr>
        <w:t xml:space="preserve"> 2025/26, 24 557, nr. 278</w:t>
      </w:r>
      <w:r>
        <w:rPr>
          <w:sz w:val="16"/>
          <w:szCs w:val="16"/>
        </w:rPr>
        <w:t xml:space="preserve">; </w:t>
      </w:r>
    </w:p>
    <w:p w14:paraId="739A92C0" w14:textId="77777777" w:rsidR="00AC44C0" w:rsidRDefault="00AC44C0" w:rsidP="00AC44C0">
      <w:pPr>
        <w:pStyle w:val="Voetnoottekst"/>
        <w:rPr>
          <w:sz w:val="16"/>
          <w:szCs w:val="16"/>
        </w:rPr>
      </w:pPr>
      <w:r w:rsidRPr="00AC44C0">
        <w:rPr>
          <w:rFonts w:cs="Vrinda"/>
          <w:sz w:val="16"/>
          <w:szCs w:val="16"/>
        </w:rPr>
        <w:t>Kansspelautoriteit</w:t>
      </w:r>
      <w:r w:rsidRPr="000F1417">
        <w:rPr>
          <w:rFonts w:cs="Vrinda"/>
          <w:sz w:val="16"/>
          <w:szCs w:val="16"/>
        </w:rPr>
        <w:t xml:space="preserve"> juli 2025, </w:t>
      </w:r>
      <w:r w:rsidRPr="000F1417">
        <w:rPr>
          <w:rFonts w:cs="Vrinda"/>
          <w:i/>
          <w:iCs/>
          <w:sz w:val="16"/>
          <w:szCs w:val="16"/>
        </w:rPr>
        <w:t>Tweede meting effecten op de online gokmarkt. Nieuwe regels spelersbescherming 2024</w:t>
      </w:r>
      <w:r>
        <w:rPr>
          <w:rFonts w:cs="Vrinda"/>
          <w:i/>
          <w:iCs/>
          <w:sz w:val="16"/>
          <w:szCs w:val="16"/>
        </w:rPr>
        <w:t xml:space="preserve">, </w:t>
      </w:r>
      <w:r w:rsidRPr="00D1668D">
        <w:rPr>
          <w:rFonts w:cs="Vrinda"/>
          <w:sz w:val="16"/>
          <w:szCs w:val="16"/>
        </w:rPr>
        <w:t>bij</w:t>
      </w:r>
      <w:r w:rsidRPr="000F1417">
        <w:rPr>
          <w:rFonts w:cs="Vrinda"/>
          <w:sz w:val="16"/>
          <w:szCs w:val="16"/>
        </w:rPr>
        <w:t xml:space="preserve">lage bij </w:t>
      </w:r>
      <w:r w:rsidRPr="000F1417">
        <w:rPr>
          <w:rFonts w:cs="Vrinda"/>
          <w:i/>
          <w:iCs/>
          <w:sz w:val="16"/>
          <w:szCs w:val="16"/>
        </w:rPr>
        <w:t>Kamerstukken II</w:t>
      </w:r>
      <w:r w:rsidRPr="000F1417">
        <w:rPr>
          <w:rFonts w:cs="Vrinda"/>
          <w:sz w:val="16"/>
          <w:szCs w:val="16"/>
        </w:rPr>
        <w:t xml:space="preserve"> 2024/25, 24</w:t>
      </w:r>
      <w:r>
        <w:rPr>
          <w:rFonts w:cs="Vrinda"/>
          <w:sz w:val="16"/>
          <w:szCs w:val="16"/>
        </w:rPr>
        <w:t xml:space="preserve"> </w:t>
      </w:r>
      <w:r w:rsidRPr="000F1417">
        <w:rPr>
          <w:rFonts w:cs="Vrinda"/>
          <w:sz w:val="16"/>
          <w:szCs w:val="16"/>
        </w:rPr>
        <w:t>557, nr. 273</w:t>
      </w:r>
      <w:r>
        <w:rPr>
          <w:rFonts w:cs="Vrinda"/>
          <w:sz w:val="16"/>
          <w:szCs w:val="16"/>
        </w:rPr>
        <w:t xml:space="preserve">; </w:t>
      </w:r>
      <w:r w:rsidRPr="000F1417">
        <w:rPr>
          <w:sz w:val="16"/>
          <w:szCs w:val="16"/>
        </w:rPr>
        <w:t xml:space="preserve">Monitoringsrapportage Ksa najaar 2025, bijlage bij: </w:t>
      </w:r>
      <w:r w:rsidRPr="000F1417">
        <w:rPr>
          <w:i/>
          <w:iCs/>
          <w:sz w:val="16"/>
          <w:szCs w:val="16"/>
        </w:rPr>
        <w:t>Kamerstukken II</w:t>
      </w:r>
      <w:r w:rsidRPr="000F1417">
        <w:rPr>
          <w:sz w:val="16"/>
          <w:szCs w:val="16"/>
        </w:rPr>
        <w:t xml:space="preserve"> 2025/26, 24</w:t>
      </w:r>
      <w:r>
        <w:rPr>
          <w:sz w:val="16"/>
          <w:szCs w:val="16"/>
        </w:rPr>
        <w:t xml:space="preserve"> </w:t>
      </w:r>
      <w:r w:rsidRPr="000F1417">
        <w:rPr>
          <w:sz w:val="16"/>
          <w:szCs w:val="16"/>
        </w:rPr>
        <w:t>557, nr. 276</w:t>
      </w:r>
      <w:r>
        <w:rPr>
          <w:sz w:val="16"/>
          <w:szCs w:val="16"/>
        </w:rPr>
        <w:t>,</w:t>
      </w:r>
      <w:r w:rsidRPr="00D1668D">
        <w:rPr>
          <w:sz w:val="16"/>
          <w:szCs w:val="16"/>
        </w:rPr>
        <w:t xml:space="preserve"> </w:t>
      </w:r>
      <w:r w:rsidRPr="000F1417">
        <w:rPr>
          <w:sz w:val="16"/>
          <w:szCs w:val="16"/>
        </w:rPr>
        <w:t xml:space="preserve">p. 11; </w:t>
      </w:r>
    </w:p>
    <w:p w14:paraId="12F9C43A" w14:textId="5E765D2E" w:rsidR="00AC44C0" w:rsidRPr="00AC44C0" w:rsidRDefault="00AC44C0" w:rsidP="00AC44C0">
      <w:pPr>
        <w:pStyle w:val="Voetnoottekst"/>
        <w:rPr>
          <w:sz w:val="16"/>
          <w:szCs w:val="16"/>
        </w:rPr>
      </w:pPr>
      <w:proofErr w:type="spellStart"/>
      <w:r w:rsidRPr="007D742B">
        <w:rPr>
          <w:sz w:val="16"/>
          <w:szCs w:val="16"/>
        </w:rPr>
        <w:t>Dialogic</w:t>
      </w:r>
      <w:proofErr w:type="spellEnd"/>
      <w:r w:rsidRPr="000F1417">
        <w:rPr>
          <w:sz w:val="16"/>
          <w:szCs w:val="16"/>
        </w:rPr>
        <w:t>, ‘</w:t>
      </w:r>
      <w:r w:rsidRPr="000F1417">
        <w:rPr>
          <w:i/>
          <w:iCs/>
          <w:sz w:val="16"/>
          <w:szCs w:val="16"/>
        </w:rPr>
        <w:t xml:space="preserve">Drie </w:t>
      </w:r>
      <w:r w:rsidRPr="00B17A24">
        <w:rPr>
          <w:i/>
          <w:iCs/>
          <w:sz w:val="16"/>
          <w:szCs w:val="16"/>
        </w:rPr>
        <w:t>jaar legaal online gokken. Evaluatie van de Wet Kansspelen op afstand</w:t>
      </w:r>
      <w:r w:rsidRPr="00B17A24">
        <w:rPr>
          <w:sz w:val="16"/>
          <w:szCs w:val="16"/>
        </w:rPr>
        <w:t>’, oktober 2024</w:t>
      </w:r>
      <w:r w:rsidRPr="007D742B">
        <w:rPr>
          <w:sz w:val="16"/>
          <w:szCs w:val="16"/>
        </w:rPr>
        <w:t xml:space="preserve">, bijlage bij: </w:t>
      </w:r>
      <w:r w:rsidRPr="007D742B">
        <w:rPr>
          <w:i/>
          <w:iCs/>
          <w:sz w:val="16"/>
          <w:szCs w:val="16"/>
        </w:rPr>
        <w:t>Kamerstukken II</w:t>
      </w:r>
      <w:r w:rsidRPr="007D742B">
        <w:rPr>
          <w:sz w:val="16"/>
          <w:szCs w:val="16"/>
        </w:rPr>
        <w:t xml:space="preserve"> 2024/25, 24 557, nr. 244, p. 52</w:t>
      </w:r>
      <w:r w:rsidR="00F2206E">
        <w:rPr>
          <w:sz w:val="16"/>
          <w:szCs w:val="16"/>
        </w:rPr>
        <w:t>.</w:t>
      </w:r>
    </w:p>
  </w:footnote>
  <w:footnote w:id="15">
    <w:p w14:paraId="3E3E2756" w14:textId="1758E106" w:rsidR="000F32F4" w:rsidRPr="000148BE" w:rsidRDefault="000F32F4" w:rsidP="000F32F4">
      <w:pPr>
        <w:pStyle w:val="Voetnoottekst"/>
        <w:rPr>
          <w:sz w:val="16"/>
          <w:szCs w:val="16"/>
        </w:rPr>
      </w:pPr>
      <w:r w:rsidRPr="00614178">
        <w:rPr>
          <w:rStyle w:val="Voetnootmarkering"/>
          <w:sz w:val="16"/>
          <w:szCs w:val="16"/>
        </w:rPr>
        <w:footnoteRef/>
      </w:r>
      <w:r w:rsidRPr="00614178">
        <w:rPr>
          <w:sz w:val="16"/>
          <w:szCs w:val="16"/>
        </w:rPr>
        <w:t xml:space="preserve"> </w:t>
      </w:r>
      <w:r w:rsidRPr="00052054">
        <w:rPr>
          <w:i/>
          <w:iCs/>
          <w:sz w:val="16"/>
          <w:szCs w:val="16"/>
        </w:rPr>
        <w:t>Kamerstukken II</w:t>
      </w:r>
      <w:r w:rsidRPr="00614178">
        <w:rPr>
          <w:sz w:val="16"/>
          <w:szCs w:val="16"/>
        </w:rPr>
        <w:t xml:space="preserve"> 2023</w:t>
      </w:r>
      <w:r>
        <w:rPr>
          <w:sz w:val="16"/>
          <w:szCs w:val="16"/>
        </w:rPr>
        <w:t>/</w:t>
      </w:r>
      <w:r w:rsidRPr="00614178">
        <w:rPr>
          <w:sz w:val="16"/>
          <w:szCs w:val="16"/>
        </w:rPr>
        <w:t>24, 24</w:t>
      </w:r>
      <w:r w:rsidR="00F76A6F">
        <w:rPr>
          <w:sz w:val="16"/>
          <w:szCs w:val="16"/>
        </w:rPr>
        <w:t xml:space="preserve"> </w:t>
      </w:r>
      <w:r w:rsidRPr="00614178">
        <w:rPr>
          <w:sz w:val="16"/>
          <w:szCs w:val="16"/>
        </w:rPr>
        <w:t>557, nr. 233.</w:t>
      </w:r>
    </w:p>
  </w:footnote>
  <w:footnote w:id="16">
    <w:p w14:paraId="08B5A228" w14:textId="1066D0A0" w:rsidR="00BB758F" w:rsidRPr="00614178" w:rsidRDefault="00BB758F" w:rsidP="00BB758F">
      <w:pPr>
        <w:pStyle w:val="Voetnoottekst"/>
        <w:rPr>
          <w:sz w:val="16"/>
          <w:szCs w:val="16"/>
        </w:rPr>
      </w:pPr>
      <w:r w:rsidRPr="00614178">
        <w:rPr>
          <w:rStyle w:val="Voetnootmarkering"/>
          <w:sz w:val="16"/>
          <w:szCs w:val="16"/>
        </w:rPr>
        <w:footnoteRef/>
      </w:r>
      <w:r w:rsidRPr="00614178">
        <w:rPr>
          <w:sz w:val="16"/>
          <w:szCs w:val="16"/>
        </w:rPr>
        <w:t xml:space="preserve"> SIRA Consulting, </w:t>
      </w:r>
      <w:r w:rsidRPr="00614178">
        <w:rPr>
          <w:i/>
          <w:iCs/>
          <w:sz w:val="16"/>
          <w:szCs w:val="16"/>
        </w:rPr>
        <w:t xml:space="preserve">Ontwerp draagkrachttoets online kansspelen, </w:t>
      </w:r>
      <w:r w:rsidRPr="00614178">
        <w:rPr>
          <w:sz w:val="16"/>
          <w:szCs w:val="16"/>
        </w:rPr>
        <w:t>bijlage bij</w:t>
      </w:r>
      <w:r w:rsidR="00AE2DEB">
        <w:rPr>
          <w:sz w:val="16"/>
          <w:szCs w:val="16"/>
        </w:rPr>
        <w:t>:</w:t>
      </w:r>
      <w:r w:rsidRPr="00614178">
        <w:rPr>
          <w:sz w:val="16"/>
          <w:szCs w:val="16"/>
        </w:rPr>
        <w:t xml:space="preserve"> </w:t>
      </w:r>
      <w:r w:rsidRPr="00F17D24">
        <w:rPr>
          <w:i/>
          <w:iCs/>
          <w:sz w:val="16"/>
          <w:szCs w:val="16"/>
        </w:rPr>
        <w:t>Kamerstukken II</w:t>
      </w:r>
      <w:r w:rsidRPr="00614178">
        <w:rPr>
          <w:sz w:val="16"/>
          <w:szCs w:val="16"/>
        </w:rPr>
        <w:t xml:space="preserve"> 2025/26, 24557, nr. 275</w:t>
      </w:r>
      <w:r w:rsidR="00392933">
        <w:rPr>
          <w:sz w:val="16"/>
          <w:szCs w:val="16"/>
        </w:rPr>
        <w:t>.</w:t>
      </w:r>
    </w:p>
  </w:footnote>
  <w:footnote w:id="17">
    <w:p w14:paraId="38AA4122" w14:textId="01DAA7E4" w:rsidR="00D1668D" w:rsidRDefault="00D1668D">
      <w:pPr>
        <w:pStyle w:val="Voetnoottekst"/>
      </w:pPr>
      <w:r w:rsidRPr="00F43B35">
        <w:rPr>
          <w:rStyle w:val="Voetnootmarkering"/>
          <w:sz w:val="16"/>
        </w:rPr>
        <w:footnoteRef/>
      </w:r>
      <w:r w:rsidRPr="00F43B35">
        <w:rPr>
          <w:sz w:val="16"/>
        </w:rPr>
        <w:t xml:space="preserve"> </w:t>
      </w:r>
      <w:r>
        <w:rPr>
          <w:sz w:val="16"/>
          <w:szCs w:val="16"/>
        </w:rPr>
        <w:t>M</w:t>
      </w:r>
      <w:r w:rsidRPr="000F1417">
        <w:rPr>
          <w:sz w:val="16"/>
          <w:szCs w:val="16"/>
        </w:rPr>
        <w:t xml:space="preserve">onitoringsrapportage Ksa najaar 2025, bijlage bij: </w:t>
      </w:r>
      <w:r w:rsidRPr="000F1417">
        <w:rPr>
          <w:i/>
          <w:iCs/>
          <w:sz w:val="16"/>
          <w:szCs w:val="16"/>
        </w:rPr>
        <w:t>Kamerstukken II</w:t>
      </w:r>
      <w:r w:rsidRPr="000F1417">
        <w:rPr>
          <w:sz w:val="16"/>
          <w:szCs w:val="16"/>
        </w:rPr>
        <w:t xml:space="preserve"> 2025/26, 24</w:t>
      </w:r>
      <w:r>
        <w:rPr>
          <w:sz w:val="16"/>
          <w:szCs w:val="16"/>
        </w:rPr>
        <w:t xml:space="preserve"> </w:t>
      </w:r>
      <w:r w:rsidRPr="000F1417">
        <w:rPr>
          <w:sz w:val="16"/>
          <w:szCs w:val="16"/>
        </w:rPr>
        <w:t>557, nr. 276</w:t>
      </w:r>
      <w:r>
        <w:rPr>
          <w:sz w:val="16"/>
          <w:szCs w:val="16"/>
        </w:rPr>
        <w:t>, p. 50.</w:t>
      </w:r>
    </w:p>
  </w:footnote>
  <w:footnote w:id="18">
    <w:p w14:paraId="54ACBC70" w14:textId="77777777" w:rsidR="00CD05AA" w:rsidRPr="000148BE" w:rsidRDefault="00CD05AA" w:rsidP="00CD05AA">
      <w:pPr>
        <w:pStyle w:val="Voetnoottekst"/>
        <w:rPr>
          <w:sz w:val="16"/>
          <w:szCs w:val="16"/>
        </w:rPr>
      </w:pPr>
      <w:r w:rsidRPr="000148BE">
        <w:rPr>
          <w:rStyle w:val="Voetnootmarkering"/>
          <w:sz w:val="16"/>
          <w:szCs w:val="16"/>
        </w:rPr>
        <w:footnoteRef/>
      </w:r>
      <w:r w:rsidRPr="000148BE">
        <w:rPr>
          <w:sz w:val="16"/>
          <w:szCs w:val="16"/>
        </w:rPr>
        <w:t xml:space="preserve"> </w:t>
      </w:r>
      <w:r w:rsidRPr="00CC11E0">
        <w:rPr>
          <w:i/>
          <w:iCs/>
          <w:sz w:val="16"/>
          <w:szCs w:val="16"/>
        </w:rPr>
        <w:t>Kamerstukken II</w:t>
      </w:r>
      <w:r w:rsidRPr="000148BE">
        <w:rPr>
          <w:sz w:val="16"/>
          <w:szCs w:val="16"/>
        </w:rPr>
        <w:t xml:space="preserve"> 2023/24, 24</w:t>
      </w:r>
      <w:r>
        <w:rPr>
          <w:sz w:val="16"/>
          <w:szCs w:val="16"/>
        </w:rPr>
        <w:t xml:space="preserve"> </w:t>
      </w:r>
      <w:r w:rsidRPr="000148BE">
        <w:rPr>
          <w:sz w:val="16"/>
          <w:szCs w:val="16"/>
        </w:rPr>
        <w:t xml:space="preserve">557, nr. 223 en </w:t>
      </w:r>
      <w:r w:rsidRPr="00CC11E0">
        <w:rPr>
          <w:i/>
          <w:iCs/>
          <w:sz w:val="16"/>
          <w:szCs w:val="16"/>
        </w:rPr>
        <w:t>Kamerstukken II</w:t>
      </w:r>
      <w:r w:rsidRPr="000148BE">
        <w:rPr>
          <w:sz w:val="16"/>
          <w:szCs w:val="16"/>
        </w:rPr>
        <w:t xml:space="preserve"> 2024/25, 24</w:t>
      </w:r>
      <w:r>
        <w:rPr>
          <w:sz w:val="16"/>
          <w:szCs w:val="16"/>
        </w:rPr>
        <w:t xml:space="preserve"> </w:t>
      </w:r>
      <w:r w:rsidRPr="000148BE">
        <w:rPr>
          <w:sz w:val="16"/>
          <w:szCs w:val="16"/>
        </w:rPr>
        <w:t>557, nr. 24</w:t>
      </w:r>
      <w:r>
        <w:rPr>
          <w:sz w:val="16"/>
          <w:szCs w:val="16"/>
        </w:rPr>
        <w:t>7</w:t>
      </w:r>
      <w:r w:rsidRPr="000148BE">
        <w:rPr>
          <w:sz w:val="16"/>
          <w:szCs w:val="16"/>
        </w:rPr>
        <w:t xml:space="preserve">.  </w:t>
      </w:r>
    </w:p>
  </w:footnote>
  <w:footnote w:id="19">
    <w:p w14:paraId="4A007C41" w14:textId="23CB9EC5" w:rsidR="008A4F19" w:rsidRPr="0051461B" w:rsidRDefault="008A4F19">
      <w:pPr>
        <w:pStyle w:val="Voetnoottekst"/>
        <w:rPr>
          <w:sz w:val="16"/>
          <w:szCs w:val="16"/>
        </w:rPr>
      </w:pPr>
      <w:r w:rsidRPr="0051461B">
        <w:rPr>
          <w:rStyle w:val="Voetnootmarkering"/>
          <w:sz w:val="16"/>
          <w:szCs w:val="16"/>
        </w:rPr>
        <w:footnoteRef/>
      </w:r>
      <w:r w:rsidRPr="0051461B">
        <w:rPr>
          <w:sz w:val="16"/>
          <w:szCs w:val="16"/>
        </w:rPr>
        <w:t xml:space="preserve"> Staatsblad 2023, 120.</w:t>
      </w:r>
    </w:p>
  </w:footnote>
  <w:footnote w:id="20">
    <w:p w14:paraId="02D64D49" w14:textId="31EA228C" w:rsidR="00BB758F" w:rsidRPr="00F17D24" w:rsidRDefault="00BB758F" w:rsidP="00BB758F">
      <w:pPr>
        <w:pStyle w:val="Voetnoottekst"/>
        <w:rPr>
          <w:sz w:val="16"/>
          <w:szCs w:val="16"/>
        </w:rPr>
      </w:pPr>
      <w:r w:rsidRPr="00F17D24">
        <w:rPr>
          <w:rStyle w:val="Voetnootmarkering"/>
          <w:sz w:val="16"/>
          <w:szCs w:val="16"/>
        </w:rPr>
        <w:footnoteRef/>
      </w:r>
      <w:r w:rsidR="00E64F50" w:rsidRPr="00F17D24">
        <w:rPr>
          <w:sz w:val="16"/>
          <w:szCs w:val="16"/>
        </w:rPr>
        <w:t xml:space="preserve"> Onderzoeksrapport </w:t>
      </w:r>
      <w:proofErr w:type="spellStart"/>
      <w:r w:rsidR="00E64F50" w:rsidRPr="00F17D24">
        <w:rPr>
          <w:sz w:val="16"/>
          <w:szCs w:val="16"/>
        </w:rPr>
        <w:t>Ipsos</w:t>
      </w:r>
      <w:proofErr w:type="spellEnd"/>
      <w:r w:rsidR="00E64F50" w:rsidRPr="00F17D24">
        <w:rPr>
          <w:sz w:val="16"/>
          <w:szCs w:val="16"/>
        </w:rPr>
        <w:t xml:space="preserve"> I&amp;O ‘Effecten kansspelreclame’, bijlage bij: </w:t>
      </w:r>
      <w:r w:rsidR="00E64F50" w:rsidRPr="00E64F50">
        <w:rPr>
          <w:rFonts w:cs="Vrinda"/>
          <w:i/>
          <w:iCs/>
          <w:sz w:val="16"/>
          <w:szCs w:val="16"/>
        </w:rPr>
        <w:t>Kamerstukken II</w:t>
      </w:r>
      <w:r w:rsidR="00E64F50" w:rsidRPr="00E64F50">
        <w:rPr>
          <w:rFonts w:cs="Vrinda"/>
          <w:sz w:val="16"/>
          <w:szCs w:val="16"/>
        </w:rPr>
        <w:t xml:space="preserve"> 202</w:t>
      </w:r>
      <w:r w:rsidR="00F76A6F">
        <w:rPr>
          <w:rFonts w:cs="Vrinda"/>
          <w:sz w:val="16"/>
          <w:szCs w:val="16"/>
        </w:rPr>
        <w:t>5</w:t>
      </w:r>
      <w:r w:rsidR="00E64F50" w:rsidRPr="00E64F50">
        <w:rPr>
          <w:rFonts w:cs="Vrinda"/>
          <w:sz w:val="16"/>
          <w:szCs w:val="16"/>
        </w:rPr>
        <w:t>/2</w:t>
      </w:r>
      <w:r w:rsidR="00F76A6F">
        <w:rPr>
          <w:rFonts w:cs="Vrinda"/>
          <w:sz w:val="16"/>
          <w:szCs w:val="16"/>
        </w:rPr>
        <w:t>6</w:t>
      </w:r>
      <w:r w:rsidR="00E64F50" w:rsidRPr="00E64F50">
        <w:rPr>
          <w:rFonts w:cs="Vrinda"/>
          <w:sz w:val="16"/>
          <w:szCs w:val="16"/>
        </w:rPr>
        <w:t>, 24</w:t>
      </w:r>
      <w:r w:rsidR="00F76A6F">
        <w:rPr>
          <w:rFonts w:cs="Vrinda"/>
          <w:sz w:val="16"/>
          <w:szCs w:val="16"/>
        </w:rPr>
        <w:t xml:space="preserve"> </w:t>
      </w:r>
      <w:r w:rsidR="00E64F50" w:rsidRPr="00E64F50">
        <w:rPr>
          <w:rFonts w:cs="Vrinda"/>
          <w:sz w:val="16"/>
          <w:szCs w:val="16"/>
        </w:rPr>
        <w:t>557, nr. 27</w:t>
      </w:r>
      <w:r w:rsidR="00F76A6F">
        <w:rPr>
          <w:rFonts w:cs="Vrinda"/>
          <w:sz w:val="16"/>
          <w:szCs w:val="16"/>
        </w:rPr>
        <w:t>8</w:t>
      </w:r>
      <w:r w:rsidR="00C02930" w:rsidRPr="00C02930">
        <w:rPr>
          <w:sz w:val="16"/>
          <w:szCs w:val="16"/>
        </w:rPr>
        <w:t xml:space="preserve"> </w:t>
      </w:r>
      <w:r w:rsidR="00C02930" w:rsidRPr="00DC23DB">
        <w:rPr>
          <w:sz w:val="16"/>
          <w:szCs w:val="16"/>
        </w:rPr>
        <w:t xml:space="preserve">Bijlage bij: </w:t>
      </w:r>
      <w:r w:rsidR="00C02930" w:rsidRPr="00DC23DB">
        <w:rPr>
          <w:i/>
          <w:iCs/>
          <w:sz w:val="16"/>
          <w:szCs w:val="16"/>
        </w:rPr>
        <w:t>Kamerstukken II</w:t>
      </w:r>
      <w:r w:rsidR="00C02930" w:rsidRPr="00DC23DB">
        <w:rPr>
          <w:sz w:val="16"/>
          <w:szCs w:val="16"/>
        </w:rPr>
        <w:t xml:space="preserve"> 2024/25, 24 557, nr. 244</w:t>
      </w:r>
      <w:r w:rsidR="00C02930">
        <w:rPr>
          <w:sz w:val="16"/>
          <w:szCs w:val="16"/>
        </w:rPr>
        <w:t xml:space="preserve"> en </w:t>
      </w:r>
      <w:r w:rsidR="00F40710" w:rsidRPr="008F1CEA">
        <w:rPr>
          <w:sz w:val="16"/>
          <w:szCs w:val="16"/>
        </w:rPr>
        <w:t xml:space="preserve">Bijlage bij </w:t>
      </w:r>
      <w:r w:rsidR="00F40710" w:rsidRPr="008F1CEA">
        <w:rPr>
          <w:i/>
          <w:iCs/>
          <w:sz w:val="16"/>
          <w:szCs w:val="16"/>
        </w:rPr>
        <w:t xml:space="preserve">Kamerstukken II </w:t>
      </w:r>
      <w:r w:rsidR="00F40710" w:rsidRPr="008F1CEA">
        <w:rPr>
          <w:sz w:val="16"/>
          <w:szCs w:val="16"/>
        </w:rPr>
        <w:t>2025/26, 24 557, nr. 281.</w:t>
      </w:r>
    </w:p>
  </w:footnote>
  <w:footnote w:id="21">
    <w:p w14:paraId="31E0FF6D" w14:textId="77777777" w:rsidR="00C02930" w:rsidRPr="00FB6580" w:rsidRDefault="00C02930" w:rsidP="00C02930">
      <w:pPr>
        <w:pStyle w:val="Voetnoottekst"/>
        <w:rPr>
          <w:sz w:val="16"/>
          <w:szCs w:val="16"/>
        </w:rPr>
      </w:pPr>
      <w:r w:rsidRPr="00FB6580">
        <w:rPr>
          <w:rStyle w:val="Voetnootmarkering"/>
          <w:sz w:val="16"/>
          <w:szCs w:val="16"/>
        </w:rPr>
        <w:footnoteRef/>
      </w:r>
      <w:r w:rsidRPr="00FB6580">
        <w:rPr>
          <w:sz w:val="16"/>
          <w:szCs w:val="16"/>
        </w:rPr>
        <w:t xml:space="preserve"> Bijlage bij: </w:t>
      </w:r>
      <w:r w:rsidRPr="00FB6580">
        <w:rPr>
          <w:i/>
          <w:iCs/>
          <w:sz w:val="16"/>
          <w:szCs w:val="16"/>
        </w:rPr>
        <w:t>Kamerstukken II</w:t>
      </w:r>
      <w:r w:rsidRPr="00FB6580">
        <w:rPr>
          <w:sz w:val="16"/>
          <w:szCs w:val="16"/>
        </w:rPr>
        <w:t xml:space="preserve"> 2024/25, 24 557, nr. 244.</w:t>
      </w:r>
    </w:p>
  </w:footnote>
  <w:footnote w:id="22">
    <w:p w14:paraId="1FB3BD02" w14:textId="77777777" w:rsidR="00C02930" w:rsidRPr="00966FA5" w:rsidRDefault="00C02930" w:rsidP="00C02930">
      <w:pPr>
        <w:pStyle w:val="Voetnoottekst"/>
        <w:rPr>
          <w:sz w:val="16"/>
          <w:szCs w:val="16"/>
        </w:rPr>
      </w:pPr>
      <w:r w:rsidRPr="00966FA5">
        <w:rPr>
          <w:rStyle w:val="Voetnootmarkering"/>
          <w:sz w:val="16"/>
          <w:szCs w:val="16"/>
        </w:rPr>
        <w:footnoteRef/>
      </w:r>
      <w:r w:rsidRPr="00966FA5">
        <w:rPr>
          <w:sz w:val="16"/>
          <w:szCs w:val="16"/>
        </w:rPr>
        <w:t xml:space="preserve"> </w:t>
      </w:r>
      <w:r w:rsidRPr="00966FA5">
        <w:rPr>
          <w:i/>
          <w:iCs/>
          <w:sz w:val="16"/>
          <w:szCs w:val="16"/>
        </w:rPr>
        <w:t>Kamerstukken II</w:t>
      </w:r>
      <w:r w:rsidRPr="00966FA5">
        <w:rPr>
          <w:sz w:val="16"/>
          <w:szCs w:val="16"/>
        </w:rPr>
        <w:t xml:space="preserve"> 2023/24, 24557, nr. 232.</w:t>
      </w:r>
    </w:p>
  </w:footnote>
  <w:footnote w:id="23">
    <w:p w14:paraId="672E0E46" w14:textId="2FA76103" w:rsidR="00966FA5" w:rsidRDefault="00966FA5">
      <w:pPr>
        <w:pStyle w:val="Voetnoottekst"/>
      </w:pPr>
      <w:r w:rsidRPr="00966FA5">
        <w:rPr>
          <w:rStyle w:val="Voetnootmarkering"/>
          <w:sz w:val="16"/>
          <w:szCs w:val="16"/>
        </w:rPr>
        <w:footnoteRef/>
      </w:r>
      <w:r w:rsidRPr="00966FA5">
        <w:rPr>
          <w:sz w:val="16"/>
          <w:szCs w:val="16"/>
        </w:rPr>
        <w:t xml:space="preserve"> Een bonus bij gokken is extra geld of spins die </w:t>
      </w:r>
      <w:r w:rsidR="00480083">
        <w:rPr>
          <w:sz w:val="16"/>
          <w:szCs w:val="16"/>
        </w:rPr>
        <w:t>een speler</w:t>
      </w:r>
      <w:r w:rsidRPr="00966FA5">
        <w:rPr>
          <w:sz w:val="16"/>
          <w:szCs w:val="16"/>
        </w:rPr>
        <w:t xml:space="preserve"> ontvangt</w:t>
      </w:r>
      <w:r>
        <w:rPr>
          <w:sz w:val="16"/>
          <w:szCs w:val="16"/>
        </w:rPr>
        <w:t>.</w:t>
      </w:r>
    </w:p>
  </w:footnote>
  <w:footnote w:id="24">
    <w:p w14:paraId="7E8E3DBF" w14:textId="78D1BA94" w:rsidR="00FB6580" w:rsidRPr="00781960" w:rsidRDefault="00FB6580" w:rsidP="00FB6580">
      <w:pPr>
        <w:pStyle w:val="Voetnoottekst"/>
        <w:rPr>
          <w:sz w:val="16"/>
          <w:szCs w:val="16"/>
        </w:rPr>
      </w:pPr>
      <w:r w:rsidRPr="00781960">
        <w:rPr>
          <w:rStyle w:val="Voetnootmarkering"/>
          <w:sz w:val="16"/>
          <w:szCs w:val="16"/>
        </w:rPr>
        <w:footnoteRef/>
      </w:r>
      <w:r w:rsidRPr="00781960">
        <w:rPr>
          <w:sz w:val="16"/>
          <w:szCs w:val="16"/>
        </w:rPr>
        <w:t xml:space="preserve"> Meer dan een derde van de spelers die (ook) illegale websites gebruikten om online te gokken, voldoet volgens onderzoek aan de criteria van hoog-risico gokker. Bij spelers van online kansspelen is dit 9 procent, zie bijlage bij: Kamerstukken II 2024/25, 24 557, nr. 273, p. 41</w:t>
      </w:r>
      <w:r>
        <w:rPr>
          <w:sz w:val="16"/>
          <w:szCs w:val="16"/>
        </w:rPr>
        <w:t>.</w:t>
      </w:r>
    </w:p>
  </w:footnote>
  <w:footnote w:id="25">
    <w:p w14:paraId="083EADD2" w14:textId="23A79909" w:rsidR="00A816D4" w:rsidRPr="00A816D4" w:rsidRDefault="00A816D4">
      <w:pPr>
        <w:pStyle w:val="Voetnoottekst"/>
        <w:rPr>
          <w:sz w:val="16"/>
          <w:szCs w:val="16"/>
        </w:rPr>
      </w:pPr>
      <w:r w:rsidRPr="00A816D4">
        <w:rPr>
          <w:rStyle w:val="Voetnootmarkering"/>
          <w:sz w:val="16"/>
          <w:szCs w:val="16"/>
        </w:rPr>
        <w:footnoteRef/>
      </w:r>
      <w:r w:rsidRPr="00A816D4">
        <w:rPr>
          <w:sz w:val="16"/>
          <w:szCs w:val="16"/>
        </w:rPr>
        <w:t xml:space="preserve"> Wanneer iemand via een zoekmachine zoekt naar online goksites worden gesponsorde zoekresultaten getoond. </w:t>
      </w:r>
    </w:p>
  </w:footnote>
  <w:footnote w:id="26">
    <w:p w14:paraId="7ECEEE93" w14:textId="040F2A57" w:rsidR="0017105B" w:rsidRPr="00781960" w:rsidRDefault="0017105B">
      <w:pPr>
        <w:pStyle w:val="Voetnoottekst"/>
        <w:rPr>
          <w:sz w:val="16"/>
          <w:szCs w:val="16"/>
        </w:rPr>
      </w:pPr>
      <w:r w:rsidRPr="00781960">
        <w:rPr>
          <w:rStyle w:val="Voetnootmarkering"/>
          <w:sz w:val="16"/>
          <w:szCs w:val="16"/>
        </w:rPr>
        <w:footnoteRef/>
      </w:r>
      <w:r w:rsidRPr="00781960">
        <w:rPr>
          <w:sz w:val="16"/>
          <w:szCs w:val="16"/>
        </w:rPr>
        <w:t xml:space="preserve"> De Ksa heeft recent ook nieuwe </w:t>
      </w:r>
      <w:proofErr w:type="spellStart"/>
      <w:r w:rsidRPr="00781960">
        <w:rPr>
          <w:sz w:val="16"/>
          <w:szCs w:val="16"/>
        </w:rPr>
        <w:t>guidance</w:t>
      </w:r>
      <w:proofErr w:type="spellEnd"/>
      <w:r w:rsidRPr="00781960">
        <w:rPr>
          <w:sz w:val="16"/>
          <w:szCs w:val="16"/>
        </w:rPr>
        <w:t xml:space="preserve"> gepubliceerd </w:t>
      </w:r>
      <w:r w:rsidR="0093193D" w:rsidRPr="00781960">
        <w:rPr>
          <w:sz w:val="16"/>
          <w:szCs w:val="16"/>
        </w:rPr>
        <w:t>over</w:t>
      </w:r>
      <w:r w:rsidRPr="00781960">
        <w:rPr>
          <w:sz w:val="16"/>
          <w:szCs w:val="16"/>
        </w:rPr>
        <w:t xml:space="preserve"> de</w:t>
      </w:r>
      <w:r w:rsidR="0093193D" w:rsidRPr="00781960">
        <w:rPr>
          <w:sz w:val="16"/>
          <w:szCs w:val="16"/>
        </w:rPr>
        <w:t xml:space="preserve"> uitvoering van de</w:t>
      </w:r>
      <w:r w:rsidRPr="00781960">
        <w:rPr>
          <w:sz w:val="16"/>
          <w:szCs w:val="16"/>
        </w:rPr>
        <w:t xml:space="preserve"> zorgplicht </w:t>
      </w:r>
      <w:r w:rsidR="0093193D" w:rsidRPr="00FB6580">
        <w:rPr>
          <w:sz w:val="16"/>
          <w:szCs w:val="16"/>
        </w:rPr>
        <w:t>d</w:t>
      </w:r>
      <w:r w:rsidR="0093193D" w:rsidRPr="00781960">
        <w:rPr>
          <w:sz w:val="16"/>
          <w:szCs w:val="16"/>
        </w:rPr>
        <w:t>oor vergunde</w:t>
      </w:r>
      <w:r w:rsidRPr="00781960">
        <w:rPr>
          <w:sz w:val="16"/>
          <w:szCs w:val="16"/>
        </w:rPr>
        <w:t xml:space="preserve"> online kansspel</w:t>
      </w:r>
      <w:r w:rsidR="0093193D" w:rsidRPr="00781960">
        <w:rPr>
          <w:sz w:val="16"/>
          <w:szCs w:val="16"/>
        </w:rPr>
        <w:t>aanbieders</w:t>
      </w:r>
      <w:r w:rsidRPr="00781960">
        <w:rPr>
          <w:sz w:val="16"/>
          <w:szCs w:val="16"/>
        </w:rPr>
        <w:t xml:space="preserve">: </w:t>
      </w:r>
      <w:hyperlink r:id="rId1" w:history="1">
        <w:r w:rsidR="0093193D" w:rsidRPr="00781960">
          <w:rPr>
            <w:rStyle w:val="Hyperlink"/>
            <w:sz w:val="16"/>
            <w:szCs w:val="16"/>
          </w:rPr>
          <w:t>https://kansspelautoriteit.nl/ksa-publiceert-onderzoeken-en-geeft-guidance-over-zorgplicht</w:t>
        </w:r>
      </w:hyperlink>
      <w:r w:rsidR="0093193D" w:rsidRPr="00781960">
        <w:rPr>
          <w:sz w:val="16"/>
          <w:szCs w:val="16"/>
        </w:rPr>
        <w:t xml:space="preserve"> </w:t>
      </w:r>
    </w:p>
  </w:footnote>
  <w:footnote w:id="27">
    <w:p w14:paraId="6EE05233" w14:textId="732D5EF1" w:rsidR="00405651" w:rsidRDefault="00405651" w:rsidP="00405651">
      <w:pPr>
        <w:pStyle w:val="Voetnoottekst"/>
      </w:pPr>
      <w:r w:rsidRPr="000C08DA">
        <w:rPr>
          <w:rStyle w:val="Voetnootmarkering"/>
          <w:sz w:val="16"/>
          <w:szCs w:val="16"/>
        </w:rPr>
        <w:footnoteRef/>
      </w:r>
      <w:r w:rsidRPr="000C08DA">
        <w:rPr>
          <w:sz w:val="16"/>
          <w:szCs w:val="16"/>
        </w:rPr>
        <w:t xml:space="preserve"> </w:t>
      </w:r>
      <w:r w:rsidRPr="000C08DA">
        <w:rPr>
          <w:i/>
          <w:iCs/>
          <w:sz w:val="16"/>
          <w:szCs w:val="16"/>
        </w:rPr>
        <w:t>Kamerstukken II</w:t>
      </w:r>
      <w:r w:rsidRPr="000C08DA">
        <w:rPr>
          <w:sz w:val="16"/>
          <w:szCs w:val="16"/>
        </w:rPr>
        <w:t xml:space="preserve"> 2023/24, 24</w:t>
      </w:r>
      <w:r w:rsidR="0059355A">
        <w:rPr>
          <w:sz w:val="16"/>
          <w:szCs w:val="16"/>
        </w:rPr>
        <w:t xml:space="preserve"> </w:t>
      </w:r>
      <w:r w:rsidRPr="000C08DA">
        <w:rPr>
          <w:sz w:val="16"/>
          <w:szCs w:val="16"/>
        </w:rPr>
        <w:t>557, nr. 234</w:t>
      </w:r>
      <w:r w:rsidR="00EB2A49">
        <w:rPr>
          <w:sz w:val="16"/>
          <w:szCs w:val="16"/>
        </w:rPr>
        <w:t>.</w:t>
      </w:r>
    </w:p>
  </w:footnote>
  <w:footnote w:id="28">
    <w:p w14:paraId="60322752" w14:textId="6A5D4C1D" w:rsidR="00BB758F" w:rsidRPr="00190B63" w:rsidRDefault="00BB758F" w:rsidP="00BB758F">
      <w:pPr>
        <w:pStyle w:val="Voetnoottekst"/>
        <w:rPr>
          <w:sz w:val="16"/>
          <w:szCs w:val="16"/>
        </w:rPr>
      </w:pPr>
      <w:r w:rsidRPr="00190B63">
        <w:rPr>
          <w:rStyle w:val="Voetnootmarkering"/>
          <w:sz w:val="16"/>
          <w:szCs w:val="16"/>
        </w:rPr>
        <w:footnoteRef/>
      </w:r>
      <w:r w:rsidRPr="00190B63">
        <w:rPr>
          <w:sz w:val="16"/>
          <w:szCs w:val="16"/>
        </w:rPr>
        <w:t xml:space="preserve"> </w:t>
      </w:r>
      <w:r w:rsidR="00612E05" w:rsidRPr="008F1CEA">
        <w:rPr>
          <w:sz w:val="16"/>
          <w:szCs w:val="16"/>
        </w:rPr>
        <w:t xml:space="preserve">Monitoringsrapportage Ksa voorjaar 2026: Bijlage bij </w:t>
      </w:r>
      <w:r w:rsidR="00612E05" w:rsidRPr="008F1CEA">
        <w:rPr>
          <w:i/>
          <w:iCs/>
          <w:sz w:val="16"/>
          <w:szCs w:val="16"/>
        </w:rPr>
        <w:t xml:space="preserve">Kamerstukken II </w:t>
      </w:r>
      <w:r w:rsidR="00612E05" w:rsidRPr="008F1CEA">
        <w:rPr>
          <w:sz w:val="16"/>
          <w:szCs w:val="16"/>
        </w:rPr>
        <w:t>2025/26, 24 557, nr. 281</w:t>
      </w:r>
      <w:r w:rsidR="00612E05">
        <w:rPr>
          <w:sz w:val="16"/>
          <w:szCs w:val="16"/>
        </w:rPr>
        <w:t>;</w:t>
      </w:r>
      <w:r w:rsidR="00AA4651">
        <w:rPr>
          <w:sz w:val="16"/>
          <w:szCs w:val="16"/>
        </w:rPr>
        <w:t xml:space="preserve"> </w:t>
      </w:r>
      <w:r w:rsidR="00947BB6">
        <w:rPr>
          <w:sz w:val="16"/>
          <w:szCs w:val="16"/>
        </w:rPr>
        <w:t>M</w:t>
      </w:r>
      <w:r w:rsidR="00AA4651">
        <w:rPr>
          <w:sz w:val="16"/>
          <w:szCs w:val="16"/>
        </w:rPr>
        <w:t xml:space="preserve">onitoringsrapportage </w:t>
      </w:r>
      <w:r w:rsidR="00947BB6">
        <w:rPr>
          <w:sz w:val="16"/>
          <w:szCs w:val="16"/>
        </w:rPr>
        <w:t xml:space="preserve">Ksa </w:t>
      </w:r>
      <w:r w:rsidR="00AA4651">
        <w:rPr>
          <w:sz w:val="16"/>
          <w:szCs w:val="16"/>
        </w:rPr>
        <w:t xml:space="preserve">najaar 2025: </w:t>
      </w:r>
      <w:r w:rsidR="00BC7A7F" w:rsidRPr="0003255F">
        <w:rPr>
          <w:sz w:val="16"/>
          <w:szCs w:val="16"/>
        </w:rPr>
        <w:t xml:space="preserve">Bijlage bij </w:t>
      </w:r>
      <w:r w:rsidR="00BC7A7F" w:rsidRPr="0003255F">
        <w:rPr>
          <w:i/>
          <w:iCs/>
          <w:sz w:val="16"/>
          <w:szCs w:val="16"/>
        </w:rPr>
        <w:t>Kamerstukken II</w:t>
      </w:r>
      <w:r w:rsidR="00BC7A7F" w:rsidRPr="0003255F">
        <w:rPr>
          <w:sz w:val="16"/>
          <w:szCs w:val="16"/>
        </w:rPr>
        <w:t xml:space="preserve"> 2025/26, 24 557, nr. 276.</w:t>
      </w:r>
    </w:p>
  </w:footnote>
  <w:footnote w:id="29">
    <w:p w14:paraId="3FB2E6C2" w14:textId="77777777" w:rsidR="00856A20" w:rsidRPr="00190B63" w:rsidRDefault="00856A20" w:rsidP="00856A20">
      <w:pPr>
        <w:pStyle w:val="Voetnoottekst"/>
        <w:rPr>
          <w:sz w:val="16"/>
          <w:szCs w:val="16"/>
        </w:rPr>
      </w:pPr>
      <w:r w:rsidRPr="00190B63">
        <w:rPr>
          <w:rStyle w:val="Voetnootmarkering"/>
          <w:sz w:val="16"/>
          <w:szCs w:val="16"/>
        </w:rPr>
        <w:footnoteRef/>
      </w:r>
      <w:r w:rsidRPr="00190B63">
        <w:rPr>
          <w:sz w:val="16"/>
          <w:szCs w:val="16"/>
        </w:rPr>
        <w:t xml:space="preserve"> </w:t>
      </w:r>
      <w:r w:rsidRPr="00E47F03">
        <w:rPr>
          <w:sz w:val="16"/>
          <w:szCs w:val="16"/>
        </w:rPr>
        <w:t>Motie ingediend</w:t>
      </w:r>
      <w:r>
        <w:rPr>
          <w:sz w:val="16"/>
          <w:szCs w:val="16"/>
        </w:rPr>
        <w:t xml:space="preserve"> door de leden </w:t>
      </w:r>
      <w:proofErr w:type="spellStart"/>
      <w:r>
        <w:rPr>
          <w:sz w:val="16"/>
          <w:szCs w:val="16"/>
        </w:rPr>
        <w:t>Boswijk</w:t>
      </w:r>
      <w:proofErr w:type="spellEnd"/>
      <w:r>
        <w:rPr>
          <w:sz w:val="16"/>
          <w:szCs w:val="16"/>
        </w:rPr>
        <w:t xml:space="preserve"> en Krul</w:t>
      </w:r>
      <w:r w:rsidRPr="00E47F03">
        <w:rPr>
          <w:sz w:val="16"/>
          <w:szCs w:val="16"/>
        </w:rPr>
        <w:t xml:space="preserve"> over zware maatregelen nemen tegen buitenlandse casino's die zonder vergunning in Nederland hun diensten aanbieden aan Nederlandse spelers</w:t>
      </w:r>
      <w:r>
        <w:rPr>
          <w:sz w:val="16"/>
          <w:szCs w:val="16"/>
        </w:rPr>
        <w:t xml:space="preserve">, </w:t>
      </w:r>
      <w:r w:rsidRPr="00F17D24">
        <w:rPr>
          <w:i/>
          <w:iCs/>
          <w:sz w:val="16"/>
          <w:szCs w:val="16"/>
        </w:rPr>
        <w:t>Kamerstukken II</w:t>
      </w:r>
      <w:r>
        <w:rPr>
          <w:sz w:val="16"/>
          <w:szCs w:val="16"/>
        </w:rPr>
        <w:t xml:space="preserve"> 2023/24, 24 557, nr. 226; Motie ingediend door het lid </w:t>
      </w:r>
      <w:proofErr w:type="spellStart"/>
      <w:r>
        <w:rPr>
          <w:sz w:val="16"/>
          <w:szCs w:val="16"/>
        </w:rPr>
        <w:t>Wijen-Nass</w:t>
      </w:r>
      <w:proofErr w:type="spellEnd"/>
      <w:r w:rsidRPr="00533452">
        <w:t xml:space="preserve"> </w:t>
      </w:r>
      <w:r w:rsidRPr="00533452">
        <w:rPr>
          <w:sz w:val="16"/>
          <w:szCs w:val="16"/>
        </w:rPr>
        <w:t>over een bevoegdheid om illegale websites offline te kunnen halen</w:t>
      </w:r>
      <w:r>
        <w:rPr>
          <w:sz w:val="16"/>
          <w:szCs w:val="16"/>
        </w:rPr>
        <w:t xml:space="preserve">, </w:t>
      </w:r>
      <w:r w:rsidRPr="00AF6760">
        <w:rPr>
          <w:i/>
          <w:iCs/>
          <w:sz w:val="16"/>
          <w:szCs w:val="16"/>
        </w:rPr>
        <w:t>Kamerstukken II</w:t>
      </w:r>
      <w:r>
        <w:rPr>
          <w:sz w:val="16"/>
          <w:szCs w:val="16"/>
        </w:rPr>
        <w:t xml:space="preserve"> 2024/25, 24 557, nr. 254; Motie ingediend door het lid Bikker c.s. </w:t>
      </w:r>
      <w:r w:rsidRPr="00533452">
        <w:rPr>
          <w:sz w:val="16"/>
          <w:szCs w:val="16"/>
        </w:rPr>
        <w:t>over de benodigde capaciteit bij de Kansspelautoriteit om het illegale aanbod van kansspelen te kunnen handhaven</w:t>
      </w:r>
      <w:r>
        <w:rPr>
          <w:sz w:val="16"/>
          <w:szCs w:val="16"/>
        </w:rPr>
        <w:t xml:space="preserve">, </w:t>
      </w:r>
      <w:r w:rsidRPr="00AF6760">
        <w:rPr>
          <w:i/>
          <w:iCs/>
          <w:sz w:val="16"/>
          <w:szCs w:val="16"/>
        </w:rPr>
        <w:t>Kamerstukken II</w:t>
      </w:r>
      <w:r>
        <w:rPr>
          <w:sz w:val="16"/>
          <w:szCs w:val="16"/>
        </w:rPr>
        <w:t xml:space="preserve"> 2024/25, 24 557, nr. 257.</w:t>
      </w:r>
    </w:p>
  </w:footnote>
  <w:footnote w:id="30">
    <w:p w14:paraId="4B5E117A" w14:textId="77777777" w:rsidR="00700CE2" w:rsidRPr="002B570A" w:rsidRDefault="00700CE2" w:rsidP="00700CE2">
      <w:pPr>
        <w:pStyle w:val="Voetnoottekst"/>
        <w:rPr>
          <w:sz w:val="16"/>
          <w:szCs w:val="16"/>
        </w:rPr>
      </w:pPr>
      <w:r w:rsidRPr="003A36FE">
        <w:rPr>
          <w:rStyle w:val="Voetnootmarkering"/>
          <w:sz w:val="16"/>
          <w:szCs w:val="16"/>
        </w:rPr>
        <w:footnoteRef/>
      </w:r>
      <w:r w:rsidRPr="003A36FE">
        <w:rPr>
          <w:sz w:val="16"/>
          <w:szCs w:val="16"/>
        </w:rPr>
        <w:t xml:space="preserve"> </w:t>
      </w:r>
      <w:hyperlink r:id="rId2" w:history="1">
        <w:r w:rsidRPr="002B570A">
          <w:rPr>
            <w:rStyle w:val="Hyperlink"/>
            <w:sz w:val="16"/>
            <w:szCs w:val="16"/>
          </w:rPr>
          <w:t>https://kansspelautoriteit.nl/nieuws/2025/december/kansspelautoriteit-zet-integriteit/</w:t>
        </w:r>
      </w:hyperlink>
      <w:r w:rsidRPr="002B570A">
        <w:rPr>
          <w:sz w:val="16"/>
          <w:szCs w:val="16"/>
        </w:rPr>
        <w:t xml:space="preserve"> </w:t>
      </w:r>
    </w:p>
  </w:footnote>
  <w:footnote w:id="31">
    <w:p w14:paraId="5AD0C089" w14:textId="16DDD7C9" w:rsidR="00AE4810" w:rsidRPr="002B570A" w:rsidRDefault="00AE4810" w:rsidP="00AE4810">
      <w:pPr>
        <w:pStyle w:val="Voetnoottekst"/>
        <w:rPr>
          <w:sz w:val="16"/>
          <w:szCs w:val="16"/>
        </w:rPr>
      </w:pPr>
      <w:r w:rsidRPr="002B570A">
        <w:rPr>
          <w:rStyle w:val="Voetnootmarkering"/>
          <w:sz w:val="16"/>
          <w:szCs w:val="16"/>
        </w:rPr>
        <w:footnoteRef/>
      </w:r>
      <w:r w:rsidRPr="002B570A">
        <w:rPr>
          <w:sz w:val="16"/>
          <w:szCs w:val="16"/>
        </w:rPr>
        <w:t xml:space="preserve"> </w:t>
      </w:r>
      <w:r w:rsidRPr="002B570A">
        <w:rPr>
          <w:i/>
          <w:iCs/>
          <w:sz w:val="16"/>
          <w:szCs w:val="16"/>
        </w:rPr>
        <w:t>Kamerstukken II</w:t>
      </w:r>
      <w:r w:rsidRPr="002B570A">
        <w:rPr>
          <w:sz w:val="16"/>
          <w:szCs w:val="16"/>
        </w:rPr>
        <w:t xml:space="preserve"> 2024/25, 24 557, nr. 273.</w:t>
      </w:r>
    </w:p>
  </w:footnote>
  <w:footnote w:id="32">
    <w:p w14:paraId="2BEC0A55" w14:textId="77777777" w:rsidR="008A3C74" w:rsidRDefault="008A3C74" w:rsidP="008A3C74">
      <w:pPr>
        <w:pStyle w:val="Voetnoottekst"/>
      </w:pPr>
      <w:r w:rsidRPr="002B570A">
        <w:rPr>
          <w:rStyle w:val="Voetnootmarkering"/>
          <w:sz w:val="16"/>
          <w:szCs w:val="16"/>
        </w:rPr>
        <w:footnoteRef/>
      </w:r>
      <w:r w:rsidRPr="002B570A">
        <w:rPr>
          <w:sz w:val="16"/>
          <w:szCs w:val="16"/>
        </w:rPr>
        <w:t xml:space="preserve"> Onderzoeksrapport </w:t>
      </w:r>
      <w:proofErr w:type="spellStart"/>
      <w:r w:rsidRPr="002B570A">
        <w:rPr>
          <w:sz w:val="16"/>
          <w:szCs w:val="16"/>
        </w:rPr>
        <w:t>Dialogi</w:t>
      </w:r>
      <w:r>
        <w:rPr>
          <w:sz w:val="16"/>
          <w:szCs w:val="16"/>
        </w:rPr>
        <w:t>c</w:t>
      </w:r>
      <w:proofErr w:type="spellEnd"/>
      <w:r>
        <w:rPr>
          <w:sz w:val="16"/>
          <w:szCs w:val="16"/>
        </w:rPr>
        <w:t xml:space="preserve"> in opdracht van het WODC ‘</w:t>
      </w:r>
      <w:r w:rsidRPr="002B570A">
        <w:rPr>
          <w:sz w:val="16"/>
          <w:szCs w:val="16"/>
        </w:rPr>
        <w:t>Dataverzameling en -deling voor onderzoek naar online kansspelen</w:t>
      </w:r>
      <w:r>
        <w:rPr>
          <w:sz w:val="16"/>
          <w:szCs w:val="16"/>
        </w:rPr>
        <w:t>’</w:t>
      </w:r>
      <w:r w:rsidRPr="002B570A">
        <w:rPr>
          <w:sz w:val="16"/>
          <w:szCs w:val="16"/>
        </w:rPr>
        <w:t xml:space="preserve">, bijlage bij: </w:t>
      </w:r>
      <w:r w:rsidRPr="00E03B5F">
        <w:rPr>
          <w:i/>
          <w:iCs/>
          <w:sz w:val="16"/>
          <w:szCs w:val="16"/>
        </w:rPr>
        <w:t>Kamerstukken II</w:t>
      </w:r>
      <w:r w:rsidRPr="002B570A">
        <w:rPr>
          <w:sz w:val="16"/>
          <w:szCs w:val="16"/>
        </w:rPr>
        <w:t xml:space="preserve"> 2025/26, 24 557, nr. 278.</w:t>
      </w:r>
    </w:p>
  </w:footnote>
  <w:footnote w:id="33">
    <w:p w14:paraId="26B77BB6" w14:textId="3F305998" w:rsidR="00D53195" w:rsidRPr="00DC23DB" w:rsidRDefault="00D53195" w:rsidP="00D53195">
      <w:pPr>
        <w:pStyle w:val="Voetnoottekst"/>
        <w:rPr>
          <w:sz w:val="16"/>
          <w:szCs w:val="16"/>
        </w:rPr>
      </w:pPr>
      <w:r w:rsidRPr="00F0459D">
        <w:rPr>
          <w:rStyle w:val="Voetnootmarkering"/>
          <w:sz w:val="16"/>
          <w:szCs w:val="16"/>
        </w:rPr>
        <w:footnoteRef/>
      </w:r>
      <w:r w:rsidRPr="00F0459D">
        <w:rPr>
          <w:sz w:val="16"/>
          <w:szCs w:val="16"/>
        </w:rPr>
        <w:t xml:space="preserve"> Bijlage bij: </w:t>
      </w:r>
      <w:r w:rsidRPr="00F0459D">
        <w:rPr>
          <w:i/>
          <w:iCs/>
          <w:sz w:val="16"/>
          <w:szCs w:val="16"/>
        </w:rPr>
        <w:t>Kamerstukken II</w:t>
      </w:r>
      <w:r w:rsidRPr="00F0459D">
        <w:rPr>
          <w:sz w:val="16"/>
          <w:szCs w:val="16"/>
        </w:rPr>
        <w:t xml:space="preserve"> 2023/24, 24 557, nr. 219.</w:t>
      </w:r>
    </w:p>
  </w:footnote>
  <w:footnote w:id="34">
    <w:p w14:paraId="6DBF9068" w14:textId="0B37C14D" w:rsidR="00843C90" w:rsidRPr="00DC23DB" w:rsidRDefault="00843C90" w:rsidP="00843C90">
      <w:pPr>
        <w:pStyle w:val="Voetnoottekst"/>
        <w:rPr>
          <w:sz w:val="16"/>
          <w:szCs w:val="16"/>
        </w:rPr>
      </w:pPr>
      <w:r w:rsidRPr="00F0459D">
        <w:rPr>
          <w:rStyle w:val="Voetnootmarkering"/>
          <w:sz w:val="16"/>
          <w:szCs w:val="16"/>
        </w:rPr>
        <w:footnoteRef/>
      </w:r>
      <w:r w:rsidRPr="00F0459D">
        <w:rPr>
          <w:sz w:val="16"/>
          <w:szCs w:val="16"/>
        </w:rPr>
        <w:t xml:space="preserve"> </w:t>
      </w:r>
      <w:hyperlink r:id="rId3" w:history="1">
        <w:r w:rsidRPr="00F0459D">
          <w:rPr>
            <w:rStyle w:val="Hyperlink"/>
            <w:sz w:val="16"/>
            <w:szCs w:val="16"/>
          </w:rPr>
          <w:t>https://openovergokken.nl/</w:t>
        </w:r>
      </w:hyperlink>
    </w:p>
  </w:footnote>
  <w:footnote w:id="35">
    <w:p w14:paraId="6F94DFF2" w14:textId="77777777" w:rsidR="006C32F4" w:rsidRPr="000D4498" w:rsidRDefault="006C32F4" w:rsidP="006C32F4">
      <w:pPr>
        <w:pStyle w:val="Voetnoottekst"/>
        <w:rPr>
          <w:sz w:val="16"/>
          <w:szCs w:val="16"/>
        </w:rPr>
      </w:pPr>
      <w:r w:rsidRPr="006E7058">
        <w:rPr>
          <w:rStyle w:val="Voetnootmarkering"/>
          <w:sz w:val="16"/>
          <w:szCs w:val="16"/>
        </w:rPr>
        <w:footnoteRef/>
      </w:r>
      <w:r w:rsidRPr="006E7058">
        <w:rPr>
          <w:sz w:val="16"/>
          <w:szCs w:val="16"/>
        </w:rPr>
        <w:t xml:space="preserve"> The Lancet Public Health </w:t>
      </w:r>
      <w:proofErr w:type="spellStart"/>
      <w:r w:rsidRPr="000D4498">
        <w:rPr>
          <w:sz w:val="16"/>
          <w:szCs w:val="16"/>
        </w:rPr>
        <w:t>Commission</w:t>
      </w:r>
      <w:proofErr w:type="spellEnd"/>
      <w:r w:rsidRPr="000D4498">
        <w:rPr>
          <w:sz w:val="16"/>
          <w:szCs w:val="16"/>
        </w:rPr>
        <w:t xml:space="preserve"> on </w:t>
      </w:r>
      <w:proofErr w:type="spellStart"/>
      <w:r w:rsidRPr="000D4498">
        <w:rPr>
          <w:sz w:val="16"/>
          <w:szCs w:val="16"/>
        </w:rPr>
        <w:t>gambling</w:t>
      </w:r>
      <w:proofErr w:type="spellEnd"/>
      <w:r w:rsidRPr="000D4498">
        <w:rPr>
          <w:sz w:val="16"/>
          <w:szCs w:val="16"/>
        </w:rPr>
        <w:t>, november 2024; ‘Verdiepend kwalitatief onderzoek naar gokproblemen’ september 2025</w:t>
      </w:r>
      <w:r>
        <w:rPr>
          <w:sz w:val="16"/>
          <w:szCs w:val="16"/>
        </w:rPr>
        <w:t xml:space="preserve">; zie ook de </w:t>
      </w:r>
      <w:proofErr w:type="spellStart"/>
      <w:r>
        <w:rPr>
          <w:sz w:val="16"/>
          <w:szCs w:val="16"/>
        </w:rPr>
        <w:t>visual</w:t>
      </w:r>
      <w:proofErr w:type="spellEnd"/>
      <w:r>
        <w:rPr>
          <w:sz w:val="16"/>
          <w:szCs w:val="16"/>
        </w:rPr>
        <w:t xml:space="preserve"> ‘Gokschade’ van </w:t>
      </w:r>
      <w:r w:rsidRPr="00314EF3">
        <w:rPr>
          <w:sz w:val="16"/>
          <w:szCs w:val="16"/>
        </w:rPr>
        <w:t xml:space="preserve">Geurts, S., Meijer, M., &amp; Van Rooij, A. J. (2025). </w:t>
      </w:r>
      <w:r w:rsidRPr="00314EF3">
        <w:rPr>
          <w:i/>
          <w:iCs/>
          <w:sz w:val="16"/>
          <w:szCs w:val="16"/>
        </w:rPr>
        <w:t>Wat is gokschade?</w:t>
      </w:r>
      <w:r w:rsidRPr="00314EF3">
        <w:rPr>
          <w:sz w:val="16"/>
          <w:szCs w:val="16"/>
        </w:rPr>
        <w:t xml:space="preserve"> (No. TRI-62-122). Trimbos-instituut. </w:t>
      </w:r>
      <w:hyperlink r:id="rId4" w:history="1">
        <w:r w:rsidRPr="00314EF3">
          <w:rPr>
            <w:rStyle w:val="Hyperlink"/>
            <w:sz w:val="16"/>
            <w:szCs w:val="16"/>
          </w:rPr>
          <w:t>https://www.trimbos.nl/aanbod/webwinkel/tri-62-122-wat-is-gokschade/</w:t>
        </w:r>
      </w:hyperlink>
    </w:p>
  </w:footnote>
  <w:footnote w:id="36">
    <w:p w14:paraId="4252A0FA" w14:textId="4F0F3B43" w:rsidR="006F473A" w:rsidRPr="00F714D5" w:rsidRDefault="006F473A">
      <w:pPr>
        <w:pStyle w:val="Voetnoottekst"/>
        <w:rPr>
          <w:sz w:val="16"/>
          <w:szCs w:val="16"/>
        </w:rPr>
      </w:pPr>
      <w:r w:rsidRPr="00F714D5">
        <w:rPr>
          <w:rStyle w:val="Voetnootmarkering"/>
          <w:sz w:val="16"/>
          <w:szCs w:val="16"/>
        </w:rPr>
        <w:footnoteRef/>
      </w:r>
      <w:r w:rsidRPr="00F714D5">
        <w:rPr>
          <w:sz w:val="16"/>
          <w:szCs w:val="16"/>
        </w:rPr>
        <w:t xml:space="preserve"> Bij dit verband zijn onder andere het Trimbos-instituut, Verslavingskunde Nederland, GGD GHOR Nederland en de Nederlandse Schuldhulproute aangesloten</w:t>
      </w:r>
      <w:r w:rsidR="00076040" w:rsidRPr="00F714D5">
        <w:rPr>
          <w:sz w:val="16"/>
          <w:szCs w:val="16"/>
        </w:rPr>
        <w:t>.</w:t>
      </w:r>
    </w:p>
  </w:footnote>
  <w:footnote w:id="37">
    <w:p w14:paraId="394AF648" w14:textId="27494B68" w:rsidR="002068B1" w:rsidRPr="00F714D5" w:rsidRDefault="002068B1" w:rsidP="002068B1">
      <w:pPr>
        <w:pStyle w:val="Voetnoottekst"/>
        <w:rPr>
          <w:sz w:val="16"/>
          <w:szCs w:val="16"/>
        </w:rPr>
      </w:pPr>
      <w:r w:rsidRPr="00F714D5">
        <w:rPr>
          <w:rStyle w:val="Voetnootmarkering"/>
          <w:sz w:val="16"/>
          <w:szCs w:val="16"/>
        </w:rPr>
        <w:footnoteRef/>
      </w:r>
      <w:r w:rsidRPr="00F714D5">
        <w:rPr>
          <w:sz w:val="16"/>
          <w:szCs w:val="16"/>
        </w:rPr>
        <w:t xml:space="preserve"> </w:t>
      </w:r>
      <w:r w:rsidR="00F714D5" w:rsidRPr="00F714D5">
        <w:rPr>
          <w:sz w:val="16"/>
          <w:szCs w:val="16"/>
        </w:rPr>
        <w:t xml:space="preserve">Deze nota beschrijft de uitdagingen en prioriteiten op het gebied van volksgezondheid en preventie en schetst voor gemeenten, </w:t>
      </w:r>
      <w:proofErr w:type="spellStart"/>
      <w:r w:rsidR="00F714D5" w:rsidRPr="00F714D5">
        <w:rPr>
          <w:sz w:val="16"/>
          <w:szCs w:val="16"/>
        </w:rPr>
        <w:t>GGD'en</w:t>
      </w:r>
      <w:proofErr w:type="spellEnd"/>
      <w:r w:rsidR="00F714D5" w:rsidRPr="00F714D5">
        <w:rPr>
          <w:sz w:val="16"/>
          <w:szCs w:val="16"/>
        </w:rPr>
        <w:t xml:space="preserve"> en de regionale en lokale partners de kaders om met dit beleid aan de slag te gaan. Hierop worden de lokale nota’s, en daarmee het lokale gezondheidsbeleid, gebaseerd. </w:t>
      </w:r>
      <w:r w:rsidRPr="00F714D5">
        <w:rPr>
          <w:sz w:val="16"/>
          <w:szCs w:val="16"/>
        </w:rPr>
        <w:t xml:space="preserve">Bijlage bij: </w:t>
      </w:r>
      <w:r w:rsidRPr="00F714D5">
        <w:rPr>
          <w:i/>
          <w:iCs/>
          <w:sz w:val="16"/>
          <w:szCs w:val="16"/>
        </w:rPr>
        <w:t xml:space="preserve">Kamerstukken II </w:t>
      </w:r>
      <w:r w:rsidRPr="00F714D5">
        <w:rPr>
          <w:sz w:val="16"/>
          <w:szCs w:val="16"/>
        </w:rPr>
        <w:t>2025/26, 32 793, nr. 877.</w:t>
      </w:r>
    </w:p>
  </w:footnote>
  <w:footnote w:id="38">
    <w:p w14:paraId="1E9A442F" w14:textId="6C5BB32D" w:rsidR="00F85435" w:rsidRPr="00B255AC" w:rsidRDefault="00F85435" w:rsidP="00F85435">
      <w:pPr>
        <w:pStyle w:val="Voetnoottekst"/>
        <w:rPr>
          <w:sz w:val="16"/>
          <w:szCs w:val="16"/>
        </w:rPr>
      </w:pPr>
      <w:r w:rsidRPr="00F714D5">
        <w:rPr>
          <w:rStyle w:val="Voetnootmarkering"/>
          <w:sz w:val="16"/>
          <w:szCs w:val="16"/>
        </w:rPr>
        <w:footnoteRef/>
      </w:r>
      <w:r w:rsidRPr="00F714D5">
        <w:rPr>
          <w:sz w:val="16"/>
          <w:szCs w:val="16"/>
        </w:rPr>
        <w:t xml:space="preserve"> Zie hiervoor ook de </w:t>
      </w:r>
      <w:r w:rsidR="0058244F" w:rsidRPr="00F714D5">
        <w:rPr>
          <w:sz w:val="16"/>
          <w:szCs w:val="16"/>
        </w:rPr>
        <w:t>Kamerbrief</w:t>
      </w:r>
      <w:r w:rsidRPr="00B255AC">
        <w:rPr>
          <w:sz w:val="16"/>
          <w:szCs w:val="16"/>
        </w:rPr>
        <w:t xml:space="preserve"> van</w:t>
      </w:r>
      <w:r w:rsidR="0058244F">
        <w:rPr>
          <w:sz w:val="16"/>
          <w:szCs w:val="16"/>
        </w:rPr>
        <w:t xml:space="preserve"> 14</w:t>
      </w:r>
      <w:r w:rsidRPr="00B255AC">
        <w:rPr>
          <w:sz w:val="16"/>
          <w:szCs w:val="16"/>
        </w:rPr>
        <w:t xml:space="preserve"> februari 2025. </w:t>
      </w:r>
      <w:r w:rsidRPr="00EF2733">
        <w:rPr>
          <w:i/>
          <w:iCs/>
          <w:sz w:val="16"/>
          <w:szCs w:val="16"/>
        </w:rPr>
        <w:t xml:space="preserve">Kamerstukken II </w:t>
      </w:r>
      <w:r w:rsidRPr="00EF2733">
        <w:rPr>
          <w:sz w:val="16"/>
          <w:szCs w:val="16"/>
        </w:rPr>
        <w:t>2024/25, 24 557, nr. 245, p. 7.</w:t>
      </w:r>
    </w:p>
  </w:footnote>
  <w:footnote w:id="39">
    <w:p w14:paraId="7FAE7B9F" w14:textId="77777777" w:rsidR="00360103" w:rsidRPr="00FC56DB" w:rsidRDefault="00360103" w:rsidP="00360103">
      <w:pPr>
        <w:pStyle w:val="Voetnoottekst"/>
        <w:rPr>
          <w:sz w:val="16"/>
          <w:szCs w:val="16"/>
        </w:rPr>
      </w:pPr>
      <w:r w:rsidRPr="00FC56DB">
        <w:rPr>
          <w:rStyle w:val="Voetnootmarkering"/>
          <w:sz w:val="16"/>
          <w:szCs w:val="16"/>
        </w:rPr>
        <w:footnoteRef/>
      </w:r>
      <w:r w:rsidRPr="00FC56DB">
        <w:rPr>
          <w:sz w:val="16"/>
          <w:szCs w:val="16"/>
        </w:rPr>
        <w:t xml:space="preserve"> </w:t>
      </w:r>
      <w:r w:rsidRPr="00590D8B">
        <w:rPr>
          <w:i/>
          <w:iCs/>
          <w:sz w:val="16"/>
          <w:szCs w:val="16"/>
        </w:rPr>
        <w:t>Kamerstukken II</w:t>
      </w:r>
      <w:r w:rsidRPr="00590D8B">
        <w:rPr>
          <w:sz w:val="16"/>
          <w:szCs w:val="16"/>
        </w:rPr>
        <w:t xml:space="preserve"> </w:t>
      </w:r>
      <w:r w:rsidRPr="00FC56DB">
        <w:rPr>
          <w:sz w:val="16"/>
          <w:szCs w:val="16"/>
        </w:rPr>
        <w:t xml:space="preserve">2024/25, 24557, nr. 246.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2B76" w14:textId="69A18CE1" w:rsidR="00732644" w:rsidRDefault="009831EC">
    <w:r>
      <w:rPr>
        <w:noProof/>
      </w:rPr>
      <mc:AlternateContent>
        <mc:Choice Requires="wps">
          <w:drawing>
            <wp:anchor distT="0" distB="0" distL="0" distR="0" simplePos="0" relativeHeight="251652096" behindDoc="0" locked="1" layoutInCell="1" allowOverlap="1" wp14:anchorId="5B19C38A" wp14:editId="066F5A4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B01EEA" w14:textId="77777777" w:rsidR="00732644" w:rsidRDefault="001C2835">
                          <w:pPr>
                            <w:pStyle w:val="Referentiegegevensbold"/>
                          </w:pPr>
                          <w:r>
                            <w:t>Directoraat-Generaal Straffen en Beschermen</w:t>
                          </w:r>
                        </w:p>
                        <w:p w14:paraId="109ED233" w14:textId="77777777" w:rsidR="00732644" w:rsidRDefault="001C2835">
                          <w:pPr>
                            <w:pStyle w:val="Referentiegegevens"/>
                          </w:pPr>
                          <w:r>
                            <w:t>Directie Sanctie- en Slachtofferbeleid</w:t>
                          </w:r>
                        </w:p>
                        <w:p w14:paraId="37F2A42D" w14:textId="77777777" w:rsidR="00732644" w:rsidRDefault="001C2835">
                          <w:pPr>
                            <w:pStyle w:val="Referentiegegevens"/>
                          </w:pPr>
                          <w:r>
                            <w:t>Integriteit en Kansspelen</w:t>
                          </w:r>
                        </w:p>
                        <w:p w14:paraId="72912E48" w14:textId="77777777" w:rsidR="00732644" w:rsidRDefault="00732644">
                          <w:pPr>
                            <w:pStyle w:val="WitregelW2"/>
                          </w:pPr>
                        </w:p>
                        <w:p w14:paraId="46A97B7D" w14:textId="77777777" w:rsidR="00732644" w:rsidRDefault="001C2835">
                          <w:pPr>
                            <w:pStyle w:val="Referentiegegevensbold"/>
                          </w:pPr>
                          <w:r>
                            <w:t>Datum</w:t>
                          </w:r>
                        </w:p>
                        <w:p w14:paraId="6EF343A6" w14:textId="46E518CC" w:rsidR="00732644" w:rsidRDefault="004632BD">
                          <w:pPr>
                            <w:pStyle w:val="Referentiegegevens"/>
                          </w:pPr>
                          <w:sdt>
                            <w:sdtPr>
                              <w:id w:val="-530881279"/>
                              <w:date w:fullDate="2026-06-12T00:00:00Z">
                                <w:dateFormat w:val="d MMMM yyyy"/>
                                <w:lid w:val="nl"/>
                                <w:storeMappedDataAs w:val="dateTime"/>
                                <w:calendar w:val="gregorian"/>
                              </w:date>
                            </w:sdtPr>
                            <w:sdtEndPr/>
                            <w:sdtContent>
                              <w:r w:rsidR="00EA1E4E">
                                <w:rPr>
                                  <w:lang w:val="nl"/>
                                </w:rPr>
                                <w:t>12 juni 2026</w:t>
                              </w:r>
                            </w:sdtContent>
                          </w:sdt>
                        </w:p>
                        <w:p w14:paraId="05771DF6" w14:textId="77777777" w:rsidR="00732644" w:rsidRDefault="00732644">
                          <w:pPr>
                            <w:pStyle w:val="WitregelW1"/>
                          </w:pPr>
                        </w:p>
                        <w:p w14:paraId="45C51426" w14:textId="77777777" w:rsidR="00732644" w:rsidRDefault="001C2835">
                          <w:pPr>
                            <w:pStyle w:val="Referentiegegevensbold"/>
                          </w:pPr>
                          <w:r>
                            <w:t>Onze referentie</w:t>
                          </w:r>
                        </w:p>
                        <w:p w14:paraId="34A2CEF8" w14:textId="77777777" w:rsidR="00732644" w:rsidRDefault="001C2835">
                          <w:pPr>
                            <w:pStyle w:val="Referentiegegevens"/>
                          </w:pPr>
                          <w:r>
                            <w:t>7690382</w:t>
                          </w:r>
                        </w:p>
                      </w:txbxContent>
                    </wps:txbx>
                    <wps:bodyPr vert="horz" wrap="square" lIns="0" tIns="0" rIns="0" bIns="0" anchor="t" anchorCtr="0"/>
                  </wps:wsp>
                </a:graphicData>
              </a:graphic>
            </wp:anchor>
          </w:drawing>
        </mc:Choice>
        <mc:Fallback>
          <w:pict>
            <v:shapetype w14:anchorId="5B19C38A"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B01EEA" w14:textId="77777777" w:rsidR="00732644" w:rsidRDefault="001C2835">
                    <w:pPr>
                      <w:pStyle w:val="Referentiegegevensbold"/>
                    </w:pPr>
                    <w:r>
                      <w:t>Directoraat-Generaal Straffen en Beschermen</w:t>
                    </w:r>
                  </w:p>
                  <w:p w14:paraId="109ED233" w14:textId="77777777" w:rsidR="00732644" w:rsidRDefault="001C2835">
                    <w:pPr>
                      <w:pStyle w:val="Referentiegegevens"/>
                    </w:pPr>
                    <w:r>
                      <w:t>Directie Sanctie- en Slachtofferbeleid</w:t>
                    </w:r>
                  </w:p>
                  <w:p w14:paraId="37F2A42D" w14:textId="77777777" w:rsidR="00732644" w:rsidRDefault="001C2835">
                    <w:pPr>
                      <w:pStyle w:val="Referentiegegevens"/>
                    </w:pPr>
                    <w:r>
                      <w:t>Integriteit en Kansspelen</w:t>
                    </w:r>
                  </w:p>
                  <w:p w14:paraId="72912E48" w14:textId="77777777" w:rsidR="00732644" w:rsidRDefault="00732644">
                    <w:pPr>
                      <w:pStyle w:val="WitregelW2"/>
                    </w:pPr>
                  </w:p>
                  <w:p w14:paraId="46A97B7D" w14:textId="77777777" w:rsidR="00732644" w:rsidRDefault="001C2835">
                    <w:pPr>
                      <w:pStyle w:val="Referentiegegevensbold"/>
                    </w:pPr>
                    <w:r>
                      <w:t>Datum</w:t>
                    </w:r>
                  </w:p>
                  <w:p w14:paraId="6EF343A6" w14:textId="46E518CC" w:rsidR="00732644" w:rsidRDefault="004632BD">
                    <w:pPr>
                      <w:pStyle w:val="Referentiegegevens"/>
                    </w:pPr>
                    <w:sdt>
                      <w:sdtPr>
                        <w:id w:val="-530881279"/>
                        <w:date w:fullDate="2026-06-12T00:00:00Z">
                          <w:dateFormat w:val="d MMMM yyyy"/>
                          <w:lid w:val="nl"/>
                          <w:storeMappedDataAs w:val="dateTime"/>
                          <w:calendar w:val="gregorian"/>
                        </w:date>
                      </w:sdtPr>
                      <w:sdtEndPr/>
                      <w:sdtContent>
                        <w:r w:rsidR="00EA1E4E">
                          <w:rPr>
                            <w:lang w:val="nl"/>
                          </w:rPr>
                          <w:t>12 juni 2026</w:t>
                        </w:r>
                      </w:sdtContent>
                    </w:sdt>
                  </w:p>
                  <w:p w14:paraId="05771DF6" w14:textId="77777777" w:rsidR="00732644" w:rsidRDefault="00732644">
                    <w:pPr>
                      <w:pStyle w:val="WitregelW1"/>
                    </w:pPr>
                  </w:p>
                  <w:p w14:paraId="45C51426" w14:textId="77777777" w:rsidR="00732644" w:rsidRDefault="001C2835">
                    <w:pPr>
                      <w:pStyle w:val="Referentiegegevensbold"/>
                    </w:pPr>
                    <w:r>
                      <w:t>Onze referentie</w:t>
                    </w:r>
                  </w:p>
                  <w:p w14:paraId="34A2CEF8" w14:textId="77777777" w:rsidR="00732644" w:rsidRDefault="001C2835">
                    <w:pPr>
                      <w:pStyle w:val="Referentiegegevens"/>
                    </w:pPr>
                    <w:r>
                      <w:t>7690382</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8E63046" wp14:editId="31D6E44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97AD69" w14:textId="77777777" w:rsidR="00FA4A16" w:rsidRDefault="00FA4A16"/>
                      </w:txbxContent>
                    </wps:txbx>
                    <wps:bodyPr vert="horz" wrap="square" lIns="0" tIns="0" rIns="0" bIns="0" anchor="t" anchorCtr="0"/>
                  </wps:wsp>
                </a:graphicData>
              </a:graphic>
            </wp:anchor>
          </w:drawing>
        </mc:Choice>
        <mc:Fallback>
          <w:pict>
            <v:shape w14:anchorId="78E63046" id="46fef06f-aa3c-11ea-a756-beb5f67e67be" o:spid="_x0000_s1028"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197AD69" w14:textId="77777777" w:rsidR="00FA4A16" w:rsidRDefault="00FA4A1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BFFE1D7" wp14:editId="4287C67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43A516" w14:textId="6A501F87" w:rsidR="00732644" w:rsidRDefault="001C2835">
                          <w:pPr>
                            <w:pStyle w:val="Referentiegegevens"/>
                          </w:pPr>
                          <w:r>
                            <w:t xml:space="preserve">Pagina </w:t>
                          </w:r>
                          <w:r>
                            <w:fldChar w:fldCharType="begin"/>
                          </w:r>
                          <w:r>
                            <w:instrText>PAGE</w:instrText>
                          </w:r>
                          <w:r>
                            <w:fldChar w:fldCharType="separate"/>
                          </w:r>
                          <w:r w:rsidR="00204393">
                            <w:rPr>
                              <w:noProof/>
                            </w:rPr>
                            <w:t>2</w:t>
                          </w:r>
                          <w:r>
                            <w:fldChar w:fldCharType="end"/>
                          </w:r>
                          <w:r>
                            <w:t xml:space="preserve"> van </w:t>
                          </w:r>
                          <w:r>
                            <w:fldChar w:fldCharType="begin"/>
                          </w:r>
                          <w:r>
                            <w:instrText>NUMPAGES</w:instrText>
                          </w:r>
                          <w:r>
                            <w:fldChar w:fldCharType="separate"/>
                          </w:r>
                          <w:r w:rsidR="00683AE8">
                            <w:rPr>
                              <w:noProof/>
                            </w:rPr>
                            <w:t>1</w:t>
                          </w:r>
                          <w:r>
                            <w:fldChar w:fldCharType="end"/>
                          </w:r>
                        </w:p>
                      </w:txbxContent>
                    </wps:txbx>
                    <wps:bodyPr vert="horz" wrap="square" lIns="0" tIns="0" rIns="0" bIns="0" anchor="t" anchorCtr="0"/>
                  </wps:wsp>
                </a:graphicData>
              </a:graphic>
            </wp:anchor>
          </w:drawing>
        </mc:Choice>
        <mc:Fallback>
          <w:pict>
            <v:shape w14:anchorId="1BFFE1D7" id="46fef0b8-aa3c-11ea-a756-beb5f67e67be" o:spid="_x0000_s1029"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43A516" w14:textId="6A501F87" w:rsidR="00732644" w:rsidRDefault="001C2835">
                    <w:pPr>
                      <w:pStyle w:val="Referentiegegevens"/>
                    </w:pPr>
                    <w:r>
                      <w:t xml:space="preserve">Pagina </w:t>
                    </w:r>
                    <w:r>
                      <w:fldChar w:fldCharType="begin"/>
                    </w:r>
                    <w:r>
                      <w:instrText>PAGE</w:instrText>
                    </w:r>
                    <w:r>
                      <w:fldChar w:fldCharType="separate"/>
                    </w:r>
                    <w:r w:rsidR="00204393">
                      <w:rPr>
                        <w:noProof/>
                      </w:rPr>
                      <w:t>2</w:t>
                    </w:r>
                    <w:r>
                      <w:fldChar w:fldCharType="end"/>
                    </w:r>
                    <w:r>
                      <w:t xml:space="preserve"> van </w:t>
                    </w:r>
                    <w:r>
                      <w:fldChar w:fldCharType="begin"/>
                    </w:r>
                    <w:r>
                      <w:instrText>NUMPAGES</w:instrText>
                    </w:r>
                    <w:r>
                      <w:fldChar w:fldCharType="separate"/>
                    </w:r>
                    <w:r w:rsidR="00683AE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AFC7" w14:textId="77777777" w:rsidR="00732644" w:rsidRDefault="001C2835">
    <w:pPr>
      <w:spacing w:after="6377" w:line="14" w:lineRule="exact"/>
    </w:pPr>
    <w:r>
      <w:rPr>
        <w:noProof/>
      </w:rPr>
      <mc:AlternateContent>
        <mc:Choice Requires="wps">
          <w:drawing>
            <wp:anchor distT="0" distB="0" distL="0" distR="0" simplePos="0" relativeHeight="251655168" behindDoc="0" locked="1" layoutInCell="1" allowOverlap="1" wp14:anchorId="6DD61A32" wp14:editId="49B7F53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7015CB" w14:textId="77777777" w:rsidR="00AB3472" w:rsidRDefault="001C2835">
                          <w:r>
                            <w:t xml:space="preserve">Aan de Voorzitter van de Tweede Kamer </w:t>
                          </w:r>
                        </w:p>
                        <w:p w14:paraId="216D9DF9" w14:textId="3569C9D1" w:rsidR="00732644" w:rsidRDefault="001C2835">
                          <w:r>
                            <w:t>der Staten-Generaal</w:t>
                          </w:r>
                        </w:p>
                        <w:p w14:paraId="05520CA3" w14:textId="77777777" w:rsidR="00732644" w:rsidRDefault="001C2835">
                          <w:r>
                            <w:t xml:space="preserve">Postbus 20018 </w:t>
                          </w:r>
                        </w:p>
                        <w:p w14:paraId="37BB7F04" w14:textId="77777777" w:rsidR="00732644" w:rsidRDefault="001C2835">
                          <w:r>
                            <w:t>2500 EA  DEN HAAG</w:t>
                          </w:r>
                        </w:p>
                      </w:txbxContent>
                    </wps:txbx>
                    <wps:bodyPr vert="horz" wrap="square" lIns="0" tIns="0" rIns="0" bIns="0" anchor="t" anchorCtr="0"/>
                  </wps:wsp>
                </a:graphicData>
              </a:graphic>
            </wp:anchor>
          </w:drawing>
        </mc:Choice>
        <mc:Fallback>
          <w:pict>
            <v:shapetype w14:anchorId="6DD61A32"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67015CB" w14:textId="77777777" w:rsidR="00AB3472" w:rsidRDefault="001C2835">
                    <w:r>
                      <w:t xml:space="preserve">Aan de Voorzitter van de Tweede Kamer </w:t>
                    </w:r>
                  </w:p>
                  <w:p w14:paraId="216D9DF9" w14:textId="3569C9D1" w:rsidR="00732644" w:rsidRDefault="001C2835">
                    <w:r>
                      <w:t>der Staten-Generaal</w:t>
                    </w:r>
                  </w:p>
                  <w:p w14:paraId="05520CA3" w14:textId="77777777" w:rsidR="00732644" w:rsidRDefault="001C2835">
                    <w:r>
                      <w:t xml:space="preserve">Postbus 20018 </w:t>
                    </w:r>
                  </w:p>
                  <w:p w14:paraId="37BB7F04" w14:textId="77777777" w:rsidR="00732644" w:rsidRDefault="001C283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147EF6A" wp14:editId="2FB88F9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2644" w14:paraId="63AA66A4" w14:textId="77777777">
                            <w:trPr>
                              <w:trHeight w:val="240"/>
                            </w:trPr>
                            <w:tc>
                              <w:tcPr>
                                <w:tcW w:w="1140" w:type="dxa"/>
                              </w:tcPr>
                              <w:p w14:paraId="5AADF375" w14:textId="77777777" w:rsidR="00732644" w:rsidRDefault="001C2835">
                                <w:r>
                                  <w:t>Datum</w:t>
                                </w:r>
                              </w:p>
                            </w:tc>
                            <w:tc>
                              <w:tcPr>
                                <w:tcW w:w="5918" w:type="dxa"/>
                              </w:tcPr>
                              <w:p w14:paraId="5E61A957" w14:textId="197B036C" w:rsidR="00732644" w:rsidRDefault="004632BD">
                                <w:sdt>
                                  <w:sdtPr>
                                    <w:id w:val="19978639"/>
                                    <w:date w:fullDate="2026-06-12T00:00:00Z">
                                      <w:dateFormat w:val="d MMMM yyyy"/>
                                      <w:lid w:val="nl"/>
                                      <w:storeMappedDataAs w:val="dateTime"/>
                                      <w:calendar w:val="gregorian"/>
                                    </w:date>
                                  </w:sdtPr>
                                  <w:sdtEndPr/>
                                  <w:sdtContent>
                                    <w:r w:rsidR="00EA1E4E">
                                      <w:rPr>
                                        <w:lang w:val="nl"/>
                                      </w:rPr>
                                      <w:t>12 juni 2026</w:t>
                                    </w:r>
                                  </w:sdtContent>
                                </w:sdt>
                              </w:p>
                            </w:tc>
                          </w:tr>
                          <w:tr w:rsidR="00732644" w14:paraId="1031F78B" w14:textId="77777777">
                            <w:trPr>
                              <w:trHeight w:val="240"/>
                            </w:trPr>
                            <w:tc>
                              <w:tcPr>
                                <w:tcW w:w="1140" w:type="dxa"/>
                              </w:tcPr>
                              <w:p w14:paraId="1B307AF8" w14:textId="77777777" w:rsidR="00732644" w:rsidRDefault="001C2835">
                                <w:r>
                                  <w:t>Betreft</w:t>
                                </w:r>
                              </w:p>
                            </w:tc>
                            <w:tc>
                              <w:tcPr>
                                <w:tcW w:w="5918" w:type="dxa"/>
                              </w:tcPr>
                              <w:p w14:paraId="2DEA4A52" w14:textId="24E97661" w:rsidR="00732644" w:rsidRDefault="001C2835">
                                <w:r>
                                  <w:t xml:space="preserve">Voortgangsbrief </w:t>
                                </w:r>
                                <w:r w:rsidR="00D047FE">
                                  <w:t>kansspelen met</w:t>
                                </w:r>
                                <w:r w:rsidR="007654F0">
                                  <w:t xml:space="preserve"> contouren maatregelen</w:t>
                                </w:r>
                              </w:p>
                            </w:tc>
                          </w:tr>
                        </w:tbl>
                        <w:p w14:paraId="67F25B79" w14:textId="77777777" w:rsidR="00FA4A16" w:rsidRDefault="00FA4A16"/>
                      </w:txbxContent>
                    </wps:txbx>
                    <wps:bodyPr vert="horz" wrap="square" lIns="0" tIns="0" rIns="0" bIns="0" anchor="t" anchorCtr="0"/>
                  </wps:wsp>
                </a:graphicData>
              </a:graphic>
            </wp:anchor>
          </w:drawing>
        </mc:Choice>
        <mc:Fallback>
          <w:pict>
            <v:shape w14:anchorId="3147EF6A" id="46feebd0-aa3c-11ea-a756-beb5f67e67be" o:spid="_x0000_s1031" type="#_x0000_t202" style="position:absolute;margin-left:79.45pt;margin-top:264.15pt;width:377pt;height:2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2644" w14:paraId="63AA66A4" w14:textId="77777777">
                      <w:trPr>
                        <w:trHeight w:val="240"/>
                      </w:trPr>
                      <w:tc>
                        <w:tcPr>
                          <w:tcW w:w="1140" w:type="dxa"/>
                        </w:tcPr>
                        <w:p w14:paraId="5AADF375" w14:textId="77777777" w:rsidR="00732644" w:rsidRDefault="001C2835">
                          <w:r>
                            <w:t>Datum</w:t>
                          </w:r>
                        </w:p>
                      </w:tc>
                      <w:tc>
                        <w:tcPr>
                          <w:tcW w:w="5918" w:type="dxa"/>
                        </w:tcPr>
                        <w:p w14:paraId="5E61A957" w14:textId="197B036C" w:rsidR="00732644" w:rsidRDefault="004632BD">
                          <w:sdt>
                            <w:sdtPr>
                              <w:id w:val="19978639"/>
                              <w:date w:fullDate="2026-06-12T00:00:00Z">
                                <w:dateFormat w:val="d MMMM yyyy"/>
                                <w:lid w:val="nl"/>
                                <w:storeMappedDataAs w:val="dateTime"/>
                                <w:calendar w:val="gregorian"/>
                              </w:date>
                            </w:sdtPr>
                            <w:sdtEndPr/>
                            <w:sdtContent>
                              <w:r w:rsidR="00EA1E4E">
                                <w:rPr>
                                  <w:lang w:val="nl"/>
                                </w:rPr>
                                <w:t>12 juni 2026</w:t>
                              </w:r>
                            </w:sdtContent>
                          </w:sdt>
                        </w:p>
                      </w:tc>
                    </w:tr>
                    <w:tr w:rsidR="00732644" w14:paraId="1031F78B" w14:textId="77777777">
                      <w:trPr>
                        <w:trHeight w:val="240"/>
                      </w:trPr>
                      <w:tc>
                        <w:tcPr>
                          <w:tcW w:w="1140" w:type="dxa"/>
                        </w:tcPr>
                        <w:p w14:paraId="1B307AF8" w14:textId="77777777" w:rsidR="00732644" w:rsidRDefault="001C2835">
                          <w:r>
                            <w:t>Betreft</w:t>
                          </w:r>
                        </w:p>
                      </w:tc>
                      <w:tc>
                        <w:tcPr>
                          <w:tcW w:w="5918" w:type="dxa"/>
                        </w:tcPr>
                        <w:p w14:paraId="2DEA4A52" w14:textId="24E97661" w:rsidR="00732644" w:rsidRDefault="001C2835">
                          <w:r>
                            <w:t xml:space="preserve">Voortgangsbrief </w:t>
                          </w:r>
                          <w:r w:rsidR="00D047FE">
                            <w:t>kansspelen met</w:t>
                          </w:r>
                          <w:r w:rsidR="007654F0">
                            <w:t xml:space="preserve"> contouren maatregelen</w:t>
                          </w:r>
                        </w:p>
                      </w:tc>
                    </w:tr>
                  </w:tbl>
                  <w:p w14:paraId="67F25B79" w14:textId="77777777" w:rsidR="00FA4A16" w:rsidRDefault="00FA4A1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68BA9D" wp14:editId="0ACC0C6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35399F" w14:textId="77777777" w:rsidR="00732644" w:rsidRDefault="001C2835">
                          <w:pPr>
                            <w:pStyle w:val="Referentiegegevensbold"/>
                          </w:pPr>
                          <w:r>
                            <w:t>Directoraat-Generaal Straffen en Beschermen</w:t>
                          </w:r>
                        </w:p>
                        <w:p w14:paraId="37F084C5" w14:textId="77777777" w:rsidR="00732644" w:rsidRDefault="001C2835">
                          <w:pPr>
                            <w:pStyle w:val="Referentiegegevens"/>
                          </w:pPr>
                          <w:r>
                            <w:t>Directie Sanctie- en Slachtofferbeleid</w:t>
                          </w:r>
                        </w:p>
                        <w:p w14:paraId="212244B9" w14:textId="77777777" w:rsidR="00732644" w:rsidRDefault="001C2835">
                          <w:pPr>
                            <w:pStyle w:val="Referentiegegevens"/>
                          </w:pPr>
                          <w:r>
                            <w:t>Integriteit en Kansspelen</w:t>
                          </w:r>
                        </w:p>
                        <w:p w14:paraId="3AB327CD" w14:textId="77777777" w:rsidR="00732644" w:rsidRDefault="00732644">
                          <w:pPr>
                            <w:pStyle w:val="WitregelW1"/>
                          </w:pPr>
                        </w:p>
                        <w:p w14:paraId="060ABEF7" w14:textId="77777777" w:rsidR="00732644" w:rsidRDefault="001C2835">
                          <w:pPr>
                            <w:pStyle w:val="Referentiegegevens"/>
                          </w:pPr>
                          <w:r>
                            <w:t>Turfmarkt 147</w:t>
                          </w:r>
                        </w:p>
                        <w:p w14:paraId="654CB4E3" w14:textId="77777777" w:rsidR="00732644" w:rsidRDefault="001C2835">
                          <w:pPr>
                            <w:pStyle w:val="Referentiegegevens"/>
                          </w:pPr>
                          <w:r>
                            <w:t>2511 DP   Den Haag</w:t>
                          </w:r>
                        </w:p>
                        <w:p w14:paraId="4AC45A48" w14:textId="77777777" w:rsidR="00732644" w:rsidRPr="007D742B" w:rsidRDefault="001C2835">
                          <w:pPr>
                            <w:pStyle w:val="Referentiegegevens"/>
                            <w:rPr>
                              <w:lang w:val="de-DE"/>
                            </w:rPr>
                          </w:pPr>
                          <w:r w:rsidRPr="007D742B">
                            <w:rPr>
                              <w:lang w:val="de-DE"/>
                            </w:rPr>
                            <w:t>Postbus 20301</w:t>
                          </w:r>
                        </w:p>
                        <w:p w14:paraId="69C8529F" w14:textId="77777777" w:rsidR="00732644" w:rsidRPr="007D742B" w:rsidRDefault="001C2835">
                          <w:pPr>
                            <w:pStyle w:val="Referentiegegevens"/>
                            <w:rPr>
                              <w:lang w:val="de-DE"/>
                            </w:rPr>
                          </w:pPr>
                          <w:r w:rsidRPr="007D742B">
                            <w:rPr>
                              <w:lang w:val="de-DE"/>
                            </w:rPr>
                            <w:t>2500 EH   Den Haag</w:t>
                          </w:r>
                        </w:p>
                        <w:p w14:paraId="45168F21" w14:textId="77777777" w:rsidR="00732644" w:rsidRPr="007D742B" w:rsidRDefault="001C2835">
                          <w:pPr>
                            <w:pStyle w:val="Referentiegegevens"/>
                            <w:rPr>
                              <w:lang w:val="de-DE"/>
                            </w:rPr>
                          </w:pPr>
                          <w:r w:rsidRPr="007D742B">
                            <w:rPr>
                              <w:lang w:val="de-DE"/>
                            </w:rPr>
                            <w:t>www.rijksoverheid.nl/jenv</w:t>
                          </w:r>
                        </w:p>
                        <w:p w14:paraId="0D7DB803" w14:textId="77777777" w:rsidR="00732644" w:rsidRPr="007D742B" w:rsidRDefault="00732644">
                          <w:pPr>
                            <w:pStyle w:val="WitregelW2"/>
                            <w:rPr>
                              <w:lang w:val="de-DE"/>
                            </w:rPr>
                          </w:pPr>
                        </w:p>
                        <w:p w14:paraId="2B090875" w14:textId="77777777" w:rsidR="00732644" w:rsidRDefault="001C2835">
                          <w:pPr>
                            <w:pStyle w:val="Referentiegegevensbold"/>
                          </w:pPr>
                          <w:r>
                            <w:t>Onze referentie</w:t>
                          </w:r>
                        </w:p>
                        <w:p w14:paraId="14964148" w14:textId="77777777" w:rsidR="00732644" w:rsidRDefault="001C2835">
                          <w:pPr>
                            <w:pStyle w:val="Referentiegegevens"/>
                          </w:pPr>
                          <w:r>
                            <w:t>7690382</w:t>
                          </w:r>
                        </w:p>
                        <w:p w14:paraId="6353134A" w14:textId="77777777" w:rsidR="00732644" w:rsidRDefault="00732644">
                          <w:pPr>
                            <w:pStyle w:val="WitregelW1"/>
                          </w:pPr>
                        </w:p>
                        <w:p w14:paraId="7EA786C8" w14:textId="6C26DD37" w:rsidR="00732644" w:rsidRPr="00AB3472" w:rsidRDefault="00AB3472">
                          <w:pPr>
                            <w:pStyle w:val="Referentiegegevens"/>
                            <w:rPr>
                              <w:b/>
                              <w:bCs/>
                            </w:rPr>
                          </w:pPr>
                          <w:r w:rsidRPr="00AB3472">
                            <w:rPr>
                              <w:b/>
                              <w:bCs/>
                            </w:rPr>
                            <w:t>Bijlagen</w:t>
                          </w:r>
                        </w:p>
                        <w:p w14:paraId="16F7D177" w14:textId="2A016F0F" w:rsidR="00AB3472" w:rsidRPr="00AB3472" w:rsidRDefault="00AB3472" w:rsidP="00AB3472">
                          <w:pPr>
                            <w:rPr>
                              <w:sz w:val="13"/>
                              <w:szCs w:val="13"/>
                            </w:rPr>
                          </w:pPr>
                          <w:r w:rsidRPr="00AB3472">
                            <w:rPr>
                              <w:sz w:val="13"/>
                              <w:szCs w:val="13"/>
                            </w:rPr>
                            <w:t>2</w:t>
                          </w:r>
                        </w:p>
                      </w:txbxContent>
                    </wps:txbx>
                    <wps:bodyPr vert="horz" wrap="square" lIns="0" tIns="0" rIns="0" bIns="0" anchor="t" anchorCtr="0"/>
                  </wps:wsp>
                </a:graphicData>
              </a:graphic>
            </wp:anchor>
          </w:drawing>
        </mc:Choice>
        <mc:Fallback>
          <w:pict>
            <v:shape w14:anchorId="5668BA9D" id="46feec20-aa3c-11ea-a756-beb5f67e67be" o:spid="_x0000_s1032"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F35399F" w14:textId="77777777" w:rsidR="00732644" w:rsidRDefault="001C2835">
                    <w:pPr>
                      <w:pStyle w:val="Referentiegegevensbold"/>
                    </w:pPr>
                    <w:r>
                      <w:t>Directoraat-Generaal Straffen en Beschermen</w:t>
                    </w:r>
                  </w:p>
                  <w:p w14:paraId="37F084C5" w14:textId="77777777" w:rsidR="00732644" w:rsidRDefault="001C2835">
                    <w:pPr>
                      <w:pStyle w:val="Referentiegegevens"/>
                    </w:pPr>
                    <w:r>
                      <w:t>Directie Sanctie- en Slachtofferbeleid</w:t>
                    </w:r>
                  </w:p>
                  <w:p w14:paraId="212244B9" w14:textId="77777777" w:rsidR="00732644" w:rsidRDefault="001C2835">
                    <w:pPr>
                      <w:pStyle w:val="Referentiegegevens"/>
                    </w:pPr>
                    <w:r>
                      <w:t>Integriteit en Kansspelen</w:t>
                    </w:r>
                  </w:p>
                  <w:p w14:paraId="3AB327CD" w14:textId="77777777" w:rsidR="00732644" w:rsidRDefault="00732644">
                    <w:pPr>
                      <w:pStyle w:val="WitregelW1"/>
                    </w:pPr>
                  </w:p>
                  <w:p w14:paraId="060ABEF7" w14:textId="77777777" w:rsidR="00732644" w:rsidRDefault="001C2835">
                    <w:pPr>
                      <w:pStyle w:val="Referentiegegevens"/>
                    </w:pPr>
                    <w:r>
                      <w:t>Turfmarkt 147</w:t>
                    </w:r>
                  </w:p>
                  <w:p w14:paraId="654CB4E3" w14:textId="77777777" w:rsidR="00732644" w:rsidRDefault="001C2835">
                    <w:pPr>
                      <w:pStyle w:val="Referentiegegevens"/>
                    </w:pPr>
                    <w:r>
                      <w:t>2511 DP   Den Haag</w:t>
                    </w:r>
                  </w:p>
                  <w:p w14:paraId="4AC45A48" w14:textId="77777777" w:rsidR="00732644" w:rsidRPr="007D742B" w:rsidRDefault="001C2835">
                    <w:pPr>
                      <w:pStyle w:val="Referentiegegevens"/>
                      <w:rPr>
                        <w:lang w:val="de-DE"/>
                      </w:rPr>
                    </w:pPr>
                    <w:r w:rsidRPr="007D742B">
                      <w:rPr>
                        <w:lang w:val="de-DE"/>
                      </w:rPr>
                      <w:t>Postbus 20301</w:t>
                    </w:r>
                  </w:p>
                  <w:p w14:paraId="69C8529F" w14:textId="77777777" w:rsidR="00732644" w:rsidRPr="007D742B" w:rsidRDefault="001C2835">
                    <w:pPr>
                      <w:pStyle w:val="Referentiegegevens"/>
                      <w:rPr>
                        <w:lang w:val="de-DE"/>
                      </w:rPr>
                    </w:pPr>
                    <w:r w:rsidRPr="007D742B">
                      <w:rPr>
                        <w:lang w:val="de-DE"/>
                      </w:rPr>
                      <w:t>2500 EH   Den Haag</w:t>
                    </w:r>
                  </w:p>
                  <w:p w14:paraId="45168F21" w14:textId="77777777" w:rsidR="00732644" w:rsidRPr="007D742B" w:rsidRDefault="001C2835">
                    <w:pPr>
                      <w:pStyle w:val="Referentiegegevens"/>
                      <w:rPr>
                        <w:lang w:val="de-DE"/>
                      </w:rPr>
                    </w:pPr>
                    <w:r w:rsidRPr="007D742B">
                      <w:rPr>
                        <w:lang w:val="de-DE"/>
                      </w:rPr>
                      <w:t>www.rijksoverheid.nl/jenv</w:t>
                    </w:r>
                  </w:p>
                  <w:p w14:paraId="0D7DB803" w14:textId="77777777" w:rsidR="00732644" w:rsidRPr="007D742B" w:rsidRDefault="00732644">
                    <w:pPr>
                      <w:pStyle w:val="WitregelW2"/>
                      <w:rPr>
                        <w:lang w:val="de-DE"/>
                      </w:rPr>
                    </w:pPr>
                  </w:p>
                  <w:p w14:paraId="2B090875" w14:textId="77777777" w:rsidR="00732644" w:rsidRDefault="001C2835">
                    <w:pPr>
                      <w:pStyle w:val="Referentiegegevensbold"/>
                    </w:pPr>
                    <w:r>
                      <w:t>Onze referentie</w:t>
                    </w:r>
                  </w:p>
                  <w:p w14:paraId="14964148" w14:textId="77777777" w:rsidR="00732644" w:rsidRDefault="001C2835">
                    <w:pPr>
                      <w:pStyle w:val="Referentiegegevens"/>
                    </w:pPr>
                    <w:r>
                      <w:t>7690382</w:t>
                    </w:r>
                  </w:p>
                  <w:p w14:paraId="6353134A" w14:textId="77777777" w:rsidR="00732644" w:rsidRDefault="00732644">
                    <w:pPr>
                      <w:pStyle w:val="WitregelW1"/>
                    </w:pPr>
                  </w:p>
                  <w:p w14:paraId="7EA786C8" w14:textId="6C26DD37" w:rsidR="00732644" w:rsidRPr="00AB3472" w:rsidRDefault="00AB3472">
                    <w:pPr>
                      <w:pStyle w:val="Referentiegegevens"/>
                      <w:rPr>
                        <w:b/>
                        <w:bCs/>
                      </w:rPr>
                    </w:pPr>
                    <w:r w:rsidRPr="00AB3472">
                      <w:rPr>
                        <w:b/>
                        <w:bCs/>
                      </w:rPr>
                      <w:t>Bijlagen</w:t>
                    </w:r>
                  </w:p>
                  <w:p w14:paraId="16F7D177" w14:textId="2A016F0F" w:rsidR="00AB3472" w:rsidRPr="00AB3472" w:rsidRDefault="00AB3472" w:rsidP="00AB3472">
                    <w:pPr>
                      <w:rPr>
                        <w:sz w:val="13"/>
                        <w:szCs w:val="13"/>
                      </w:rPr>
                    </w:pPr>
                    <w:r w:rsidRPr="00AB3472">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0580F2" wp14:editId="5B30AB7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91C8F1" w14:textId="77777777" w:rsidR="00FA4A16" w:rsidRDefault="00FA4A16"/>
                      </w:txbxContent>
                    </wps:txbx>
                    <wps:bodyPr vert="horz" wrap="square" lIns="0" tIns="0" rIns="0" bIns="0" anchor="t" anchorCtr="0"/>
                  </wps:wsp>
                </a:graphicData>
              </a:graphic>
            </wp:anchor>
          </w:drawing>
        </mc:Choice>
        <mc:Fallback>
          <w:pict>
            <v:shape w14:anchorId="510580F2" id="46feec6f-aa3c-11ea-a756-beb5f67e67be" o:spid="_x0000_s1033"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291C8F1" w14:textId="77777777" w:rsidR="00FA4A16" w:rsidRDefault="00FA4A16"/>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2ECF1E" wp14:editId="1FCC986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5C66A9" w14:textId="77777777" w:rsidR="00732644" w:rsidRDefault="001C2835">
                          <w:pPr>
                            <w:pStyle w:val="Referentiegegevens"/>
                          </w:pPr>
                          <w:r>
                            <w:t xml:space="preserve">Pagina </w:t>
                          </w:r>
                          <w:r>
                            <w:fldChar w:fldCharType="begin"/>
                          </w:r>
                          <w:r>
                            <w:instrText>PAGE</w:instrText>
                          </w:r>
                          <w:r>
                            <w:fldChar w:fldCharType="separate"/>
                          </w:r>
                          <w:r w:rsidR="00683AE8">
                            <w:rPr>
                              <w:noProof/>
                            </w:rPr>
                            <w:t>1</w:t>
                          </w:r>
                          <w:r>
                            <w:fldChar w:fldCharType="end"/>
                          </w:r>
                          <w:r>
                            <w:t xml:space="preserve"> van </w:t>
                          </w:r>
                          <w:r>
                            <w:fldChar w:fldCharType="begin"/>
                          </w:r>
                          <w:r>
                            <w:instrText>NUMPAGES</w:instrText>
                          </w:r>
                          <w:r>
                            <w:fldChar w:fldCharType="separate"/>
                          </w:r>
                          <w:r w:rsidR="00683AE8">
                            <w:rPr>
                              <w:noProof/>
                            </w:rPr>
                            <w:t>1</w:t>
                          </w:r>
                          <w:r>
                            <w:fldChar w:fldCharType="end"/>
                          </w:r>
                        </w:p>
                      </w:txbxContent>
                    </wps:txbx>
                    <wps:bodyPr vert="horz" wrap="square" lIns="0" tIns="0" rIns="0" bIns="0" anchor="t" anchorCtr="0"/>
                  </wps:wsp>
                </a:graphicData>
              </a:graphic>
            </wp:anchor>
          </w:drawing>
        </mc:Choice>
        <mc:Fallback>
          <w:pict>
            <v:shape w14:anchorId="752ECF1E" id="46feecbe-aa3c-11ea-a756-beb5f67e67be" o:spid="_x0000_s1034"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15C66A9" w14:textId="77777777" w:rsidR="00732644" w:rsidRDefault="001C2835">
                    <w:pPr>
                      <w:pStyle w:val="Referentiegegevens"/>
                    </w:pPr>
                    <w:r>
                      <w:t xml:space="preserve">Pagina </w:t>
                    </w:r>
                    <w:r>
                      <w:fldChar w:fldCharType="begin"/>
                    </w:r>
                    <w:r>
                      <w:instrText>PAGE</w:instrText>
                    </w:r>
                    <w:r>
                      <w:fldChar w:fldCharType="separate"/>
                    </w:r>
                    <w:r w:rsidR="00683AE8">
                      <w:rPr>
                        <w:noProof/>
                      </w:rPr>
                      <w:t>1</w:t>
                    </w:r>
                    <w:r>
                      <w:fldChar w:fldCharType="end"/>
                    </w:r>
                    <w:r>
                      <w:t xml:space="preserve"> van </w:t>
                    </w:r>
                    <w:r>
                      <w:fldChar w:fldCharType="begin"/>
                    </w:r>
                    <w:r>
                      <w:instrText>NUMPAGES</w:instrText>
                    </w:r>
                    <w:r>
                      <w:fldChar w:fldCharType="separate"/>
                    </w:r>
                    <w:r w:rsidR="00683A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FF6D7B" wp14:editId="1017B4C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5DA4F4" w14:textId="77777777" w:rsidR="00732644" w:rsidRDefault="001C2835">
                          <w:pPr>
                            <w:spacing w:line="240" w:lineRule="auto"/>
                          </w:pPr>
                          <w:r>
                            <w:rPr>
                              <w:noProof/>
                            </w:rPr>
                            <w:drawing>
                              <wp:inline distT="0" distB="0" distL="0" distR="0" wp14:anchorId="0FFC6D58" wp14:editId="61FB91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FF6D7B" id="46feed0e-aa3c-11ea-a756-beb5f67e67be" o:spid="_x0000_s1035"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F5DA4F4" w14:textId="77777777" w:rsidR="00732644" w:rsidRDefault="001C2835">
                    <w:pPr>
                      <w:spacing w:line="240" w:lineRule="auto"/>
                    </w:pPr>
                    <w:r>
                      <w:rPr>
                        <w:noProof/>
                      </w:rPr>
                      <w:drawing>
                        <wp:inline distT="0" distB="0" distL="0" distR="0" wp14:anchorId="0FFC6D58" wp14:editId="61FB91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7F908E" wp14:editId="50D99C5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B98543" w14:textId="77777777" w:rsidR="00732644" w:rsidRDefault="001C2835">
                          <w:pPr>
                            <w:spacing w:line="240" w:lineRule="auto"/>
                          </w:pPr>
                          <w:r>
                            <w:rPr>
                              <w:noProof/>
                            </w:rPr>
                            <w:drawing>
                              <wp:inline distT="0" distB="0" distL="0" distR="0" wp14:anchorId="0B180E1A" wp14:editId="34E1B91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7F908E" id="46feed67-aa3c-11ea-a756-beb5f67e67be" o:spid="_x0000_s1036"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DB98543" w14:textId="77777777" w:rsidR="00732644" w:rsidRDefault="001C2835">
                    <w:pPr>
                      <w:spacing w:line="240" w:lineRule="auto"/>
                    </w:pPr>
                    <w:r>
                      <w:rPr>
                        <w:noProof/>
                      </w:rPr>
                      <w:drawing>
                        <wp:inline distT="0" distB="0" distL="0" distR="0" wp14:anchorId="0B180E1A" wp14:editId="34E1B91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504A2A" wp14:editId="6E3A17C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E56B8B" w14:textId="77777777" w:rsidR="00732644" w:rsidRDefault="001C283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7504A2A" id="5920b9fb-d041-4aa9-8d80-26b233cc0f6e" o:spid="_x0000_s1037"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E56B8B" w14:textId="77777777" w:rsidR="00732644" w:rsidRDefault="001C283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B0ECD"/>
    <w:multiLevelType w:val="multilevel"/>
    <w:tmpl w:val="9DE4C8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369AB6"/>
    <w:multiLevelType w:val="multilevel"/>
    <w:tmpl w:val="A6FEB9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1AA902D"/>
    <w:multiLevelType w:val="multilevel"/>
    <w:tmpl w:val="AC9E4E3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CD630A"/>
    <w:multiLevelType w:val="hybridMultilevel"/>
    <w:tmpl w:val="116CE2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173F93"/>
    <w:multiLevelType w:val="multilevel"/>
    <w:tmpl w:val="39E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82647"/>
    <w:multiLevelType w:val="hybridMultilevel"/>
    <w:tmpl w:val="BC56BA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3B7E89"/>
    <w:multiLevelType w:val="hybridMultilevel"/>
    <w:tmpl w:val="41F85418"/>
    <w:lvl w:ilvl="0" w:tplc="999EDA40">
      <w:start w:val="1"/>
      <w:numFmt w:val="decimal"/>
      <w:lvlText w:val="%1."/>
      <w:lvlJc w:val="left"/>
      <w:pPr>
        <w:ind w:left="1020" w:hanging="360"/>
      </w:pPr>
    </w:lvl>
    <w:lvl w:ilvl="1" w:tplc="77BE1092">
      <w:start w:val="1"/>
      <w:numFmt w:val="decimal"/>
      <w:lvlText w:val="%2."/>
      <w:lvlJc w:val="left"/>
      <w:pPr>
        <w:ind w:left="1020" w:hanging="360"/>
      </w:pPr>
    </w:lvl>
    <w:lvl w:ilvl="2" w:tplc="368C2B4A">
      <w:start w:val="1"/>
      <w:numFmt w:val="decimal"/>
      <w:lvlText w:val="%3."/>
      <w:lvlJc w:val="left"/>
      <w:pPr>
        <w:ind w:left="1020" w:hanging="360"/>
      </w:pPr>
    </w:lvl>
    <w:lvl w:ilvl="3" w:tplc="43C8B1E0">
      <w:start w:val="1"/>
      <w:numFmt w:val="decimal"/>
      <w:lvlText w:val="%4."/>
      <w:lvlJc w:val="left"/>
      <w:pPr>
        <w:ind w:left="1020" w:hanging="360"/>
      </w:pPr>
    </w:lvl>
    <w:lvl w:ilvl="4" w:tplc="75222ECE">
      <w:start w:val="1"/>
      <w:numFmt w:val="decimal"/>
      <w:lvlText w:val="%5."/>
      <w:lvlJc w:val="left"/>
      <w:pPr>
        <w:ind w:left="1020" w:hanging="360"/>
      </w:pPr>
    </w:lvl>
    <w:lvl w:ilvl="5" w:tplc="F756280E">
      <w:start w:val="1"/>
      <w:numFmt w:val="decimal"/>
      <w:lvlText w:val="%6."/>
      <w:lvlJc w:val="left"/>
      <w:pPr>
        <w:ind w:left="1020" w:hanging="360"/>
      </w:pPr>
    </w:lvl>
    <w:lvl w:ilvl="6" w:tplc="12849A5C">
      <w:start w:val="1"/>
      <w:numFmt w:val="decimal"/>
      <w:lvlText w:val="%7."/>
      <w:lvlJc w:val="left"/>
      <w:pPr>
        <w:ind w:left="1020" w:hanging="360"/>
      </w:pPr>
    </w:lvl>
    <w:lvl w:ilvl="7" w:tplc="6406C8E2">
      <w:start w:val="1"/>
      <w:numFmt w:val="decimal"/>
      <w:lvlText w:val="%8."/>
      <w:lvlJc w:val="left"/>
      <w:pPr>
        <w:ind w:left="1020" w:hanging="360"/>
      </w:pPr>
    </w:lvl>
    <w:lvl w:ilvl="8" w:tplc="3D42954C">
      <w:start w:val="1"/>
      <w:numFmt w:val="decimal"/>
      <w:lvlText w:val="%9."/>
      <w:lvlJc w:val="left"/>
      <w:pPr>
        <w:ind w:left="1020" w:hanging="360"/>
      </w:pPr>
    </w:lvl>
  </w:abstractNum>
  <w:abstractNum w:abstractNumId="7" w15:restartNumberingAfterBreak="0">
    <w:nsid w:val="04DD3790"/>
    <w:multiLevelType w:val="hybridMultilevel"/>
    <w:tmpl w:val="26E6D36E"/>
    <w:lvl w:ilvl="0" w:tplc="16F2A140">
      <w:start w:val="1"/>
      <w:numFmt w:val="decimal"/>
      <w:lvlText w:val="%1."/>
      <w:lvlJc w:val="left"/>
      <w:pPr>
        <w:ind w:left="720" w:hanging="360"/>
      </w:pPr>
      <w:rPr>
        <w:rFonts w:ascii="Verdana" w:hAnsi="Verdana" w:hint="default"/>
        <w:b w:val="0"/>
        <w:bCs/>
        <w:i w:val="0"/>
      </w:rPr>
    </w:lvl>
    <w:lvl w:ilvl="1" w:tplc="FFFFFFFF">
      <w:start w:val="1"/>
      <w:numFmt w:val="lowerLetter"/>
      <w:lvlText w:val="%2."/>
      <w:lvlJc w:val="left"/>
      <w:pPr>
        <w:ind w:left="1440" w:hanging="360"/>
      </w:pPr>
    </w:lvl>
    <w:lvl w:ilvl="2" w:tplc="C0AACDD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DD057E"/>
    <w:multiLevelType w:val="hybridMultilevel"/>
    <w:tmpl w:val="B35A2F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E368E0"/>
    <w:multiLevelType w:val="hybridMultilevel"/>
    <w:tmpl w:val="D5BAFEA4"/>
    <w:lvl w:ilvl="0" w:tplc="2FC88872">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8C46C7"/>
    <w:multiLevelType w:val="hybridMultilevel"/>
    <w:tmpl w:val="BC56BA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662F9"/>
    <w:multiLevelType w:val="hybridMultilevel"/>
    <w:tmpl w:val="5A68A07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700A1B"/>
    <w:multiLevelType w:val="hybridMultilevel"/>
    <w:tmpl w:val="774E4B26"/>
    <w:lvl w:ilvl="0" w:tplc="572C8AB0">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AA5073"/>
    <w:multiLevelType w:val="hybridMultilevel"/>
    <w:tmpl w:val="215C46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8321B2"/>
    <w:multiLevelType w:val="hybridMultilevel"/>
    <w:tmpl w:val="406254DA"/>
    <w:lvl w:ilvl="0" w:tplc="04DCD9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8C29F3"/>
    <w:multiLevelType w:val="hybridMultilevel"/>
    <w:tmpl w:val="3F46C0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1B66BB"/>
    <w:multiLevelType w:val="hybridMultilevel"/>
    <w:tmpl w:val="050025F4"/>
    <w:lvl w:ilvl="0" w:tplc="5EB4A394">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076017"/>
    <w:multiLevelType w:val="multilevel"/>
    <w:tmpl w:val="64B952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9E73F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94647B"/>
    <w:multiLevelType w:val="hybridMultilevel"/>
    <w:tmpl w:val="02AE0AD2"/>
    <w:lvl w:ilvl="0" w:tplc="767C0528">
      <w:start w:val="1"/>
      <w:numFmt w:val="decimal"/>
      <w:lvlText w:val="%1."/>
      <w:lvlJc w:val="left"/>
      <w:pPr>
        <w:ind w:left="1020" w:hanging="360"/>
      </w:pPr>
    </w:lvl>
    <w:lvl w:ilvl="1" w:tplc="498286A6">
      <w:start w:val="1"/>
      <w:numFmt w:val="decimal"/>
      <w:lvlText w:val="%2."/>
      <w:lvlJc w:val="left"/>
      <w:pPr>
        <w:ind w:left="1020" w:hanging="360"/>
      </w:pPr>
    </w:lvl>
    <w:lvl w:ilvl="2" w:tplc="F3188E3A">
      <w:start w:val="1"/>
      <w:numFmt w:val="decimal"/>
      <w:lvlText w:val="%3."/>
      <w:lvlJc w:val="left"/>
      <w:pPr>
        <w:ind w:left="1020" w:hanging="360"/>
      </w:pPr>
    </w:lvl>
    <w:lvl w:ilvl="3" w:tplc="C87023D8">
      <w:start w:val="1"/>
      <w:numFmt w:val="decimal"/>
      <w:lvlText w:val="%4."/>
      <w:lvlJc w:val="left"/>
      <w:pPr>
        <w:ind w:left="1020" w:hanging="360"/>
      </w:pPr>
    </w:lvl>
    <w:lvl w:ilvl="4" w:tplc="89C4AD48">
      <w:start w:val="1"/>
      <w:numFmt w:val="decimal"/>
      <w:lvlText w:val="%5."/>
      <w:lvlJc w:val="left"/>
      <w:pPr>
        <w:ind w:left="1020" w:hanging="360"/>
      </w:pPr>
    </w:lvl>
    <w:lvl w:ilvl="5" w:tplc="2D741B40">
      <w:start w:val="1"/>
      <w:numFmt w:val="decimal"/>
      <w:lvlText w:val="%6."/>
      <w:lvlJc w:val="left"/>
      <w:pPr>
        <w:ind w:left="1020" w:hanging="360"/>
      </w:pPr>
    </w:lvl>
    <w:lvl w:ilvl="6" w:tplc="B872A450">
      <w:start w:val="1"/>
      <w:numFmt w:val="decimal"/>
      <w:lvlText w:val="%7."/>
      <w:lvlJc w:val="left"/>
      <w:pPr>
        <w:ind w:left="1020" w:hanging="360"/>
      </w:pPr>
    </w:lvl>
    <w:lvl w:ilvl="7" w:tplc="3D065E6C">
      <w:start w:val="1"/>
      <w:numFmt w:val="decimal"/>
      <w:lvlText w:val="%8."/>
      <w:lvlJc w:val="left"/>
      <w:pPr>
        <w:ind w:left="1020" w:hanging="360"/>
      </w:pPr>
    </w:lvl>
    <w:lvl w:ilvl="8" w:tplc="D2D27530">
      <w:start w:val="1"/>
      <w:numFmt w:val="decimal"/>
      <w:lvlText w:val="%9."/>
      <w:lvlJc w:val="left"/>
      <w:pPr>
        <w:ind w:left="1020" w:hanging="360"/>
      </w:pPr>
    </w:lvl>
  </w:abstractNum>
  <w:abstractNum w:abstractNumId="20" w15:restartNumberingAfterBreak="0">
    <w:nsid w:val="43AB486F"/>
    <w:multiLevelType w:val="hybridMultilevel"/>
    <w:tmpl w:val="AAC008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CA2F8C"/>
    <w:multiLevelType w:val="hybridMultilevel"/>
    <w:tmpl w:val="6076FB84"/>
    <w:lvl w:ilvl="0" w:tplc="263C1AEE">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605E95"/>
    <w:multiLevelType w:val="hybridMultilevel"/>
    <w:tmpl w:val="5A3C3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F21365"/>
    <w:multiLevelType w:val="hybridMultilevel"/>
    <w:tmpl w:val="BFDE1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5C5790"/>
    <w:multiLevelType w:val="hybridMultilevel"/>
    <w:tmpl w:val="116CE2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836850"/>
    <w:multiLevelType w:val="hybridMultilevel"/>
    <w:tmpl w:val="485A204A"/>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2C05A16"/>
    <w:multiLevelType w:val="hybridMultilevel"/>
    <w:tmpl w:val="9392B8F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6CE487"/>
    <w:multiLevelType w:val="multilevel"/>
    <w:tmpl w:val="6B97211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15:restartNumberingAfterBreak="0">
    <w:nsid w:val="53F6574F"/>
    <w:multiLevelType w:val="multilevel"/>
    <w:tmpl w:val="614AA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EB0422"/>
    <w:multiLevelType w:val="hybridMultilevel"/>
    <w:tmpl w:val="5E8C7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F04650"/>
    <w:multiLevelType w:val="hybridMultilevel"/>
    <w:tmpl w:val="B22EFB4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636" w:hanging="360"/>
      </w:pPr>
    </w:lvl>
    <w:lvl w:ilvl="2" w:tplc="030C1F08">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DE5A66"/>
    <w:multiLevelType w:val="hybridMultilevel"/>
    <w:tmpl w:val="6B005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55265B"/>
    <w:multiLevelType w:val="hybridMultilevel"/>
    <w:tmpl w:val="62B2E178"/>
    <w:lvl w:ilvl="0" w:tplc="5C5825C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0E7847"/>
    <w:multiLevelType w:val="hybridMultilevel"/>
    <w:tmpl w:val="50E4A4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2AAC5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DCF71EB"/>
    <w:multiLevelType w:val="hybridMultilevel"/>
    <w:tmpl w:val="0734CCE4"/>
    <w:lvl w:ilvl="0" w:tplc="C874B8BE">
      <w:start w:val="1"/>
      <w:numFmt w:val="decimal"/>
      <w:lvlText w:val="%1."/>
      <w:lvlJc w:val="left"/>
      <w:pPr>
        <w:ind w:left="1020" w:hanging="360"/>
      </w:pPr>
    </w:lvl>
    <w:lvl w:ilvl="1" w:tplc="C6D21D22">
      <w:start w:val="1"/>
      <w:numFmt w:val="decimal"/>
      <w:lvlText w:val="%2."/>
      <w:lvlJc w:val="left"/>
      <w:pPr>
        <w:ind w:left="1020" w:hanging="360"/>
      </w:pPr>
    </w:lvl>
    <w:lvl w:ilvl="2" w:tplc="01CA23F2">
      <w:start w:val="1"/>
      <w:numFmt w:val="decimal"/>
      <w:lvlText w:val="%3."/>
      <w:lvlJc w:val="left"/>
      <w:pPr>
        <w:ind w:left="1020" w:hanging="360"/>
      </w:pPr>
    </w:lvl>
    <w:lvl w:ilvl="3" w:tplc="4D88AA04">
      <w:start w:val="1"/>
      <w:numFmt w:val="decimal"/>
      <w:lvlText w:val="%4."/>
      <w:lvlJc w:val="left"/>
      <w:pPr>
        <w:ind w:left="1020" w:hanging="360"/>
      </w:pPr>
    </w:lvl>
    <w:lvl w:ilvl="4" w:tplc="0A76A058">
      <w:start w:val="1"/>
      <w:numFmt w:val="decimal"/>
      <w:lvlText w:val="%5."/>
      <w:lvlJc w:val="left"/>
      <w:pPr>
        <w:ind w:left="1020" w:hanging="360"/>
      </w:pPr>
    </w:lvl>
    <w:lvl w:ilvl="5" w:tplc="BDC0EDEA">
      <w:start w:val="1"/>
      <w:numFmt w:val="decimal"/>
      <w:lvlText w:val="%6."/>
      <w:lvlJc w:val="left"/>
      <w:pPr>
        <w:ind w:left="1020" w:hanging="360"/>
      </w:pPr>
    </w:lvl>
    <w:lvl w:ilvl="6" w:tplc="D70EF490">
      <w:start w:val="1"/>
      <w:numFmt w:val="decimal"/>
      <w:lvlText w:val="%7."/>
      <w:lvlJc w:val="left"/>
      <w:pPr>
        <w:ind w:left="1020" w:hanging="360"/>
      </w:pPr>
    </w:lvl>
    <w:lvl w:ilvl="7" w:tplc="F27AF384">
      <w:start w:val="1"/>
      <w:numFmt w:val="decimal"/>
      <w:lvlText w:val="%8."/>
      <w:lvlJc w:val="left"/>
      <w:pPr>
        <w:ind w:left="1020" w:hanging="360"/>
      </w:pPr>
    </w:lvl>
    <w:lvl w:ilvl="8" w:tplc="CC0434EE">
      <w:start w:val="1"/>
      <w:numFmt w:val="decimal"/>
      <w:lvlText w:val="%9."/>
      <w:lvlJc w:val="left"/>
      <w:pPr>
        <w:ind w:left="1020" w:hanging="360"/>
      </w:pPr>
    </w:lvl>
  </w:abstractNum>
  <w:abstractNum w:abstractNumId="36" w15:restartNumberingAfterBreak="0">
    <w:nsid w:val="6E6308BB"/>
    <w:multiLevelType w:val="hybridMultilevel"/>
    <w:tmpl w:val="116CE2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A44796"/>
    <w:multiLevelType w:val="hybridMultilevel"/>
    <w:tmpl w:val="EF4CC446"/>
    <w:lvl w:ilvl="0" w:tplc="51744A4C">
      <w:start w:val="1"/>
      <w:numFmt w:val="decimal"/>
      <w:lvlText w:val="%1."/>
      <w:lvlJc w:val="left"/>
      <w:pPr>
        <w:ind w:left="1020" w:hanging="360"/>
      </w:pPr>
    </w:lvl>
    <w:lvl w:ilvl="1" w:tplc="A336C04C">
      <w:start w:val="1"/>
      <w:numFmt w:val="decimal"/>
      <w:lvlText w:val="%2."/>
      <w:lvlJc w:val="left"/>
      <w:pPr>
        <w:ind w:left="1020" w:hanging="360"/>
      </w:pPr>
    </w:lvl>
    <w:lvl w:ilvl="2" w:tplc="9E00100C">
      <w:start w:val="1"/>
      <w:numFmt w:val="decimal"/>
      <w:lvlText w:val="%3."/>
      <w:lvlJc w:val="left"/>
      <w:pPr>
        <w:ind w:left="1020" w:hanging="360"/>
      </w:pPr>
    </w:lvl>
    <w:lvl w:ilvl="3" w:tplc="D88E70C0">
      <w:start w:val="1"/>
      <w:numFmt w:val="decimal"/>
      <w:lvlText w:val="%4."/>
      <w:lvlJc w:val="left"/>
      <w:pPr>
        <w:ind w:left="1020" w:hanging="360"/>
      </w:pPr>
    </w:lvl>
    <w:lvl w:ilvl="4" w:tplc="10F8703E">
      <w:start w:val="1"/>
      <w:numFmt w:val="decimal"/>
      <w:lvlText w:val="%5."/>
      <w:lvlJc w:val="left"/>
      <w:pPr>
        <w:ind w:left="1020" w:hanging="360"/>
      </w:pPr>
    </w:lvl>
    <w:lvl w:ilvl="5" w:tplc="86225132">
      <w:start w:val="1"/>
      <w:numFmt w:val="decimal"/>
      <w:lvlText w:val="%6."/>
      <w:lvlJc w:val="left"/>
      <w:pPr>
        <w:ind w:left="1020" w:hanging="360"/>
      </w:pPr>
    </w:lvl>
    <w:lvl w:ilvl="6" w:tplc="69347294">
      <w:start w:val="1"/>
      <w:numFmt w:val="decimal"/>
      <w:lvlText w:val="%7."/>
      <w:lvlJc w:val="left"/>
      <w:pPr>
        <w:ind w:left="1020" w:hanging="360"/>
      </w:pPr>
    </w:lvl>
    <w:lvl w:ilvl="7" w:tplc="14D6C240">
      <w:start w:val="1"/>
      <w:numFmt w:val="decimal"/>
      <w:lvlText w:val="%8."/>
      <w:lvlJc w:val="left"/>
      <w:pPr>
        <w:ind w:left="1020" w:hanging="360"/>
      </w:pPr>
    </w:lvl>
    <w:lvl w:ilvl="8" w:tplc="A336D856">
      <w:start w:val="1"/>
      <w:numFmt w:val="decimal"/>
      <w:lvlText w:val="%9."/>
      <w:lvlJc w:val="left"/>
      <w:pPr>
        <w:ind w:left="1020" w:hanging="360"/>
      </w:pPr>
    </w:lvl>
  </w:abstractNum>
  <w:abstractNum w:abstractNumId="38" w15:restartNumberingAfterBreak="0">
    <w:nsid w:val="6FEE501F"/>
    <w:multiLevelType w:val="hybridMultilevel"/>
    <w:tmpl w:val="FE42CCEA"/>
    <w:lvl w:ilvl="0" w:tplc="C55E1F4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FFF49CA"/>
    <w:multiLevelType w:val="hybridMultilevel"/>
    <w:tmpl w:val="3FC49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49E18B6"/>
    <w:multiLevelType w:val="hybridMultilevel"/>
    <w:tmpl w:val="84CAE2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9CA231"/>
    <w:multiLevelType w:val="multilevel"/>
    <w:tmpl w:val="3D8D01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2" w15:restartNumberingAfterBreak="0">
    <w:nsid w:val="7AF31DC7"/>
    <w:multiLevelType w:val="multilevel"/>
    <w:tmpl w:val="6BB43A8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2012296426">
    <w:abstractNumId w:val="1"/>
  </w:num>
  <w:num w:numId="2" w16cid:durableId="918101256">
    <w:abstractNumId w:val="2"/>
  </w:num>
  <w:num w:numId="3" w16cid:durableId="569733379">
    <w:abstractNumId w:val="0"/>
  </w:num>
  <w:num w:numId="4" w16cid:durableId="1764111155">
    <w:abstractNumId w:val="41"/>
  </w:num>
  <w:num w:numId="5" w16cid:durableId="147864521">
    <w:abstractNumId w:val="27"/>
  </w:num>
  <w:num w:numId="6" w16cid:durableId="930896875">
    <w:abstractNumId w:val="17"/>
  </w:num>
  <w:num w:numId="7" w16cid:durableId="759103918">
    <w:abstractNumId w:val="33"/>
  </w:num>
  <w:num w:numId="8" w16cid:durableId="1558007477">
    <w:abstractNumId w:val="42"/>
  </w:num>
  <w:num w:numId="9" w16cid:durableId="1127699984">
    <w:abstractNumId w:val="40"/>
  </w:num>
  <w:num w:numId="10" w16cid:durableId="147938433">
    <w:abstractNumId w:val="9"/>
  </w:num>
  <w:num w:numId="11" w16cid:durableId="117263859">
    <w:abstractNumId w:val="31"/>
  </w:num>
  <w:num w:numId="12" w16cid:durableId="1797093356">
    <w:abstractNumId w:val="29"/>
  </w:num>
  <w:num w:numId="13" w16cid:durableId="389890516">
    <w:abstractNumId w:val="21"/>
  </w:num>
  <w:num w:numId="14" w16cid:durableId="943684141">
    <w:abstractNumId w:val="5"/>
  </w:num>
  <w:num w:numId="15" w16cid:durableId="1504474302">
    <w:abstractNumId w:val="23"/>
  </w:num>
  <w:num w:numId="16" w16cid:durableId="1250655449">
    <w:abstractNumId w:val="4"/>
  </w:num>
  <w:num w:numId="17" w16cid:durableId="993920504">
    <w:abstractNumId w:val="16"/>
  </w:num>
  <w:num w:numId="18" w16cid:durableId="1725331887">
    <w:abstractNumId w:val="7"/>
  </w:num>
  <w:num w:numId="19" w16cid:durableId="484904149">
    <w:abstractNumId w:val="26"/>
  </w:num>
  <w:num w:numId="20" w16cid:durableId="541359460">
    <w:abstractNumId w:val="30"/>
  </w:num>
  <w:num w:numId="21" w16cid:durableId="96995544">
    <w:abstractNumId w:val="15"/>
  </w:num>
  <w:num w:numId="22" w16cid:durableId="2029987669">
    <w:abstractNumId w:val="22"/>
  </w:num>
  <w:num w:numId="23" w16cid:durableId="1184634658">
    <w:abstractNumId w:val="13"/>
  </w:num>
  <w:num w:numId="24" w16cid:durableId="149759558">
    <w:abstractNumId w:val="10"/>
  </w:num>
  <w:num w:numId="25" w16cid:durableId="1716998913">
    <w:abstractNumId w:val="14"/>
  </w:num>
  <w:num w:numId="26" w16cid:durableId="1878853869">
    <w:abstractNumId w:val="11"/>
  </w:num>
  <w:num w:numId="27" w16cid:durableId="1785538151">
    <w:abstractNumId w:val="39"/>
  </w:num>
  <w:num w:numId="28" w16cid:durableId="1376393254">
    <w:abstractNumId w:val="28"/>
  </w:num>
  <w:num w:numId="29" w16cid:durableId="1610896986">
    <w:abstractNumId w:val="8"/>
  </w:num>
  <w:num w:numId="30" w16cid:durableId="224728857">
    <w:abstractNumId w:val="20"/>
  </w:num>
  <w:num w:numId="31" w16cid:durableId="1807157060">
    <w:abstractNumId w:val="38"/>
  </w:num>
  <w:num w:numId="32" w16cid:durableId="1849102602">
    <w:abstractNumId w:val="37"/>
  </w:num>
  <w:num w:numId="33" w16cid:durableId="92357399">
    <w:abstractNumId w:val="6"/>
  </w:num>
  <w:num w:numId="34" w16cid:durableId="76366933">
    <w:abstractNumId w:val="35"/>
  </w:num>
  <w:num w:numId="35" w16cid:durableId="27226520">
    <w:abstractNumId w:val="25"/>
  </w:num>
  <w:num w:numId="36" w16cid:durableId="1646541879">
    <w:abstractNumId w:val="12"/>
  </w:num>
  <w:num w:numId="37" w16cid:durableId="2117210359">
    <w:abstractNumId w:val="36"/>
  </w:num>
  <w:num w:numId="38" w16cid:durableId="413475371">
    <w:abstractNumId w:val="19"/>
  </w:num>
  <w:num w:numId="39" w16cid:durableId="650600303">
    <w:abstractNumId w:val="18"/>
  </w:num>
  <w:num w:numId="40" w16cid:durableId="27073685">
    <w:abstractNumId w:val="34"/>
  </w:num>
  <w:num w:numId="41" w16cid:durableId="973873273">
    <w:abstractNumId w:val="3"/>
  </w:num>
  <w:num w:numId="42" w16cid:durableId="1509444670">
    <w:abstractNumId w:val="32"/>
  </w:num>
  <w:num w:numId="43" w16cid:durableId="1588101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E8"/>
    <w:rsid w:val="000020BA"/>
    <w:rsid w:val="00002142"/>
    <w:rsid w:val="00004346"/>
    <w:rsid w:val="00004D35"/>
    <w:rsid w:val="00015E3E"/>
    <w:rsid w:val="00017C6D"/>
    <w:rsid w:val="00021723"/>
    <w:rsid w:val="00021BFE"/>
    <w:rsid w:val="000228C9"/>
    <w:rsid w:val="00023D7B"/>
    <w:rsid w:val="000242D3"/>
    <w:rsid w:val="00030192"/>
    <w:rsid w:val="00032D8A"/>
    <w:rsid w:val="00033153"/>
    <w:rsid w:val="0003337E"/>
    <w:rsid w:val="000351EE"/>
    <w:rsid w:val="00035891"/>
    <w:rsid w:val="00040E37"/>
    <w:rsid w:val="00040EF1"/>
    <w:rsid w:val="000421B4"/>
    <w:rsid w:val="00044373"/>
    <w:rsid w:val="00044DFA"/>
    <w:rsid w:val="00051B7D"/>
    <w:rsid w:val="00052054"/>
    <w:rsid w:val="00053543"/>
    <w:rsid w:val="00053AA7"/>
    <w:rsid w:val="00055A30"/>
    <w:rsid w:val="00055CF2"/>
    <w:rsid w:val="00055F97"/>
    <w:rsid w:val="00056845"/>
    <w:rsid w:val="000600D6"/>
    <w:rsid w:val="00064E10"/>
    <w:rsid w:val="00065BF5"/>
    <w:rsid w:val="00071A3E"/>
    <w:rsid w:val="00073221"/>
    <w:rsid w:val="0007339E"/>
    <w:rsid w:val="00073BAB"/>
    <w:rsid w:val="00073BDB"/>
    <w:rsid w:val="00073FC7"/>
    <w:rsid w:val="00075408"/>
    <w:rsid w:val="00076040"/>
    <w:rsid w:val="00076658"/>
    <w:rsid w:val="00080476"/>
    <w:rsid w:val="00080AA7"/>
    <w:rsid w:val="00082658"/>
    <w:rsid w:val="000845DD"/>
    <w:rsid w:val="0008613F"/>
    <w:rsid w:val="00092EBA"/>
    <w:rsid w:val="000931EA"/>
    <w:rsid w:val="00094A9E"/>
    <w:rsid w:val="00095272"/>
    <w:rsid w:val="0009561F"/>
    <w:rsid w:val="0009613B"/>
    <w:rsid w:val="00096F2C"/>
    <w:rsid w:val="00096F61"/>
    <w:rsid w:val="000A6B0F"/>
    <w:rsid w:val="000A6F3D"/>
    <w:rsid w:val="000A77EA"/>
    <w:rsid w:val="000B007E"/>
    <w:rsid w:val="000B1AC4"/>
    <w:rsid w:val="000B2372"/>
    <w:rsid w:val="000B30FA"/>
    <w:rsid w:val="000B5F2E"/>
    <w:rsid w:val="000B6486"/>
    <w:rsid w:val="000C3DB8"/>
    <w:rsid w:val="000C42A5"/>
    <w:rsid w:val="000C5602"/>
    <w:rsid w:val="000C6076"/>
    <w:rsid w:val="000C737E"/>
    <w:rsid w:val="000D10E2"/>
    <w:rsid w:val="000D1C3B"/>
    <w:rsid w:val="000D2533"/>
    <w:rsid w:val="000D34AF"/>
    <w:rsid w:val="000D4991"/>
    <w:rsid w:val="000D6C24"/>
    <w:rsid w:val="000E06E0"/>
    <w:rsid w:val="000E2488"/>
    <w:rsid w:val="000F108A"/>
    <w:rsid w:val="000F1417"/>
    <w:rsid w:val="000F32F4"/>
    <w:rsid w:val="000F55AE"/>
    <w:rsid w:val="000F58CC"/>
    <w:rsid w:val="000F6404"/>
    <w:rsid w:val="00101341"/>
    <w:rsid w:val="0010277E"/>
    <w:rsid w:val="001056D5"/>
    <w:rsid w:val="001107AF"/>
    <w:rsid w:val="00110A95"/>
    <w:rsid w:val="00111A22"/>
    <w:rsid w:val="001134C2"/>
    <w:rsid w:val="00117073"/>
    <w:rsid w:val="0011725A"/>
    <w:rsid w:val="001178AE"/>
    <w:rsid w:val="00117CB0"/>
    <w:rsid w:val="00121BCF"/>
    <w:rsid w:val="00123805"/>
    <w:rsid w:val="00123E35"/>
    <w:rsid w:val="00124191"/>
    <w:rsid w:val="00124485"/>
    <w:rsid w:val="001246D7"/>
    <w:rsid w:val="001261FB"/>
    <w:rsid w:val="0012663C"/>
    <w:rsid w:val="001272C5"/>
    <w:rsid w:val="00127F91"/>
    <w:rsid w:val="001336B5"/>
    <w:rsid w:val="00133808"/>
    <w:rsid w:val="0013429B"/>
    <w:rsid w:val="00137263"/>
    <w:rsid w:val="001421F9"/>
    <w:rsid w:val="0014239A"/>
    <w:rsid w:val="00143E11"/>
    <w:rsid w:val="0014481F"/>
    <w:rsid w:val="001450AE"/>
    <w:rsid w:val="0015033E"/>
    <w:rsid w:val="001517E8"/>
    <w:rsid w:val="00153E10"/>
    <w:rsid w:val="00155D7B"/>
    <w:rsid w:val="001565E1"/>
    <w:rsid w:val="00157722"/>
    <w:rsid w:val="00157B49"/>
    <w:rsid w:val="00157CB2"/>
    <w:rsid w:val="00160021"/>
    <w:rsid w:val="00161A60"/>
    <w:rsid w:val="00161D12"/>
    <w:rsid w:val="001621CA"/>
    <w:rsid w:val="001661F0"/>
    <w:rsid w:val="0017051E"/>
    <w:rsid w:val="00170737"/>
    <w:rsid w:val="00170E63"/>
    <w:rsid w:val="0017105B"/>
    <w:rsid w:val="001730EF"/>
    <w:rsid w:val="001735F9"/>
    <w:rsid w:val="0017382B"/>
    <w:rsid w:val="00173D9F"/>
    <w:rsid w:val="0017417D"/>
    <w:rsid w:val="00175BC5"/>
    <w:rsid w:val="001761C1"/>
    <w:rsid w:val="00182A0F"/>
    <w:rsid w:val="00182DE6"/>
    <w:rsid w:val="001837B1"/>
    <w:rsid w:val="00185E06"/>
    <w:rsid w:val="001860E3"/>
    <w:rsid w:val="001861C7"/>
    <w:rsid w:val="0018716A"/>
    <w:rsid w:val="00187DEB"/>
    <w:rsid w:val="00187DF8"/>
    <w:rsid w:val="001912F5"/>
    <w:rsid w:val="0019284F"/>
    <w:rsid w:val="00192A88"/>
    <w:rsid w:val="00194D44"/>
    <w:rsid w:val="00197EE4"/>
    <w:rsid w:val="001A03CB"/>
    <w:rsid w:val="001A03ED"/>
    <w:rsid w:val="001A32D4"/>
    <w:rsid w:val="001A6F38"/>
    <w:rsid w:val="001A729A"/>
    <w:rsid w:val="001B0606"/>
    <w:rsid w:val="001B064D"/>
    <w:rsid w:val="001B285D"/>
    <w:rsid w:val="001B2AB8"/>
    <w:rsid w:val="001B33F4"/>
    <w:rsid w:val="001B3B74"/>
    <w:rsid w:val="001B79C4"/>
    <w:rsid w:val="001C0470"/>
    <w:rsid w:val="001C0EDA"/>
    <w:rsid w:val="001C17B2"/>
    <w:rsid w:val="001C2835"/>
    <w:rsid w:val="001C3DDC"/>
    <w:rsid w:val="001C4A36"/>
    <w:rsid w:val="001C503D"/>
    <w:rsid w:val="001C5F2A"/>
    <w:rsid w:val="001D1AE8"/>
    <w:rsid w:val="001D30EC"/>
    <w:rsid w:val="001D353D"/>
    <w:rsid w:val="001D54D1"/>
    <w:rsid w:val="001D731C"/>
    <w:rsid w:val="001E3414"/>
    <w:rsid w:val="001E5797"/>
    <w:rsid w:val="001E593C"/>
    <w:rsid w:val="001F170A"/>
    <w:rsid w:val="001F39D0"/>
    <w:rsid w:val="001F4497"/>
    <w:rsid w:val="001F493A"/>
    <w:rsid w:val="001F5699"/>
    <w:rsid w:val="00201C37"/>
    <w:rsid w:val="002031D0"/>
    <w:rsid w:val="0020420E"/>
    <w:rsid w:val="00204393"/>
    <w:rsid w:val="0020490C"/>
    <w:rsid w:val="00204E3F"/>
    <w:rsid w:val="0020644A"/>
    <w:rsid w:val="002068B1"/>
    <w:rsid w:val="002105B5"/>
    <w:rsid w:val="002106C6"/>
    <w:rsid w:val="00212A82"/>
    <w:rsid w:val="002139FD"/>
    <w:rsid w:val="00213E63"/>
    <w:rsid w:val="00215C50"/>
    <w:rsid w:val="00216CCC"/>
    <w:rsid w:val="002171BF"/>
    <w:rsid w:val="002204EA"/>
    <w:rsid w:val="0022089F"/>
    <w:rsid w:val="00222612"/>
    <w:rsid w:val="00226625"/>
    <w:rsid w:val="002273C1"/>
    <w:rsid w:val="002274ED"/>
    <w:rsid w:val="002276C4"/>
    <w:rsid w:val="00230BC4"/>
    <w:rsid w:val="0023182A"/>
    <w:rsid w:val="002327BB"/>
    <w:rsid w:val="002329ED"/>
    <w:rsid w:val="00232AB1"/>
    <w:rsid w:val="002331ED"/>
    <w:rsid w:val="002332EF"/>
    <w:rsid w:val="00237839"/>
    <w:rsid w:val="00240EC2"/>
    <w:rsid w:val="00241E2F"/>
    <w:rsid w:val="00242CA0"/>
    <w:rsid w:val="00243C3A"/>
    <w:rsid w:val="00243D37"/>
    <w:rsid w:val="002440CE"/>
    <w:rsid w:val="00244529"/>
    <w:rsid w:val="00245033"/>
    <w:rsid w:val="00246EB0"/>
    <w:rsid w:val="0025039F"/>
    <w:rsid w:val="002518F0"/>
    <w:rsid w:val="00251AD4"/>
    <w:rsid w:val="00254349"/>
    <w:rsid w:val="00254F62"/>
    <w:rsid w:val="002556E6"/>
    <w:rsid w:val="00255955"/>
    <w:rsid w:val="00255F4F"/>
    <w:rsid w:val="00261014"/>
    <w:rsid w:val="00261426"/>
    <w:rsid w:val="00262275"/>
    <w:rsid w:val="00262CA1"/>
    <w:rsid w:val="002638E9"/>
    <w:rsid w:val="00263A22"/>
    <w:rsid w:val="002652AB"/>
    <w:rsid w:val="002709F3"/>
    <w:rsid w:val="00272824"/>
    <w:rsid w:val="00272950"/>
    <w:rsid w:val="00275893"/>
    <w:rsid w:val="00275A0D"/>
    <w:rsid w:val="00275C5A"/>
    <w:rsid w:val="00281A6D"/>
    <w:rsid w:val="00281D09"/>
    <w:rsid w:val="002825DA"/>
    <w:rsid w:val="0028464D"/>
    <w:rsid w:val="00284901"/>
    <w:rsid w:val="00287E67"/>
    <w:rsid w:val="002901F9"/>
    <w:rsid w:val="00290229"/>
    <w:rsid w:val="00290F90"/>
    <w:rsid w:val="00294043"/>
    <w:rsid w:val="0029425F"/>
    <w:rsid w:val="002952CF"/>
    <w:rsid w:val="002959DF"/>
    <w:rsid w:val="00296C97"/>
    <w:rsid w:val="002A0EA5"/>
    <w:rsid w:val="002A2151"/>
    <w:rsid w:val="002A2E58"/>
    <w:rsid w:val="002A56A9"/>
    <w:rsid w:val="002A6966"/>
    <w:rsid w:val="002A6EFB"/>
    <w:rsid w:val="002A7A98"/>
    <w:rsid w:val="002B0806"/>
    <w:rsid w:val="002B1CE4"/>
    <w:rsid w:val="002B2A70"/>
    <w:rsid w:val="002B4B17"/>
    <w:rsid w:val="002B5492"/>
    <w:rsid w:val="002B5545"/>
    <w:rsid w:val="002B570A"/>
    <w:rsid w:val="002C0168"/>
    <w:rsid w:val="002C12BA"/>
    <w:rsid w:val="002C20C8"/>
    <w:rsid w:val="002C37E1"/>
    <w:rsid w:val="002C502B"/>
    <w:rsid w:val="002C51F0"/>
    <w:rsid w:val="002D05BD"/>
    <w:rsid w:val="002D0A82"/>
    <w:rsid w:val="002D201E"/>
    <w:rsid w:val="002D2F3C"/>
    <w:rsid w:val="002D322A"/>
    <w:rsid w:val="002D3593"/>
    <w:rsid w:val="002D571A"/>
    <w:rsid w:val="002D7A8E"/>
    <w:rsid w:val="002E011D"/>
    <w:rsid w:val="002E4535"/>
    <w:rsid w:val="002E4B2A"/>
    <w:rsid w:val="002E669B"/>
    <w:rsid w:val="002E75B0"/>
    <w:rsid w:val="002E778B"/>
    <w:rsid w:val="002E7A15"/>
    <w:rsid w:val="002E7D4F"/>
    <w:rsid w:val="002E7F33"/>
    <w:rsid w:val="002F0729"/>
    <w:rsid w:val="002F1A07"/>
    <w:rsid w:val="002F373D"/>
    <w:rsid w:val="002F7543"/>
    <w:rsid w:val="0030039F"/>
    <w:rsid w:val="00301046"/>
    <w:rsid w:val="003011D4"/>
    <w:rsid w:val="00305446"/>
    <w:rsid w:val="00305479"/>
    <w:rsid w:val="00305978"/>
    <w:rsid w:val="0031459D"/>
    <w:rsid w:val="00315571"/>
    <w:rsid w:val="00316303"/>
    <w:rsid w:val="0031632E"/>
    <w:rsid w:val="00316DBC"/>
    <w:rsid w:val="003174EB"/>
    <w:rsid w:val="003216FA"/>
    <w:rsid w:val="00321EFA"/>
    <w:rsid w:val="003224F5"/>
    <w:rsid w:val="00324874"/>
    <w:rsid w:val="00324BD2"/>
    <w:rsid w:val="00324C8E"/>
    <w:rsid w:val="00326227"/>
    <w:rsid w:val="0032642D"/>
    <w:rsid w:val="00326C85"/>
    <w:rsid w:val="00326ECD"/>
    <w:rsid w:val="00327C86"/>
    <w:rsid w:val="00331F00"/>
    <w:rsid w:val="00334280"/>
    <w:rsid w:val="00335289"/>
    <w:rsid w:val="0033531C"/>
    <w:rsid w:val="003360A0"/>
    <w:rsid w:val="00336184"/>
    <w:rsid w:val="003409DC"/>
    <w:rsid w:val="00340CBD"/>
    <w:rsid w:val="00341C76"/>
    <w:rsid w:val="00342FBF"/>
    <w:rsid w:val="0034416D"/>
    <w:rsid w:val="003448F5"/>
    <w:rsid w:val="0034508C"/>
    <w:rsid w:val="00346239"/>
    <w:rsid w:val="00346C05"/>
    <w:rsid w:val="00351C31"/>
    <w:rsid w:val="0035379D"/>
    <w:rsid w:val="00354083"/>
    <w:rsid w:val="003556CB"/>
    <w:rsid w:val="0035673F"/>
    <w:rsid w:val="00356902"/>
    <w:rsid w:val="00360103"/>
    <w:rsid w:val="003606C4"/>
    <w:rsid w:val="00361ABD"/>
    <w:rsid w:val="0036399A"/>
    <w:rsid w:val="00365DF5"/>
    <w:rsid w:val="0036714D"/>
    <w:rsid w:val="00367E5C"/>
    <w:rsid w:val="00370353"/>
    <w:rsid w:val="00370C29"/>
    <w:rsid w:val="0037467C"/>
    <w:rsid w:val="003746ED"/>
    <w:rsid w:val="00374A71"/>
    <w:rsid w:val="0037741C"/>
    <w:rsid w:val="00380708"/>
    <w:rsid w:val="00380B74"/>
    <w:rsid w:val="003811CA"/>
    <w:rsid w:val="00381ECB"/>
    <w:rsid w:val="00382AA6"/>
    <w:rsid w:val="003830D3"/>
    <w:rsid w:val="003846AB"/>
    <w:rsid w:val="00385565"/>
    <w:rsid w:val="00386F0D"/>
    <w:rsid w:val="00391475"/>
    <w:rsid w:val="003924E2"/>
    <w:rsid w:val="00392933"/>
    <w:rsid w:val="00392AAE"/>
    <w:rsid w:val="003A02B0"/>
    <w:rsid w:val="003A18E6"/>
    <w:rsid w:val="003A1D86"/>
    <w:rsid w:val="003A36FE"/>
    <w:rsid w:val="003A3A7C"/>
    <w:rsid w:val="003A5A87"/>
    <w:rsid w:val="003A699C"/>
    <w:rsid w:val="003A7B0B"/>
    <w:rsid w:val="003B0D96"/>
    <w:rsid w:val="003B1213"/>
    <w:rsid w:val="003B19B7"/>
    <w:rsid w:val="003B2480"/>
    <w:rsid w:val="003B342F"/>
    <w:rsid w:val="003B5CD9"/>
    <w:rsid w:val="003B7167"/>
    <w:rsid w:val="003C066C"/>
    <w:rsid w:val="003C081E"/>
    <w:rsid w:val="003C2EF6"/>
    <w:rsid w:val="003C7353"/>
    <w:rsid w:val="003D1A5D"/>
    <w:rsid w:val="003D3254"/>
    <w:rsid w:val="003D4274"/>
    <w:rsid w:val="003D4D98"/>
    <w:rsid w:val="003D626A"/>
    <w:rsid w:val="003D7795"/>
    <w:rsid w:val="003E003E"/>
    <w:rsid w:val="003E12FF"/>
    <w:rsid w:val="003E1EA9"/>
    <w:rsid w:val="003E317D"/>
    <w:rsid w:val="003E3830"/>
    <w:rsid w:val="003E6D4E"/>
    <w:rsid w:val="003E6ED2"/>
    <w:rsid w:val="003F0818"/>
    <w:rsid w:val="003F4579"/>
    <w:rsid w:val="003F7240"/>
    <w:rsid w:val="0040047E"/>
    <w:rsid w:val="004021FF"/>
    <w:rsid w:val="00405651"/>
    <w:rsid w:val="004071A0"/>
    <w:rsid w:val="00413CA0"/>
    <w:rsid w:val="00414015"/>
    <w:rsid w:val="004154A8"/>
    <w:rsid w:val="00416083"/>
    <w:rsid w:val="00417AF8"/>
    <w:rsid w:val="00420F09"/>
    <w:rsid w:val="00421C91"/>
    <w:rsid w:val="00422998"/>
    <w:rsid w:val="0042380C"/>
    <w:rsid w:val="0042706B"/>
    <w:rsid w:val="00431909"/>
    <w:rsid w:val="004319FA"/>
    <w:rsid w:val="00431ED7"/>
    <w:rsid w:val="00431FFD"/>
    <w:rsid w:val="004327F0"/>
    <w:rsid w:val="00432C41"/>
    <w:rsid w:val="004361B6"/>
    <w:rsid w:val="004367C8"/>
    <w:rsid w:val="00437B2B"/>
    <w:rsid w:val="00440518"/>
    <w:rsid w:val="0044148E"/>
    <w:rsid w:val="00446BFD"/>
    <w:rsid w:val="00446ED1"/>
    <w:rsid w:val="00453D70"/>
    <w:rsid w:val="00454B97"/>
    <w:rsid w:val="004614EE"/>
    <w:rsid w:val="00461755"/>
    <w:rsid w:val="004632BD"/>
    <w:rsid w:val="00463522"/>
    <w:rsid w:val="00464683"/>
    <w:rsid w:val="00466B4C"/>
    <w:rsid w:val="00470D71"/>
    <w:rsid w:val="0047164A"/>
    <w:rsid w:val="00472709"/>
    <w:rsid w:val="004744B2"/>
    <w:rsid w:val="0047462D"/>
    <w:rsid w:val="00474FCD"/>
    <w:rsid w:val="00475631"/>
    <w:rsid w:val="004761FE"/>
    <w:rsid w:val="00480083"/>
    <w:rsid w:val="0048048C"/>
    <w:rsid w:val="004809BD"/>
    <w:rsid w:val="00486965"/>
    <w:rsid w:val="00486B59"/>
    <w:rsid w:val="00486FCD"/>
    <w:rsid w:val="004870F2"/>
    <w:rsid w:val="004875F6"/>
    <w:rsid w:val="00487C00"/>
    <w:rsid w:val="00491073"/>
    <w:rsid w:val="004920B1"/>
    <w:rsid w:val="00493029"/>
    <w:rsid w:val="0049555D"/>
    <w:rsid w:val="00496995"/>
    <w:rsid w:val="00497954"/>
    <w:rsid w:val="004A32DD"/>
    <w:rsid w:val="004A35A2"/>
    <w:rsid w:val="004A5268"/>
    <w:rsid w:val="004A71DC"/>
    <w:rsid w:val="004A7A16"/>
    <w:rsid w:val="004A7C52"/>
    <w:rsid w:val="004B010E"/>
    <w:rsid w:val="004B33CB"/>
    <w:rsid w:val="004B3595"/>
    <w:rsid w:val="004B4F0A"/>
    <w:rsid w:val="004B54EA"/>
    <w:rsid w:val="004B785E"/>
    <w:rsid w:val="004C1444"/>
    <w:rsid w:val="004C191C"/>
    <w:rsid w:val="004C1A4A"/>
    <w:rsid w:val="004C3944"/>
    <w:rsid w:val="004D070E"/>
    <w:rsid w:val="004D09EE"/>
    <w:rsid w:val="004D15D2"/>
    <w:rsid w:val="004D2CD0"/>
    <w:rsid w:val="004D351A"/>
    <w:rsid w:val="004E2F23"/>
    <w:rsid w:val="004E4B1E"/>
    <w:rsid w:val="004E52FF"/>
    <w:rsid w:val="004F0051"/>
    <w:rsid w:val="004F03B2"/>
    <w:rsid w:val="004F0CDC"/>
    <w:rsid w:val="004F2BB4"/>
    <w:rsid w:val="004F6570"/>
    <w:rsid w:val="004F7054"/>
    <w:rsid w:val="004F79A1"/>
    <w:rsid w:val="005031B9"/>
    <w:rsid w:val="005031F1"/>
    <w:rsid w:val="005052C1"/>
    <w:rsid w:val="00505FB7"/>
    <w:rsid w:val="005076E1"/>
    <w:rsid w:val="00507E8E"/>
    <w:rsid w:val="005100BD"/>
    <w:rsid w:val="00510D47"/>
    <w:rsid w:val="005114AD"/>
    <w:rsid w:val="00513E64"/>
    <w:rsid w:val="0051461B"/>
    <w:rsid w:val="005152D4"/>
    <w:rsid w:val="005157CB"/>
    <w:rsid w:val="0051622F"/>
    <w:rsid w:val="00516C93"/>
    <w:rsid w:val="00522260"/>
    <w:rsid w:val="005222EB"/>
    <w:rsid w:val="00524A51"/>
    <w:rsid w:val="005253D6"/>
    <w:rsid w:val="0052563B"/>
    <w:rsid w:val="005259FB"/>
    <w:rsid w:val="00526A6D"/>
    <w:rsid w:val="00526EB1"/>
    <w:rsid w:val="00526FE5"/>
    <w:rsid w:val="00531EAC"/>
    <w:rsid w:val="00531EE6"/>
    <w:rsid w:val="005349AE"/>
    <w:rsid w:val="005349CD"/>
    <w:rsid w:val="005371A5"/>
    <w:rsid w:val="00537694"/>
    <w:rsid w:val="00537E6E"/>
    <w:rsid w:val="0054255E"/>
    <w:rsid w:val="00542741"/>
    <w:rsid w:val="00543F8E"/>
    <w:rsid w:val="00545B8C"/>
    <w:rsid w:val="00552238"/>
    <w:rsid w:val="00555037"/>
    <w:rsid w:val="00557418"/>
    <w:rsid w:val="00557FC5"/>
    <w:rsid w:val="005640D9"/>
    <w:rsid w:val="005716A5"/>
    <w:rsid w:val="00574401"/>
    <w:rsid w:val="005744C9"/>
    <w:rsid w:val="00576D49"/>
    <w:rsid w:val="00582299"/>
    <w:rsid w:val="0058244F"/>
    <w:rsid w:val="00582744"/>
    <w:rsid w:val="0058546A"/>
    <w:rsid w:val="005863FB"/>
    <w:rsid w:val="00590D8B"/>
    <w:rsid w:val="00591123"/>
    <w:rsid w:val="005921AD"/>
    <w:rsid w:val="0059355A"/>
    <w:rsid w:val="00596467"/>
    <w:rsid w:val="00597E3F"/>
    <w:rsid w:val="005A0F9A"/>
    <w:rsid w:val="005A3929"/>
    <w:rsid w:val="005B0025"/>
    <w:rsid w:val="005B4742"/>
    <w:rsid w:val="005B55FE"/>
    <w:rsid w:val="005B59E9"/>
    <w:rsid w:val="005B5F32"/>
    <w:rsid w:val="005B6F5A"/>
    <w:rsid w:val="005B6FC1"/>
    <w:rsid w:val="005B7048"/>
    <w:rsid w:val="005B777D"/>
    <w:rsid w:val="005C0C3E"/>
    <w:rsid w:val="005C0C91"/>
    <w:rsid w:val="005C1B42"/>
    <w:rsid w:val="005C3F8D"/>
    <w:rsid w:val="005C5A6C"/>
    <w:rsid w:val="005C7767"/>
    <w:rsid w:val="005C7E39"/>
    <w:rsid w:val="005D0389"/>
    <w:rsid w:val="005D05AA"/>
    <w:rsid w:val="005D093C"/>
    <w:rsid w:val="005D115B"/>
    <w:rsid w:val="005D18DF"/>
    <w:rsid w:val="005D3A15"/>
    <w:rsid w:val="005D3A51"/>
    <w:rsid w:val="005D4E27"/>
    <w:rsid w:val="005D5AB6"/>
    <w:rsid w:val="005D5C48"/>
    <w:rsid w:val="005D6ED1"/>
    <w:rsid w:val="005D71DA"/>
    <w:rsid w:val="005E0125"/>
    <w:rsid w:val="005E05D8"/>
    <w:rsid w:val="005E11D5"/>
    <w:rsid w:val="005E1802"/>
    <w:rsid w:val="005E1888"/>
    <w:rsid w:val="005E4EDB"/>
    <w:rsid w:val="005E6BA8"/>
    <w:rsid w:val="005F087B"/>
    <w:rsid w:val="005F0D3E"/>
    <w:rsid w:val="005F3D16"/>
    <w:rsid w:val="005F49EF"/>
    <w:rsid w:val="005F50A9"/>
    <w:rsid w:val="005F5B84"/>
    <w:rsid w:val="005F5F70"/>
    <w:rsid w:val="005F7D16"/>
    <w:rsid w:val="00600491"/>
    <w:rsid w:val="006015FB"/>
    <w:rsid w:val="006023A1"/>
    <w:rsid w:val="006024DC"/>
    <w:rsid w:val="006033E4"/>
    <w:rsid w:val="00610248"/>
    <w:rsid w:val="0061269B"/>
    <w:rsid w:val="00612C87"/>
    <w:rsid w:val="00612E05"/>
    <w:rsid w:val="00614178"/>
    <w:rsid w:val="00617478"/>
    <w:rsid w:val="00617BDB"/>
    <w:rsid w:val="00624FAC"/>
    <w:rsid w:val="00626F89"/>
    <w:rsid w:val="0062701C"/>
    <w:rsid w:val="006309A2"/>
    <w:rsid w:val="00631655"/>
    <w:rsid w:val="00632267"/>
    <w:rsid w:val="0063230D"/>
    <w:rsid w:val="00633B21"/>
    <w:rsid w:val="00635EF3"/>
    <w:rsid w:val="00636B02"/>
    <w:rsid w:val="006373AE"/>
    <w:rsid w:val="00637430"/>
    <w:rsid w:val="006377AE"/>
    <w:rsid w:val="00640866"/>
    <w:rsid w:val="00651B69"/>
    <w:rsid w:val="00651D02"/>
    <w:rsid w:val="00653169"/>
    <w:rsid w:val="00653BD5"/>
    <w:rsid w:val="0065506D"/>
    <w:rsid w:val="006561F0"/>
    <w:rsid w:val="00656332"/>
    <w:rsid w:val="00657902"/>
    <w:rsid w:val="00657A94"/>
    <w:rsid w:val="00657CA6"/>
    <w:rsid w:val="00657DB6"/>
    <w:rsid w:val="006617AA"/>
    <w:rsid w:val="0066233C"/>
    <w:rsid w:val="00662FFA"/>
    <w:rsid w:val="00667917"/>
    <w:rsid w:val="00667960"/>
    <w:rsid w:val="006716A5"/>
    <w:rsid w:val="00672085"/>
    <w:rsid w:val="00673B51"/>
    <w:rsid w:val="006766AC"/>
    <w:rsid w:val="00676728"/>
    <w:rsid w:val="00676E8C"/>
    <w:rsid w:val="00680A94"/>
    <w:rsid w:val="00683AE8"/>
    <w:rsid w:val="006851B3"/>
    <w:rsid w:val="00687A91"/>
    <w:rsid w:val="0069320A"/>
    <w:rsid w:val="00694B3D"/>
    <w:rsid w:val="00694BD1"/>
    <w:rsid w:val="00696A3E"/>
    <w:rsid w:val="00696F5A"/>
    <w:rsid w:val="006A0DD2"/>
    <w:rsid w:val="006A193E"/>
    <w:rsid w:val="006A1C02"/>
    <w:rsid w:val="006A1E31"/>
    <w:rsid w:val="006A6C56"/>
    <w:rsid w:val="006B2D0A"/>
    <w:rsid w:val="006B3769"/>
    <w:rsid w:val="006B3AC1"/>
    <w:rsid w:val="006B4F8E"/>
    <w:rsid w:val="006B68B2"/>
    <w:rsid w:val="006C09B5"/>
    <w:rsid w:val="006C0F3B"/>
    <w:rsid w:val="006C196E"/>
    <w:rsid w:val="006C1C28"/>
    <w:rsid w:val="006C1E06"/>
    <w:rsid w:val="006C312B"/>
    <w:rsid w:val="006C32F4"/>
    <w:rsid w:val="006C4324"/>
    <w:rsid w:val="006C50D4"/>
    <w:rsid w:val="006C528F"/>
    <w:rsid w:val="006C7B7D"/>
    <w:rsid w:val="006D3A6F"/>
    <w:rsid w:val="006D3FE7"/>
    <w:rsid w:val="006D5F81"/>
    <w:rsid w:val="006D6AE7"/>
    <w:rsid w:val="006D7C60"/>
    <w:rsid w:val="006E139A"/>
    <w:rsid w:val="006E5E98"/>
    <w:rsid w:val="006E7041"/>
    <w:rsid w:val="006E7422"/>
    <w:rsid w:val="006E7EA2"/>
    <w:rsid w:val="006F39F2"/>
    <w:rsid w:val="006F473A"/>
    <w:rsid w:val="006F57B0"/>
    <w:rsid w:val="006F57D9"/>
    <w:rsid w:val="006F63D4"/>
    <w:rsid w:val="006F72F6"/>
    <w:rsid w:val="006F7550"/>
    <w:rsid w:val="00700CE2"/>
    <w:rsid w:val="0070194A"/>
    <w:rsid w:val="007032B7"/>
    <w:rsid w:val="007057C1"/>
    <w:rsid w:val="00705E23"/>
    <w:rsid w:val="00707972"/>
    <w:rsid w:val="00710BB0"/>
    <w:rsid w:val="00712FDE"/>
    <w:rsid w:val="00713284"/>
    <w:rsid w:val="0071589A"/>
    <w:rsid w:val="00716878"/>
    <w:rsid w:val="0072032A"/>
    <w:rsid w:val="00721148"/>
    <w:rsid w:val="007222D6"/>
    <w:rsid w:val="007231D1"/>
    <w:rsid w:val="00724994"/>
    <w:rsid w:val="00724A88"/>
    <w:rsid w:val="00725351"/>
    <w:rsid w:val="0072591D"/>
    <w:rsid w:val="00726105"/>
    <w:rsid w:val="0073166D"/>
    <w:rsid w:val="00731A19"/>
    <w:rsid w:val="007320F9"/>
    <w:rsid w:val="0073227A"/>
    <w:rsid w:val="00732644"/>
    <w:rsid w:val="00734E2A"/>
    <w:rsid w:val="007357DF"/>
    <w:rsid w:val="00736BBE"/>
    <w:rsid w:val="00745796"/>
    <w:rsid w:val="00746546"/>
    <w:rsid w:val="00746D3B"/>
    <w:rsid w:val="00746ECC"/>
    <w:rsid w:val="007472D5"/>
    <w:rsid w:val="0075209E"/>
    <w:rsid w:val="00755142"/>
    <w:rsid w:val="00756272"/>
    <w:rsid w:val="0075676F"/>
    <w:rsid w:val="007628D0"/>
    <w:rsid w:val="007654F0"/>
    <w:rsid w:val="007655D7"/>
    <w:rsid w:val="00766013"/>
    <w:rsid w:val="0076696D"/>
    <w:rsid w:val="0076705A"/>
    <w:rsid w:val="00770F42"/>
    <w:rsid w:val="00772190"/>
    <w:rsid w:val="00774627"/>
    <w:rsid w:val="00774D63"/>
    <w:rsid w:val="00775D82"/>
    <w:rsid w:val="00776BBD"/>
    <w:rsid w:val="0078059C"/>
    <w:rsid w:val="0078096B"/>
    <w:rsid w:val="0078149E"/>
    <w:rsid w:val="00781686"/>
    <w:rsid w:val="00781960"/>
    <w:rsid w:val="0078217E"/>
    <w:rsid w:val="00782EBF"/>
    <w:rsid w:val="007876E0"/>
    <w:rsid w:val="007878C6"/>
    <w:rsid w:val="00790DA1"/>
    <w:rsid w:val="007945F3"/>
    <w:rsid w:val="00794745"/>
    <w:rsid w:val="007957D5"/>
    <w:rsid w:val="00796CF8"/>
    <w:rsid w:val="0079708F"/>
    <w:rsid w:val="007A2B1D"/>
    <w:rsid w:val="007A3861"/>
    <w:rsid w:val="007A3996"/>
    <w:rsid w:val="007A3E4F"/>
    <w:rsid w:val="007A4DD1"/>
    <w:rsid w:val="007A5F87"/>
    <w:rsid w:val="007A679E"/>
    <w:rsid w:val="007A7ED2"/>
    <w:rsid w:val="007B05F1"/>
    <w:rsid w:val="007B483C"/>
    <w:rsid w:val="007B54B9"/>
    <w:rsid w:val="007B6169"/>
    <w:rsid w:val="007B75FB"/>
    <w:rsid w:val="007B766B"/>
    <w:rsid w:val="007C09CF"/>
    <w:rsid w:val="007C1CE6"/>
    <w:rsid w:val="007C294C"/>
    <w:rsid w:val="007C3250"/>
    <w:rsid w:val="007C33AB"/>
    <w:rsid w:val="007C3E38"/>
    <w:rsid w:val="007C68B5"/>
    <w:rsid w:val="007C784B"/>
    <w:rsid w:val="007D00F0"/>
    <w:rsid w:val="007D2A75"/>
    <w:rsid w:val="007D2BAE"/>
    <w:rsid w:val="007D2C03"/>
    <w:rsid w:val="007D7293"/>
    <w:rsid w:val="007D742B"/>
    <w:rsid w:val="007E15BF"/>
    <w:rsid w:val="007E1DBE"/>
    <w:rsid w:val="007E2A24"/>
    <w:rsid w:val="007E326D"/>
    <w:rsid w:val="007E415D"/>
    <w:rsid w:val="007E4E52"/>
    <w:rsid w:val="007E5133"/>
    <w:rsid w:val="007E55C1"/>
    <w:rsid w:val="007F014D"/>
    <w:rsid w:val="007F0D9A"/>
    <w:rsid w:val="007F2292"/>
    <w:rsid w:val="007F2D0B"/>
    <w:rsid w:val="007F3345"/>
    <w:rsid w:val="007F394D"/>
    <w:rsid w:val="007F3A31"/>
    <w:rsid w:val="007F3C12"/>
    <w:rsid w:val="007F4433"/>
    <w:rsid w:val="007F4B14"/>
    <w:rsid w:val="007F74EC"/>
    <w:rsid w:val="00803D43"/>
    <w:rsid w:val="00810EAC"/>
    <w:rsid w:val="0081148E"/>
    <w:rsid w:val="00813AC9"/>
    <w:rsid w:val="00813C05"/>
    <w:rsid w:val="00815F73"/>
    <w:rsid w:val="0082130D"/>
    <w:rsid w:val="008219B3"/>
    <w:rsid w:val="0082371E"/>
    <w:rsid w:val="00825AF7"/>
    <w:rsid w:val="0082621B"/>
    <w:rsid w:val="00827C22"/>
    <w:rsid w:val="00830161"/>
    <w:rsid w:val="00831151"/>
    <w:rsid w:val="00831402"/>
    <w:rsid w:val="00832D9E"/>
    <w:rsid w:val="00834E31"/>
    <w:rsid w:val="00842036"/>
    <w:rsid w:val="0084326B"/>
    <w:rsid w:val="00843C90"/>
    <w:rsid w:val="00843D88"/>
    <w:rsid w:val="008443B3"/>
    <w:rsid w:val="00847088"/>
    <w:rsid w:val="00850619"/>
    <w:rsid w:val="00850B2A"/>
    <w:rsid w:val="0085438A"/>
    <w:rsid w:val="0085685F"/>
    <w:rsid w:val="008568F1"/>
    <w:rsid w:val="00856A20"/>
    <w:rsid w:val="00862322"/>
    <w:rsid w:val="0086305F"/>
    <w:rsid w:val="008638B8"/>
    <w:rsid w:val="0087027E"/>
    <w:rsid w:val="00872197"/>
    <w:rsid w:val="008738E3"/>
    <w:rsid w:val="00873912"/>
    <w:rsid w:val="00873D15"/>
    <w:rsid w:val="008771FA"/>
    <w:rsid w:val="008801BB"/>
    <w:rsid w:val="008804A2"/>
    <w:rsid w:val="00882A89"/>
    <w:rsid w:val="00883F5C"/>
    <w:rsid w:val="00886210"/>
    <w:rsid w:val="008866A1"/>
    <w:rsid w:val="00887A43"/>
    <w:rsid w:val="0089448F"/>
    <w:rsid w:val="008946DE"/>
    <w:rsid w:val="008963AA"/>
    <w:rsid w:val="00897378"/>
    <w:rsid w:val="008A134D"/>
    <w:rsid w:val="008A2631"/>
    <w:rsid w:val="008A2699"/>
    <w:rsid w:val="008A2D92"/>
    <w:rsid w:val="008A378D"/>
    <w:rsid w:val="008A38FF"/>
    <w:rsid w:val="008A3C74"/>
    <w:rsid w:val="008A3DB5"/>
    <w:rsid w:val="008A4F19"/>
    <w:rsid w:val="008A545A"/>
    <w:rsid w:val="008A575A"/>
    <w:rsid w:val="008A5BCF"/>
    <w:rsid w:val="008A7C5E"/>
    <w:rsid w:val="008B3EB7"/>
    <w:rsid w:val="008B7C16"/>
    <w:rsid w:val="008B7F39"/>
    <w:rsid w:val="008C344D"/>
    <w:rsid w:val="008C36D7"/>
    <w:rsid w:val="008C437D"/>
    <w:rsid w:val="008D1583"/>
    <w:rsid w:val="008D15DC"/>
    <w:rsid w:val="008D38F7"/>
    <w:rsid w:val="008D3FDD"/>
    <w:rsid w:val="008D52E4"/>
    <w:rsid w:val="008D77F4"/>
    <w:rsid w:val="008E250C"/>
    <w:rsid w:val="008E5370"/>
    <w:rsid w:val="008E57B6"/>
    <w:rsid w:val="008E68C3"/>
    <w:rsid w:val="008F0B6C"/>
    <w:rsid w:val="008F101A"/>
    <w:rsid w:val="008F1CEA"/>
    <w:rsid w:val="008F2BC3"/>
    <w:rsid w:val="008F4DE8"/>
    <w:rsid w:val="008F65F4"/>
    <w:rsid w:val="008F729D"/>
    <w:rsid w:val="009004B8"/>
    <w:rsid w:val="009012BB"/>
    <w:rsid w:val="00903CF2"/>
    <w:rsid w:val="0090625A"/>
    <w:rsid w:val="00906B0E"/>
    <w:rsid w:val="009071E1"/>
    <w:rsid w:val="00914AD7"/>
    <w:rsid w:val="009170CC"/>
    <w:rsid w:val="00921B5B"/>
    <w:rsid w:val="00921C36"/>
    <w:rsid w:val="00924C75"/>
    <w:rsid w:val="00926BC4"/>
    <w:rsid w:val="0093193D"/>
    <w:rsid w:val="00934901"/>
    <w:rsid w:val="009358B5"/>
    <w:rsid w:val="009401F4"/>
    <w:rsid w:val="00940EE1"/>
    <w:rsid w:val="00942503"/>
    <w:rsid w:val="00944438"/>
    <w:rsid w:val="00944B81"/>
    <w:rsid w:val="00945FE4"/>
    <w:rsid w:val="00946840"/>
    <w:rsid w:val="00947BB6"/>
    <w:rsid w:val="00952F7F"/>
    <w:rsid w:val="00953897"/>
    <w:rsid w:val="00953D51"/>
    <w:rsid w:val="009548D4"/>
    <w:rsid w:val="00954EA2"/>
    <w:rsid w:val="009562D9"/>
    <w:rsid w:val="009569E6"/>
    <w:rsid w:val="00956BA3"/>
    <w:rsid w:val="00957249"/>
    <w:rsid w:val="00966FA5"/>
    <w:rsid w:val="009670A3"/>
    <w:rsid w:val="00971528"/>
    <w:rsid w:val="00972EF6"/>
    <w:rsid w:val="009761D5"/>
    <w:rsid w:val="00977ABB"/>
    <w:rsid w:val="00981F38"/>
    <w:rsid w:val="009831EC"/>
    <w:rsid w:val="00984CBF"/>
    <w:rsid w:val="0098544B"/>
    <w:rsid w:val="00987556"/>
    <w:rsid w:val="0099054B"/>
    <w:rsid w:val="00991FDF"/>
    <w:rsid w:val="00995AB8"/>
    <w:rsid w:val="00997BF1"/>
    <w:rsid w:val="009A0AE8"/>
    <w:rsid w:val="009A0EE6"/>
    <w:rsid w:val="009A1778"/>
    <w:rsid w:val="009A3A9D"/>
    <w:rsid w:val="009A456F"/>
    <w:rsid w:val="009A4FDB"/>
    <w:rsid w:val="009A5E31"/>
    <w:rsid w:val="009A5E50"/>
    <w:rsid w:val="009A7FB6"/>
    <w:rsid w:val="009B08E6"/>
    <w:rsid w:val="009B3F1F"/>
    <w:rsid w:val="009B571D"/>
    <w:rsid w:val="009B6578"/>
    <w:rsid w:val="009B794A"/>
    <w:rsid w:val="009C213F"/>
    <w:rsid w:val="009C2228"/>
    <w:rsid w:val="009C25CD"/>
    <w:rsid w:val="009C3BD0"/>
    <w:rsid w:val="009C565C"/>
    <w:rsid w:val="009C5D9C"/>
    <w:rsid w:val="009C692B"/>
    <w:rsid w:val="009C7976"/>
    <w:rsid w:val="009D1E91"/>
    <w:rsid w:val="009D38E8"/>
    <w:rsid w:val="009D41B9"/>
    <w:rsid w:val="009D4622"/>
    <w:rsid w:val="009D4CF4"/>
    <w:rsid w:val="009D6499"/>
    <w:rsid w:val="009D6F8C"/>
    <w:rsid w:val="009D7441"/>
    <w:rsid w:val="009E02C9"/>
    <w:rsid w:val="009E230F"/>
    <w:rsid w:val="009E3074"/>
    <w:rsid w:val="009E44C7"/>
    <w:rsid w:val="009E4F6F"/>
    <w:rsid w:val="009E52CD"/>
    <w:rsid w:val="009F4BC6"/>
    <w:rsid w:val="009F704D"/>
    <w:rsid w:val="009F7079"/>
    <w:rsid w:val="00A01269"/>
    <w:rsid w:val="00A03391"/>
    <w:rsid w:val="00A06032"/>
    <w:rsid w:val="00A06146"/>
    <w:rsid w:val="00A07047"/>
    <w:rsid w:val="00A10BAD"/>
    <w:rsid w:val="00A12B95"/>
    <w:rsid w:val="00A20FCA"/>
    <w:rsid w:val="00A2116D"/>
    <w:rsid w:val="00A255C7"/>
    <w:rsid w:val="00A25CF8"/>
    <w:rsid w:val="00A266EA"/>
    <w:rsid w:val="00A2692D"/>
    <w:rsid w:val="00A27171"/>
    <w:rsid w:val="00A276ED"/>
    <w:rsid w:val="00A27714"/>
    <w:rsid w:val="00A27ED5"/>
    <w:rsid w:val="00A31256"/>
    <w:rsid w:val="00A31477"/>
    <w:rsid w:val="00A37591"/>
    <w:rsid w:val="00A409C6"/>
    <w:rsid w:val="00A41A0D"/>
    <w:rsid w:val="00A43391"/>
    <w:rsid w:val="00A436C2"/>
    <w:rsid w:val="00A436EC"/>
    <w:rsid w:val="00A44358"/>
    <w:rsid w:val="00A44435"/>
    <w:rsid w:val="00A45116"/>
    <w:rsid w:val="00A45F9B"/>
    <w:rsid w:val="00A46A6A"/>
    <w:rsid w:val="00A511C7"/>
    <w:rsid w:val="00A511F1"/>
    <w:rsid w:val="00A51C72"/>
    <w:rsid w:val="00A51E73"/>
    <w:rsid w:val="00A51EA5"/>
    <w:rsid w:val="00A57F51"/>
    <w:rsid w:val="00A60825"/>
    <w:rsid w:val="00A63457"/>
    <w:rsid w:val="00A662A8"/>
    <w:rsid w:val="00A67314"/>
    <w:rsid w:val="00A71EB2"/>
    <w:rsid w:val="00A74769"/>
    <w:rsid w:val="00A7526F"/>
    <w:rsid w:val="00A76F45"/>
    <w:rsid w:val="00A80D0E"/>
    <w:rsid w:val="00A816D4"/>
    <w:rsid w:val="00A820C5"/>
    <w:rsid w:val="00A83479"/>
    <w:rsid w:val="00A84129"/>
    <w:rsid w:val="00A9077F"/>
    <w:rsid w:val="00A9179F"/>
    <w:rsid w:val="00A951FB"/>
    <w:rsid w:val="00A95F2D"/>
    <w:rsid w:val="00A96DEB"/>
    <w:rsid w:val="00AA0597"/>
    <w:rsid w:val="00AA178A"/>
    <w:rsid w:val="00AA1B35"/>
    <w:rsid w:val="00AA2B7D"/>
    <w:rsid w:val="00AA44A9"/>
    <w:rsid w:val="00AA4651"/>
    <w:rsid w:val="00AA7A69"/>
    <w:rsid w:val="00AB0C49"/>
    <w:rsid w:val="00AB3472"/>
    <w:rsid w:val="00AB3A69"/>
    <w:rsid w:val="00AB3DEA"/>
    <w:rsid w:val="00AB6B62"/>
    <w:rsid w:val="00AC02CC"/>
    <w:rsid w:val="00AC0D6D"/>
    <w:rsid w:val="00AC16A4"/>
    <w:rsid w:val="00AC208C"/>
    <w:rsid w:val="00AC4184"/>
    <w:rsid w:val="00AC4214"/>
    <w:rsid w:val="00AC44C0"/>
    <w:rsid w:val="00AC49CF"/>
    <w:rsid w:val="00AC4C33"/>
    <w:rsid w:val="00AC5084"/>
    <w:rsid w:val="00AC51B1"/>
    <w:rsid w:val="00AC593E"/>
    <w:rsid w:val="00AC6865"/>
    <w:rsid w:val="00AD4A0D"/>
    <w:rsid w:val="00AD5589"/>
    <w:rsid w:val="00AD5B6E"/>
    <w:rsid w:val="00AD6651"/>
    <w:rsid w:val="00AE2DEB"/>
    <w:rsid w:val="00AE4810"/>
    <w:rsid w:val="00AE67BE"/>
    <w:rsid w:val="00AE740E"/>
    <w:rsid w:val="00AF1E50"/>
    <w:rsid w:val="00AF2C0E"/>
    <w:rsid w:val="00AF371F"/>
    <w:rsid w:val="00AF63D2"/>
    <w:rsid w:val="00B00CDE"/>
    <w:rsid w:val="00B013D1"/>
    <w:rsid w:val="00B0348F"/>
    <w:rsid w:val="00B03799"/>
    <w:rsid w:val="00B03917"/>
    <w:rsid w:val="00B1128A"/>
    <w:rsid w:val="00B12F52"/>
    <w:rsid w:val="00B132A3"/>
    <w:rsid w:val="00B13987"/>
    <w:rsid w:val="00B14344"/>
    <w:rsid w:val="00B1720B"/>
    <w:rsid w:val="00B17A24"/>
    <w:rsid w:val="00B20AF7"/>
    <w:rsid w:val="00B20BDF"/>
    <w:rsid w:val="00B2738D"/>
    <w:rsid w:val="00B30744"/>
    <w:rsid w:val="00B30ED7"/>
    <w:rsid w:val="00B31709"/>
    <w:rsid w:val="00B32A79"/>
    <w:rsid w:val="00B409A1"/>
    <w:rsid w:val="00B40FD0"/>
    <w:rsid w:val="00B41EE6"/>
    <w:rsid w:val="00B42E74"/>
    <w:rsid w:val="00B45731"/>
    <w:rsid w:val="00B51A70"/>
    <w:rsid w:val="00B52EB0"/>
    <w:rsid w:val="00B53AAE"/>
    <w:rsid w:val="00B54EB6"/>
    <w:rsid w:val="00B55C04"/>
    <w:rsid w:val="00B56119"/>
    <w:rsid w:val="00B56E84"/>
    <w:rsid w:val="00B57357"/>
    <w:rsid w:val="00B57F43"/>
    <w:rsid w:val="00B61208"/>
    <w:rsid w:val="00B62383"/>
    <w:rsid w:val="00B6338F"/>
    <w:rsid w:val="00B6537C"/>
    <w:rsid w:val="00B65629"/>
    <w:rsid w:val="00B66FD5"/>
    <w:rsid w:val="00B67F86"/>
    <w:rsid w:val="00B7115C"/>
    <w:rsid w:val="00B71DFE"/>
    <w:rsid w:val="00B73195"/>
    <w:rsid w:val="00B77F1F"/>
    <w:rsid w:val="00B81E0C"/>
    <w:rsid w:val="00B824D6"/>
    <w:rsid w:val="00B83ED2"/>
    <w:rsid w:val="00B8454B"/>
    <w:rsid w:val="00B85053"/>
    <w:rsid w:val="00B85F4E"/>
    <w:rsid w:val="00B8607D"/>
    <w:rsid w:val="00B873D1"/>
    <w:rsid w:val="00B91B91"/>
    <w:rsid w:val="00B9265A"/>
    <w:rsid w:val="00B94EBD"/>
    <w:rsid w:val="00BA079B"/>
    <w:rsid w:val="00BA0F8A"/>
    <w:rsid w:val="00BA17CD"/>
    <w:rsid w:val="00BA41A5"/>
    <w:rsid w:val="00BA665D"/>
    <w:rsid w:val="00BA760E"/>
    <w:rsid w:val="00BA7842"/>
    <w:rsid w:val="00BB056D"/>
    <w:rsid w:val="00BB0EDE"/>
    <w:rsid w:val="00BB108D"/>
    <w:rsid w:val="00BB1E6B"/>
    <w:rsid w:val="00BB28EC"/>
    <w:rsid w:val="00BB295B"/>
    <w:rsid w:val="00BB35ED"/>
    <w:rsid w:val="00BB572E"/>
    <w:rsid w:val="00BB5790"/>
    <w:rsid w:val="00BB59C8"/>
    <w:rsid w:val="00BB758F"/>
    <w:rsid w:val="00BB791B"/>
    <w:rsid w:val="00BB7A82"/>
    <w:rsid w:val="00BC14BD"/>
    <w:rsid w:val="00BC1E38"/>
    <w:rsid w:val="00BC22C5"/>
    <w:rsid w:val="00BC7A7F"/>
    <w:rsid w:val="00BD06D8"/>
    <w:rsid w:val="00BD187E"/>
    <w:rsid w:val="00BD518C"/>
    <w:rsid w:val="00BD6C4D"/>
    <w:rsid w:val="00BE1718"/>
    <w:rsid w:val="00BE23D3"/>
    <w:rsid w:val="00BE369F"/>
    <w:rsid w:val="00BE54C1"/>
    <w:rsid w:val="00BE55A3"/>
    <w:rsid w:val="00BE6380"/>
    <w:rsid w:val="00BF0815"/>
    <w:rsid w:val="00BF3545"/>
    <w:rsid w:val="00BF369C"/>
    <w:rsid w:val="00BF38D8"/>
    <w:rsid w:val="00BF551E"/>
    <w:rsid w:val="00BF5EA1"/>
    <w:rsid w:val="00BF6ED5"/>
    <w:rsid w:val="00C023E9"/>
    <w:rsid w:val="00C02930"/>
    <w:rsid w:val="00C04295"/>
    <w:rsid w:val="00C04E51"/>
    <w:rsid w:val="00C066D1"/>
    <w:rsid w:val="00C0670F"/>
    <w:rsid w:val="00C07C0B"/>
    <w:rsid w:val="00C10AF7"/>
    <w:rsid w:val="00C1264B"/>
    <w:rsid w:val="00C12C88"/>
    <w:rsid w:val="00C15B6C"/>
    <w:rsid w:val="00C1705C"/>
    <w:rsid w:val="00C2185F"/>
    <w:rsid w:val="00C21A73"/>
    <w:rsid w:val="00C21A7F"/>
    <w:rsid w:val="00C22F41"/>
    <w:rsid w:val="00C25E53"/>
    <w:rsid w:val="00C31E25"/>
    <w:rsid w:val="00C32345"/>
    <w:rsid w:val="00C324AD"/>
    <w:rsid w:val="00C326D0"/>
    <w:rsid w:val="00C33FD9"/>
    <w:rsid w:val="00C3491D"/>
    <w:rsid w:val="00C34BC2"/>
    <w:rsid w:val="00C354CE"/>
    <w:rsid w:val="00C35D5A"/>
    <w:rsid w:val="00C36E7C"/>
    <w:rsid w:val="00C3752E"/>
    <w:rsid w:val="00C37A75"/>
    <w:rsid w:val="00C406F3"/>
    <w:rsid w:val="00C41176"/>
    <w:rsid w:val="00C41DB6"/>
    <w:rsid w:val="00C43009"/>
    <w:rsid w:val="00C43868"/>
    <w:rsid w:val="00C44B5F"/>
    <w:rsid w:val="00C44B6F"/>
    <w:rsid w:val="00C44E3C"/>
    <w:rsid w:val="00C45299"/>
    <w:rsid w:val="00C510A1"/>
    <w:rsid w:val="00C52B4E"/>
    <w:rsid w:val="00C5480F"/>
    <w:rsid w:val="00C62EF3"/>
    <w:rsid w:val="00C631EE"/>
    <w:rsid w:val="00C63690"/>
    <w:rsid w:val="00C64F53"/>
    <w:rsid w:val="00C6553C"/>
    <w:rsid w:val="00C66BDB"/>
    <w:rsid w:val="00C700B4"/>
    <w:rsid w:val="00C7182E"/>
    <w:rsid w:val="00C727D5"/>
    <w:rsid w:val="00C749F7"/>
    <w:rsid w:val="00C755F8"/>
    <w:rsid w:val="00C76940"/>
    <w:rsid w:val="00C76FFC"/>
    <w:rsid w:val="00C80DE3"/>
    <w:rsid w:val="00C8441C"/>
    <w:rsid w:val="00C85CEF"/>
    <w:rsid w:val="00C863DC"/>
    <w:rsid w:val="00C90251"/>
    <w:rsid w:val="00C92676"/>
    <w:rsid w:val="00C92705"/>
    <w:rsid w:val="00C93B30"/>
    <w:rsid w:val="00C93C19"/>
    <w:rsid w:val="00C93CD8"/>
    <w:rsid w:val="00C958D4"/>
    <w:rsid w:val="00C975DA"/>
    <w:rsid w:val="00CA2101"/>
    <w:rsid w:val="00CA279F"/>
    <w:rsid w:val="00CA4317"/>
    <w:rsid w:val="00CA7374"/>
    <w:rsid w:val="00CA76FD"/>
    <w:rsid w:val="00CA776D"/>
    <w:rsid w:val="00CB332E"/>
    <w:rsid w:val="00CB3C40"/>
    <w:rsid w:val="00CB4005"/>
    <w:rsid w:val="00CB57BA"/>
    <w:rsid w:val="00CB61A0"/>
    <w:rsid w:val="00CB61A1"/>
    <w:rsid w:val="00CB69D6"/>
    <w:rsid w:val="00CC00BA"/>
    <w:rsid w:val="00CC1C44"/>
    <w:rsid w:val="00CC20C9"/>
    <w:rsid w:val="00CC38FC"/>
    <w:rsid w:val="00CC6468"/>
    <w:rsid w:val="00CC6623"/>
    <w:rsid w:val="00CC6D10"/>
    <w:rsid w:val="00CD05AA"/>
    <w:rsid w:val="00CD1B58"/>
    <w:rsid w:val="00CD245D"/>
    <w:rsid w:val="00CD57DB"/>
    <w:rsid w:val="00CD5977"/>
    <w:rsid w:val="00CE0DF6"/>
    <w:rsid w:val="00CE21FA"/>
    <w:rsid w:val="00CE2D0B"/>
    <w:rsid w:val="00CE2E06"/>
    <w:rsid w:val="00CE54BC"/>
    <w:rsid w:val="00CF0297"/>
    <w:rsid w:val="00CF54F7"/>
    <w:rsid w:val="00CF731D"/>
    <w:rsid w:val="00D00860"/>
    <w:rsid w:val="00D011F6"/>
    <w:rsid w:val="00D01653"/>
    <w:rsid w:val="00D01716"/>
    <w:rsid w:val="00D02242"/>
    <w:rsid w:val="00D047FE"/>
    <w:rsid w:val="00D05927"/>
    <w:rsid w:val="00D05AC7"/>
    <w:rsid w:val="00D0614A"/>
    <w:rsid w:val="00D06478"/>
    <w:rsid w:val="00D06604"/>
    <w:rsid w:val="00D0793C"/>
    <w:rsid w:val="00D1203C"/>
    <w:rsid w:val="00D12148"/>
    <w:rsid w:val="00D15456"/>
    <w:rsid w:val="00D15C0B"/>
    <w:rsid w:val="00D1668D"/>
    <w:rsid w:val="00D2167B"/>
    <w:rsid w:val="00D222BB"/>
    <w:rsid w:val="00D224B2"/>
    <w:rsid w:val="00D237AF"/>
    <w:rsid w:val="00D25E23"/>
    <w:rsid w:val="00D25E6D"/>
    <w:rsid w:val="00D263FE"/>
    <w:rsid w:val="00D266DD"/>
    <w:rsid w:val="00D27A7B"/>
    <w:rsid w:val="00D30B76"/>
    <w:rsid w:val="00D316B5"/>
    <w:rsid w:val="00D3389F"/>
    <w:rsid w:val="00D33FD6"/>
    <w:rsid w:val="00D37DB3"/>
    <w:rsid w:val="00D40009"/>
    <w:rsid w:val="00D42068"/>
    <w:rsid w:val="00D42C8A"/>
    <w:rsid w:val="00D45CFC"/>
    <w:rsid w:val="00D4625E"/>
    <w:rsid w:val="00D4643E"/>
    <w:rsid w:val="00D51274"/>
    <w:rsid w:val="00D5189E"/>
    <w:rsid w:val="00D51D6A"/>
    <w:rsid w:val="00D52CC7"/>
    <w:rsid w:val="00D53195"/>
    <w:rsid w:val="00D56B74"/>
    <w:rsid w:val="00D571FC"/>
    <w:rsid w:val="00D61A35"/>
    <w:rsid w:val="00D61E1B"/>
    <w:rsid w:val="00D642BB"/>
    <w:rsid w:val="00D66680"/>
    <w:rsid w:val="00D700D3"/>
    <w:rsid w:val="00D70781"/>
    <w:rsid w:val="00D71E0E"/>
    <w:rsid w:val="00D7384C"/>
    <w:rsid w:val="00D73FC8"/>
    <w:rsid w:val="00D7426A"/>
    <w:rsid w:val="00D75CAD"/>
    <w:rsid w:val="00D76971"/>
    <w:rsid w:val="00D80E4C"/>
    <w:rsid w:val="00D81CB3"/>
    <w:rsid w:val="00D85C28"/>
    <w:rsid w:val="00D8677F"/>
    <w:rsid w:val="00D869A0"/>
    <w:rsid w:val="00D86E49"/>
    <w:rsid w:val="00D9211A"/>
    <w:rsid w:val="00D938E3"/>
    <w:rsid w:val="00D93B73"/>
    <w:rsid w:val="00D93CAD"/>
    <w:rsid w:val="00D94869"/>
    <w:rsid w:val="00D9664D"/>
    <w:rsid w:val="00D9741E"/>
    <w:rsid w:val="00D97FE2"/>
    <w:rsid w:val="00DA5997"/>
    <w:rsid w:val="00DB1204"/>
    <w:rsid w:val="00DB1DE2"/>
    <w:rsid w:val="00DB3022"/>
    <w:rsid w:val="00DB3C97"/>
    <w:rsid w:val="00DB41B0"/>
    <w:rsid w:val="00DB6899"/>
    <w:rsid w:val="00DB7815"/>
    <w:rsid w:val="00DB7A65"/>
    <w:rsid w:val="00DC23DB"/>
    <w:rsid w:val="00DC2612"/>
    <w:rsid w:val="00DC330C"/>
    <w:rsid w:val="00DC37C3"/>
    <w:rsid w:val="00DC5C3C"/>
    <w:rsid w:val="00DC5EF1"/>
    <w:rsid w:val="00DC6C53"/>
    <w:rsid w:val="00DC6C79"/>
    <w:rsid w:val="00DC6CC7"/>
    <w:rsid w:val="00DC7440"/>
    <w:rsid w:val="00DC7FC6"/>
    <w:rsid w:val="00DD1378"/>
    <w:rsid w:val="00DD1C97"/>
    <w:rsid w:val="00DD2542"/>
    <w:rsid w:val="00DD2800"/>
    <w:rsid w:val="00DD3BED"/>
    <w:rsid w:val="00DD6DE9"/>
    <w:rsid w:val="00DD7EEB"/>
    <w:rsid w:val="00DE145F"/>
    <w:rsid w:val="00DE1BFD"/>
    <w:rsid w:val="00DE1E25"/>
    <w:rsid w:val="00DE3926"/>
    <w:rsid w:val="00DE4C9F"/>
    <w:rsid w:val="00DE5DF6"/>
    <w:rsid w:val="00DE61B3"/>
    <w:rsid w:val="00DE6B95"/>
    <w:rsid w:val="00DF0452"/>
    <w:rsid w:val="00DF300E"/>
    <w:rsid w:val="00DF6016"/>
    <w:rsid w:val="00E01D72"/>
    <w:rsid w:val="00E03B5F"/>
    <w:rsid w:val="00E05095"/>
    <w:rsid w:val="00E06419"/>
    <w:rsid w:val="00E07C2C"/>
    <w:rsid w:val="00E10AB9"/>
    <w:rsid w:val="00E11B09"/>
    <w:rsid w:val="00E14679"/>
    <w:rsid w:val="00E14C8B"/>
    <w:rsid w:val="00E15AF8"/>
    <w:rsid w:val="00E22616"/>
    <w:rsid w:val="00E23062"/>
    <w:rsid w:val="00E24F80"/>
    <w:rsid w:val="00E2669C"/>
    <w:rsid w:val="00E30D16"/>
    <w:rsid w:val="00E412DB"/>
    <w:rsid w:val="00E42705"/>
    <w:rsid w:val="00E42EB2"/>
    <w:rsid w:val="00E43862"/>
    <w:rsid w:val="00E44BC9"/>
    <w:rsid w:val="00E454B7"/>
    <w:rsid w:val="00E47573"/>
    <w:rsid w:val="00E47E78"/>
    <w:rsid w:val="00E50E71"/>
    <w:rsid w:val="00E51E3D"/>
    <w:rsid w:val="00E52103"/>
    <w:rsid w:val="00E53415"/>
    <w:rsid w:val="00E60701"/>
    <w:rsid w:val="00E60BD9"/>
    <w:rsid w:val="00E62DDE"/>
    <w:rsid w:val="00E63496"/>
    <w:rsid w:val="00E6385A"/>
    <w:rsid w:val="00E64F50"/>
    <w:rsid w:val="00E65B9E"/>
    <w:rsid w:val="00E664CD"/>
    <w:rsid w:val="00E70289"/>
    <w:rsid w:val="00E7031F"/>
    <w:rsid w:val="00E704DD"/>
    <w:rsid w:val="00E70A92"/>
    <w:rsid w:val="00E724E4"/>
    <w:rsid w:val="00E75068"/>
    <w:rsid w:val="00E75ACF"/>
    <w:rsid w:val="00E762E2"/>
    <w:rsid w:val="00E76923"/>
    <w:rsid w:val="00E76DF2"/>
    <w:rsid w:val="00E7751B"/>
    <w:rsid w:val="00E8674E"/>
    <w:rsid w:val="00E878E3"/>
    <w:rsid w:val="00E90370"/>
    <w:rsid w:val="00E92007"/>
    <w:rsid w:val="00E974C2"/>
    <w:rsid w:val="00EA1A86"/>
    <w:rsid w:val="00EA1E4E"/>
    <w:rsid w:val="00EA3D29"/>
    <w:rsid w:val="00EA4C52"/>
    <w:rsid w:val="00EA74C2"/>
    <w:rsid w:val="00EB2A49"/>
    <w:rsid w:val="00EB35EE"/>
    <w:rsid w:val="00EB5F1F"/>
    <w:rsid w:val="00EB5F5E"/>
    <w:rsid w:val="00EB6311"/>
    <w:rsid w:val="00EB6922"/>
    <w:rsid w:val="00EB7B38"/>
    <w:rsid w:val="00EC299B"/>
    <w:rsid w:val="00EC448C"/>
    <w:rsid w:val="00EC4AE4"/>
    <w:rsid w:val="00EC73DC"/>
    <w:rsid w:val="00ED150B"/>
    <w:rsid w:val="00ED3013"/>
    <w:rsid w:val="00ED476F"/>
    <w:rsid w:val="00ED5C74"/>
    <w:rsid w:val="00ED66D6"/>
    <w:rsid w:val="00ED7183"/>
    <w:rsid w:val="00ED74A1"/>
    <w:rsid w:val="00ED7610"/>
    <w:rsid w:val="00EE13C4"/>
    <w:rsid w:val="00EE2B3B"/>
    <w:rsid w:val="00EE4360"/>
    <w:rsid w:val="00EE4D77"/>
    <w:rsid w:val="00EE5CD4"/>
    <w:rsid w:val="00EF01C7"/>
    <w:rsid w:val="00EF2733"/>
    <w:rsid w:val="00EF3C63"/>
    <w:rsid w:val="00EF44B8"/>
    <w:rsid w:val="00EF6059"/>
    <w:rsid w:val="00F039F6"/>
    <w:rsid w:val="00F0459D"/>
    <w:rsid w:val="00F0481E"/>
    <w:rsid w:val="00F04E11"/>
    <w:rsid w:val="00F05482"/>
    <w:rsid w:val="00F0664E"/>
    <w:rsid w:val="00F07FE0"/>
    <w:rsid w:val="00F103B1"/>
    <w:rsid w:val="00F10CC9"/>
    <w:rsid w:val="00F1117E"/>
    <w:rsid w:val="00F11D50"/>
    <w:rsid w:val="00F13004"/>
    <w:rsid w:val="00F15C68"/>
    <w:rsid w:val="00F17D24"/>
    <w:rsid w:val="00F2076A"/>
    <w:rsid w:val="00F2206E"/>
    <w:rsid w:val="00F223C7"/>
    <w:rsid w:val="00F228CA"/>
    <w:rsid w:val="00F2513D"/>
    <w:rsid w:val="00F26224"/>
    <w:rsid w:val="00F32DF5"/>
    <w:rsid w:val="00F342A2"/>
    <w:rsid w:val="00F37E2F"/>
    <w:rsid w:val="00F40423"/>
    <w:rsid w:val="00F40710"/>
    <w:rsid w:val="00F409F2"/>
    <w:rsid w:val="00F414BB"/>
    <w:rsid w:val="00F42A4E"/>
    <w:rsid w:val="00F43B35"/>
    <w:rsid w:val="00F45504"/>
    <w:rsid w:val="00F47E89"/>
    <w:rsid w:val="00F50147"/>
    <w:rsid w:val="00F50668"/>
    <w:rsid w:val="00F51045"/>
    <w:rsid w:val="00F51A67"/>
    <w:rsid w:val="00F54B99"/>
    <w:rsid w:val="00F54EAC"/>
    <w:rsid w:val="00F56288"/>
    <w:rsid w:val="00F575C6"/>
    <w:rsid w:val="00F57F74"/>
    <w:rsid w:val="00F60BEE"/>
    <w:rsid w:val="00F60FCE"/>
    <w:rsid w:val="00F61E5C"/>
    <w:rsid w:val="00F626E2"/>
    <w:rsid w:val="00F649CC"/>
    <w:rsid w:val="00F70F12"/>
    <w:rsid w:val="00F714D5"/>
    <w:rsid w:val="00F73020"/>
    <w:rsid w:val="00F75106"/>
    <w:rsid w:val="00F76169"/>
    <w:rsid w:val="00F76A6F"/>
    <w:rsid w:val="00F76AF5"/>
    <w:rsid w:val="00F76FD2"/>
    <w:rsid w:val="00F778D3"/>
    <w:rsid w:val="00F80823"/>
    <w:rsid w:val="00F845FD"/>
    <w:rsid w:val="00F85435"/>
    <w:rsid w:val="00F866F5"/>
    <w:rsid w:val="00F866FE"/>
    <w:rsid w:val="00F86D16"/>
    <w:rsid w:val="00F87426"/>
    <w:rsid w:val="00F92363"/>
    <w:rsid w:val="00F938E2"/>
    <w:rsid w:val="00F94E45"/>
    <w:rsid w:val="00F97874"/>
    <w:rsid w:val="00F97C36"/>
    <w:rsid w:val="00FA2B84"/>
    <w:rsid w:val="00FA3825"/>
    <w:rsid w:val="00FA40F8"/>
    <w:rsid w:val="00FA4A16"/>
    <w:rsid w:val="00FA6544"/>
    <w:rsid w:val="00FB01B4"/>
    <w:rsid w:val="00FB1819"/>
    <w:rsid w:val="00FB23D8"/>
    <w:rsid w:val="00FB280F"/>
    <w:rsid w:val="00FB2B9D"/>
    <w:rsid w:val="00FB39B7"/>
    <w:rsid w:val="00FB5304"/>
    <w:rsid w:val="00FB5354"/>
    <w:rsid w:val="00FB5455"/>
    <w:rsid w:val="00FB5485"/>
    <w:rsid w:val="00FB5CAF"/>
    <w:rsid w:val="00FB6220"/>
    <w:rsid w:val="00FB6580"/>
    <w:rsid w:val="00FB6C8E"/>
    <w:rsid w:val="00FB6DA8"/>
    <w:rsid w:val="00FB724F"/>
    <w:rsid w:val="00FC07D5"/>
    <w:rsid w:val="00FC1BB0"/>
    <w:rsid w:val="00FC40C3"/>
    <w:rsid w:val="00FC467F"/>
    <w:rsid w:val="00FC4B83"/>
    <w:rsid w:val="00FC71C2"/>
    <w:rsid w:val="00FC77F5"/>
    <w:rsid w:val="00FD0C04"/>
    <w:rsid w:val="00FD12E4"/>
    <w:rsid w:val="00FD4125"/>
    <w:rsid w:val="00FD5A7C"/>
    <w:rsid w:val="00FD72D7"/>
    <w:rsid w:val="00FD783D"/>
    <w:rsid w:val="00FE03F7"/>
    <w:rsid w:val="00FE06FF"/>
    <w:rsid w:val="00FE1944"/>
    <w:rsid w:val="00FE2972"/>
    <w:rsid w:val="00FE2E40"/>
    <w:rsid w:val="00FE3783"/>
    <w:rsid w:val="00FE5086"/>
    <w:rsid w:val="00FE5201"/>
    <w:rsid w:val="00FE7D1D"/>
    <w:rsid w:val="00FF1C6A"/>
    <w:rsid w:val="00FF2C6C"/>
    <w:rsid w:val="00FF3866"/>
    <w:rsid w:val="00FF424B"/>
    <w:rsid w:val="00FF586C"/>
    <w:rsid w:val="00FF6F40"/>
    <w:rsid w:val="00FF7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ED66D6"/>
    <w:pPr>
      <w:spacing w:line="240" w:lineRule="auto"/>
    </w:pPr>
    <w:rPr>
      <w:sz w:val="20"/>
      <w:szCs w:val="20"/>
    </w:rPr>
  </w:style>
  <w:style w:type="character" w:customStyle="1" w:styleId="VoetnoottekstChar">
    <w:name w:val="Voetnoottekst Char"/>
    <w:basedOn w:val="Standaardalinea-lettertype"/>
    <w:link w:val="Voetnoottekst"/>
    <w:uiPriority w:val="99"/>
    <w:rsid w:val="00ED66D6"/>
    <w:rPr>
      <w:rFonts w:ascii="Verdana" w:hAnsi="Verdana"/>
      <w:color w:val="000000"/>
    </w:rPr>
  </w:style>
  <w:style w:type="character" w:styleId="Voetnootmarkering">
    <w:name w:val="footnote reference"/>
    <w:basedOn w:val="Standaardalinea-lettertype"/>
    <w:uiPriority w:val="99"/>
    <w:semiHidden/>
    <w:unhideWhenUsed/>
    <w:rsid w:val="00ED66D6"/>
    <w:rPr>
      <w:vertAlign w:val="superscript"/>
    </w:rPr>
  </w:style>
  <w:style w:type="paragraph" w:styleId="Koptekst">
    <w:name w:val="header"/>
    <w:basedOn w:val="Standaard"/>
    <w:link w:val="KoptekstChar"/>
    <w:uiPriority w:val="99"/>
    <w:unhideWhenUsed/>
    <w:rsid w:val="007654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54F0"/>
    <w:rPr>
      <w:rFonts w:ascii="Verdana" w:hAnsi="Verdana"/>
      <w:color w:val="000000"/>
      <w:sz w:val="18"/>
      <w:szCs w:val="18"/>
    </w:rPr>
  </w:style>
  <w:style w:type="paragraph" w:styleId="Lijstalinea">
    <w:name w:val="List Paragraph"/>
    <w:basedOn w:val="Standaard"/>
    <w:uiPriority w:val="34"/>
    <w:qFormat/>
    <w:rsid w:val="00E47E78"/>
    <w:pPr>
      <w:ind w:left="720"/>
      <w:contextualSpacing/>
    </w:pPr>
  </w:style>
  <w:style w:type="character" w:styleId="Verwijzingopmerking">
    <w:name w:val="annotation reference"/>
    <w:basedOn w:val="Standaardalinea-lettertype"/>
    <w:uiPriority w:val="99"/>
    <w:semiHidden/>
    <w:unhideWhenUsed/>
    <w:rsid w:val="00A51E73"/>
    <w:rPr>
      <w:sz w:val="16"/>
      <w:szCs w:val="16"/>
    </w:rPr>
  </w:style>
  <w:style w:type="paragraph" w:styleId="Tekstopmerking">
    <w:name w:val="annotation text"/>
    <w:basedOn w:val="Standaard"/>
    <w:link w:val="TekstopmerkingChar"/>
    <w:uiPriority w:val="99"/>
    <w:unhideWhenUsed/>
    <w:rsid w:val="00A51E73"/>
    <w:pPr>
      <w:spacing w:line="240" w:lineRule="auto"/>
    </w:pPr>
    <w:rPr>
      <w:sz w:val="20"/>
      <w:szCs w:val="20"/>
    </w:rPr>
  </w:style>
  <w:style w:type="character" w:customStyle="1" w:styleId="TekstopmerkingChar">
    <w:name w:val="Tekst opmerking Char"/>
    <w:basedOn w:val="Standaardalinea-lettertype"/>
    <w:link w:val="Tekstopmerking"/>
    <w:uiPriority w:val="99"/>
    <w:rsid w:val="00A51E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1E73"/>
    <w:rPr>
      <w:b/>
      <w:bCs/>
    </w:rPr>
  </w:style>
  <w:style w:type="character" w:customStyle="1" w:styleId="OnderwerpvanopmerkingChar">
    <w:name w:val="Onderwerp van opmerking Char"/>
    <w:basedOn w:val="TekstopmerkingChar"/>
    <w:link w:val="Onderwerpvanopmerking"/>
    <w:uiPriority w:val="99"/>
    <w:semiHidden/>
    <w:rsid w:val="00A51E73"/>
    <w:rPr>
      <w:rFonts w:ascii="Verdana" w:hAnsi="Verdana"/>
      <w:b/>
      <w:bCs/>
      <w:color w:val="000000"/>
    </w:rPr>
  </w:style>
  <w:style w:type="character" w:styleId="Onopgelostemelding">
    <w:name w:val="Unresolved Mention"/>
    <w:basedOn w:val="Standaardalinea-lettertype"/>
    <w:uiPriority w:val="99"/>
    <w:semiHidden/>
    <w:unhideWhenUsed/>
    <w:rsid w:val="00C15B6C"/>
    <w:rPr>
      <w:color w:val="605E5C"/>
      <w:shd w:val="clear" w:color="auto" w:fill="E1DFDD"/>
    </w:rPr>
  </w:style>
  <w:style w:type="paragraph" w:styleId="Revisie">
    <w:name w:val="Revision"/>
    <w:hidden/>
    <w:uiPriority w:val="99"/>
    <w:semiHidden/>
    <w:rsid w:val="003409DC"/>
    <w:pPr>
      <w:autoSpaceDN/>
      <w:textAlignment w:val="auto"/>
    </w:pPr>
    <w:rPr>
      <w:rFonts w:ascii="Verdana" w:hAnsi="Verdana"/>
      <w:color w:val="000000"/>
      <w:sz w:val="18"/>
      <w:szCs w:val="18"/>
    </w:rPr>
  </w:style>
  <w:style w:type="paragraph" w:styleId="Geenafstand">
    <w:name w:val="No Spacing"/>
    <w:uiPriority w:val="1"/>
    <w:qFormat/>
    <w:rsid w:val="00D4625E"/>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5578">
      <w:bodyDiv w:val="1"/>
      <w:marLeft w:val="0"/>
      <w:marRight w:val="0"/>
      <w:marTop w:val="0"/>
      <w:marBottom w:val="0"/>
      <w:divBdr>
        <w:top w:val="none" w:sz="0" w:space="0" w:color="auto"/>
        <w:left w:val="none" w:sz="0" w:space="0" w:color="auto"/>
        <w:bottom w:val="none" w:sz="0" w:space="0" w:color="auto"/>
        <w:right w:val="none" w:sz="0" w:space="0" w:color="auto"/>
      </w:divBdr>
    </w:div>
    <w:div w:id="361322953">
      <w:bodyDiv w:val="1"/>
      <w:marLeft w:val="0"/>
      <w:marRight w:val="0"/>
      <w:marTop w:val="0"/>
      <w:marBottom w:val="0"/>
      <w:divBdr>
        <w:top w:val="none" w:sz="0" w:space="0" w:color="auto"/>
        <w:left w:val="none" w:sz="0" w:space="0" w:color="auto"/>
        <w:bottom w:val="none" w:sz="0" w:space="0" w:color="auto"/>
        <w:right w:val="none" w:sz="0" w:space="0" w:color="auto"/>
      </w:divBdr>
    </w:div>
    <w:div w:id="470245392">
      <w:bodyDiv w:val="1"/>
      <w:marLeft w:val="0"/>
      <w:marRight w:val="0"/>
      <w:marTop w:val="0"/>
      <w:marBottom w:val="0"/>
      <w:divBdr>
        <w:top w:val="none" w:sz="0" w:space="0" w:color="auto"/>
        <w:left w:val="none" w:sz="0" w:space="0" w:color="auto"/>
        <w:bottom w:val="none" w:sz="0" w:space="0" w:color="auto"/>
        <w:right w:val="none" w:sz="0" w:space="0" w:color="auto"/>
      </w:divBdr>
    </w:div>
    <w:div w:id="768475923">
      <w:bodyDiv w:val="1"/>
      <w:marLeft w:val="0"/>
      <w:marRight w:val="0"/>
      <w:marTop w:val="0"/>
      <w:marBottom w:val="0"/>
      <w:divBdr>
        <w:top w:val="none" w:sz="0" w:space="0" w:color="auto"/>
        <w:left w:val="none" w:sz="0" w:space="0" w:color="auto"/>
        <w:bottom w:val="none" w:sz="0" w:space="0" w:color="auto"/>
        <w:right w:val="none" w:sz="0" w:space="0" w:color="auto"/>
      </w:divBdr>
    </w:div>
    <w:div w:id="958679276">
      <w:bodyDiv w:val="1"/>
      <w:marLeft w:val="0"/>
      <w:marRight w:val="0"/>
      <w:marTop w:val="0"/>
      <w:marBottom w:val="0"/>
      <w:divBdr>
        <w:top w:val="none" w:sz="0" w:space="0" w:color="auto"/>
        <w:left w:val="none" w:sz="0" w:space="0" w:color="auto"/>
        <w:bottom w:val="none" w:sz="0" w:space="0" w:color="auto"/>
        <w:right w:val="none" w:sz="0" w:space="0" w:color="auto"/>
      </w:divBdr>
    </w:div>
    <w:div w:id="1292714528">
      <w:bodyDiv w:val="1"/>
      <w:marLeft w:val="0"/>
      <w:marRight w:val="0"/>
      <w:marTop w:val="0"/>
      <w:marBottom w:val="0"/>
      <w:divBdr>
        <w:top w:val="none" w:sz="0" w:space="0" w:color="auto"/>
        <w:left w:val="none" w:sz="0" w:space="0" w:color="auto"/>
        <w:bottom w:val="none" w:sz="0" w:space="0" w:color="auto"/>
        <w:right w:val="none" w:sz="0" w:space="0" w:color="auto"/>
      </w:divBdr>
    </w:div>
    <w:div w:id="1566794470">
      <w:bodyDiv w:val="1"/>
      <w:marLeft w:val="0"/>
      <w:marRight w:val="0"/>
      <w:marTop w:val="0"/>
      <w:marBottom w:val="0"/>
      <w:divBdr>
        <w:top w:val="none" w:sz="0" w:space="0" w:color="auto"/>
        <w:left w:val="none" w:sz="0" w:space="0" w:color="auto"/>
        <w:bottom w:val="none" w:sz="0" w:space="0" w:color="auto"/>
        <w:right w:val="none" w:sz="0" w:space="0" w:color="auto"/>
      </w:divBdr>
    </w:div>
    <w:div w:id="1824853972">
      <w:bodyDiv w:val="1"/>
      <w:marLeft w:val="0"/>
      <w:marRight w:val="0"/>
      <w:marTop w:val="0"/>
      <w:marBottom w:val="0"/>
      <w:divBdr>
        <w:top w:val="none" w:sz="0" w:space="0" w:color="auto"/>
        <w:left w:val="none" w:sz="0" w:space="0" w:color="auto"/>
        <w:bottom w:val="none" w:sz="0" w:space="0" w:color="auto"/>
        <w:right w:val="none" w:sz="0" w:space="0" w:color="auto"/>
      </w:divBdr>
    </w:div>
    <w:div w:id="1832211444">
      <w:bodyDiv w:val="1"/>
      <w:marLeft w:val="0"/>
      <w:marRight w:val="0"/>
      <w:marTop w:val="0"/>
      <w:marBottom w:val="0"/>
      <w:divBdr>
        <w:top w:val="none" w:sz="0" w:space="0" w:color="auto"/>
        <w:left w:val="none" w:sz="0" w:space="0" w:color="auto"/>
        <w:bottom w:val="none" w:sz="0" w:space="0" w:color="auto"/>
        <w:right w:val="none" w:sz="0" w:space="0" w:color="auto"/>
      </w:divBdr>
    </w:div>
    <w:div w:id="1887906063">
      <w:bodyDiv w:val="1"/>
      <w:marLeft w:val="0"/>
      <w:marRight w:val="0"/>
      <w:marTop w:val="0"/>
      <w:marBottom w:val="0"/>
      <w:divBdr>
        <w:top w:val="none" w:sz="0" w:space="0" w:color="auto"/>
        <w:left w:val="none" w:sz="0" w:space="0" w:color="auto"/>
        <w:bottom w:val="none" w:sz="0" w:space="0" w:color="auto"/>
        <w:right w:val="none" w:sz="0" w:space="0" w:color="auto"/>
      </w:divBdr>
    </w:div>
    <w:div w:id="1936479903">
      <w:bodyDiv w:val="1"/>
      <w:marLeft w:val="0"/>
      <w:marRight w:val="0"/>
      <w:marTop w:val="0"/>
      <w:marBottom w:val="0"/>
      <w:divBdr>
        <w:top w:val="none" w:sz="0" w:space="0" w:color="auto"/>
        <w:left w:val="none" w:sz="0" w:space="0" w:color="auto"/>
        <w:bottom w:val="none" w:sz="0" w:space="0" w:color="auto"/>
        <w:right w:val="none" w:sz="0" w:space="0" w:color="auto"/>
      </w:divBdr>
    </w:div>
    <w:div w:id="1983728758">
      <w:bodyDiv w:val="1"/>
      <w:marLeft w:val="0"/>
      <w:marRight w:val="0"/>
      <w:marTop w:val="0"/>
      <w:marBottom w:val="0"/>
      <w:divBdr>
        <w:top w:val="none" w:sz="0" w:space="0" w:color="auto"/>
        <w:left w:val="none" w:sz="0" w:space="0" w:color="auto"/>
        <w:bottom w:val="none" w:sz="0" w:space="0" w:color="auto"/>
        <w:right w:val="none" w:sz="0" w:space="0" w:color="auto"/>
      </w:divBdr>
    </w:div>
    <w:div w:id="2020110327">
      <w:bodyDiv w:val="1"/>
      <w:marLeft w:val="0"/>
      <w:marRight w:val="0"/>
      <w:marTop w:val="0"/>
      <w:marBottom w:val="0"/>
      <w:divBdr>
        <w:top w:val="none" w:sz="0" w:space="0" w:color="auto"/>
        <w:left w:val="none" w:sz="0" w:space="0" w:color="auto"/>
        <w:bottom w:val="none" w:sz="0" w:space="0" w:color="auto"/>
        <w:right w:val="none" w:sz="0" w:space="0" w:color="auto"/>
      </w:divBdr>
    </w:div>
    <w:div w:id="203175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5"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gokken.nl/" TargetMode="External"/><Relationship Id="rId2" Type="http://schemas.openxmlformats.org/officeDocument/2006/relationships/hyperlink" Target="https://kansspelautoriteit.nl/nieuws/2025/december/kansspelautoriteit-zet-integriteit/" TargetMode="External"/><Relationship Id="rId1" Type="http://schemas.openxmlformats.org/officeDocument/2006/relationships/hyperlink" Target="https://kansspelautoriteit.nl/ksa-publiceert-onderzoeken-en-geeft-guidance-over-zorgplicht" TargetMode="External"/><Relationship Id="rId4" Type="http://schemas.openxmlformats.org/officeDocument/2006/relationships/hyperlink" Target="https://www.trimbos.nl/aanbod/webwinkel/tri-62-122-wat-is-gokscha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7182</ap:Words>
  <ap:Characters>39507</ap:Characters>
  <ap:DocSecurity>0</ap:DocSecurity>
  <ap:Lines>329</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2026-06-12T08:44:00.0000000Z</dcterms:created>
  <dcterms:modified xsi:type="dcterms:W3CDTF">2026-06-12T08:45:00.0000000Z</dcterms:modified>
  <dc:description>------------------------</dc:description>
  <version/>
  <category/>
</coreProperties>
</file>