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DBC" w:rsidP="005F56B1" w:rsidRDefault="00052D80" w14:paraId="1104AABE" w14:textId="77777777">
      <w:pPr>
        <w:pStyle w:val="Huisstijl-Kopje"/>
      </w:pPr>
      <w:r>
        <w:t>Parafenroute</w:t>
      </w:r>
    </w:p>
    <w:p w:rsidRPr="00F04F0A" w:rsidR="00F04F0A" w:rsidP="00F04F0A" w:rsidRDefault="00F04F0A" w14:paraId="68D8F97E" w14:textId="77777777">
      <w:pPr>
        <w:spacing w:line="240" w:lineRule="auto"/>
        <w:rPr>
          <w:sz w:val="2"/>
          <w:szCs w:val="2"/>
        </w:rPr>
      </w:pPr>
    </w:p>
    <w:p w:rsidR="0028799F" w:rsidP="00AF78B4" w:rsidRDefault="0028799F" w14:paraId="66E843CB" w14:textId="77777777"/>
    <w:p w:rsidRPr="002B1950" w:rsidR="002B1950" w:rsidP="002B1950" w:rsidRDefault="002B1950" w14:paraId="5986C20F" w14:textId="77777777">
      <w:pPr>
        <w:spacing w:line="240" w:lineRule="auto"/>
        <w:rPr>
          <w:rFonts w:cs="Calibri" w:asciiTheme="minorHAnsi" w:hAnsiTheme="minorHAnsi"/>
          <w:sz w:val="28"/>
          <w:szCs w:val="28"/>
        </w:rPr>
      </w:pPr>
      <w:r w:rsidRPr="002B1950">
        <w:rPr>
          <w:rFonts w:cs="Calibri" w:asciiTheme="minorHAnsi" w:hAnsiTheme="minorHAnsi"/>
          <w:sz w:val="28"/>
          <w:szCs w:val="28"/>
        </w:rPr>
        <w:t>Aanleiding</w:t>
      </w:r>
    </w:p>
    <w:p w:rsidRPr="002B1950" w:rsidR="002B1950" w:rsidP="002B1950" w:rsidRDefault="002B1950" w14:paraId="21CFA08D" w14:textId="77777777">
      <w:pPr>
        <w:spacing w:line="240" w:lineRule="auto"/>
        <w:jc w:val="both"/>
      </w:pPr>
      <w:r w:rsidRPr="002B1950">
        <w:t xml:space="preserve">De tenders voor de kavels IJmuiden Ver Gamma-A (1 GW) en Gamma-B (1 GW) zijn voorzien om te openen op 26 november en te sluiten op donderdag 10 december om 17:00 uur van dit jaar. Zes maanden vooraf, halverwege juni, moeten de definitieve tenderregelingen zijn gepubliceerd om de markt voldoende voorbereidingstijd te geven om een aanvraag op te kunnen stellen. Via deze nota worden de definitieve tenderregelingen en Kamerbrief aan u voorgelegd. </w:t>
      </w:r>
    </w:p>
    <w:p w:rsidRPr="002B1950" w:rsidR="002B1950" w:rsidP="002B1950" w:rsidRDefault="002B1950" w14:paraId="354F18AA" w14:textId="77777777">
      <w:pPr>
        <w:spacing w:line="240" w:lineRule="auto"/>
        <w:jc w:val="both"/>
      </w:pPr>
    </w:p>
    <w:p w:rsidRPr="002B1950" w:rsidR="002B1950" w:rsidP="002B1950" w:rsidRDefault="002B1950" w14:paraId="36720AA0" w14:textId="77777777">
      <w:pPr>
        <w:spacing w:line="240" w:lineRule="auto"/>
        <w:jc w:val="both"/>
        <w:rPr>
          <w:rFonts w:cs="Calibri" w:asciiTheme="minorHAnsi" w:hAnsiTheme="minorHAnsi"/>
          <w:sz w:val="28"/>
          <w:szCs w:val="28"/>
        </w:rPr>
      </w:pPr>
      <w:r w:rsidRPr="002B1950">
        <w:rPr>
          <w:rFonts w:cs="Calibri" w:asciiTheme="minorHAnsi" w:hAnsiTheme="minorHAnsi"/>
          <w:sz w:val="28"/>
          <w:szCs w:val="28"/>
        </w:rPr>
        <w:t>Geadviseerd besluit</w:t>
      </w:r>
    </w:p>
    <w:p w:rsidRPr="002B1950" w:rsidR="002B1950" w:rsidP="002B1950" w:rsidRDefault="002B1950" w14:paraId="500E5FEF" w14:textId="77777777">
      <w:pPr>
        <w:spacing w:line="240" w:lineRule="auto"/>
        <w:rPr>
          <w:bCs/>
        </w:rPr>
      </w:pPr>
      <w:r w:rsidRPr="002B1950">
        <w:rPr>
          <w:bCs/>
        </w:rPr>
        <w:t>U wordt geadviseerd om:</w:t>
      </w:r>
    </w:p>
    <w:p w:rsidRPr="002B1950" w:rsidR="002B1950" w:rsidP="002B1950" w:rsidRDefault="002B1950" w14:paraId="52833C6C" w14:textId="77777777">
      <w:pPr>
        <w:numPr>
          <w:ilvl w:val="0"/>
          <w:numId w:val="16"/>
        </w:numPr>
        <w:spacing w:line="240" w:lineRule="auto"/>
        <w:rPr>
          <w:bCs/>
        </w:rPr>
      </w:pPr>
      <w:bookmarkStart w:name="OLE_LINK4" w:id="0"/>
      <w:r w:rsidRPr="002B1950">
        <w:rPr>
          <w:bCs/>
        </w:rPr>
        <w:t xml:space="preserve">Akkoord te gaan met het ophogen van het maximale tenderbedrag </w:t>
      </w:r>
      <w:r w:rsidRPr="002B1950">
        <w:t xml:space="preserve">van Gamma-A van </w:t>
      </w:r>
      <w:r w:rsidRPr="002B1950">
        <w:rPr>
          <w:rFonts w:cs="Verdana"/>
          <w:color w:val="000000" w:themeColor="text1"/>
          <w:szCs w:val="18"/>
        </w:rPr>
        <w:t xml:space="preserve">€ </w:t>
      </w:r>
      <w:r w:rsidRPr="002B1950">
        <w:rPr>
          <w:bCs/>
          <w:color w:val="000000" w:themeColor="text1"/>
        </w:rPr>
        <w:t xml:space="preserve">104/MWh </w:t>
      </w:r>
      <w:r w:rsidRPr="002B1950">
        <w:rPr>
          <w:color w:val="000000" w:themeColor="text1"/>
        </w:rPr>
        <w:t xml:space="preserve">naar </w:t>
      </w:r>
      <w:r w:rsidRPr="002B1950">
        <w:rPr>
          <w:bCs/>
          <w:color w:val="000000" w:themeColor="text1"/>
        </w:rPr>
        <w:t>€ 117/MWh en voor Gamma-B van € 103/MWh naar €1 16/MWh</w:t>
      </w:r>
      <w:r w:rsidRPr="002B1950">
        <w:t>;</w:t>
      </w:r>
    </w:p>
    <w:p w:rsidRPr="00A73839" w:rsidR="00A73839" w:rsidP="001F5816" w:rsidRDefault="002B1950" w14:paraId="10A02C53" w14:textId="5F50B33F">
      <w:pPr>
        <w:numPr>
          <w:ilvl w:val="0"/>
          <w:numId w:val="16"/>
        </w:numPr>
        <w:spacing w:line="240" w:lineRule="auto"/>
        <w:rPr>
          <w:bCs/>
        </w:rPr>
      </w:pPr>
      <w:r w:rsidRPr="002B1950">
        <w:t>De</w:t>
      </w:r>
      <w:r w:rsidRPr="002B1950">
        <w:rPr>
          <w:bCs/>
        </w:rPr>
        <w:t xml:space="preserve"> dekking (€ 1,5 miljard) </w:t>
      </w:r>
      <w:r w:rsidRPr="002B1950">
        <w:t>hiervoor te</w:t>
      </w:r>
      <w:r w:rsidRPr="002B1950">
        <w:rPr>
          <w:bCs/>
        </w:rPr>
        <w:t xml:space="preserve"> </w:t>
      </w:r>
      <w:r w:rsidRPr="002B1950">
        <w:t xml:space="preserve">halen </w:t>
      </w:r>
      <w:r w:rsidRPr="002B1950">
        <w:rPr>
          <w:bCs/>
        </w:rPr>
        <w:t>uit de gereserveerde coalitieakkoordmiddelen voor 40 GW windenergie op zee</w:t>
      </w:r>
      <w:r w:rsidR="009200F4">
        <w:rPr>
          <w:bCs/>
        </w:rPr>
        <w:t>.</w:t>
      </w:r>
    </w:p>
    <w:p w:rsidRPr="00A73839" w:rsidR="00A73839" w:rsidP="00A73839" w:rsidRDefault="00A73839" w14:paraId="025F20D7" w14:textId="315283E1">
      <w:pPr>
        <w:numPr>
          <w:ilvl w:val="0"/>
          <w:numId w:val="16"/>
        </w:numPr>
        <w:spacing w:line="240" w:lineRule="auto"/>
        <w:rPr>
          <w:bCs/>
        </w:rPr>
      </w:pPr>
      <w:r w:rsidRPr="00A73839">
        <w:rPr>
          <w:bCs/>
        </w:rPr>
        <w:t>Akkoord te gaan met de bijgevoegde Kamerbrief door deze te ondertekenen en te versturen aan de Eerste en Tweede Kamer op of na 12 juni;</w:t>
      </w:r>
    </w:p>
    <w:p w:rsidRPr="002B1950" w:rsidR="002B1950" w:rsidP="002B1950" w:rsidRDefault="002B1950" w14:paraId="00938FF6" w14:textId="311F47A0">
      <w:pPr>
        <w:numPr>
          <w:ilvl w:val="0"/>
          <w:numId w:val="16"/>
        </w:numPr>
        <w:spacing w:line="240" w:lineRule="auto"/>
        <w:rPr>
          <w:bCs/>
        </w:rPr>
      </w:pPr>
      <w:r w:rsidRPr="002B1950">
        <w:rPr>
          <w:bCs/>
        </w:rPr>
        <w:t xml:space="preserve">Akkoord te gaan met de bijgevoegde definitieve tenderregelingen voor IJmuiden Ver Gamma-A en Gamma-B, </w:t>
      </w:r>
      <w:r w:rsidR="001A51E9">
        <w:rPr>
          <w:bCs/>
        </w:rPr>
        <w:t xml:space="preserve">de regeling en de toelichting </w:t>
      </w:r>
      <w:r w:rsidRPr="002B1950">
        <w:rPr>
          <w:bCs/>
        </w:rPr>
        <w:t xml:space="preserve">te ondertekenen en </w:t>
      </w:r>
      <w:r w:rsidR="001A51E9">
        <w:rPr>
          <w:bCs/>
        </w:rPr>
        <w:t xml:space="preserve">deze </w:t>
      </w:r>
      <w:r w:rsidRPr="002B1950">
        <w:rPr>
          <w:bCs/>
        </w:rPr>
        <w:t>te publiceren in de Staatscourant na het versturen van de Kamerbief aan de</w:t>
      </w:r>
      <w:r w:rsidR="00AF501C">
        <w:rPr>
          <w:bCs/>
        </w:rPr>
        <w:t xml:space="preserve"> Eerste en de</w:t>
      </w:r>
      <w:r w:rsidRPr="002B1950">
        <w:rPr>
          <w:bCs/>
        </w:rPr>
        <w:t xml:space="preserve"> Tweede Kamer.</w:t>
      </w:r>
    </w:p>
    <w:bookmarkEnd w:id="0"/>
    <w:p w:rsidRPr="002B1950" w:rsidR="002B1950" w:rsidP="002B1950" w:rsidRDefault="002B1950" w14:paraId="38067C47" w14:textId="77777777">
      <w:pPr>
        <w:spacing w:line="240" w:lineRule="auto"/>
      </w:pPr>
    </w:p>
    <w:p w:rsidRPr="002B1950" w:rsidR="002B1950" w:rsidP="002B1950" w:rsidRDefault="002B1950" w14:paraId="6BDA7434" w14:textId="77777777">
      <w:pPr>
        <w:spacing w:line="240" w:lineRule="auto"/>
        <w:rPr>
          <w:rFonts w:cs="Calibri" w:asciiTheme="minorHAnsi" w:hAnsiTheme="minorHAnsi"/>
          <w:sz w:val="28"/>
          <w:szCs w:val="22"/>
        </w:rPr>
      </w:pPr>
      <w:r w:rsidRPr="002B1950">
        <w:rPr>
          <w:rFonts w:cs="Calibri" w:asciiTheme="minorHAnsi" w:hAnsiTheme="minorHAnsi"/>
          <w:sz w:val="28"/>
        </w:rPr>
        <w:t>Kernpunten</w:t>
      </w:r>
    </w:p>
    <w:p w:rsidRPr="002B1950" w:rsidR="002B1950" w:rsidP="002B1950" w:rsidRDefault="002B1950" w14:paraId="36A8CDFA" w14:textId="77777777">
      <w:pPr>
        <w:numPr>
          <w:ilvl w:val="0"/>
          <w:numId w:val="17"/>
        </w:numPr>
        <w:spacing w:line="240" w:lineRule="auto"/>
        <w:rPr>
          <w:color w:val="000000" w:themeColor="text1"/>
        </w:rPr>
      </w:pPr>
      <w:bookmarkStart w:name="OLE_LINK62" w:id="1"/>
      <w:r w:rsidRPr="002B1950">
        <w:rPr>
          <w:color w:val="000000" w:themeColor="text1"/>
        </w:rPr>
        <w:t>De ontwerp-tenderregelingen van IJmuiden Ver Gamma-A en Gamma-</w:t>
      </w:r>
      <w:r w:rsidRPr="002B1950">
        <w:rPr>
          <w:bCs/>
          <w:color w:val="000000" w:themeColor="text1"/>
        </w:rPr>
        <w:t xml:space="preserve">B zijn openbaar geconsulteerd. </w:t>
      </w:r>
      <w:r w:rsidRPr="002B1950">
        <w:rPr>
          <w:color w:val="000000" w:themeColor="text1"/>
        </w:rPr>
        <w:t xml:space="preserve">De reacties zijn aanleiding geweest voor een aantal </w:t>
      </w:r>
      <w:r w:rsidRPr="002B1950">
        <w:rPr>
          <w:bCs/>
          <w:color w:val="000000" w:themeColor="text1"/>
        </w:rPr>
        <w:t>wijzigingen:</w:t>
      </w:r>
    </w:p>
    <w:p w:rsidRPr="002B1950" w:rsidR="002B1950" w:rsidP="002B1950" w:rsidRDefault="002B1950" w14:paraId="04F2B6A2" w14:textId="77777777">
      <w:pPr>
        <w:numPr>
          <w:ilvl w:val="1"/>
          <w:numId w:val="17"/>
        </w:numPr>
        <w:spacing w:line="240" w:lineRule="auto"/>
        <w:rPr>
          <w:color w:val="000000" w:themeColor="text1"/>
        </w:rPr>
      </w:pPr>
      <w:bookmarkStart w:name="OLE_LINK67" w:id="2"/>
      <w:r w:rsidRPr="002B1950">
        <w:rPr>
          <w:bCs/>
          <w:color w:val="000000" w:themeColor="text1"/>
        </w:rPr>
        <w:t>Het maximale tenderbedrag voor Gamma-A en Gamma-B is verhoogd vanwege onzekerheid over het invoedingstarief; en</w:t>
      </w:r>
    </w:p>
    <w:bookmarkEnd w:id="2"/>
    <w:p w:rsidRPr="002B1950" w:rsidR="002B1950" w:rsidP="002B1950" w:rsidRDefault="002B1950" w14:paraId="6E550AEA" w14:textId="77777777">
      <w:pPr>
        <w:numPr>
          <w:ilvl w:val="1"/>
          <w:numId w:val="17"/>
        </w:numPr>
        <w:spacing w:line="240" w:lineRule="auto"/>
        <w:rPr>
          <w:color w:val="000000" w:themeColor="text1"/>
        </w:rPr>
      </w:pPr>
      <w:r w:rsidRPr="002B1950">
        <w:rPr>
          <w:bCs/>
          <w:color w:val="000000" w:themeColor="text1"/>
        </w:rPr>
        <w:t xml:space="preserve">Diverse bepalingen en de toelichting in de tenderregelingen zijn gewijzigd en of verduidelijkt, met name met betrekking tot de eisen vanwege de Europese </w:t>
      </w:r>
      <w:r w:rsidRPr="002B1950">
        <w:rPr>
          <w:i/>
          <w:color w:val="000000" w:themeColor="text1"/>
        </w:rPr>
        <w:t>Net Zero Industry Act</w:t>
      </w:r>
      <w:r w:rsidRPr="002B1950">
        <w:rPr>
          <w:bCs/>
          <w:color w:val="000000" w:themeColor="text1"/>
        </w:rPr>
        <w:t xml:space="preserve"> (NZIA).</w:t>
      </w:r>
    </w:p>
    <w:p w:rsidRPr="002B1950" w:rsidR="00BE6F08" w:rsidP="00BE6F08" w:rsidRDefault="004E5DD4" w14:paraId="04FE9AB5" w14:textId="68E70F61">
      <w:pPr>
        <w:numPr>
          <w:ilvl w:val="0"/>
          <w:numId w:val="17"/>
        </w:numPr>
        <w:spacing w:line="240" w:lineRule="auto"/>
        <w:rPr>
          <w:rFonts w:cs="Calibri"/>
        </w:rPr>
      </w:pPr>
      <w:r>
        <w:rPr>
          <w:rFonts w:cs="Calibri"/>
        </w:rPr>
        <w:t>Aanleiding voor het verhogen van het maximale tenderbedrag is dat h</w:t>
      </w:r>
      <w:r w:rsidRPr="002B1950" w:rsidR="00BE6F08">
        <w:rPr>
          <w:rFonts w:cs="Calibri"/>
        </w:rPr>
        <w:t xml:space="preserve">et PBL in </w:t>
      </w:r>
      <w:r w:rsidR="00BE6F08">
        <w:rPr>
          <w:rFonts w:cs="Calibri"/>
        </w:rPr>
        <w:t>zijn</w:t>
      </w:r>
      <w:r w:rsidRPr="002B1950" w:rsidR="00BE6F08">
        <w:rPr>
          <w:rFonts w:cs="Calibri"/>
        </w:rPr>
        <w:t xml:space="preserve"> advies over het maxim</w:t>
      </w:r>
      <w:r w:rsidR="00B30E88">
        <w:rPr>
          <w:rFonts w:cs="Calibri"/>
        </w:rPr>
        <w:t>ale</w:t>
      </w:r>
      <w:r w:rsidRPr="002B1950" w:rsidR="00BE6F08">
        <w:rPr>
          <w:rFonts w:cs="Calibri"/>
        </w:rPr>
        <w:t xml:space="preserve"> tenderbedrag geen rekening </w:t>
      </w:r>
      <w:r w:rsidR="00BA74AC">
        <w:rPr>
          <w:rFonts w:cs="Calibri"/>
        </w:rPr>
        <w:t xml:space="preserve">heeft </w:t>
      </w:r>
      <w:r w:rsidRPr="002B1950" w:rsidR="00BE6F08">
        <w:rPr>
          <w:rFonts w:cs="Calibri"/>
        </w:rPr>
        <w:t>kunnen houden met het invoedingstarief dat de ACM voornemens is om in te voeren</w:t>
      </w:r>
      <w:r w:rsidR="00BA74AC">
        <w:rPr>
          <w:rFonts w:cs="Calibri"/>
        </w:rPr>
        <w:t>. Dit</w:t>
      </w:r>
      <w:r w:rsidRPr="002B1950" w:rsidR="00BE6F08">
        <w:rPr>
          <w:rFonts w:cs="Calibri"/>
        </w:rPr>
        <w:t xml:space="preserve"> omdat de ACM nog geen duidelijkheid heeft gegeven over de vormgeving en hoogte van het tarief</w:t>
      </w:r>
      <w:r w:rsidR="00B30E88">
        <w:rPr>
          <w:rFonts w:cs="Calibri"/>
        </w:rPr>
        <w:t xml:space="preserve"> waardoor het effect op de businesscase niet te berekenen is</w:t>
      </w:r>
      <w:r w:rsidRPr="002B1950" w:rsidR="00BE6F08">
        <w:rPr>
          <w:rFonts w:cs="Calibri"/>
        </w:rPr>
        <w:t>.</w:t>
      </w:r>
      <w:r>
        <w:rPr>
          <w:rFonts w:cs="Calibri"/>
        </w:rPr>
        <w:t xml:space="preserve"> </w:t>
      </w:r>
    </w:p>
    <w:p w:rsidR="002B1950" w:rsidP="002B1950" w:rsidRDefault="002B1950" w14:paraId="4F909756" w14:textId="5E943567">
      <w:pPr>
        <w:numPr>
          <w:ilvl w:val="0"/>
          <w:numId w:val="17"/>
        </w:numPr>
        <w:spacing w:line="240" w:lineRule="auto"/>
        <w:rPr>
          <w:rFonts w:cs="Calibri"/>
        </w:rPr>
      </w:pPr>
      <w:r w:rsidRPr="002B1950">
        <w:rPr>
          <w:rFonts w:cs="Calibri"/>
        </w:rPr>
        <w:lastRenderedPageBreak/>
        <w:t xml:space="preserve">De ACM zal in de komende maanden een ontwerpbesluit voorbereiden met keuzes over de vormgeving, tariefhoogte en overgangsperiode van het invoedingstarief. Het ontwerpbesluit wordt begin 2027 gepubliceerd, maar in september </w:t>
      </w:r>
      <w:r w:rsidR="00A73839">
        <w:rPr>
          <w:rFonts w:cs="Calibri"/>
        </w:rPr>
        <w:t xml:space="preserve">2026 </w:t>
      </w:r>
      <w:r w:rsidRPr="002B1950">
        <w:rPr>
          <w:rFonts w:cs="Calibri"/>
        </w:rPr>
        <w:t>wordt (een deel van) de inhoud gedeeld. Deze informatie komt echter te laat voor de vaststelling van de definitieve tenderregelingen voor IJmuiden Ver Gamma-A en Gamma-B waarmee windparkontwikkelaars een aanvraag kunnen voorbereiden.</w:t>
      </w:r>
    </w:p>
    <w:p w:rsidRPr="001F5816" w:rsidR="001F5816" w:rsidP="00BE6F08" w:rsidRDefault="00BE6F08" w14:paraId="0459CBB2" w14:textId="77777777">
      <w:pPr>
        <w:numPr>
          <w:ilvl w:val="0"/>
          <w:numId w:val="17"/>
        </w:numPr>
        <w:spacing w:line="240" w:lineRule="auto"/>
        <w:rPr>
          <w:color w:val="000000" w:themeColor="text1"/>
        </w:rPr>
      </w:pPr>
      <w:r>
        <w:rPr>
          <w:rFonts w:cs="Verdana"/>
          <w:color w:val="191919"/>
          <w:szCs w:val="18"/>
          <w:lang w:eastAsia="en-US"/>
        </w:rPr>
        <w:t>Het verhogen van het maximale tenderbedrag</w:t>
      </w:r>
      <w:r w:rsidR="004E5DD4">
        <w:rPr>
          <w:rFonts w:cs="Verdana"/>
          <w:color w:val="191919"/>
          <w:szCs w:val="18"/>
          <w:lang w:eastAsia="en-US"/>
        </w:rPr>
        <w:t xml:space="preserve"> biedt windparkontwikkelaars de ruimte het risico van het invoedingstarief in te prijzen. Een voldoende hoog maximale tenderbedrag leidt naar verwachting, </w:t>
      </w:r>
      <w:r>
        <w:rPr>
          <w:rFonts w:cs="Verdana"/>
          <w:color w:val="191919"/>
          <w:szCs w:val="18"/>
          <w:lang w:eastAsia="en-US"/>
        </w:rPr>
        <w:t xml:space="preserve">zoals </w:t>
      </w:r>
      <w:r w:rsidR="00B30E88">
        <w:rPr>
          <w:rFonts w:cs="Verdana"/>
          <w:color w:val="191919"/>
          <w:szCs w:val="18"/>
          <w:lang w:eastAsia="en-US"/>
        </w:rPr>
        <w:t xml:space="preserve">het </w:t>
      </w:r>
      <w:r>
        <w:rPr>
          <w:rFonts w:cs="Verdana"/>
          <w:color w:val="191919"/>
          <w:szCs w:val="18"/>
          <w:lang w:eastAsia="en-US"/>
        </w:rPr>
        <w:t>PBL</w:t>
      </w:r>
      <w:r w:rsidRPr="003E707A">
        <w:rPr>
          <w:rFonts w:cs="Verdana"/>
          <w:color w:val="191919"/>
          <w:szCs w:val="18"/>
          <w:lang w:eastAsia="en-US"/>
        </w:rPr>
        <w:t xml:space="preserve"> </w:t>
      </w:r>
      <w:r w:rsidR="00B30E88">
        <w:rPr>
          <w:rFonts w:cs="Verdana"/>
          <w:color w:val="191919"/>
          <w:szCs w:val="18"/>
          <w:lang w:eastAsia="en-US"/>
        </w:rPr>
        <w:t xml:space="preserve">ook </w:t>
      </w:r>
      <w:r w:rsidRPr="003E707A">
        <w:rPr>
          <w:rFonts w:cs="Verdana"/>
          <w:color w:val="191919"/>
          <w:szCs w:val="18"/>
          <w:lang w:eastAsia="en-US"/>
        </w:rPr>
        <w:t>schrijf</w:t>
      </w:r>
      <w:r>
        <w:rPr>
          <w:rFonts w:cs="Verdana"/>
          <w:color w:val="191919"/>
          <w:szCs w:val="18"/>
          <w:lang w:eastAsia="en-US"/>
        </w:rPr>
        <w:t>t in zijn advies,</w:t>
      </w:r>
      <w:r w:rsidR="004E5DD4">
        <w:rPr>
          <w:rFonts w:cs="Verdana"/>
          <w:color w:val="191919"/>
          <w:szCs w:val="18"/>
          <w:lang w:eastAsia="en-US"/>
        </w:rPr>
        <w:t xml:space="preserve"> tot t</w:t>
      </w:r>
      <w:r w:rsidRPr="00BE6F08">
        <w:rPr>
          <w:rFonts w:cs="Verdana"/>
          <w:color w:val="191919"/>
          <w:szCs w:val="18"/>
          <w:lang w:eastAsia="en-US"/>
        </w:rPr>
        <w:t>oenemende competitie</w:t>
      </w:r>
      <w:r w:rsidR="004E5DD4">
        <w:rPr>
          <w:rFonts w:cs="Verdana"/>
          <w:color w:val="191919"/>
          <w:szCs w:val="18"/>
          <w:lang w:eastAsia="en-US"/>
        </w:rPr>
        <w:t xml:space="preserve">. </w:t>
      </w:r>
      <w:r w:rsidRPr="00BE6F08">
        <w:rPr>
          <w:rFonts w:cs="Verdana"/>
          <w:color w:val="191919"/>
          <w:szCs w:val="18"/>
          <w:lang w:eastAsia="en-US"/>
        </w:rPr>
        <w:t>Dit moet leiden tot een verhoogde slagingskans van de tenders dat kan bijdragen aan een lager winnend tenderbedrag en daarmee lagere kosten voor de Rijksoverheid</w:t>
      </w:r>
    </w:p>
    <w:p w:rsidRPr="00BE6F08" w:rsidR="004E5DD4" w:rsidP="00BE6F08" w:rsidRDefault="004E5DD4" w14:paraId="64F259BF" w14:textId="560120F2">
      <w:pPr>
        <w:numPr>
          <w:ilvl w:val="0"/>
          <w:numId w:val="17"/>
        </w:numPr>
        <w:spacing w:line="240" w:lineRule="auto"/>
        <w:rPr>
          <w:color w:val="000000" w:themeColor="text1"/>
        </w:rPr>
      </w:pPr>
      <w:r w:rsidRPr="004E5DD4">
        <w:rPr>
          <w:color w:val="000000" w:themeColor="text1"/>
        </w:rPr>
        <w:t>Om</w:t>
      </w:r>
      <w:r>
        <w:rPr>
          <w:color w:val="000000" w:themeColor="text1"/>
        </w:rPr>
        <w:t xml:space="preserve"> windparkontwikkelaars het invoedingstarief beter in te laten prijzen en de kans </w:t>
      </w:r>
      <w:r w:rsidR="00446BF7">
        <w:rPr>
          <w:color w:val="000000" w:themeColor="text1"/>
        </w:rPr>
        <w:t>oversubsidiëring</w:t>
      </w:r>
      <w:r>
        <w:rPr>
          <w:color w:val="000000" w:themeColor="text1"/>
        </w:rPr>
        <w:t xml:space="preserve"> te verkleinen</w:t>
      </w:r>
      <w:r w:rsidRPr="004E5DD4">
        <w:rPr>
          <w:color w:val="000000" w:themeColor="text1"/>
        </w:rPr>
        <w:t xml:space="preserve"> wordt met de ACM besproken hoe op zo kort mogelijke termijn meer duidelijkheid gegeven kan worden over de vormgeving en de implementatie. </w:t>
      </w:r>
      <w:r w:rsidR="00446BF7">
        <w:rPr>
          <w:color w:val="000000" w:themeColor="text1"/>
        </w:rPr>
        <w:t>Onder andere h</w:t>
      </w:r>
      <w:r w:rsidRPr="004E5DD4">
        <w:rPr>
          <w:color w:val="000000" w:themeColor="text1"/>
        </w:rPr>
        <w:t>ierover</w:t>
      </w:r>
      <w:r w:rsidR="00446BF7">
        <w:rPr>
          <w:color w:val="000000" w:themeColor="text1"/>
        </w:rPr>
        <w:t xml:space="preserve"> heeft u</w:t>
      </w:r>
      <w:r w:rsidRPr="004E5DD4">
        <w:rPr>
          <w:color w:val="000000" w:themeColor="text1"/>
        </w:rPr>
        <w:t xml:space="preserve"> </w:t>
      </w:r>
      <w:r w:rsidR="00446BF7">
        <w:rPr>
          <w:color w:val="000000" w:themeColor="text1"/>
        </w:rPr>
        <w:t>aan de ACM</w:t>
      </w:r>
      <w:r w:rsidRPr="004E5DD4">
        <w:rPr>
          <w:color w:val="000000" w:themeColor="text1"/>
        </w:rPr>
        <w:t xml:space="preserve"> een brief gestuurd en vindt op hoog ambtelijk niveau overleg plaats.</w:t>
      </w:r>
    </w:p>
    <w:p w:rsidRPr="002B1950" w:rsidR="002B1950" w:rsidP="002B1950" w:rsidRDefault="002B1950" w14:paraId="27BB20D1" w14:textId="29231AC4">
      <w:pPr>
        <w:numPr>
          <w:ilvl w:val="0"/>
          <w:numId w:val="17"/>
        </w:numPr>
        <w:spacing w:line="240" w:lineRule="auto"/>
        <w:rPr>
          <w:rFonts w:cs="Calibri"/>
        </w:rPr>
      </w:pPr>
      <w:r w:rsidRPr="002B1950">
        <w:rPr>
          <w:color w:val="000000" w:themeColor="text1"/>
        </w:rPr>
        <w:t>De middelen voor het ophogen van het maximale tenderbedrag</w:t>
      </w:r>
      <w:r w:rsidR="00F7435B">
        <w:rPr>
          <w:color w:val="000000" w:themeColor="text1"/>
        </w:rPr>
        <w:t xml:space="preserve"> (€ 1,5 mld.)</w:t>
      </w:r>
      <w:r w:rsidRPr="002B1950">
        <w:rPr>
          <w:color w:val="000000" w:themeColor="text1"/>
        </w:rPr>
        <w:t xml:space="preserve"> kunnen worden gehaald uit de coalitieakkoord (CA) middelen voor de ontwikkeling van 40 GW windenergie op zee.</w:t>
      </w:r>
      <w:r w:rsidR="00FE6972">
        <w:rPr>
          <w:color w:val="000000" w:themeColor="text1"/>
        </w:rPr>
        <w:t xml:space="preserve"> </w:t>
      </w:r>
      <w:r w:rsidRPr="002B1950">
        <w:rPr>
          <w:color w:val="000000" w:themeColor="text1"/>
        </w:rPr>
        <w:t xml:space="preserve">Dit heeft </w:t>
      </w:r>
      <w:r w:rsidRPr="002B1950">
        <w:rPr>
          <w:rFonts w:cs="Calibri"/>
        </w:rPr>
        <w:t xml:space="preserve">dus geen gevolgen voor andere doelen van het kabinet. </w:t>
      </w:r>
    </w:p>
    <w:p w:rsidRPr="006E5C4B" w:rsidR="00E814FE" w:rsidP="006E5C4B" w:rsidRDefault="002B1950" w14:paraId="57149916" w14:textId="5BCAC219">
      <w:pPr>
        <w:numPr>
          <w:ilvl w:val="0"/>
          <w:numId w:val="17"/>
        </w:numPr>
        <w:spacing w:line="240" w:lineRule="auto"/>
        <w:rPr>
          <w:rFonts w:cs="Calibri"/>
        </w:rPr>
      </w:pPr>
      <w:r w:rsidRPr="002B1950">
        <w:rPr>
          <w:color w:val="000000" w:themeColor="text1"/>
        </w:rPr>
        <w:t xml:space="preserve">Een winnend tenderbedrag hoger dan de € 103/MWh en € 104/MWh heeft wel een effect op de openstelling van toekomstige tenders van windenergie op zee en daarmee het doelbereik van 40 GW, omdat er dan minder middelen resteren. </w:t>
      </w:r>
      <w:r w:rsidRPr="002B1950">
        <w:rPr>
          <w:rFonts w:cs="Calibri"/>
        </w:rPr>
        <w:t>Hierover wordt u later geïnformeerd in het kader van augustusbesluitvorming over de overheveling van de CA-middelen vanaf de Aanvullende Post van Financiën.</w:t>
      </w:r>
      <w:bookmarkStart w:name="OLE_LINK12" w:id="3"/>
      <w:bookmarkStart w:name="OLE_LINK15" w:id="4"/>
      <w:r w:rsidRPr="006E5C4B" w:rsidR="00F30AEF">
        <w:rPr>
          <w:rFonts w:cs="Calibri"/>
        </w:rPr>
        <w:t xml:space="preserve"> </w:t>
      </w:r>
      <w:bookmarkEnd w:id="3"/>
      <w:bookmarkEnd w:id="4"/>
    </w:p>
    <w:p w:rsidR="002B1950" w:rsidP="004C3543" w:rsidRDefault="002B1950" w14:paraId="7D35F7F3" w14:textId="676CE185">
      <w:pPr>
        <w:numPr>
          <w:ilvl w:val="0"/>
          <w:numId w:val="17"/>
        </w:numPr>
        <w:spacing w:line="240" w:lineRule="auto"/>
        <w:rPr>
          <w:rFonts w:cs="Calibri"/>
        </w:rPr>
      </w:pPr>
      <w:r w:rsidRPr="002B1950">
        <w:rPr>
          <w:rFonts w:cs="Calibri"/>
        </w:rPr>
        <w:t xml:space="preserve">Na jaren van subsidievrije tenders van wind op zee, en de snelle omslag naar de noodzaak van subsidie, is er een succesvolle tender nodig die de marktprijs voor wind op zee zet. De doorontwikkeling van de routekaart en toekomstige tenders kunnen hiermee beter worden voorspeld en voorbereid. </w:t>
      </w:r>
    </w:p>
    <w:p w:rsidRPr="00AA45E2" w:rsidR="00AA45E2" w:rsidP="004C3543" w:rsidRDefault="00AA45E2" w14:paraId="16AC03DB" w14:textId="68270376">
      <w:pPr>
        <w:pStyle w:val="Lijstalinea"/>
        <w:numPr>
          <w:ilvl w:val="0"/>
          <w:numId w:val="17"/>
        </w:numPr>
        <w:spacing w:line="240" w:lineRule="auto"/>
        <w:rPr>
          <w:szCs w:val="18"/>
        </w:rPr>
      </w:pPr>
      <w:r w:rsidRPr="001B7212">
        <w:rPr>
          <w:szCs w:val="18"/>
        </w:rPr>
        <w:t>Omdat het een budgetophoging betreft ten opzichte van de voorjaarsnota</w:t>
      </w:r>
      <w:r>
        <w:rPr>
          <w:szCs w:val="18"/>
        </w:rPr>
        <w:t xml:space="preserve">, </w:t>
      </w:r>
      <w:r w:rsidRPr="001B7212">
        <w:rPr>
          <w:szCs w:val="18"/>
        </w:rPr>
        <w:t>1</w:t>
      </w:r>
      <w:r w:rsidRPr="001B7212">
        <w:rPr>
          <w:szCs w:val="18"/>
          <w:vertAlign w:val="superscript"/>
        </w:rPr>
        <w:t>e</w:t>
      </w:r>
      <w:r w:rsidRPr="001B7212">
        <w:rPr>
          <w:szCs w:val="18"/>
        </w:rPr>
        <w:t xml:space="preserve"> suppletoire begroting</w:t>
      </w:r>
      <w:r>
        <w:rPr>
          <w:szCs w:val="18"/>
        </w:rPr>
        <w:t>,</w:t>
      </w:r>
      <w:r w:rsidRPr="001B7212">
        <w:rPr>
          <w:szCs w:val="18"/>
        </w:rPr>
        <w:t xml:space="preserve"> die pas verwerkt wordt bij </w:t>
      </w:r>
      <w:r w:rsidRPr="00EB2A55">
        <w:rPr>
          <w:szCs w:val="18"/>
        </w:rPr>
        <w:t>ontwerpbegroting</w:t>
      </w:r>
      <w:r w:rsidRPr="001B7212">
        <w:rPr>
          <w:szCs w:val="18"/>
        </w:rPr>
        <w:t xml:space="preserve"> 2026, is </w:t>
      </w:r>
      <w:r w:rsidRPr="001B7212" w:rsidR="004E5DD4">
        <w:rPr>
          <w:szCs w:val="18"/>
        </w:rPr>
        <w:t xml:space="preserve">met het oog op het budgetrecht van beide Kamers </w:t>
      </w:r>
      <w:r w:rsidRPr="001B7212">
        <w:rPr>
          <w:szCs w:val="18"/>
        </w:rPr>
        <w:t>het advies om de brief naar beide Kamers te sturen).</w:t>
      </w:r>
    </w:p>
    <w:p w:rsidRPr="002B1950" w:rsidR="002B1950" w:rsidP="004C3543" w:rsidRDefault="002B1950" w14:paraId="1A761260" w14:textId="77777777">
      <w:pPr>
        <w:spacing w:line="240" w:lineRule="auto"/>
        <w:rPr>
          <w:rFonts w:cs="Calibri"/>
        </w:rPr>
      </w:pPr>
    </w:p>
    <w:bookmarkEnd w:id="1"/>
    <w:p w:rsidRPr="002B1950" w:rsidR="002B1950" w:rsidP="004C3543" w:rsidRDefault="002B1950" w14:paraId="3EABB255" w14:textId="77777777">
      <w:pPr>
        <w:spacing w:line="240" w:lineRule="auto"/>
        <w:rPr>
          <w:rFonts w:cs="Calibri" w:asciiTheme="minorHAnsi" w:hAnsiTheme="minorHAnsi"/>
          <w:sz w:val="28"/>
          <w:szCs w:val="28"/>
        </w:rPr>
      </w:pPr>
      <w:r w:rsidRPr="002B1950">
        <w:rPr>
          <w:rFonts w:cs="Calibri" w:asciiTheme="minorHAnsi" w:hAnsiTheme="minorHAnsi"/>
          <w:sz w:val="28"/>
          <w:szCs w:val="28"/>
        </w:rPr>
        <w:t>Toelichting</w:t>
      </w:r>
    </w:p>
    <w:p w:rsidRPr="002B1950" w:rsidR="002B1950" w:rsidP="004C3543" w:rsidRDefault="002B1950" w14:paraId="5BE54F54" w14:textId="77777777">
      <w:pPr>
        <w:spacing w:line="240" w:lineRule="auto"/>
        <w:rPr>
          <w:rFonts w:cs="Calibri"/>
          <w:bCs/>
          <w:szCs w:val="18"/>
          <w:u w:val="single"/>
        </w:rPr>
      </w:pPr>
      <w:r w:rsidRPr="002B1950">
        <w:rPr>
          <w:rFonts w:cs="Calibri"/>
          <w:bCs/>
          <w:szCs w:val="18"/>
          <w:u w:val="single"/>
        </w:rPr>
        <w:t>Ophogen van het maximaal tenderbedrag</w:t>
      </w:r>
    </w:p>
    <w:p w:rsidRPr="002B1950" w:rsidR="002B1950" w:rsidP="004C3543" w:rsidRDefault="002B1950" w14:paraId="07212B4D" w14:textId="77777777">
      <w:pPr>
        <w:numPr>
          <w:ilvl w:val="0"/>
          <w:numId w:val="18"/>
        </w:numPr>
        <w:spacing w:line="240" w:lineRule="auto"/>
        <w:rPr>
          <w:rFonts w:cs="Calibri"/>
          <w:szCs w:val="18"/>
        </w:rPr>
      </w:pPr>
      <w:r w:rsidRPr="002B1950">
        <w:rPr>
          <w:rFonts w:cs="Calibri"/>
          <w:szCs w:val="18"/>
        </w:rPr>
        <w:t xml:space="preserve">Het PBL heeft een met de markt geconsulteerd advies gegeven over het te hanteren maximum tenderbedrag voor IJmuiden Ver Gamma-A van € 104/MWh en voor Gamma-B € 103/MWh. </w:t>
      </w:r>
    </w:p>
    <w:p w:rsidRPr="002B1950" w:rsidR="002B1950" w:rsidP="004C3543" w:rsidRDefault="002B1950" w14:paraId="1E86DE06" w14:textId="77777777">
      <w:pPr>
        <w:numPr>
          <w:ilvl w:val="0"/>
          <w:numId w:val="18"/>
        </w:numPr>
        <w:spacing w:line="240" w:lineRule="auto"/>
        <w:rPr>
          <w:rFonts w:cs="Calibri"/>
          <w:szCs w:val="18"/>
        </w:rPr>
      </w:pPr>
      <w:r w:rsidRPr="002B1950">
        <w:rPr>
          <w:rFonts w:cs="Calibri"/>
        </w:rPr>
        <w:t xml:space="preserve">Het PBL verwacht met het maximale tenderbedrag dat het merendeel van de geïnteresseerde marktpartijen een positieve businesscase heeft. Hierdoor ontstaat een competitieve tender waardoor het uiteindelijke winnende bod lager kan uitvallen. </w:t>
      </w:r>
      <w:r w:rsidRPr="002B1950">
        <w:rPr>
          <w:rFonts w:cs="Calibri"/>
          <w:szCs w:val="18"/>
        </w:rPr>
        <w:t>Door een competitieve tender is de kans op oversubsidiëring lager, omdat de markt in concurrentie de prijs bepaalt. </w:t>
      </w:r>
    </w:p>
    <w:p w:rsidRPr="002B1950" w:rsidR="002B1950" w:rsidP="002B1950" w:rsidRDefault="002B1950" w14:paraId="230C39DF" w14:textId="20037928">
      <w:pPr>
        <w:numPr>
          <w:ilvl w:val="0"/>
          <w:numId w:val="18"/>
        </w:numPr>
        <w:spacing w:line="240" w:lineRule="auto"/>
        <w:rPr>
          <w:rFonts w:cs="Calibri"/>
        </w:rPr>
      </w:pPr>
      <w:bookmarkStart w:name="OLE_LINK1" w:id="5"/>
      <w:r w:rsidRPr="002B1950">
        <w:rPr>
          <w:rFonts w:cs="Calibri"/>
        </w:rPr>
        <w:t xml:space="preserve">Door de risico’s van het invoedingstarief en de onzekerheden kan de ruimte voor een positieve businesscase binnen de oorspronkelijke budgettaire ruimte aanzienlijk kleiner worden. De marktinteresse zal hierdoor dalen en leiden tot minder of geen concurrentie in de tenders, met een verhoogde kans op mislukte tenders. </w:t>
      </w:r>
    </w:p>
    <w:p w:rsidRPr="002B1950" w:rsidR="002B1950" w:rsidP="002B1950" w:rsidRDefault="002B1950" w14:paraId="2714F61B" w14:textId="77777777">
      <w:pPr>
        <w:numPr>
          <w:ilvl w:val="0"/>
          <w:numId w:val="18"/>
        </w:numPr>
        <w:spacing w:line="240" w:lineRule="auto"/>
        <w:rPr>
          <w:rFonts w:cs="Calibri"/>
        </w:rPr>
      </w:pPr>
      <w:bookmarkStart w:name="OLE_LINK5" w:id="6"/>
      <w:r w:rsidRPr="002B1950">
        <w:rPr>
          <w:rFonts w:cs="Calibri"/>
        </w:rPr>
        <w:t xml:space="preserve">Het mislukken van de tenders leidt tot verdere vertraging voor het behalen van de klimaatdoelstellingen en de energieonafhankelijkheid. Ook zorgt dit </w:t>
      </w:r>
      <w:r w:rsidRPr="002B1950">
        <w:rPr>
          <w:rFonts w:cs="Calibri"/>
        </w:rPr>
        <w:lastRenderedPageBreak/>
        <w:t xml:space="preserve">voor hoge maatschappelijke kosten door vertraging bij TenneT en negatieve gevolgen voor de (Nederlandse) toeleveringsketen die sterk met de economie is vervlochten (zoals Sif, Van Oord, etc.). De huidige onzekerheid schuift dan door naar de volgende tenders. </w:t>
      </w:r>
      <w:bookmarkEnd w:id="5"/>
    </w:p>
    <w:bookmarkEnd w:id="6"/>
    <w:p w:rsidRPr="002B1950" w:rsidR="00446BF7" w:rsidP="00446BF7" w:rsidRDefault="00446BF7" w14:paraId="0730FA05" w14:textId="77777777">
      <w:pPr>
        <w:numPr>
          <w:ilvl w:val="0"/>
          <w:numId w:val="18"/>
        </w:numPr>
        <w:spacing w:line="240" w:lineRule="auto"/>
        <w:rPr>
          <w:rFonts w:cs="Calibri"/>
        </w:rPr>
      </w:pPr>
      <w:r>
        <w:rPr>
          <w:rFonts w:cs="Calibri"/>
        </w:rPr>
        <w:t>Op basis van de consultatie en het contact met de markt is er aanmerkelijke marktinteresse voor de tender en ziet de sector uit naar de aankondiging van de budgettaire maatregel om daarop te kunnen besluiten een aanvraag voor te bereiden.</w:t>
      </w:r>
    </w:p>
    <w:p w:rsidR="002B1950" w:rsidP="002B1950" w:rsidRDefault="002B1950" w14:paraId="23A7FC82" w14:textId="52B72157">
      <w:pPr>
        <w:numPr>
          <w:ilvl w:val="0"/>
          <w:numId w:val="18"/>
        </w:numPr>
        <w:spacing w:line="240" w:lineRule="auto"/>
        <w:rPr>
          <w:rFonts w:cs="Calibri"/>
        </w:rPr>
      </w:pPr>
      <w:r w:rsidRPr="002B1950">
        <w:rPr>
          <w:rFonts w:cs="Calibri"/>
        </w:rPr>
        <w:t xml:space="preserve">Hoewel het ophogen van het maximale tenderbedrag </w:t>
      </w:r>
      <w:r w:rsidR="00446BF7">
        <w:rPr>
          <w:rFonts w:cs="Calibri"/>
        </w:rPr>
        <w:t>naar verwachting</w:t>
      </w:r>
      <w:r w:rsidRPr="002B1950" w:rsidR="00446BF7">
        <w:rPr>
          <w:rFonts w:cs="Calibri"/>
        </w:rPr>
        <w:t xml:space="preserve"> </w:t>
      </w:r>
      <w:r w:rsidRPr="002B1950">
        <w:rPr>
          <w:rFonts w:cs="Calibri"/>
        </w:rPr>
        <w:t>leidt tot meer competitie en een lager winnend tenderbedrag doordat de markt in competitie de prijs bepaalt, is er een mogelijkheid dat de concurrentie achterblijft ten opzichte van het verwachte niveau. In dat geval is er een kans op oversubsidiëring en toenemende kasuitgaven.</w:t>
      </w:r>
    </w:p>
    <w:p w:rsidR="002B1950" w:rsidP="002B1950" w:rsidRDefault="002B1950" w14:paraId="7B764A93" w14:textId="77777777">
      <w:pPr>
        <w:numPr>
          <w:ilvl w:val="0"/>
          <w:numId w:val="18"/>
        </w:numPr>
        <w:spacing w:line="240" w:lineRule="auto"/>
        <w:rPr>
          <w:rFonts w:cs="Calibri"/>
        </w:rPr>
      </w:pPr>
      <w:r w:rsidRPr="002B1950">
        <w:rPr>
          <w:rFonts w:cs="Calibri"/>
        </w:rPr>
        <w:t>Niet voorkomen kan worden dat een aanvrager het risico te laag inprijst als later blijkt dat het invoedingstarief hoger wordt vastgesteld waardoor het risico toeneemt dat er na het verkrijgen van de vergunning uiteindelijk geen finale investeringsbeslissing kan worden genomen. Dit risico is er ook als het maximale tenderbedrag niet wordt verhoogd.</w:t>
      </w:r>
    </w:p>
    <w:p w:rsidRPr="006E5C4B" w:rsidR="00446BF7" w:rsidP="006E5C4B" w:rsidRDefault="00446BF7" w14:paraId="58A85F2C" w14:textId="2BC9A74B">
      <w:pPr>
        <w:numPr>
          <w:ilvl w:val="0"/>
          <w:numId w:val="18"/>
        </w:numPr>
        <w:spacing w:line="240" w:lineRule="auto"/>
        <w:rPr>
          <w:rFonts w:cs="Calibri"/>
        </w:rPr>
      </w:pPr>
      <w:r w:rsidRPr="002B1950">
        <w:rPr>
          <w:rFonts w:cs="Calibri"/>
        </w:rPr>
        <w:t xml:space="preserve">Door de geboden budgettaire ruimte wordt van de markt verwacht dat het risico van de voorzienbare ontwikkeling van het invoedingstarief is meegenomen in de aanvraag. Er is na vergunningverlening geen ruimte voor de vergunninghouder om met de overheid in gesprek te gaan over aanvullende compensatie wanneer er meer bekend wordt over de vormgeving en hoogte van het invoedingstarief. </w:t>
      </w:r>
    </w:p>
    <w:p w:rsidRPr="002B1950" w:rsidR="002B1950" w:rsidP="002B1950" w:rsidRDefault="002B1950" w14:paraId="23F99607" w14:textId="77777777">
      <w:pPr>
        <w:spacing w:line="240" w:lineRule="auto"/>
        <w:rPr>
          <w:rFonts w:cs="Calibri"/>
        </w:rPr>
      </w:pPr>
    </w:p>
    <w:p w:rsidRPr="002B1950" w:rsidR="002B1950" w:rsidP="002B1950" w:rsidRDefault="002B1950" w14:paraId="38FD44D7" w14:textId="77777777">
      <w:pPr>
        <w:spacing w:line="240" w:lineRule="auto"/>
        <w:rPr>
          <w:rFonts w:cs="Calibri"/>
          <w:u w:val="single"/>
        </w:rPr>
      </w:pPr>
      <w:r w:rsidRPr="002B1950">
        <w:rPr>
          <w:rFonts w:cs="Calibri"/>
          <w:u w:val="single"/>
        </w:rPr>
        <w:t>Dekking</w:t>
      </w:r>
    </w:p>
    <w:p w:rsidRPr="002B1950" w:rsidR="002B1950" w:rsidP="002B1950" w:rsidRDefault="002B1950" w14:paraId="6746ABB8" w14:textId="77777777">
      <w:pPr>
        <w:numPr>
          <w:ilvl w:val="0"/>
          <w:numId w:val="18"/>
        </w:numPr>
        <w:spacing w:line="240" w:lineRule="auto"/>
        <w:contextualSpacing/>
      </w:pPr>
      <w:r w:rsidRPr="002B1950">
        <w:t>Het verhoogde maximale tenderbedrag leidt tot de volgende stijging van de verwachte kasuitgaven en het subsidieplafond voor IJmuiden Ver Gamma-A en Gamma-B:</w:t>
      </w:r>
    </w:p>
    <w:p w:rsidRPr="002B1950" w:rsidR="002B1950" w:rsidP="002B1950" w:rsidRDefault="002B1950" w14:paraId="1D3693DA" w14:textId="77777777">
      <w:pPr>
        <w:spacing w:line="240" w:lineRule="auto"/>
        <w:ind w:left="720"/>
        <w:contextualSpacing/>
      </w:pPr>
      <w:r w:rsidRPr="002B1950">
        <w:t xml:space="preserve"> </w:t>
      </w:r>
    </w:p>
    <w:tbl>
      <w:tblPr>
        <w:tblStyle w:val="Tabelraster"/>
        <w:tblW w:w="6300" w:type="dxa"/>
        <w:jc w:val="center"/>
        <w:tblLook w:val="04A0" w:firstRow="1" w:lastRow="0" w:firstColumn="1" w:lastColumn="0" w:noHBand="0" w:noVBand="1"/>
      </w:tblPr>
      <w:tblGrid>
        <w:gridCol w:w="2280"/>
        <w:gridCol w:w="1920"/>
        <w:gridCol w:w="2100"/>
      </w:tblGrid>
      <w:tr w:rsidRPr="002B1950" w:rsidR="002B1950" w:rsidTr="001B7212" w14:paraId="73EB74C9" w14:textId="77777777">
        <w:trPr>
          <w:trHeight w:val="177"/>
          <w:jc w:val="center"/>
        </w:trPr>
        <w:tc>
          <w:tcPr>
            <w:tcW w:w="2280" w:type="dxa"/>
            <w:hideMark/>
          </w:tcPr>
          <w:p w:rsidRPr="002B1950" w:rsidR="002B1950" w:rsidP="002B1950" w:rsidRDefault="002B1950" w14:paraId="51D2DC26" w14:textId="77777777">
            <w:pPr>
              <w:tabs>
                <w:tab w:val="center" w:pos="4536"/>
                <w:tab w:val="right" w:pos="9072"/>
              </w:tabs>
              <w:spacing w:line="240" w:lineRule="auto"/>
              <w:rPr>
                <w:sz w:val="16"/>
                <w:szCs w:val="22"/>
              </w:rPr>
            </w:pPr>
            <w:r w:rsidRPr="002B1950">
              <w:rPr>
                <w:sz w:val="16"/>
                <w:szCs w:val="22"/>
              </w:rPr>
              <w:t>IJmuiden Ver Gamma- A </w:t>
            </w:r>
          </w:p>
        </w:tc>
        <w:tc>
          <w:tcPr>
            <w:tcW w:w="1920" w:type="dxa"/>
            <w:hideMark/>
          </w:tcPr>
          <w:p w:rsidRPr="002B1950" w:rsidR="002B1950" w:rsidP="002B1950" w:rsidRDefault="002B1950" w14:paraId="2154825C" w14:textId="77777777">
            <w:pPr>
              <w:tabs>
                <w:tab w:val="center" w:pos="4536"/>
                <w:tab w:val="right" w:pos="9072"/>
              </w:tabs>
              <w:spacing w:line="240" w:lineRule="auto"/>
              <w:rPr>
                <w:sz w:val="16"/>
                <w:szCs w:val="22"/>
              </w:rPr>
            </w:pPr>
            <w:r w:rsidRPr="002B1950">
              <w:rPr>
                <w:sz w:val="16"/>
                <w:szCs w:val="22"/>
              </w:rPr>
              <w:t>Kasuitgaven incl. 10% prijsrisicobuffer</w:t>
            </w:r>
          </w:p>
        </w:tc>
        <w:tc>
          <w:tcPr>
            <w:tcW w:w="2100" w:type="dxa"/>
            <w:hideMark/>
          </w:tcPr>
          <w:p w:rsidRPr="002B1950" w:rsidR="002B1950" w:rsidP="002B1950" w:rsidRDefault="002B1950" w14:paraId="4219D41F" w14:textId="77777777">
            <w:pPr>
              <w:tabs>
                <w:tab w:val="center" w:pos="4536"/>
                <w:tab w:val="right" w:pos="9072"/>
              </w:tabs>
              <w:spacing w:line="240" w:lineRule="auto"/>
              <w:rPr>
                <w:sz w:val="16"/>
                <w:szCs w:val="22"/>
              </w:rPr>
            </w:pPr>
            <w:r w:rsidRPr="002B1950">
              <w:rPr>
                <w:sz w:val="16"/>
                <w:szCs w:val="22"/>
              </w:rPr>
              <w:t>Subsidieplafond </w:t>
            </w:r>
          </w:p>
        </w:tc>
      </w:tr>
      <w:tr w:rsidRPr="002B1950" w:rsidR="002B1950" w:rsidTr="001B7212" w14:paraId="61DF8756" w14:textId="77777777">
        <w:trPr>
          <w:trHeight w:val="239"/>
          <w:jc w:val="center"/>
        </w:trPr>
        <w:tc>
          <w:tcPr>
            <w:tcW w:w="2280" w:type="dxa"/>
            <w:hideMark/>
          </w:tcPr>
          <w:p w:rsidRPr="002B1950" w:rsidR="002B1950" w:rsidP="002B1950" w:rsidRDefault="002B1950" w14:paraId="2AEC46D2" w14:textId="77777777">
            <w:pPr>
              <w:tabs>
                <w:tab w:val="center" w:pos="4536"/>
                <w:tab w:val="right" w:pos="9072"/>
              </w:tabs>
              <w:spacing w:line="240" w:lineRule="auto"/>
              <w:rPr>
                <w:sz w:val="16"/>
                <w:szCs w:val="22"/>
              </w:rPr>
            </w:pPr>
            <w:r w:rsidRPr="002B1950">
              <w:rPr>
                <w:sz w:val="16"/>
                <w:szCs w:val="22"/>
              </w:rPr>
              <w:t>Bij €104/MWh </w:t>
            </w:r>
          </w:p>
        </w:tc>
        <w:tc>
          <w:tcPr>
            <w:tcW w:w="1920" w:type="dxa"/>
            <w:hideMark/>
          </w:tcPr>
          <w:p w:rsidRPr="002B1950" w:rsidR="002B1950" w:rsidP="002B1950" w:rsidRDefault="002B1950" w14:paraId="4565AD3F" w14:textId="77777777">
            <w:pPr>
              <w:tabs>
                <w:tab w:val="center" w:pos="4536"/>
                <w:tab w:val="right" w:pos="9072"/>
              </w:tabs>
              <w:spacing w:line="240" w:lineRule="auto"/>
              <w:rPr>
                <w:sz w:val="16"/>
                <w:szCs w:val="22"/>
              </w:rPr>
            </w:pPr>
            <w:r w:rsidRPr="002B1950">
              <w:rPr>
                <w:sz w:val="16"/>
                <w:szCs w:val="22"/>
              </w:rPr>
              <w:t>€2,379 mld.</w:t>
            </w:r>
          </w:p>
        </w:tc>
        <w:tc>
          <w:tcPr>
            <w:tcW w:w="2100" w:type="dxa"/>
            <w:hideMark/>
          </w:tcPr>
          <w:p w:rsidRPr="002B1950" w:rsidR="002B1950" w:rsidP="002B1950" w:rsidRDefault="002B1950" w14:paraId="68B42440" w14:textId="77777777">
            <w:pPr>
              <w:tabs>
                <w:tab w:val="center" w:pos="4536"/>
                <w:tab w:val="right" w:pos="9072"/>
              </w:tabs>
              <w:spacing w:line="240" w:lineRule="auto"/>
              <w:rPr>
                <w:sz w:val="16"/>
                <w:szCs w:val="22"/>
              </w:rPr>
            </w:pPr>
            <w:r w:rsidRPr="002B1950">
              <w:rPr>
                <w:sz w:val="16"/>
                <w:szCs w:val="22"/>
              </w:rPr>
              <w:t>€3,978 mld.</w:t>
            </w:r>
          </w:p>
        </w:tc>
      </w:tr>
      <w:tr w:rsidRPr="002B1950" w:rsidR="002B1950" w:rsidTr="001B7212" w14:paraId="1395748C" w14:textId="77777777">
        <w:trPr>
          <w:trHeight w:val="244"/>
          <w:jc w:val="center"/>
        </w:trPr>
        <w:tc>
          <w:tcPr>
            <w:tcW w:w="2280" w:type="dxa"/>
            <w:hideMark/>
          </w:tcPr>
          <w:p w:rsidRPr="002B1950" w:rsidR="002B1950" w:rsidP="002B1950" w:rsidRDefault="002B1950" w14:paraId="5757D125" w14:textId="77777777">
            <w:pPr>
              <w:tabs>
                <w:tab w:val="center" w:pos="4536"/>
                <w:tab w:val="right" w:pos="9072"/>
              </w:tabs>
              <w:spacing w:line="240" w:lineRule="auto"/>
              <w:rPr>
                <w:sz w:val="16"/>
                <w:szCs w:val="22"/>
              </w:rPr>
            </w:pPr>
            <w:r w:rsidRPr="002B1950">
              <w:rPr>
                <w:sz w:val="16"/>
                <w:szCs w:val="22"/>
              </w:rPr>
              <w:t>Bij €117/MWh</w:t>
            </w:r>
          </w:p>
        </w:tc>
        <w:tc>
          <w:tcPr>
            <w:tcW w:w="1920" w:type="dxa"/>
            <w:hideMark/>
          </w:tcPr>
          <w:p w:rsidRPr="002B1950" w:rsidR="002B1950" w:rsidP="002B1950" w:rsidRDefault="002B1950" w14:paraId="5EFF6FA7" w14:textId="77777777">
            <w:pPr>
              <w:tabs>
                <w:tab w:val="center" w:pos="4536"/>
                <w:tab w:val="right" w:pos="9072"/>
              </w:tabs>
              <w:spacing w:line="240" w:lineRule="auto"/>
              <w:rPr>
                <w:sz w:val="16"/>
                <w:szCs w:val="22"/>
              </w:rPr>
            </w:pPr>
            <w:r w:rsidRPr="002B1950">
              <w:rPr>
                <w:sz w:val="16"/>
                <w:szCs w:val="22"/>
              </w:rPr>
              <w:t>€3,159 mld.</w:t>
            </w:r>
          </w:p>
        </w:tc>
        <w:tc>
          <w:tcPr>
            <w:tcW w:w="2100" w:type="dxa"/>
            <w:hideMark/>
          </w:tcPr>
          <w:p w:rsidRPr="002B1950" w:rsidR="002B1950" w:rsidP="002B1950" w:rsidRDefault="002B1950" w14:paraId="086B3323" w14:textId="77777777">
            <w:pPr>
              <w:tabs>
                <w:tab w:val="center" w:pos="4536"/>
                <w:tab w:val="right" w:pos="9072"/>
              </w:tabs>
              <w:spacing w:line="240" w:lineRule="auto"/>
              <w:rPr>
                <w:sz w:val="16"/>
                <w:szCs w:val="22"/>
              </w:rPr>
            </w:pPr>
            <w:r w:rsidRPr="002B1950">
              <w:rPr>
                <w:sz w:val="16"/>
                <w:szCs w:val="22"/>
              </w:rPr>
              <w:t>€4,758 mld.</w:t>
            </w:r>
          </w:p>
        </w:tc>
      </w:tr>
      <w:tr w:rsidRPr="002B1950" w:rsidR="002B1950" w:rsidTr="001B7212" w14:paraId="7CCACDD2" w14:textId="77777777">
        <w:trPr>
          <w:trHeight w:val="244"/>
          <w:jc w:val="center"/>
        </w:trPr>
        <w:tc>
          <w:tcPr>
            <w:tcW w:w="2280" w:type="dxa"/>
          </w:tcPr>
          <w:p w:rsidRPr="002B1950" w:rsidR="002B1950" w:rsidP="002B1950" w:rsidRDefault="002B1950" w14:paraId="67A4E67D" w14:textId="77777777">
            <w:pPr>
              <w:tabs>
                <w:tab w:val="center" w:pos="4536"/>
                <w:tab w:val="right" w:pos="9072"/>
              </w:tabs>
              <w:spacing w:line="240" w:lineRule="auto"/>
              <w:rPr>
                <w:sz w:val="16"/>
                <w:szCs w:val="22"/>
              </w:rPr>
            </w:pPr>
            <w:r w:rsidRPr="002B1950">
              <w:rPr>
                <w:sz w:val="16"/>
                <w:szCs w:val="22"/>
              </w:rPr>
              <w:t>Verschil</w:t>
            </w:r>
          </w:p>
        </w:tc>
        <w:tc>
          <w:tcPr>
            <w:tcW w:w="1920" w:type="dxa"/>
          </w:tcPr>
          <w:p w:rsidRPr="002B1950" w:rsidR="002B1950" w:rsidP="002B1950" w:rsidRDefault="002B1950" w14:paraId="3C2B3C20" w14:textId="77777777">
            <w:pPr>
              <w:tabs>
                <w:tab w:val="center" w:pos="4536"/>
                <w:tab w:val="right" w:pos="9072"/>
              </w:tabs>
              <w:spacing w:line="240" w:lineRule="auto"/>
              <w:rPr>
                <w:sz w:val="16"/>
                <w:szCs w:val="22"/>
              </w:rPr>
            </w:pPr>
            <w:bookmarkStart w:name="OLE_LINK68" w:id="7"/>
            <w:r w:rsidRPr="002B1950">
              <w:rPr>
                <w:sz w:val="16"/>
                <w:szCs w:val="22"/>
              </w:rPr>
              <w:t>+ €0,780 ml</w:t>
            </w:r>
            <w:bookmarkEnd w:id="7"/>
            <w:r w:rsidRPr="002B1950">
              <w:rPr>
                <w:sz w:val="16"/>
                <w:szCs w:val="22"/>
              </w:rPr>
              <w:t>d.</w:t>
            </w:r>
          </w:p>
        </w:tc>
        <w:tc>
          <w:tcPr>
            <w:tcW w:w="2100" w:type="dxa"/>
          </w:tcPr>
          <w:p w:rsidRPr="002B1950" w:rsidR="002B1950" w:rsidP="002B1950" w:rsidRDefault="002B1950" w14:paraId="61AE74FC" w14:textId="77777777">
            <w:pPr>
              <w:tabs>
                <w:tab w:val="center" w:pos="4536"/>
                <w:tab w:val="right" w:pos="9072"/>
              </w:tabs>
              <w:spacing w:line="240" w:lineRule="auto"/>
              <w:rPr>
                <w:sz w:val="16"/>
                <w:szCs w:val="22"/>
              </w:rPr>
            </w:pPr>
            <w:r w:rsidRPr="002B1950">
              <w:rPr>
                <w:sz w:val="16"/>
                <w:szCs w:val="22"/>
              </w:rPr>
              <w:t>+ €0,780 mld.</w:t>
            </w:r>
          </w:p>
        </w:tc>
      </w:tr>
    </w:tbl>
    <w:p w:rsidRPr="002B1950" w:rsidR="002B1950" w:rsidP="002B1950" w:rsidRDefault="002B1950" w14:paraId="0B46EF2C" w14:textId="77777777">
      <w:pPr>
        <w:spacing w:line="240" w:lineRule="auto"/>
        <w:ind w:left="1404"/>
        <w:contextualSpacing/>
      </w:pPr>
    </w:p>
    <w:tbl>
      <w:tblPr>
        <w:tblStyle w:val="Tabelraster"/>
        <w:tblW w:w="0" w:type="auto"/>
        <w:jc w:val="center"/>
        <w:tblLook w:val="04A0" w:firstRow="1" w:lastRow="0" w:firstColumn="1" w:lastColumn="0" w:noHBand="0" w:noVBand="1"/>
      </w:tblPr>
      <w:tblGrid>
        <w:gridCol w:w="2280"/>
        <w:gridCol w:w="1920"/>
        <w:gridCol w:w="2100"/>
      </w:tblGrid>
      <w:tr w:rsidRPr="002B1950" w:rsidR="002B1950" w:rsidTr="001B7212" w14:paraId="51AF1420" w14:textId="77777777">
        <w:trPr>
          <w:trHeight w:val="173"/>
          <w:jc w:val="center"/>
        </w:trPr>
        <w:tc>
          <w:tcPr>
            <w:tcW w:w="2280" w:type="dxa"/>
            <w:hideMark/>
          </w:tcPr>
          <w:p w:rsidRPr="002B1950" w:rsidR="002B1950" w:rsidP="002B1950" w:rsidRDefault="002B1950" w14:paraId="3B522474" w14:textId="77777777">
            <w:pPr>
              <w:tabs>
                <w:tab w:val="center" w:pos="4536"/>
                <w:tab w:val="right" w:pos="9072"/>
              </w:tabs>
              <w:spacing w:line="240" w:lineRule="auto"/>
              <w:rPr>
                <w:sz w:val="16"/>
                <w:szCs w:val="22"/>
              </w:rPr>
            </w:pPr>
            <w:r w:rsidRPr="002B1950">
              <w:rPr>
                <w:sz w:val="16"/>
                <w:szCs w:val="22"/>
              </w:rPr>
              <w:t>IJmuiden Ver Gamma- B </w:t>
            </w:r>
          </w:p>
        </w:tc>
        <w:tc>
          <w:tcPr>
            <w:tcW w:w="1920" w:type="dxa"/>
            <w:hideMark/>
          </w:tcPr>
          <w:p w:rsidRPr="002B1950" w:rsidR="002B1950" w:rsidP="002B1950" w:rsidRDefault="002B1950" w14:paraId="594D5C31" w14:textId="77777777">
            <w:pPr>
              <w:tabs>
                <w:tab w:val="center" w:pos="4536"/>
                <w:tab w:val="right" w:pos="9072"/>
              </w:tabs>
              <w:spacing w:line="240" w:lineRule="auto"/>
              <w:rPr>
                <w:sz w:val="16"/>
                <w:szCs w:val="22"/>
              </w:rPr>
            </w:pPr>
            <w:r w:rsidRPr="002B1950">
              <w:rPr>
                <w:sz w:val="16"/>
                <w:szCs w:val="22"/>
              </w:rPr>
              <w:t>Kasuitgaven </w:t>
            </w:r>
            <w:bookmarkStart w:name="OLE_LINK69" w:id="8"/>
            <w:r w:rsidRPr="002B1950">
              <w:rPr>
                <w:sz w:val="16"/>
                <w:szCs w:val="22"/>
              </w:rPr>
              <w:t>incl. 10% prijsrisicobuffer</w:t>
            </w:r>
            <w:bookmarkEnd w:id="8"/>
          </w:p>
        </w:tc>
        <w:tc>
          <w:tcPr>
            <w:tcW w:w="2100" w:type="dxa"/>
            <w:hideMark/>
          </w:tcPr>
          <w:p w:rsidRPr="002B1950" w:rsidR="002B1950" w:rsidP="002B1950" w:rsidRDefault="002B1950" w14:paraId="07D6ACC7" w14:textId="77777777">
            <w:pPr>
              <w:tabs>
                <w:tab w:val="center" w:pos="4536"/>
                <w:tab w:val="right" w:pos="9072"/>
              </w:tabs>
              <w:spacing w:line="240" w:lineRule="auto"/>
              <w:rPr>
                <w:sz w:val="16"/>
                <w:szCs w:val="22"/>
              </w:rPr>
            </w:pPr>
            <w:r w:rsidRPr="002B1950">
              <w:rPr>
                <w:sz w:val="16"/>
                <w:szCs w:val="22"/>
              </w:rPr>
              <w:t>Subsidieplafond </w:t>
            </w:r>
          </w:p>
        </w:tc>
      </w:tr>
      <w:tr w:rsidRPr="002B1950" w:rsidR="002B1950" w:rsidTr="001B7212" w14:paraId="24F920F0" w14:textId="77777777">
        <w:trPr>
          <w:trHeight w:val="263"/>
          <w:jc w:val="center"/>
        </w:trPr>
        <w:tc>
          <w:tcPr>
            <w:tcW w:w="2280" w:type="dxa"/>
            <w:hideMark/>
          </w:tcPr>
          <w:p w:rsidRPr="002B1950" w:rsidR="002B1950" w:rsidP="002B1950" w:rsidRDefault="002B1950" w14:paraId="44A3F48E" w14:textId="77777777">
            <w:pPr>
              <w:tabs>
                <w:tab w:val="center" w:pos="4536"/>
                <w:tab w:val="right" w:pos="9072"/>
              </w:tabs>
              <w:spacing w:line="240" w:lineRule="auto"/>
              <w:rPr>
                <w:sz w:val="16"/>
                <w:szCs w:val="22"/>
              </w:rPr>
            </w:pPr>
            <w:r w:rsidRPr="002B1950">
              <w:rPr>
                <w:sz w:val="16"/>
                <w:szCs w:val="22"/>
              </w:rPr>
              <w:t>Bij €103 </w:t>
            </w:r>
          </w:p>
        </w:tc>
        <w:tc>
          <w:tcPr>
            <w:tcW w:w="1920" w:type="dxa"/>
            <w:hideMark/>
          </w:tcPr>
          <w:p w:rsidRPr="002B1950" w:rsidR="002B1950" w:rsidP="002B1950" w:rsidRDefault="002B1950" w14:paraId="60E9B8C3" w14:textId="77777777">
            <w:pPr>
              <w:tabs>
                <w:tab w:val="center" w:pos="4536"/>
                <w:tab w:val="right" w:pos="9072"/>
              </w:tabs>
              <w:spacing w:line="240" w:lineRule="auto"/>
              <w:rPr>
                <w:sz w:val="16"/>
                <w:szCs w:val="22"/>
              </w:rPr>
            </w:pPr>
            <w:r w:rsidRPr="002B1950">
              <w:rPr>
                <w:sz w:val="16"/>
                <w:szCs w:val="22"/>
              </w:rPr>
              <w:t>€2,271 mld.</w:t>
            </w:r>
          </w:p>
        </w:tc>
        <w:tc>
          <w:tcPr>
            <w:tcW w:w="2100" w:type="dxa"/>
            <w:hideMark/>
          </w:tcPr>
          <w:p w:rsidRPr="002B1950" w:rsidR="002B1950" w:rsidP="002B1950" w:rsidRDefault="002B1950" w14:paraId="0161EE21" w14:textId="77777777">
            <w:pPr>
              <w:tabs>
                <w:tab w:val="center" w:pos="4536"/>
                <w:tab w:val="right" w:pos="9072"/>
              </w:tabs>
              <w:spacing w:line="240" w:lineRule="auto"/>
              <w:rPr>
                <w:sz w:val="16"/>
                <w:szCs w:val="22"/>
              </w:rPr>
            </w:pPr>
            <w:r w:rsidRPr="002B1950">
              <w:rPr>
                <w:sz w:val="16"/>
                <w:szCs w:val="22"/>
              </w:rPr>
              <w:t>€3,918 mld.</w:t>
            </w:r>
          </w:p>
        </w:tc>
      </w:tr>
      <w:tr w:rsidRPr="002B1950" w:rsidR="002B1950" w:rsidTr="001B7212" w14:paraId="5F368401" w14:textId="77777777">
        <w:trPr>
          <w:trHeight w:val="60"/>
          <w:jc w:val="center"/>
        </w:trPr>
        <w:tc>
          <w:tcPr>
            <w:tcW w:w="2280" w:type="dxa"/>
            <w:hideMark/>
          </w:tcPr>
          <w:p w:rsidRPr="002B1950" w:rsidR="002B1950" w:rsidP="002B1950" w:rsidRDefault="002B1950" w14:paraId="04714C77" w14:textId="77777777">
            <w:pPr>
              <w:tabs>
                <w:tab w:val="center" w:pos="4536"/>
                <w:tab w:val="right" w:pos="9072"/>
              </w:tabs>
              <w:spacing w:line="240" w:lineRule="auto"/>
              <w:rPr>
                <w:sz w:val="16"/>
                <w:szCs w:val="22"/>
              </w:rPr>
            </w:pPr>
            <w:r w:rsidRPr="002B1950">
              <w:rPr>
                <w:sz w:val="16"/>
                <w:szCs w:val="22"/>
              </w:rPr>
              <w:t xml:space="preserve">Bij €116 </w:t>
            </w:r>
          </w:p>
        </w:tc>
        <w:tc>
          <w:tcPr>
            <w:tcW w:w="1920" w:type="dxa"/>
            <w:hideMark/>
          </w:tcPr>
          <w:p w:rsidRPr="002B1950" w:rsidR="002B1950" w:rsidP="002B1950" w:rsidRDefault="002B1950" w14:paraId="098F35D5" w14:textId="77777777">
            <w:pPr>
              <w:tabs>
                <w:tab w:val="center" w:pos="4536"/>
                <w:tab w:val="right" w:pos="9072"/>
              </w:tabs>
              <w:spacing w:line="240" w:lineRule="auto"/>
              <w:rPr>
                <w:sz w:val="16"/>
                <w:szCs w:val="22"/>
              </w:rPr>
            </w:pPr>
            <w:r w:rsidRPr="002B1950">
              <w:rPr>
                <w:sz w:val="16"/>
                <w:szCs w:val="22"/>
              </w:rPr>
              <w:t>€3,051 mld.</w:t>
            </w:r>
          </w:p>
        </w:tc>
        <w:tc>
          <w:tcPr>
            <w:tcW w:w="2100" w:type="dxa"/>
            <w:hideMark/>
          </w:tcPr>
          <w:p w:rsidRPr="002B1950" w:rsidR="002B1950" w:rsidP="002B1950" w:rsidRDefault="002B1950" w14:paraId="5610D7E0" w14:textId="77777777">
            <w:pPr>
              <w:tabs>
                <w:tab w:val="center" w:pos="4536"/>
                <w:tab w:val="right" w:pos="9072"/>
              </w:tabs>
              <w:spacing w:line="240" w:lineRule="auto"/>
              <w:rPr>
                <w:sz w:val="16"/>
                <w:szCs w:val="22"/>
              </w:rPr>
            </w:pPr>
            <w:r w:rsidRPr="002B1950">
              <w:rPr>
                <w:sz w:val="16"/>
                <w:szCs w:val="22"/>
              </w:rPr>
              <w:t>€4,698 mld.</w:t>
            </w:r>
          </w:p>
        </w:tc>
      </w:tr>
      <w:tr w:rsidRPr="002B1950" w:rsidR="002B1950" w:rsidTr="001B7212" w14:paraId="5109091D" w14:textId="77777777">
        <w:trPr>
          <w:trHeight w:val="60"/>
          <w:jc w:val="center"/>
        </w:trPr>
        <w:tc>
          <w:tcPr>
            <w:tcW w:w="2280" w:type="dxa"/>
          </w:tcPr>
          <w:p w:rsidRPr="002B1950" w:rsidR="002B1950" w:rsidP="002B1950" w:rsidRDefault="002B1950" w14:paraId="4972F16E" w14:textId="77777777">
            <w:pPr>
              <w:tabs>
                <w:tab w:val="center" w:pos="4536"/>
                <w:tab w:val="right" w:pos="9072"/>
              </w:tabs>
              <w:spacing w:line="240" w:lineRule="auto"/>
              <w:rPr>
                <w:sz w:val="16"/>
                <w:szCs w:val="22"/>
              </w:rPr>
            </w:pPr>
            <w:r w:rsidRPr="002B1950">
              <w:rPr>
                <w:sz w:val="16"/>
                <w:szCs w:val="22"/>
              </w:rPr>
              <w:t>Verschil</w:t>
            </w:r>
          </w:p>
        </w:tc>
        <w:tc>
          <w:tcPr>
            <w:tcW w:w="1920" w:type="dxa"/>
          </w:tcPr>
          <w:p w:rsidRPr="002B1950" w:rsidR="002B1950" w:rsidP="002B1950" w:rsidRDefault="002B1950" w14:paraId="59A4E559" w14:textId="77777777">
            <w:pPr>
              <w:tabs>
                <w:tab w:val="center" w:pos="4536"/>
                <w:tab w:val="right" w:pos="9072"/>
              </w:tabs>
              <w:spacing w:line="240" w:lineRule="auto"/>
              <w:rPr>
                <w:sz w:val="16"/>
                <w:szCs w:val="22"/>
              </w:rPr>
            </w:pPr>
            <w:r w:rsidRPr="002B1950">
              <w:rPr>
                <w:sz w:val="16"/>
                <w:szCs w:val="22"/>
              </w:rPr>
              <w:t>+ €0,780 mld.</w:t>
            </w:r>
          </w:p>
        </w:tc>
        <w:tc>
          <w:tcPr>
            <w:tcW w:w="2100" w:type="dxa"/>
          </w:tcPr>
          <w:p w:rsidRPr="002B1950" w:rsidR="002B1950" w:rsidP="002B1950" w:rsidRDefault="002B1950" w14:paraId="25FF5FC0" w14:textId="77777777">
            <w:pPr>
              <w:tabs>
                <w:tab w:val="center" w:pos="4536"/>
                <w:tab w:val="right" w:pos="9072"/>
              </w:tabs>
              <w:spacing w:line="240" w:lineRule="auto"/>
              <w:rPr>
                <w:sz w:val="16"/>
                <w:szCs w:val="22"/>
              </w:rPr>
            </w:pPr>
            <w:r w:rsidRPr="002B1950">
              <w:rPr>
                <w:sz w:val="16"/>
                <w:szCs w:val="22"/>
              </w:rPr>
              <w:t>+ €0,780 mld.</w:t>
            </w:r>
          </w:p>
        </w:tc>
      </w:tr>
    </w:tbl>
    <w:p w:rsidRPr="002B1950" w:rsidR="002B1950" w:rsidP="002B1950" w:rsidRDefault="002B1950" w14:paraId="62AF787F" w14:textId="77777777">
      <w:pPr>
        <w:spacing w:line="240" w:lineRule="auto"/>
        <w:ind w:left="720"/>
        <w:rPr>
          <w:rFonts w:cs="Calibri"/>
          <w:bCs/>
          <w:szCs w:val="18"/>
        </w:rPr>
      </w:pPr>
    </w:p>
    <w:p w:rsidRPr="00131A2A" w:rsidR="00131A2A" w:rsidP="00131A2A" w:rsidRDefault="00131A2A" w14:paraId="0183A1C6" w14:textId="2DB4A1C5">
      <w:pPr>
        <w:numPr>
          <w:ilvl w:val="0"/>
          <w:numId w:val="18"/>
        </w:numPr>
        <w:spacing w:line="240" w:lineRule="auto"/>
        <w:rPr>
          <w:rFonts w:cs="Calibri"/>
        </w:rPr>
      </w:pPr>
      <w:r w:rsidRPr="00131A2A">
        <w:rPr>
          <w:rFonts w:cs="Calibri"/>
        </w:rPr>
        <w:t xml:space="preserve">Door de ophoging met €1,560 mld. van het maximale tenderbedrag is er in totaal een reservering van ca. € 6,21 mld. nodig voor de tenders van IJmuiden Ver Gamma-A en Gamma-B. Voor deze tenders stond 4,744 mld. Gereserveerd (vanuit het Actieplan </w:t>
      </w:r>
      <w:r w:rsidR="004865E6">
        <w:rPr>
          <w:rFonts w:cs="Calibri"/>
        </w:rPr>
        <w:t>wind op zee</w:t>
      </w:r>
      <w:r w:rsidRPr="00131A2A">
        <w:rPr>
          <w:rFonts w:cs="Calibri"/>
        </w:rPr>
        <w:t xml:space="preserve"> september 2025 en het Coalitieakkoord Aan de Slag). In de reservering van het Actieplan </w:t>
      </w:r>
      <w:r w:rsidR="004865E6">
        <w:rPr>
          <w:rFonts w:cs="Calibri"/>
        </w:rPr>
        <w:t>wind op zee</w:t>
      </w:r>
      <w:r w:rsidRPr="00131A2A">
        <w:rPr>
          <w:rFonts w:cs="Calibri"/>
        </w:rPr>
        <w:t xml:space="preserve"> zat nog € 93 mln. ruimte, voor het restant van € 1,466 mld., zal gebruik worden gemaakt van de middelen die bij het Coalitieakkoord zijn gereserveerd voor de uitrol van windenergie op zee tot 40 GW. Dit zal </w:t>
      </w:r>
      <w:r w:rsidR="00BA74AC">
        <w:rPr>
          <w:rFonts w:cs="Calibri"/>
        </w:rPr>
        <w:t xml:space="preserve">na akkoord </w:t>
      </w:r>
      <w:r w:rsidRPr="00131A2A">
        <w:rPr>
          <w:rFonts w:cs="Calibri"/>
        </w:rPr>
        <w:t xml:space="preserve">worden verwerkt in de ontwerpbegroting 2027. </w:t>
      </w:r>
    </w:p>
    <w:p w:rsidRPr="002B1950" w:rsidR="002B1950" w:rsidP="002B1950" w:rsidRDefault="002B1950" w14:paraId="437B5B9C" w14:textId="187DBD45">
      <w:pPr>
        <w:numPr>
          <w:ilvl w:val="0"/>
          <w:numId w:val="18"/>
        </w:numPr>
        <w:spacing w:line="240" w:lineRule="auto"/>
        <w:rPr>
          <w:rFonts w:cs="Calibri"/>
        </w:rPr>
      </w:pPr>
      <w:r w:rsidRPr="002B1950">
        <w:rPr>
          <w:rFonts w:cs="Calibri"/>
        </w:rPr>
        <w:t xml:space="preserve">Het ophogen van het maximale tenderbedrag kan ten koste gaan van de openstelling van toekomstige tenders voor wind op zee als het winnend tenderbedrag hoger ligt dan € 103/104/MWh, omdat ten tijde van de </w:t>
      </w:r>
      <w:r w:rsidRPr="002B1950">
        <w:rPr>
          <w:rFonts w:cs="Calibri"/>
        </w:rPr>
        <w:lastRenderedPageBreak/>
        <w:t xml:space="preserve">reservering van de Coalitieakkoord-middelen uitgegaan was van € 103/104 per 1 GW en er dan dus minder middelen resteren. </w:t>
      </w:r>
    </w:p>
    <w:p w:rsidRPr="002B1950" w:rsidR="002B1950" w:rsidP="002B1950" w:rsidRDefault="002B1950" w14:paraId="6E764384" w14:textId="77777777">
      <w:pPr>
        <w:numPr>
          <w:ilvl w:val="0"/>
          <w:numId w:val="18"/>
        </w:numPr>
        <w:spacing w:line="240" w:lineRule="auto"/>
        <w:rPr>
          <w:rFonts w:cs="Calibri"/>
        </w:rPr>
      </w:pPr>
      <w:r w:rsidRPr="002B1950">
        <w:rPr>
          <w:rFonts w:cs="Calibri"/>
        </w:rPr>
        <w:t>Door de verhoogde concurrentie is er een redelijke kans dat het winnend tenderbedrag lager uitvalt dan het maximale tenderbedrag. In dat geval zijn ook de gevolgen van deze ophoging voor toekomstige openstellingen lager.  </w:t>
      </w:r>
    </w:p>
    <w:p w:rsidRPr="002B1950" w:rsidR="002B1950" w:rsidP="002B1950" w:rsidRDefault="002B1950" w14:paraId="4A090E12" w14:textId="77777777">
      <w:pPr>
        <w:numPr>
          <w:ilvl w:val="0"/>
          <w:numId w:val="18"/>
        </w:numPr>
        <w:spacing w:line="240" w:lineRule="auto"/>
        <w:rPr>
          <w:rFonts w:cs="Calibri"/>
        </w:rPr>
      </w:pPr>
      <w:r w:rsidRPr="002B1950">
        <w:rPr>
          <w:rFonts w:cs="Calibri"/>
        </w:rPr>
        <w:t>In de kamerbrief over IJmuiden Ver Gamma-A is benoemd dat de subsidie-intensiteit € 220/ton CO</w:t>
      </w:r>
      <w:r w:rsidRPr="002B1950">
        <w:rPr>
          <w:rFonts w:cs="Calibri"/>
          <w:vertAlign w:val="subscript"/>
        </w:rPr>
        <w:t>2</w:t>
      </w:r>
      <w:r w:rsidRPr="002B1950">
        <w:rPr>
          <w:rFonts w:cs="Calibri"/>
        </w:rPr>
        <w:t xml:space="preserve"> is bij een tenderbedrag van € 104/MWh. Met € 117/MWh is de subsidie-intensiteit € 278/ton CO</w:t>
      </w:r>
      <w:r w:rsidRPr="002B1950">
        <w:rPr>
          <w:rFonts w:cs="Calibri"/>
          <w:vertAlign w:val="subscript"/>
        </w:rPr>
        <w:t>2</w:t>
      </w:r>
      <w:r w:rsidRPr="002B1950">
        <w:rPr>
          <w:rFonts w:cs="Calibri"/>
        </w:rPr>
        <w:t>. Ter vergelijking: dit is lager dan het maximale bedrag van € 300/ton CO</w:t>
      </w:r>
      <w:r w:rsidRPr="002B1950">
        <w:rPr>
          <w:rFonts w:cs="Calibri"/>
          <w:vertAlign w:val="subscript"/>
        </w:rPr>
        <w:t>2</w:t>
      </w:r>
      <w:r w:rsidRPr="002B1950">
        <w:rPr>
          <w:rFonts w:cs="Calibri"/>
        </w:rPr>
        <w:t xml:space="preserve"> dat binnen de SDE wordt gebruikt. Dit kan lager uitvallen als het winnende tenderbedrag lager is. De uiteindelijke uitgaven tijdens de looptijd zijn vervolgens afhankelijk van de ontwikkeling van de elektriciteitsprijzen.</w:t>
      </w:r>
    </w:p>
    <w:p w:rsidRPr="002B1950" w:rsidR="002B1950" w:rsidP="002B1950" w:rsidRDefault="002B1950" w14:paraId="586DB0C3" w14:textId="77777777">
      <w:pPr>
        <w:spacing w:line="240" w:lineRule="auto"/>
        <w:rPr>
          <w:rFonts w:cs="Calibri"/>
          <w:bCs/>
          <w:szCs w:val="18"/>
          <w:u w:val="single"/>
        </w:rPr>
      </w:pPr>
    </w:p>
    <w:p w:rsidRPr="002B1950" w:rsidR="002B1950" w:rsidP="002B1950" w:rsidRDefault="002B1950" w14:paraId="03231C15" w14:textId="77777777">
      <w:pPr>
        <w:spacing w:line="240" w:lineRule="auto"/>
        <w:rPr>
          <w:rFonts w:cs="Calibri"/>
          <w:u w:val="single"/>
        </w:rPr>
      </w:pPr>
      <w:r w:rsidRPr="002B1950">
        <w:rPr>
          <w:rFonts w:cs="Calibri"/>
          <w:u w:val="single"/>
        </w:rPr>
        <w:t>Proces</w:t>
      </w:r>
    </w:p>
    <w:p w:rsidRPr="00BE5E86" w:rsidR="00BE5E86" w:rsidP="00BE5E86" w:rsidRDefault="002B1950" w14:paraId="3002A4EE" w14:textId="339ACE90">
      <w:pPr>
        <w:numPr>
          <w:ilvl w:val="0"/>
          <w:numId w:val="17"/>
        </w:numPr>
        <w:spacing w:line="240" w:lineRule="auto"/>
        <w:rPr>
          <w:color w:val="000000" w:themeColor="text1"/>
        </w:rPr>
      </w:pPr>
      <w:r w:rsidRPr="002B1950">
        <w:rPr>
          <w:color w:val="000000" w:themeColor="text1"/>
        </w:rPr>
        <w:t xml:space="preserve">Als u akkoord bent wordt de benodigde mutatie verwerkt in de </w:t>
      </w:r>
      <w:r w:rsidR="009A0BCC">
        <w:rPr>
          <w:color w:val="000000" w:themeColor="text1"/>
        </w:rPr>
        <w:t>M</w:t>
      </w:r>
      <w:r w:rsidRPr="002B1950">
        <w:rPr>
          <w:color w:val="000000" w:themeColor="text1"/>
        </w:rPr>
        <w:t>iljoenennota en worden de definitieve tenderregelingen gepubliceerd in de Staatscourant</w:t>
      </w:r>
      <w:r w:rsidR="00BE5E86">
        <w:rPr>
          <w:color w:val="000000" w:themeColor="text1"/>
        </w:rPr>
        <w:t xml:space="preserve"> nadat de Kamerbrief is verzonden aan de Eerste en Tweede Kamer</w:t>
      </w:r>
      <w:r w:rsidRPr="002B1950">
        <w:rPr>
          <w:color w:val="000000" w:themeColor="text1"/>
        </w:rPr>
        <w:t>.</w:t>
      </w:r>
      <w:r w:rsidR="00BE5E86">
        <w:rPr>
          <w:color w:val="000000" w:themeColor="text1"/>
        </w:rPr>
        <w:t xml:space="preserve"> </w:t>
      </w:r>
    </w:p>
    <w:p w:rsidRPr="002B1950" w:rsidR="002B1950" w:rsidP="002B1950" w:rsidRDefault="002B1950" w14:paraId="125C566E" w14:textId="2BF9EF2D">
      <w:pPr>
        <w:numPr>
          <w:ilvl w:val="0"/>
          <w:numId w:val="17"/>
        </w:numPr>
        <w:spacing w:line="240" w:lineRule="auto"/>
        <w:rPr>
          <w:rFonts w:cs="Calibri"/>
          <w:szCs w:val="18"/>
        </w:rPr>
      </w:pPr>
      <w:r w:rsidRPr="002B1950">
        <w:rPr>
          <w:rFonts w:cs="Calibri"/>
          <w:szCs w:val="18"/>
        </w:rPr>
        <w:t>Na het publiceren van de tenderregelingen wordt er formeel genotificeerd bij de Europese Commissie voor de staatssteungoedkeuring. Goedkeuring wordt enkele maanden daarna verwacht.</w:t>
      </w:r>
      <w:r w:rsidR="005F29DA">
        <w:rPr>
          <w:rFonts w:cs="Calibri"/>
          <w:szCs w:val="18"/>
        </w:rPr>
        <w:t xml:space="preserve"> Er is een voorbehoud voor deze </w:t>
      </w:r>
      <w:r w:rsidR="00F3602F">
        <w:rPr>
          <w:rFonts w:cs="Calibri"/>
          <w:szCs w:val="18"/>
        </w:rPr>
        <w:t>staatssteun</w:t>
      </w:r>
      <w:r w:rsidR="005F29DA">
        <w:rPr>
          <w:rFonts w:cs="Calibri"/>
          <w:szCs w:val="18"/>
        </w:rPr>
        <w:t>goedkeuring opgenomen in de regeling.</w:t>
      </w:r>
    </w:p>
    <w:p w:rsidRPr="002B1950" w:rsidR="002B1950" w:rsidP="002B1950" w:rsidRDefault="002B1950" w14:paraId="7B6C84D0" w14:textId="7ABB2B7A">
      <w:pPr>
        <w:numPr>
          <w:ilvl w:val="0"/>
          <w:numId w:val="17"/>
        </w:numPr>
        <w:spacing w:line="240" w:lineRule="auto"/>
        <w:rPr>
          <w:rFonts w:cs="Calibri"/>
        </w:rPr>
      </w:pPr>
      <w:r w:rsidRPr="002B1950">
        <w:rPr>
          <w:rFonts w:cs="Calibri"/>
        </w:rPr>
        <w:t>Als de tender is gesloten op 10 december is het de verwachting dat u in het eerste kwartaal van 2027 de vergunningwinnaars bekend k</w:t>
      </w:r>
      <w:r w:rsidR="009A0BCC">
        <w:rPr>
          <w:rFonts w:cs="Calibri"/>
        </w:rPr>
        <w:t>unt</w:t>
      </w:r>
      <w:r w:rsidRPr="002B1950">
        <w:rPr>
          <w:rFonts w:cs="Calibri"/>
        </w:rPr>
        <w:t xml:space="preserve"> maken.</w:t>
      </w:r>
    </w:p>
    <w:p w:rsidRPr="002B1950" w:rsidR="002B1950" w:rsidP="002B1950" w:rsidRDefault="002B1950" w14:paraId="0D300B03" w14:textId="77777777">
      <w:pPr>
        <w:spacing w:line="240" w:lineRule="auto"/>
        <w:ind w:left="720"/>
        <w:rPr>
          <w:rFonts w:cs="Calibri"/>
        </w:rPr>
      </w:pPr>
    </w:p>
    <w:p w:rsidRPr="002B1950" w:rsidR="002B1950" w:rsidP="002B1950" w:rsidRDefault="002B1950" w14:paraId="072337DA" w14:textId="1131AA20">
      <w:pPr>
        <w:spacing w:line="240" w:lineRule="auto"/>
        <w:rPr>
          <w:rFonts w:cs="Calibri" w:asciiTheme="minorHAnsi" w:hAnsiTheme="minorHAnsi"/>
          <w:sz w:val="28"/>
          <w:szCs w:val="28"/>
          <w:highlight w:val="yellow"/>
        </w:rPr>
      </w:pPr>
      <w:r w:rsidRPr="002B1950">
        <w:rPr>
          <w:rFonts w:cs="Calibri" w:asciiTheme="minorHAnsi" w:hAnsiTheme="minorHAnsi"/>
          <w:sz w:val="28"/>
          <w:szCs w:val="28"/>
          <w:highlight w:val="yellow"/>
        </w:rPr>
        <w:t xml:space="preserve">Niet voor openbaarmaking </w:t>
      </w:r>
    </w:p>
    <w:p w:rsidRPr="002B1950" w:rsidR="002B1950" w:rsidP="002B1950" w:rsidRDefault="002B1950" w14:paraId="6D225DCA" w14:textId="77777777">
      <w:pPr>
        <w:spacing w:line="240" w:lineRule="auto"/>
        <w:rPr>
          <w:color w:val="000000" w:themeColor="text1"/>
          <w:highlight w:val="yellow"/>
        </w:rPr>
      </w:pPr>
    </w:p>
    <w:p w:rsidRPr="00386AC5" w:rsidR="005A114C" w:rsidP="00386AC5" w:rsidRDefault="005A114C" w14:paraId="1E941002" w14:textId="77777777">
      <w:pPr>
        <w:rPr>
          <w:i/>
          <w:iCs/>
          <w:u w:val="single"/>
        </w:rPr>
      </w:pPr>
    </w:p>
    <w:sectPr w:rsidRPr="00386AC5" w:rsidR="005A114C" w:rsidSect="009809C0">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6B11" w14:textId="77777777" w:rsidR="008663CB" w:rsidRDefault="008663CB">
      <w:r>
        <w:separator/>
      </w:r>
    </w:p>
    <w:p w14:paraId="0B5C5667" w14:textId="77777777" w:rsidR="008663CB" w:rsidRDefault="008663CB"/>
  </w:endnote>
  <w:endnote w:type="continuationSeparator" w:id="0">
    <w:p w14:paraId="6206A7A6" w14:textId="77777777" w:rsidR="008663CB" w:rsidRDefault="008663CB">
      <w:r>
        <w:continuationSeparator/>
      </w:r>
    </w:p>
    <w:p w14:paraId="345A63CC" w14:textId="77777777" w:rsidR="008663CB" w:rsidRDefault="00866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381F"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20A9F" w14:paraId="68B60E92" w14:textId="77777777" w:rsidTr="001E4C6B">
      <w:trPr>
        <w:trHeight w:hRule="exact" w:val="240"/>
      </w:trPr>
      <w:tc>
        <w:tcPr>
          <w:tcW w:w="7601" w:type="dxa"/>
        </w:tcPr>
        <w:p w14:paraId="040DC259" w14:textId="77777777" w:rsidR="00137AC0" w:rsidRDefault="00137AC0" w:rsidP="003F1F6B">
          <w:pPr>
            <w:pStyle w:val="Huisstijl-Rubricering"/>
          </w:pPr>
        </w:p>
      </w:tc>
      <w:tc>
        <w:tcPr>
          <w:tcW w:w="2156" w:type="dxa"/>
        </w:tcPr>
        <w:p w14:paraId="1EE595F1" w14:textId="25F7D231" w:rsidR="00137AC0" w:rsidRPr="00236CFE" w:rsidRDefault="00052D80"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2</w:t>
          </w:r>
          <w:r w:rsidRPr="00CB7ABA">
            <w:fldChar w:fldCharType="end"/>
          </w:r>
          <w:r w:rsidRPr="00CB7ABA">
            <w:t xml:space="preserve"> van </w:t>
          </w:r>
          <w:r w:rsidR="00EA14A9">
            <w:fldChar w:fldCharType="begin"/>
          </w:r>
          <w:r>
            <w:instrText xml:space="preserve"> SECTIONPAGES   \* MERGEFORMAT </w:instrText>
          </w:r>
          <w:r w:rsidR="00EA14A9">
            <w:fldChar w:fldCharType="separate"/>
          </w:r>
          <w:r w:rsidR="0023120E">
            <w:t>4</w:t>
          </w:r>
          <w:r w:rsidR="00EA14A9">
            <w:fldChar w:fldCharType="end"/>
          </w:r>
        </w:p>
      </w:tc>
    </w:tr>
  </w:tbl>
  <w:p w14:paraId="2B59F6F1"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20A9F" w14:paraId="0FC5AD75" w14:textId="77777777" w:rsidTr="001E4C6B">
      <w:trPr>
        <w:trHeight w:hRule="exact" w:val="240"/>
      </w:trPr>
      <w:tc>
        <w:tcPr>
          <w:tcW w:w="7601" w:type="dxa"/>
        </w:tcPr>
        <w:p w14:paraId="33EBEF14" w14:textId="77777777" w:rsidR="00137AC0" w:rsidRDefault="00137AC0" w:rsidP="008C356D">
          <w:pPr>
            <w:pStyle w:val="Huisstijl-Rubricering"/>
          </w:pPr>
        </w:p>
      </w:tc>
      <w:tc>
        <w:tcPr>
          <w:tcW w:w="2170" w:type="dxa"/>
        </w:tcPr>
        <w:p w14:paraId="7D3FB312" w14:textId="57864F81" w:rsidR="00137AC0" w:rsidRPr="00CB7ABA" w:rsidRDefault="00052D80"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1</w:t>
          </w:r>
          <w:r w:rsidRPr="00CB7ABA">
            <w:fldChar w:fldCharType="end"/>
          </w:r>
          <w:r w:rsidRPr="00CB7ABA">
            <w:t xml:space="preserve"> van</w:t>
          </w:r>
          <w:r w:rsidRPr="00CB7ABA">
            <w:rPr>
              <w:rStyle w:val="Huisstijl-GegevenCharChar"/>
            </w:rPr>
            <w:t xml:space="preserve"> </w:t>
          </w:r>
          <w:r w:rsidR="00EA14A9">
            <w:fldChar w:fldCharType="begin"/>
          </w:r>
          <w:r>
            <w:instrText xml:space="preserve"> SECTIONPAGES   \* MERGEFORMAT </w:instrText>
          </w:r>
          <w:r w:rsidR="00EA14A9">
            <w:fldChar w:fldCharType="separate"/>
          </w:r>
          <w:r w:rsidR="0023120E">
            <w:t>4</w:t>
          </w:r>
          <w:r w:rsidR="00EA14A9">
            <w:fldChar w:fldCharType="end"/>
          </w:r>
        </w:p>
      </w:tc>
    </w:tr>
  </w:tbl>
  <w:p w14:paraId="2D9C14FB" w14:textId="77777777" w:rsidR="00137AC0" w:rsidRPr="00BC3B53" w:rsidRDefault="00137AC0" w:rsidP="008C356D">
    <w:pPr>
      <w:pStyle w:val="Voettekst"/>
      <w:spacing w:line="240" w:lineRule="auto"/>
      <w:rPr>
        <w:sz w:val="2"/>
        <w:szCs w:val="2"/>
      </w:rPr>
    </w:pPr>
  </w:p>
  <w:p w14:paraId="57DDB2DB" w14:textId="77777777" w:rsidR="00137AC0" w:rsidRPr="00BC3B53" w:rsidRDefault="00137AC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AC95" w14:textId="77777777" w:rsidR="008663CB" w:rsidRDefault="008663CB">
      <w:r>
        <w:separator/>
      </w:r>
    </w:p>
    <w:p w14:paraId="45CC858E" w14:textId="77777777" w:rsidR="008663CB" w:rsidRDefault="008663CB"/>
  </w:footnote>
  <w:footnote w:type="continuationSeparator" w:id="0">
    <w:p w14:paraId="0B5D11BC" w14:textId="77777777" w:rsidR="008663CB" w:rsidRDefault="008663CB">
      <w:r>
        <w:continuationSeparator/>
      </w:r>
    </w:p>
    <w:p w14:paraId="0C7E0AE7" w14:textId="77777777" w:rsidR="008663CB" w:rsidRDefault="00866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8E56"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20A9F" w14:paraId="4BBC0893" w14:textId="77777777" w:rsidTr="005558E0">
      <w:tc>
        <w:tcPr>
          <w:tcW w:w="2160" w:type="dxa"/>
        </w:tcPr>
        <w:p w14:paraId="342D5FAC" w14:textId="77777777" w:rsidR="00137AC0" w:rsidRPr="00044613" w:rsidRDefault="00052D80" w:rsidP="005558E0">
          <w:pPr>
            <w:pStyle w:val="Huisstijl-Adres"/>
          </w:pPr>
          <w:r>
            <w:rPr>
              <w:b/>
            </w:rPr>
            <w:t>Directoraat-generaal Realisatie Groene Groei</w:t>
          </w:r>
          <w:r>
            <w:rPr>
              <w:b/>
            </w:rPr>
            <w:br/>
          </w:r>
          <w:r>
            <w:t>Directie Realisatie Energietransitie</w:t>
          </w:r>
        </w:p>
      </w:tc>
    </w:tr>
    <w:tr w:rsidR="00E20A9F" w14:paraId="645BE513" w14:textId="77777777" w:rsidTr="005558E0">
      <w:trPr>
        <w:trHeight w:hRule="exact" w:val="200"/>
      </w:trPr>
      <w:tc>
        <w:tcPr>
          <w:tcW w:w="2160" w:type="dxa"/>
        </w:tcPr>
        <w:p w14:paraId="07A1C6FF" w14:textId="77777777" w:rsidR="00137AC0" w:rsidRPr="005819CE" w:rsidRDefault="00137AC0" w:rsidP="005558E0"/>
      </w:tc>
    </w:tr>
    <w:tr w:rsidR="00E20A9F" w14:paraId="43484F3F" w14:textId="77777777" w:rsidTr="005558E0">
      <w:tc>
        <w:tcPr>
          <w:tcW w:w="2160" w:type="dxa"/>
        </w:tcPr>
        <w:p w14:paraId="346FEBD6" w14:textId="77777777" w:rsidR="00137AC0" w:rsidRPr="005819CE" w:rsidRDefault="00052D80" w:rsidP="005558E0">
          <w:pPr>
            <w:pStyle w:val="Huisstijl-Kopje"/>
          </w:pPr>
          <w:r>
            <w:t>Kenmerk</w:t>
          </w:r>
        </w:p>
        <w:p w14:paraId="44B733BA" w14:textId="77777777" w:rsidR="00137AC0" w:rsidRPr="005819CE" w:rsidRDefault="00052D80" w:rsidP="005558E0">
          <w:pPr>
            <w:pStyle w:val="Huisstijl-Gegeven"/>
          </w:pPr>
          <w:r>
            <w:t>KGG_DGRGG_RE / 106626704</w:t>
          </w:r>
        </w:p>
      </w:tc>
    </w:tr>
  </w:tbl>
  <w:p w14:paraId="4814F436" w14:textId="77777777" w:rsidR="002B6DE0" w:rsidRDefault="002B6DE0" w:rsidP="008C356D"/>
  <w:p w14:paraId="66E98AAA" w14:textId="77777777" w:rsidR="00137AC0" w:rsidRPr="00740712" w:rsidRDefault="00137AC0" w:rsidP="008C356D"/>
  <w:p w14:paraId="28798DCD" w14:textId="77777777" w:rsidR="00137AC0" w:rsidRPr="00217880" w:rsidRDefault="00137AC0" w:rsidP="008C356D">
    <w:pPr>
      <w:spacing w:line="0" w:lineRule="atLeast"/>
      <w:rPr>
        <w:sz w:val="2"/>
        <w:szCs w:val="2"/>
      </w:rPr>
    </w:pPr>
  </w:p>
  <w:p w14:paraId="5A41B67B" w14:textId="77777777" w:rsidR="00137AC0" w:rsidRDefault="00137AC0" w:rsidP="004F44C2">
    <w:pPr>
      <w:pStyle w:val="Koptekst"/>
      <w:rPr>
        <w:rFonts w:cs="Verdana-Bold"/>
        <w:b/>
        <w:bCs/>
        <w:smallCaps/>
        <w:szCs w:val="18"/>
      </w:rPr>
    </w:pPr>
  </w:p>
  <w:p w14:paraId="260271B0" w14:textId="77777777" w:rsidR="00137AC0" w:rsidRPr="00740712" w:rsidRDefault="00137AC0" w:rsidP="004F44C2"/>
  <w:p w14:paraId="46D04115"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20A9F" w14:paraId="737DBCD6" w14:textId="77777777" w:rsidTr="003B7675">
      <w:trPr>
        <w:trHeight w:val="2636"/>
      </w:trPr>
      <w:tc>
        <w:tcPr>
          <w:tcW w:w="737" w:type="dxa"/>
        </w:tcPr>
        <w:p w14:paraId="3F28CAFE" w14:textId="77777777" w:rsidR="00137AC0" w:rsidRPr="00B520EC" w:rsidRDefault="00137AC0" w:rsidP="005F63F7">
          <w:pPr>
            <w:framePr w:w="6391" w:h="2750" w:hRule="exact" w:hSpace="180" w:wrap="around" w:vAnchor="page" w:hAnchor="page" w:x="5371" w:y="-70"/>
            <w:spacing w:line="240" w:lineRule="auto"/>
          </w:pPr>
        </w:p>
      </w:tc>
      <w:tc>
        <w:tcPr>
          <w:tcW w:w="5156" w:type="dxa"/>
        </w:tcPr>
        <w:p w14:paraId="1B003F01" w14:textId="77777777" w:rsidR="00137AC0" w:rsidRPr="00B520EC" w:rsidRDefault="00052D80" w:rsidP="005F63F7">
          <w:pPr>
            <w:framePr w:w="6391" w:h="2750" w:hRule="exact" w:hSpace="180" w:wrap="around" w:vAnchor="page" w:hAnchor="page" w:x="5371" w:y="-70"/>
            <w:spacing w:line="240" w:lineRule="auto"/>
          </w:pPr>
          <w:r>
            <w:t xml:space="preserve">  </w:t>
          </w:r>
          <w:r w:rsidR="00F13D80">
            <w:t xml:space="preserve"> </w:t>
          </w:r>
          <w:r w:rsidRPr="002F1B86">
            <w:rPr>
              <w:sz w:val="2"/>
              <w:szCs w:val="2"/>
            </w:rPr>
            <w:t xml:space="preserve"> </w:t>
          </w:r>
          <w:r>
            <w:rPr>
              <w:noProof/>
            </w:rPr>
            <w:drawing>
              <wp:inline distT="0" distB="0" distL="0" distR="0" wp14:anchorId="4E126C9E" wp14:editId="33DDB56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39C255C7" w14:textId="77777777" w:rsidR="00137AC0" w:rsidRPr="00B520EC" w:rsidRDefault="00137AC0" w:rsidP="005F63F7">
    <w:pPr>
      <w:framePr w:w="6391" w:h="2750" w:hRule="exact" w:hSpace="180" w:wrap="around" w:vAnchor="page" w:hAnchor="page" w:x="5371" w:y="-70"/>
    </w:pPr>
  </w:p>
  <w:p w14:paraId="6F618CD4" w14:textId="77777777" w:rsidR="00137AC0" w:rsidRPr="00B520EC" w:rsidRDefault="00052D80">
    <w:r>
      <w:rPr>
        <w:noProof/>
        <w:lang w:val="en-US" w:eastAsia="en-US"/>
      </w:rPr>
      <mc:AlternateContent>
        <mc:Choice Requires="wps">
          <w:drawing>
            <wp:anchor distT="0" distB="0" distL="114300" distR="114300" simplePos="0" relativeHeight="251660800" behindDoc="0" locked="0" layoutInCell="1" allowOverlap="1" wp14:anchorId="5B8404C2" wp14:editId="72B75AFE">
              <wp:simplePos x="0" y="0"/>
              <wp:positionH relativeFrom="column">
                <wp:posOffset>4734560</wp:posOffset>
              </wp:positionH>
              <wp:positionV relativeFrom="page">
                <wp:posOffset>9295130</wp:posOffset>
              </wp:positionV>
              <wp:extent cx="1542415" cy="276225"/>
              <wp:effectExtent l="63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06BC" w14:textId="77777777" w:rsidR="00137AC0" w:rsidRDefault="00137AC0" w:rsidP="009D5D50">
                          <w:pPr>
                            <w:pStyle w:val="Huisstijl-Gegeven"/>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B8404C2" id="_x0000_t202" coordsize="21600,21600" o:spt="202" path="m,l,21600r21600,l21600,xe">
              <v:stroke joinstyle="miter"/>
              <v:path gradientshapeok="t" o:connecttype="rect"/>
            </v:shapetype>
            <v:shape id="Text Box 1" o:spid="_x0000_s1026" type="#_x0000_t202" style="position:absolute;margin-left:372.8pt;margin-top:731.9pt;width:121.4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" filled="f" stroked="f">
              <v:textbox>
                <w:txbxContent>
                  <w:p w14:paraId="1B9D06BC" w14:textId="77777777" w:rsidR="00137AC0" w:rsidRDefault="00137AC0" w:rsidP="009D5D50">
                    <w:pPr>
                      <w:pStyle w:val="Huisstijl-Gegeven"/>
                    </w:pPr>
                  </w:p>
                </w:txbxContent>
              </v:textbox>
              <w10:wrap anchory="page"/>
            </v:shape>
          </w:pict>
        </mc:Fallback>
      </mc:AlternateConten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20A9F" w14:paraId="760AABC2" w14:textId="77777777" w:rsidTr="005558E0">
      <w:tc>
        <w:tcPr>
          <w:tcW w:w="2160" w:type="dxa"/>
        </w:tcPr>
        <w:p w14:paraId="17320C33" w14:textId="4A9EE667" w:rsidR="00137AC0" w:rsidRPr="00791B79" w:rsidRDefault="00052D80" w:rsidP="005558E0">
          <w:pPr>
            <w:pStyle w:val="Huisstijl-Adres"/>
          </w:pPr>
          <w:r>
            <w:rPr>
              <w:b/>
            </w:rPr>
            <w:t>Directoraat-generaal Realisatie Groene Groei</w:t>
          </w:r>
          <w:r w:rsidRPr="00B520EC">
            <w:rPr>
              <w:b/>
            </w:rPr>
            <w:br/>
          </w:r>
          <w:r>
            <w:t>Directie Realisatie Energietransitie</w:t>
          </w:r>
        </w:p>
      </w:tc>
    </w:tr>
    <w:tr w:rsidR="00E20A9F" w14:paraId="5A9E1EAF" w14:textId="77777777" w:rsidTr="005558E0">
      <w:trPr>
        <w:trHeight w:hRule="exact" w:val="200"/>
      </w:trPr>
      <w:tc>
        <w:tcPr>
          <w:tcW w:w="2160" w:type="dxa"/>
        </w:tcPr>
        <w:p w14:paraId="126C2A44" w14:textId="77777777" w:rsidR="00137AC0" w:rsidRPr="00FC145D" w:rsidRDefault="00137AC0" w:rsidP="005558E0">
          <w:pPr>
            <w:rPr>
              <w:lang w:val="fr-FR"/>
            </w:rPr>
          </w:pPr>
        </w:p>
      </w:tc>
    </w:tr>
    <w:tr w:rsidR="00E20A9F" w14:paraId="3F96014F" w14:textId="77777777" w:rsidTr="005558E0">
      <w:tc>
        <w:tcPr>
          <w:tcW w:w="2160" w:type="dxa"/>
        </w:tcPr>
        <w:p w14:paraId="7F0C1150" w14:textId="77777777" w:rsidR="00E945D9" w:rsidRPr="00B9126B" w:rsidRDefault="00052D80" w:rsidP="005558E0">
          <w:pPr>
            <w:pStyle w:val="Huisstijl-Kopje"/>
          </w:pPr>
          <w:r w:rsidRPr="00B9126B">
            <w:t>TER BESLISSING</w:t>
          </w:r>
        </w:p>
        <w:p w14:paraId="0D011FEE" w14:textId="77777777" w:rsidR="00137AC0" w:rsidRPr="00B520EC" w:rsidRDefault="00052D80" w:rsidP="005558E0">
          <w:pPr>
            <w:pStyle w:val="Huisstijl-Kopje"/>
          </w:pPr>
          <w:r w:rsidRPr="00B520EC">
            <w:t>Datum</w:t>
          </w:r>
          <w:r w:rsidR="00A55513">
            <w:t xml:space="preserve"> aangemaakt</w:t>
          </w:r>
        </w:p>
        <w:p w14:paraId="7F32964B" w14:textId="77777777" w:rsidR="00137AC0" w:rsidRPr="00B520EC" w:rsidRDefault="00052D80" w:rsidP="005558E0">
          <w:pPr>
            <w:pStyle w:val="Huisstijl-Gegeven"/>
          </w:pPr>
          <w:r>
            <w:t>28 mei 2026</w:t>
          </w:r>
        </w:p>
        <w:p w14:paraId="52BCBB39" w14:textId="77777777" w:rsidR="00137AC0" w:rsidRPr="00B520EC" w:rsidRDefault="00052D80" w:rsidP="005558E0">
          <w:pPr>
            <w:pStyle w:val="Huisstijl-Kopje"/>
          </w:pPr>
          <w:r w:rsidRPr="00B520EC">
            <w:t>Kenmerk</w:t>
          </w:r>
        </w:p>
        <w:p w14:paraId="2D675CD7" w14:textId="77777777" w:rsidR="00137AC0" w:rsidRPr="00B520EC" w:rsidRDefault="00052D80" w:rsidP="005558E0">
          <w:pPr>
            <w:pStyle w:val="Huisstijl-Gegeven"/>
          </w:pPr>
          <w:r>
            <w:t>KGG_DGRGG_RE</w:t>
          </w:r>
          <w:r w:rsidRPr="00B520EC">
            <w:t xml:space="preserve"> / </w:t>
          </w:r>
          <w:r>
            <w:t>106626704</w:t>
          </w:r>
        </w:p>
        <w:p w14:paraId="7161637E" w14:textId="54DB335B" w:rsidR="00DB297C" w:rsidRDefault="00FE72D4" w:rsidP="005558E0">
          <w:pPr>
            <w:pStyle w:val="Huisstijl-Kopje"/>
          </w:pPr>
          <w:r w:rsidRPr="00FE72D4">
            <w:t>RT-0000144328</w:t>
          </w:r>
        </w:p>
        <w:p w14:paraId="1C55EFE8" w14:textId="77777777" w:rsidR="00137AC0" w:rsidRPr="00B520EC" w:rsidRDefault="00137AC0" w:rsidP="005558E0">
          <w:pPr>
            <w:pStyle w:val="Huisstijl-NotaGegeven"/>
          </w:pPr>
        </w:p>
        <w:p w14:paraId="27E15446" w14:textId="77777777" w:rsidR="00137AC0" w:rsidRPr="00B520EC" w:rsidRDefault="00052D80" w:rsidP="005558E0">
          <w:pPr>
            <w:pStyle w:val="Huisstijl-Kopje"/>
          </w:pPr>
          <w:r w:rsidRPr="00B520EC">
            <w:t>Bijlage(n)</w:t>
          </w:r>
        </w:p>
        <w:p w14:paraId="06E92EB0" w14:textId="77777777" w:rsidR="002B1950" w:rsidRDefault="002B1950" w:rsidP="002B1950">
          <w:pPr>
            <w:pStyle w:val="Huisstijl-Kopje"/>
            <w:rPr>
              <w:b w:val="0"/>
              <w:bCs/>
            </w:rPr>
          </w:pPr>
          <w:bookmarkStart w:id="9" w:name="OLE_LINK55"/>
          <w:r w:rsidRPr="00715E3B">
            <w:t xml:space="preserve">Bijlage 1: </w:t>
          </w:r>
          <w:r>
            <w:rPr>
              <w:b w:val="0"/>
              <w:bCs/>
            </w:rPr>
            <w:t>Definitieve tenderregeling IJmuiden Ver gamma-A</w:t>
          </w:r>
        </w:p>
        <w:p w14:paraId="3AB0BC14" w14:textId="77777777" w:rsidR="002B1950" w:rsidRDefault="002B1950" w:rsidP="002B1950">
          <w:pPr>
            <w:pStyle w:val="Huisstijl-Kopje"/>
            <w:rPr>
              <w:b w:val="0"/>
              <w:bCs/>
            </w:rPr>
          </w:pPr>
          <w:r>
            <w:t xml:space="preserve">Bijlage 2: </w:t>
          </w:r>
          <w:r>
            <w:rPr>
              <w:b w:val="0"/>
              <w:bCs/>
            </w:rPr>
            <w:t>Definitieve tenderregeling IJmuiden Ver Gamma-B</w:t>
          </w:r>
        </w:p>
        <w:p w14:paraId="0A6AD5BA" w14:textId="65F7DB67" w:rsidR="00137AC0" w:rsidRPr="002B1950" w:rsidRDefault="002B1950" w:rsidP="002B1950">
          <w:pPr>
            <w:pStyle w:val="Huisstijl-Kopje"/>
            <w:rPr>
              <w:b w:val="0"/>
              <w:bCs/>
            </w:rPr>
          </w:pPr>
          <w:r>
            <w:t xml:space="preserve">Bijlage 3: </w:t>
          </w:r>
          <w:r w:rsidRPr="005145B9">
            <w:rPr>
              <w:b w:val="0"/>
              <w:bCs/>
            </w:rPr>
            <w:t>Kamerbrief defintieve tenderregelingen IJmuiden Ver Gamma-A en Gamma-B</w:t>
          </w:r>
          <w:bookmarkEnd w:id="9"/>
        </w:p>
      </w:tc>
    </w:tr>
  </w:tbl>
  <w:p w14:paraId="78BD0B23" w14:textId="77777777" w:rsidR="00CE48D1" w:rsidRPr="00B520EC" w:rsidRDefault="00CE48D1" w:rsidP="00CE48D1">
    <w:pPr>
      <w:rPr>
        <w:vanish/>
      </w:rPr>
    </w:pPr>
  </w:p>
  <w:tbl>
    <w:tblPr>
      <w:tblW w:w="7371" w:type="dxa"/>
      <w:tblLayout w:type="fixed"/>
      <w:tblCellMar>
        <w:left w:w="0" w:type="dxa"/>
        <w:right w:w="0" w:type="dxa"/>
      </w:tblCellMar>
      <w:tblLook w:val="0000" w:firstRow="0" w:lastRow="0" w:firstColumn="0" w:lastColumn="0" w:noHBand="0" w:noVBand="0"/>
    </w:tblPr>
    <w:tblGrid>
      <w:gridCol w:w="2835"/>
      <w:gridCol w:w="4536"/>
    </w:tblGrid>
    <w:tr w:rsidR="00E20A9F" w14:paraId="386BD3E0" w14:textId="77777777" w:rsidTr="002E2FFC">
      <w:trPr>
        <w:trHeight w:val="400"/>
      </w:trPr>
      <w:tc>
        <w:tcPr>
          <w:tcW w:w="7371" w:type="dxa"/>
          <w:gridSpan w:val="2"/>
        </w:tcPr>
        <w:p w14:paraId="07613CF2" w14:textId="77777777" w:rsidR="00137AC0" w:rsidRPr="00B520EC" w:rsidRDefault="00137AC0" w:rsidP="00B9126B">
          <w:pPr>
            <w:spacing w:line="180" w:lineRule="exact"/>
          </w:pPr>
        </w:p>
      </w:tc>
    </w:tr>
    <w:tr w:rsidR="00E20A9F" w14:paraId="31EF192A" w14:textId="77777777" w:rsidTr="002E2FFC">
      <w:trPr>
        <w:trHeight w:hRule="exact" w:val="255"/>
      </w:trPr>
      <w:tc>
        <w:tcPr>
          <w:tcW w:w="7371" w:type="dxa"/>
          <w:gridSpan w:val="2"/>
        </w:tcPr>
        <w:p w14:paraId="1BAC088D" w14:textId="77777777" w:rsidR="002C1735" w:rsidRPr="0075019D" w:rsidRDefault="002C1735" w:rsidP="002C1735">
          <w:pPr>
            <w:pStyle w:val="Huisstijl-NAW"/>
            <w:rPr>
              <w:b/>
              <w:bCs/>
            </w:rPr>
          </w:pPr>
        </w:p>
        <w:p w14:paraId="31D0CA56" w14:textId="77777777" w:rsidR="00137AC0" w:rsidRPr="00B520EC" w:rsidRDefault="00137AC0" w:rsidP="00240C98">
          <w:pPr>
            <w:pStyle w:val="Huisstijl-NAW"/>
          </w:pPr>
        </w:p>
      </w:tc>
    </w:tr>
    <w:tr w:rsidR="00E20A9F" w14:paraId="35E37EFE" w14:textId="77777777" w:rsidTr="002E2FFC">
      <w:trPr>
        <w:trHeight w:hRule="exact" w:val="1616"/>
      </w:trPr>
      <w:tc>
        <w:tcPr>
          <w:tcW w:w="7371" w:type="dxa"/>
          <w:gridSpan w:val="2"/>
        </w:tcPr>
        <w:p w14:paraId="3CA52485" w14:textId="77777777" w:rsidR="00EA14A9" w:rsidRDefault="00052D80" w:rsidP="00EA14A9">
          <w:r>
            <w:t>Aan de Minister van Klimaat en Groene Groei</w:t>
          </w:r>
        </w:p>
        <w:p w14:paraId="2676C800" w14:textId="77777777" w:rsidR="00240C98" w:rsidRPr="00B520EC" w:rsidRDefault="00052D80" w:rsidP="00EA14A9">
          <w:r w:rsidRPr="00B520EC">
            <w:tab/>
          </w:r>
        </w:p>
      </w:tc>
    </w:tr>
    <w:tr w:rsidR="00E20A9F" w14:paraId="3BEFD52B" w14:textId="77777777" w:rsidTr="00CF04BD">
      <w:trPr>
        <w:trHeight w:val="401"/>
      </w:trPr>
      <w:tc>
        <w:tcPr>
          <w:tcW w:w="2835" w:type="dxa"/>
          <w:vMerge w:val="restart"/>
        </w:tcPr>
        <w:p w14:paraId="738BABB0" w14:textId="77777777" w:rsidR="00B60FC2" w:rsidRPr="00B520EC" w:rsidRDefault="00052D80" w:rsidP="009D5D50">
          <w:r>
            <w:rPr>
              <w:noProof/>
            </w:rPr>
            <w:drawing>
              <wp:inline distT="0" distB="0" distL="0" distR="0" wp14:anchorId="7F2ABE47" wp14:editId="25D29B50">
                <wp:extent cx="752475" cy="457200"/>
                <wp:effectExtent l="0" t="0" r="9525" b="0"/>
                <wp:docPr id="3" name="Picture 45" descr="Nota"/>
                <wp:cNvGraphicFramePr/>
                <a:graphic xmlns:a="http://schemas.openxmlformats.org/drawingml/2006/main">
                  <a:graphicData uri="http://schemas.openxmlformats.org/drawingml/2006/picture">
                    <pic:pic xmlns:pic="http://schemas.openxmlformats.org/drawingml/2006/picture">
                      <pic:nvPicPr>
                        <pic:cNvPr id="3" name="Picture 45" descr="Nota"/>
                        <pic:cNvPicPr/>
                      </pic:nvPicPr>
                      <pic:blipFill>
                        <a:blip r:embed="rId3">
                          <a:extLst>
                            <a:ext uri="{28A0092B-C50C-407E-A947-70E740481C1C}">
                              <a14:useLocalDpi xmlns:a14="http://schemas.microsoft.com/office/drawing/2010/main" val="0"/>
                            </a:ext>
                          </a:extLst>
                        </a:blip>
                        <a:srcRect b="14047"/>
                        <a:stretch>
                          <a:fillRect/>
                        </a:stretch>
                      </pic:blipFill>
                      <pic:spPr bwMode="auto">
                        <a:xfrm>
                          <a:off x="0" y="0"/>
                          <a:ext cx="752475" cy="457200"/>
                        </a:xfrm>
                        <a:prstGeom prst="rect">
                          <a:avLst/>
                        </a:prstGeom>
                        <a:noFill/>
                        <a:ln>
                          <a:noFill/>
                        </a:ln>
                      </pic:spPr>
                    </pic:pic>
                  </a:graphicData>
                </a:graphic>
              </wp:inline>
            </w:drawing>
          </w:r>
          <w:r w:rsidR="00CF04BD">
            <w:br/>
          </w:r>
          <w:r w:rsidR="00DC2EE0">
            <w:t>TER BESLISSING</w:t>
          </w:r>
        </w:p>
      </w:tc>
      <w:tc>
        <w:tcPr>
          <w:tcW w:w="4536" w:type="dxa"/>
        </w:tcPr>
        <w:p w14:paraId="504681D6" w14:textId="77777777" w:rsidR="00137AC0" w:rsidRPr="00B520EC" w:rsidRDefault="00137AC0" w:rsidP="009D5D50"/>
      </w:tc>
    </w:tr>
    <w:tr w:rsidR="00E20A9F" w14:paraId="4F7430A6" w14:textId="77777777" w:rsidTr="00CF04BD">
      <w:trPr>
        <w:trHeight w:val="560"/>
      </w:trPr>
      <w:tc>
        <w:tcPr>
          <w:tcW w:w="2835" w:type="dxa"/>
          <w:vMerge/>
        </w:tcPr>
        <w:p w14:paraId="7AD1B812" w14:textId="77777777" w:rsidR="00137AC0" w:rsidRPr="00B520EC" w:rsidRDefault="00137AC0" w:rsidP="009D5D50"/>
      </w:tc>
      <w:tc>
        <w:tcPr>
          <w:tcW w:w="4536" w:type="dxa"/>
        </w:tcPr>
        <w:p w14:paraId="5A8F887E" w14:textId="77777777" w:rsidR="00137AC0" w:rsidRPr="00B520EC" w:rsidRDefault="00052D80" w:rsidP="009D5D50">
          <w:r>
            <w:t>Definitieve tenderregelingen voor IJmuiden Ver Gamma-A en Gamma-B</w:t>
          </w:r>
        </w:p>
      </w:tc>
    </w:tr>
  </w:tbl>
  <w:p w14:paraId="377B3935" w14:textId="77777777" w:rsidR="00137AC0" w:rsidRPr="00B520EC" w:rsidRDefault="00137AC0" w:rsidP="00044613">
    <w:pPr>
      <w:pStyle w:val="Koptekst"/>
    </w:pPr>
  </w:p>
  <w:p w14:paraId="0D4E651F" w14:textId="77777777" w:rsidR="00137AC0" w:rsidRPr="00B520EC" w:rsidRDefault="00137AC0"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88987E">
      <w:start w:val="1"/>
      <w:numFmt w:val="bullet"/>
      <w:pStyle w:val="Lijstopsomteken"/>
      <w:lvlText w:val="•"/>
      <w:lvlJc w:val="left"/>
      <w:pPr>
        <w:tabs>
          <w:tab w:val="num" w:pos="227"/>
        </w:tabs>
        <w:ind w:left="227" w:hanging="227"/>
      </w:pPr>
      <w:rPr>
        <w:rFonts w:ascii="Verdana" w:hAnsi="Verdana" w:hint="default"/>
        <w:sz w:val="18"/>
        <w:szCs w:val="18"/>
      </w:rPr>
    </w:lvl>
    <w:lvl w:ilvl="1" w:tplc="8446F180" w:tentative="1">
      <w:start w:val="1"/>
      <w:numFmt w:val="bullet"/>
      <w:lvlText w:val="o"/>
      <w:lvlJc w:val="left"/>
      <w:pPr>
        <w:tabs>
          <w:tab w:val="num" w:pos="1440"/>
        </w:tabs>
        <w:ind w:left="1440" w:hanging="360"/>
      </w:pPr>
      <w:rPr>
        <w:rFonts w:ascii="Courier New" w:hAnsi="Courier New" w:cs="Courier New" w:hint="default"/>
      </w:rPr>
    </w:lvl>
    <w:lvl w:ilvl="2" w:tplc="3A58CE96" w:tentative="1">
      <w:start w:val="1"/>
      <w:numFmt w:val="bullet"/>
      <w:lvlText w:val=""/>
      <w:lvlJc w:val="left"/>
      <w:pPr>
        <w:tabs>
          <w:tab w:val="num" w:pos="2160"/>
        </w:tabs>
        <w:ind w:left="2160" w:hanging="360"/>
      </w:pPr>
      <w:rPr>
        <w:rFonts w:ascii="Wingdings" w:hAnsi="Wingdings" w:hint="default"/>
      </w:rPr>
    </w:lvl>
    <w:lvl w:ilvl="3" w:tplc="CD84B7E4" w:tentative="1">
      <w:start w:val="1"/>
      <w:numFmt w:val="bullet"/>
      <w:lvlText w:val=""/>
      <w:lvlJc w:val="left"/>
      <w:pPr>
        <w:tabs>
          <w:tab w:val="num" w:pos="2880"/>
        </w:tabs>
        <w:ind w:left="2880" w:hanging="360"/>
      </w:pPr>
      <w:rPr>
        <w:rFonts w:ascii="Symbol" w:hAnsi="Symbol" w:hint="default"/>
      </w:rPr>
    </w:lvl>
    <w:lvl w:ilvl="4" w:tplc="5DDE8926" w:tentative="1">
      <w:start w:val="1"/>
      <w:numFmt w:val="bullet"/>
      <w:lvlText w:val="o"/>
      <w:lvlJc w:val="left"/>
      <w:pPr>
        <w:tabs>
          <w:tab w:val="num" w:pos="3600"/>
        </w:tabs>
        <w:ind w:left="3600" w:hanging="360"/>
      </w:pPr>
      <w:rPr>
        <w:rFonts w:ascii="Courier New" w:hAnsi="Courier New" w:cs="Courier New" w:hint="default"/>
      </w:rPr>
    </w:lvl>
    <w:lvl w:ilvl="5" w:tplc="06DC87F8" w:tentative="1">
      <w:start w:val="1"/>
      <w:numFmt w:val="bullet"/>
      <w:lvlText w:val=""/>
      <w:lvlJc w:val="left"/>
      <w:pPr>
        <w:tabs>
          <w:tab w:val="num" w:pos="4320"/>
        </w:tabs>
        <w:ind w:left="4320" w:hanging="360"/>
      </w:pPr>
      <w:rPr>
        <w:rFonts w:ascii="Wingdings" w:hAnsi="Wingdings" w:hint="default"/>
      </w:rPr>
    </w:lvl>
    <w:lvl w:ilvl="6" w:tplc="C2945E3E" w:tentative="1">
      <w:start w:val="1"/>
      <w:numFmt w:val="bullet"/>
      <w:lvlText w:val=""/>
      <w:lvlJc w:val="left"/>
      <w:pPr>
        <w:tabs>
          <w:tab w:val="num" w:pos="5040"/>
        </w:tabs>
        <w:ind w:left="5040" w:hanging="360"/>
      </w:pPr>
      <w:rPr>
        <w:rFonts w:ascii="Symbol" w:hAnsi="Symbol" w:hint="default"/>
      </w:rPr>
    </w:lvl>
    <w:lvl w:ilvl="7" w:tplc="E73EC054" w:tentative="1">
      <w:start w:val="1"/>
      <w:numFmt w:val="bullet"/>
      <w:lvlText w:val="o"/>
      <w:lvlJc w:val="left"/>
      <w:pPr>
        <w:tabs>
          <w:tab w:val="num" w:pos="5760"/>
        </w:tabs>
        <w:ind w:left="5760" w:hanging="360"/>
      </w:pPr>
      <w:rPr>
        <w:rFonts w:ascii="Courier New" w:hAnsi="Courier New" w:cs="Courier New" w:hint="default"/>
      </w:rPr>
    </w:lvl>
    <w:lvl w:ilvl="8" w:tplc="E2EC2E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A7ED0D8">
      <w:start w:val="1"/>
      <w:numFmt w:val="bullet"/>
      <w:pStyle w:val="Lijstopsomteken2"/>
      <w:lvlText w:val="–"/>
      <w:lvlJc w:val="left"/>
      <w:pPr>
        <w:tabs>
          <w:tab w:val="num" w:pos="227"/>
        </w:tabs>
        <w:ind w:left="227" w:firstLine="0"/>
      </w:pPr>
      <w:rPr>
        <w:rFonts w:ascii="Verdana" w:hAnsi="Verdana" w:hint="default"/>
      </w:rPr>
    </w:lvl>
    <w:lvl w:ilvl="1" w:tplc="68A28546" w:tentative="1">
      <w:start w:val="1"/>
      <w:numFmt w:val="bullet"/>
      <w:lvlText w:val="o"/>
      <w:lvlJc w:val="left"/>
      <w:pPr>
        <w:tabs>
          <w:tab w:val="num" w:pos="1440"/>
        </w:tabs>
        <w:ind w:left="1440" w:hanging="360"/>
      </w:pPr>
      <w:rPr>
        <w:rFonts w:ascii="Courier New" w:hAnsi="Courier New" w:cs="Courier New" w:hint="default"/>
      </w:rPr>
    </w:lvl>
    <w:lvl w:ilvl="2" w:tplc="417E148A" w:tentative="1">
      <w:start w:val="1"/>
      <w:numFmt w:val="bullet"/>
      <w:lvlText w:val=""/>
      <w:lvlJc w:val="left"/>
      <w:pPr>
        <w:tabs>
          <w:tab w:val="num" w:pos="2160"/>
        </w:tabs>
        <w:ind w:left="2160" w:hanging="360"/>
      </w:pPr>
      <w:rPr>
        <w:rFonts w:ascii="Wingdings" w:hAnsi="Wingdings" w:hint="default"/>
      </w:rPr>
    </w:lvl>
    <w:lvl w:ilvl="3" w:tplc="63402BBA" w:tentative="1">
      <w:start w:val="1"/>
      <w:numFmt w:val="bullet"/>
      <w:lvlText w:val=""/>
      <w:lvlJc w:val="left"/>
      <w:pPr>
        <w:tabs>
          <w:tab w:val="num" w:pos="2880"/>
        </w:tabs>
        <w:ind w:left="2880" w:hanging="360"/>
      </w:pPr>
      <w:rPr>
        <w:rFonts w:ascii="Symbol" w:hAnsi="Symbol" w:hint="default"/>
      </w:rPr>
    </w:lvl>
    <w:lvl w:ilvl="4" w:tplc="0A7E01C6" w:tentative="1">
      <w:start w:val="1"/>
      <w:numFmt w:val="bullet"/>
      <w:lvlText w:val="o"/>
      <w:lvlJc w:val="left"/>
      <w:pPr>
        <w:tabs>
          <w:tab w:val="num" w:pos="3600"/>
        </w:tabs>
        <w:ind w:left="3600" w:hanging="360"/>
      </w:pPr>
      <w:rPr>
        <w:rFonts w:ascii="Courier New" w:hAnsi="Courier New" w:cs="Courier New" w:hint="default"/>
      </w:rPr>
    </w:lvl>
    <w:lvl w:ilvl="5" w:tplc="73BA008A" w:tentative="1">
      <w:start w:val="1"/>
      <w:numFmt w:val="bullet"/>
      <w:lvlText w:val=""/>
      <w:lvlJc w:val="left"/>
      <w:pPr>
        <w:tabs>
          <w:tab w:val="num" w:pos="4320"/>
        </w:tabs>
        <w:ind w:left="4320" w:hanging="360"/>
      </w:pPr>
      <w:rPr>
        <w:rFonts w:ascii="Wingdings" w:hAnsi="Wingdings" w:hint="default"/>
      </w:rPr>
    </w:lvl>
    <w:lvl w:ilvl="6" w:tplc="081A4AFC" w:tentative="1">
      <w:start w:val="1"/>
      <w:numFmt w:val="bullet"/>
      <w:lvlText w:val=""/>
      <w:lvlJc w:val="left"/>
      <w:pPr>
        <w:tabs>
          <w:tab w:val="num" w:pos="5040"/>
        </w:tabs>
        <w:ind w:left="5040" w:hanging="360"/>
      </w:pPr>
      <w:rPr>
        <w:rFonts w:ascii="Symbol" w:hAnsi="Symbol" w:hint="default"/>
      </w:rPr>
    </w:lvl>
    <w:lvl w:ilvl="7" w:tplc="2EFCD94E" w:tentative="1">
      <w:start w:val="1"/>
      <w:numFmt w:val="bullet"/>
      <w:lvlText w:val="o"/>
      <w:lvlJc w:val="left"/>
      <w:pPr>
        <w:tabs>
          <w:tab w:val="num" w:pos="5760"/>
        </w:tabs>
        <w:ind w:left="5760" w:hanging="360"/>
      </w:pPr>
      <w:rPr>
        <w:rFonts w:ascii="Courier New" w:hAnsi="Courier New" w:cs="Courier New" w:hint="default"/>
      </w:rPr>
    </w:lvl>
    <w:lvl w:ilvl="8" w:tplc="47063F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40858"/>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CD87BC2"/>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35C52B2"/>
    <w:multiLevelType w:val="hybridMultilevel"/>
    <w:tmpl w:val="FFFFFFFF"/>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F100AD"/>
    <w:multiLevelType w:val="hybridMultilevel"/>
    <w:tmpl w:val="FFFFFFFF"/>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741885"/>
    <w:multiLevelType w:val="hybridMultilevel"/>
    <w:tmpl w:val="C2F48686"/>
    <w:lvl w:ilvl="0" w:tplc="4DC03BCC">
      <w:start w:val="1"/>
      <w:numFmt w:val="bullet"/>
      <w:lvlText w:val=""/>
      <w:lvlJc w:val="left"/>
      <w:pPr>
        <w:ind w:left="720" w:hanging="360"/>
      </w:pPr>
      <w:rPr>
        <w:rFonts w:ascii="Symbol" w:hAnsi="Symbol" w:hint="default"/>
      </w:rPr>
    </w:lvl>
    <w:lvl w:ilvl="1" w:tplc="68E0E468">
      <w:start w:val="1"/>
      <w:numFmt w:val="bullet"/>
      <w:lvlText w:val="o"/>
      <w:lvlJc w:val="left"/>
      <w:pPr>
        <w:ind w:left="1440" w:hanging="360"/>
      </w:pPr>
      <w:rPr>
        <w:rFonts w:ascii="Courier New" w:hAnsi="Courier New" w:cs="Courier New" w:hint="default"/>
      </w:rPr>
    </w:lvl>
    <w:lvl w:ilvl="2" w:tplc="F06E5F2A">
      <w:start w:val="1"/>
      <w:numFmt w:val="bullet"/>
      <w:lvlText w:val=""/>
      <w:lvlJc w:val="left"/>
      <w:pPr>
        <w:ind w:left="2160" w:hanging="360"/>
      </w:pPr>
      <w:rPr>
        <w:rFonts w:ascii="Wingdings" w:hAnsi="Wingdings" w:hint="default"/>
      </w:rPr>
    </w:lvl>
    <w:lvl w:ilvl="3" w:tplc="53EC17B0">
      <w:start w:val="1"/>
      <w:numFmt w:val="bullet"/>
      <w:lvlText w:val=""/>
      <w:lvlJc w:val="left"/>
      <w:pPr>
        <w:ind w:left="2880" w:hanging="360"/>
      </w:pPr>
      <w:rPr>
        <w:rFonts w:ascii="Symbol" w:hAnsi="Symbol" w:hint="default"/>
      </w:rPr>
    </w:lvl>
    <w:lvl w:ilvl="4" w:tplc="03484710">
      <w:start w:val="1"/>
      <w:numFmt w:val="bullet"/>
      <w:lvlText w:val="o"/>
      <w:lvlJc w:val="left"/>
      <w:pPr>
        <w:ind w:left="3600" w:hanging="360"/>
      </w:pPr>
      <w:rPr>
        <w:rFonts w:ascii="Courier New" w:hAnsi="Courier New" w:cs="Courier New" w:hint="default"/>
      </w:rPr>
    </w:lvl>
    <w:lvl w:ilvl="5" w:tplc="80DE5D9C">
      <w:start w:val="1"/>
      <w:numFmt w:val="bullet"/>
      <w:lvlText w:val=""/>
      <w:lvlJc w:val="left"/>
      <w:pPr>
        <w:ind w:left="4320" w:hanging="360"/>
      </w:pPr>
      <w:rPr>
        <w:rFonts w:ascii="Wingdings" w:hAnsi="Wingdings" w:hint="default"/>
      </w:rPr>
    </w:lvl>
    <w:lvl w:ilvl="6" w:tplc="80908926">
      <w:start w:val="1"/>
      <w:numFmt w:val="bullet"/>
      <w:lvlText w:val=""/>
      <w:lvlJc w:val="left"/>
      <w:pPr>
        <w:ind w:left="5040" w:hanging="360"/>
      </w:pPr>
      <w:rPr>
        <w:rFonts w:ascii="Symbol" w:hAnsi="Symbol" w:hint="default"/>
      </w:rPr>
    </w:lvl>
    <w:lvl w:ilvl="7" w:tplc="127EE1F2">
      <w:start w:val="1"/>
      <w:numFmt w:val="bullet"/>
      <w:lvlText w:val="o"/>
      <w:lvlJc w:val="left"/>
      <w:pPr>
        <w:ind w:left="5760" w:hanging="360"/>
      </w:pPr>
      <w:rPr>
        <w:rFonts w:ascii="Courier New" w:hAnsi="Courier New" w:cs="Courier New" w:hint="default"/>
      </w:rPr>
    </w:lvl>
    <w:lvl w:ilvl="8" w:tplc="7E504F30">
      <w:start w:val="1"/>
      <w:numFmt w:val="bullet"/>
      <w:lvlText w:val=""/>
      <w:lvlJc w:val="left"/>
      <w:pPr>
        <w:ind w:left="6480" w:hanging="360"/>
      </w:pPr>
      <w:rPr>
        <w:rFonts w:ascii="Wingdings" w:hAnsi="Wingdings" w:hint="default"/>
      </w:rPr>
    </w:lvl>
  </w:abstractNum>
  <w:num w:numId="1" w16cid:durableId="1571185127">
    <w:abstractNumId w:val="10"/>
  </w:num>
  <w:num w:numId="2" w16cid:durableId="23021285">
    <w:abstractNumId w:val="7"/>
  </w:num>
  <w:num w:numId="3" w16cid:durableId="861044049">
    <w:abstractNumId w:val="6"/>
  </w:num>
  <w:num w:numId="4" w16cid:durableId="1088112870">
    <w:abstractNumId w:val="5"/>
  </w:num>
  <w:num w:numId="5" w16cid:durableId="749471547">
    <w:abstractNumId w:val="4"/>
  </w:num>
  <w:num w:numId="6" w16cid:durableId="1841458454">
    <w:abstractNumId w:val="8"/>
  </w:num>
  <w:num w:numId="7" w16cid:durableId="708259506">
    <w:abstractNumId w:val="3"/>
  </w:num>
  <w:num w:numId="8" w16cid:durableId="1052576987">
    <w:abstractNumId w:val="2"/>
  </w:num>
  <w:num w:numId="9" w16cid:durableId="668943242">
    <w:abstractNumId w:val="1"/>
  </w:num>
  <w:num w:numId="10" w16cid:durableId="1958368159">
    <w:abstractNumId w:val="0"/>
  </w:num>
  <w:num w:numId="11" w16cid:durableId="1040862496">
    <w:abstractNumId w:val="9"/>
  </w:num>
  <w:num w:numId="12" w16cid:durableId="780031595">
    <w:abstractNumId w:val="11"/>
  </w:num>
  <w:num w:numId="13" w16cid:durableId="1456439190">
    <w:abstractNumId w:val="17"/>
  </w:num>
  <w:num w:numId="14" w16cid:durableId="1454981434">
    <w:abstractNumId w:val="12"/>
  </w:num>
  <w:num w:numId="15" w16cid:durableId="950936409">
    <w:abstractNumId w:val="18"/>
  </w:num>
  <w:num w:numId="16" w16cid:durableId="1336415321">
    <w:abstractNumId w:val="14"/>
  </w:num>
  <w:num w:numId="17" w16cid:durableId="1595479707">
    <w:abstractNumId w:val="16"/>
  </w:num>
  <w:num w:numId="18" w16cid:durableId="1558198689">
    <w:abstractNumId w:val="13"/>
  </w:num>
  <w:num w:numId="19" w16cid:durableId="4268284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44"/>
    <w:rsid w:val="00001929"/>
    <w:rsid w:val="00003F86"/>
    <w:rsid w:val="000104C9"/>
    <w:rsid w:val="00010ECA"/>
    <w:rsid w:val="00013862"/>
    <w:rsid w:val="00016012"/>
    <w:rsid w:val="00020189"/>
    <w:rsid w:val="00020EE4"/>
    <w:rsid w:val="00023E9A"/>
    <w:rsid w:val="00026844"/>
    <w:rsid w:val="0003022F"/>
    <w:rsid w:val="00034A84"/>
    <w:rsid w:val="00035E67"/>
    <w:rsid w:val="000366F3"/>
    <w:rsid w:val="00044613"/>
    <w:rsid w:val="00044CD5"/>
    <w:rsid w:val="00052D80"/>
    <w:rsid w:val="00054A58"/>
    <w:rsid w:val="0005565B"/>
    <w:rsid w:val="00071F28"/>
    <w:rsid w:val="0007250C"/>
    <w:rsid w:val="00074079"/>
    <w:rsid w:val="00074FE9"/>
    <w:rsid w:val="00085E3A"/>
    <w:rsid w:val="00092799"/>
    <w:rsid w:val="00092C5F"/>
    <w:rsid w:val="000952C9"/>
    <w:rsid w:val="00096680"/>
    <w:rsid w:val="000A174A"/>
    <w:rsid w:val="000A3E0A"/>
    <w:rsid w:val="000A5183"/>
    <w:rsid w:val="000A65AC"/>
    <w:rsid w:val="000B7281"/>
    <w:rsid w:val="000B7959"/>
    <w:rsid w:val="000B7FAB"/>
    <w:rsid w:val="000C1230"/>
    <w:rsid w:val="000C2D3E"/>
    <w:rsid w:val="000C3EA9"/>
    <w:rsid w:val="000D0225"/>
    <w:rsid w:val="000D119D"/>
    <w:rsid w:val="000E7DD1"/>
    <w:rsid w:val="000F161D"/>
    <w:rsid w:val="00103FBE"/>
    <w:rsid w:val="00104586"/>
    <w:rsid w:val="0011273F"/>
    <w:rsid w:val="00115F3D"/>
    <w:rsid w:val="00123704"/>
    <w:rsid w:val="001270C7"/>
    <w:rsid w:val="00131A2A"/>
    <w:rsid w:val="00132540"/>
    <w:rsid w:val="001358AD"/>
    <w:rsid w:val="00137AC0"/>
    <w:rsid w:val="0014786A"/>
    <w:rsid w:val="001516A4"/>
    <w:rsid w:val="00151E5F"/>
    <w:rsid w:val="001569AB"/>
    <w:rsid w:val="001612F5"/>
    <w:rsid w:val="00164952"/>
    <w:rsid w:val="001726F3"/>
    <w:rsid w:val="00174CC2"/>
    <w:rsid w:val="00176CC6"/>
    <w:rsid w:val="0018075A"/>
    <w:rsid w:val="00181BE4"/>
    <w:rsid w:val="001839E1"/>
    <w:rsid w:val="00184454"/>
    <w:rsid w:val="00185576"/>
    <w:rsid w:val="00185951"/>
    <w:rsid w:val="001863F1"/>
    <w:rsid w:val="0019149B"/>
    <w:rsid w:val="00194348"/>
    <w:rsid w:val="00195D12"/>
    <w:rsid w:val="00196B8B"/>
    <w:rsid w:val="00197087"/>
    <w:rsid w:val="001A2BEA"/>
    <w:rsid w:val="001A3378"/>
    <w:rsid w:val="001A51E9"/>
    <w:rsid w:val="001A6D93"/>
    <w:rsid w:val="001B1A32"/>
    <w:rsid w:val="001B3D52"/>
    <w:rsid w:val="001C2D51"/>
    <w:rsid w:val="001C32EC"/>
    <w:rsid w:val="001C4D5A"/>
    <w:rsid w:val="001E0A39"/>
    <w:rsid w:val="001E3070"/>
    <w:rsid w:val="001E34C6"/>
    <w:rsid w:val="001E4C6B"/>
    <w:rsid w:val="001E5581"/>
    <w:rsid w:val="001F1983"/>
    <w:rsid w:val="001F368C"/>
    <w:rsid w:val="001F3C70"/>
    <w:rsid w:val="001F5816"/>
    <w:rsid w:val="001F6159"/>
    <w:rsid w:val="00200D88"/>
    <w:rsid w:val="00201F68"/>
    <w:rsid w:val="0021116F"/>
    <w:rsid w:val="0021255A"/>
    <w:rsid w:val="00212F2A"/>
    <w:rsid w:val="002141F4"/>
    <w:rsid w:val="00214F2B"/>
    <w:rsid w:val="00216BC2"/>
    <w:rsid w:val="00217880"/>
    <w:rsid w:val="00221C2C"/>
    <w:rsid w:val="0022290A"/>
    <w:rsid w:val="00224833"/>
    <w:rsid w:val="0022653F"/>
    <w:rsid w:val="002309A8"/>
    <w:rsid w:val="0023120E"/>
    <w:rsid w:val="00236CFE"/>
    <w:rsid w:val="00240C98"/>
    <w:rsid w:val="00241498"/>
    <w:rsid w:val="002428E3"/>
    <w:rsid w:val="00251717"/>
    <w:rsid w:val="00252FA7"/>
    <w:rsid w:val="00254097"/>
    <w:rsid w:val="00254864"/>
    <w:rsid w:val="00260277"/>
    <w:rsid w:val="002603C4"/>
    <w:rsid w:val="00260BAF"/>
    <w:rsid w:val="0026208B"/>
    <w:rsid w:val="00262171"/>
    <w:rsid w:val="002650F7"/>
    <w:rsid w:val="00265D62"/>
    <w:rsid w:val="00270614"/>
    <w:rsid w:val="00273F3B"/>
    <w:rsid w:val="00274DB7"/>
    <w:rsid w:val="00275984"/>
    <w:rsid w:val="002768E5"/>
    <w:rsid w:val="00277DF2"/>
    <w:rsid w:val="00280F74"/>
    <w:rsid w:val="00282C6C"/>
    <w:rsid w:val="00286998"/>
    <w:rsid w:val="0028799F"/>
    <w:rsid w:val="00291AB7"/>
    <w:rsid w:val="00293B9B"/>
    <w:rsid w:val="0029422B"/>
    <w:rsid w:val="00294F62"/>
    <w:rsid w:val="002A0384"/>
    <w:rsid w:val="002A3B41"/>
    <w:rsid w:val="002A3E00"/>
    <w:rsid w:val="002A4E76"/>
    <w:rsid w:val="002A7FA3"/>
    <w:rsid w:val="002B153C"/>
    <w:rsid w:val="002B1950"/>
    <w:rsid w:val="002B4718"/>
    <w:rsid w:val="002B6DE0"/>
    <w:rsid w:val="002C1735"/>
    <w:rsid w:val="002C1738"/>
    <w:rsid w:val="002C2805"/>
    <w:rsid w:val="002C2830"/>
    <w:rsid w:val="002C533C"/>
    <w:rsid w:val="002D001A"/>
    <w:rsid w:val="002D317B"/>
    <w:rsid w:val="002D33BE"/>
    <w:rsid w:val="002D3587"/>
    <w:rsid w:val="002D502D"/>
    <w:rsid w:val="002D68D8"/>
    <w:rsid w:val="002E0F69"/>
    <w:rsid w:val="002E254C"/>
    <w:rsid w:val="002E2FFC"/>
    <w:rsid w:val="002F1B86"/>
    <w:rsid w:val="002F5147"/>
    <w:rsid w:val="002F7084"/>
    <w:rsid w:val="00304B69"/>
    <w:rsid w:val="00305BB0"/>
    <w:rsid w:val="00312597"/>
    <w:rsid w:val="00314870"/>
    <w:rsid w:val="00334154"/>
    <w:rsid w:val="00334F55"/>
    <w:rsid w:val="00341FA0"/>
    <w:rsid w:val="0034725E"/>
    <w:rsid w:val="00352BCF"/>
    <w:rsid w:val="00353932"/>
    <w:rsid w:val="0035464B"/>
    <w:rsid w:val="00357B62"/>
    <w:rsid w:val="0036252A"/>
    <w:rsid w:val="00364D9D"/>
    <w:rsid w:val="003709A1"/>
    <w:rsid w:val="0037421D"/>
    <w:rsid w:val="00374A71"/>
    <w:rsid w:val="00383DA1"/>
    <w:rsid w:val="00386AC5"/>
    <w:rsid w:val="00390A94"/>
    <w:rsid w:val="0039361F"/>
    <w:rsid w:val="00393963"/>
    <w:rsid w:val="00394EB5"/>
    <w:rsid w:val="00395575"/>
    <w:rsid w:val="00395619"/>
    <w:rsid w:val="00395672"/>
    <w:rsid w:val="00397C60"/>
    <w:rsid w:val="003A06C8"/>
    <w:rsid w:val="003A0D7C"/>
    <w:rsid w:val="003B02CD"/>
    <w:rsid w:val="003B4D7F"/>
    <w:rsid w:val="003B7675"/>
    <w:rsid w:val="003B7EE7"/>
    <w:rsid w:val="003C2761"/>
    <w:rsid w:val="003C2CCB"/>
    <w:rsid w:val="003C31F4"/>
    <w:rsid w:val="003C6804"/>
    <w:rsid w:val="003D39EC"/>
    <w:rsid w:val="003E3DD5"/>
    <w:rsid w:val="003E707A"/>
    <w:rsid w:val="003E7469"/>
    <w:rsid w:val="003F07C6"/>
    <w:rsid w:val="003F1F6B"/>
    <w:rsid w:val="003F3757"/>
    <w:rsid w:val="003F44B7"/>
    <w:rsid w:val="00406802"/>
    <w:rsid w:val="00413D48"/>
    <w:rsid w:val="004248D7"/>
    <w:rsid w:val="00425884"/>
    <w:rsid w:val="00426292"/>
    <w:rsid w:val="00427175"/>
    <w:rsid w:val="00441AC2"/>
    <w:rsid w:val="0044249B"/>
    <w:rsid w:val="00444AE3"/>
    <w:rsid w:val="00446BF7"/>
    <w:rsid w:val="0045023C"/>
    <w:rsid w:val="00451A5B"/>
    <w:rsid w:val="00452BCD"/>
    <w:rsid w:val="00452CEA"/>
    <w:rsid w:val="00465B52"/>
    <w:rsid w:val="00465F43"/>
    <w:rsid w:val="0046708E"/>
    <w:rsid w:val="00467FE1"/>
    <w:rsid w:val="00474463"/>
    <w:rsid w:val="00474B75"/>
    <w:rsid w:val="0047627E"/>
    <w:rsid w:val="004765D9"/>
    <w:rsid w:val="00480036"/>
    <w:rsid w:val="004816FF"/>
    <w:rsid w:val="00483F0B"/>
    <w:rsid w:val="00484957"/>
    <w:rsid w:val="00485395"/>
    <w:rsid w:val="004865E6"/>
    <w:rsid w:val="00491DB4"/>
    <w:rsid w:val="00492C2B"/>
    <w:rsid w:val="00495DC2"/>
    <w:rsid w:val="00496319"/>
    <w:rsid w:val="004A0304"/>
    <w:rsid w:val="004A34BC"/>
    <w:rsid w:val="004A558F"/>
    <w:rsid w:val="004B5465"/>
    <w:rsid w:val="004C14B6"/>
    <w:rsid w:val="004C3543"/>
    <w:rsid w:val="004D505E"/>
    <w:rsid w:val="004D5087"/>
    <w:rsid w:val="004D72CA"/>
    <w:rsid w:val="004E2242"/>
    <w:rsid w:val="004E260E"/>
    <w:rsid w:val="004E4712"/>
    <w:rsid w:val="004E5DD4"/>
    <w:rsid w:val="004E6851"/>
    <w:rsid w:val="004E7692"/>
    <w:rsid w:val="004F0877"/>
    <w:rsid w:val="004F0BAE"/>
    <w:rsid w:val="004F42FF"/>
    <w:rsid w:val="004F44C2"/>
    <w:rsid w:val="00516022"/>
    <w:rsid w:val="00517284"/>
    <w:rsid w:val="0052002F"/>
    <w:rsid w:val="00521CEE"/>
    <w:rsid w:val="00525CFF"/>
    <w:rsid w:val="00526BA0"/>
    <w:rsid w:val="005324CC"/>
    <w:rsid w:val="005375B7"/>
    <w:rsid w:val="00540AAC"/>
    <w:rsid w:val="005429DC"/>
    <w:rsid w:val="00552EDD"/>
    <w:rsid w:val="00554E13"/>
    <w:rsid w:val="005558E0"/>
    <w:rsid w:val="005666FB"/>
    <w:rsid w:val="00572CD9"/>
    <w:rsid w:val="00573041"/>
    <w:rsid w:val="00575B80"/>
    <w:rsid w:val="005819CE"/>
    <w:rsid w:val="0058298D"/>
    <w:rsid w:val="00593C2B"/>
    <w:rsid w:val="00596166"/>
    <w:rsid w:val="00596A38"/>
    <w:rsid w:val="00597B35"/>
    <w:rsid w:val="005A02A4"/>
    <w:rsid w:val="005A114C"/>
    <w:rsid w:val="005A1C39"/>
    <w:rsid w:val="005A79A9"/>
    <w:rsid w:val="005B2DF5"/>
    <w:rsid w:val="005C3FE0"/>
    <w:rsid w:val="005C740C"/>
    <w:rsid w:val="005D625B"/>
    <w:rsid w:val="005E27A3"/>
    <w:rsid w:val="005E6203"/>
    <w:rsid w:val="005F1DBC"/>
    <w:rsid w:val="005F29DA"/>
    <w:rsid w:val="005F56B1"/>
    <w:rsid w:val="005F63F7"/>
    <w:rsid w:val="005F6D11"/>
    <w:rsid w:val="005F79E9"/>
    <w:rsid w:val="00600CF0"/>
    <w:rsid w:val="006022BA"/>
    <w:rsid w:val="00603423"/>
    <w:rsid w:val="006048F4"/>
    <w:rsid w:val="0060660A"/>
    <w:rsid w:val="00610546"/>
    <w:rsid w:val="006174CE"/>
    <w:rsid w:val="00617A44"/>
    <w:rsid w:val="006202B6"/>
    <w:rsid w:val="00621FBF"/>
    <w:rsid w:val="00622291"/>
    <w:rsid w:val="00625CD0"/>
    <w:rsid w:val="00627432"/>
    <w:rsid w:val="00631090"/>
    <w:rsid w:val="0063486A"/>
    <w:rsid w:val="006405DF"/>
    <w:rsid w:val="00640706"/>
    <w:rsid w:val="006425CB"/>
    <w:rsid w:val="006448E4"/>
    <w:rsid w:val="0065066C"/>
    <w:rsid w:val="006523F2"/>
    <w:rsid w:val="00653606"/>
    <w:rsid w:val="00655AE4"/>
    <w:rsid w:val="00661591"/>
    <w:rsid w:val="0066195F"/>
    <w:rsid w:val="00661BFE"/>
    <w:rsid w:val="0066398A"/>
    <w:rsid w:val="00665F29"/>
    <w:rsid w:val="0066632F"/>
    <w:rsid w:val="006730F5"/>
    <w:rsid w:val="00674A89"/>
    <w:rsid w:val="00682EBF"/>
    <w:rsid w:val="00685545"/>
    <w:rsid w:val="006864B3"/>
    <w:rsid w:val="00686A26"/>
    <w:rsid w:val="00687F74"/>
    <w:rsid w:val="006A038F"/>
    <w:rsid w:val="006A10F8"/>
    <w:rsid w:val="006A2100"/>
    <w:rsid w:val="006A7295"/>
    <w:rsid w:val="006A7BAB"/>
    <w:rsid w:val="006B0209"/>
    <w:rsid w:val="006B0BF3"/>
    <w:rsid w:val="006B1D6E"/>
    <w:rsid w:val="006B775E"/>
    <w:rsid w:val="006C10E8"/>
    <w:rsid w:val="006C2280"/>
    <w:rsid w:val="006C2535"/>
    <w:rsid w:val="006C441E"/>
    <w:rsid w:val="006C4B90"/>
    <w:rsid w:val="006D1016"/>
    <w:rsid w:val="006D17F2"/>
    <w:rsid w:val="006D45EC"/>
    <w:rsid w:val="006D54DC"/>
    <w:rsid w:val="006E3546"/>
    <w:rsid w:val="006E3FA9"/>
    <w:rsid w:val="006E43DC"/>
    <w:rsid w:val="006E5C4B"/>
    <w:rsid w:val="006E6C50"/>
    <w:rsid w:val="006E7D82"/>
    <w:rsid w:val="006F05B5"/>
    <w:rsid w:val="006F05CB"/>
    <w:rsid w:val="006F0C2B"/>
    <w:rsid w:val="006F0F93"/>
    <w:rsid w:val="006F20DA"/>
    <w:rsid w:val="006F31F2"/>
    <w:rsid w:val="006F38AE"/>
    <w:rsid w:val="00714DC5"/>
    <w:rsid w:val="00715237"/>
    <w:rsid w:val="007160DF"/>
    <w:rsid w:val="0072232C"/>
    <w:rsid w:val="00722CA6"/>
    <w:rsid w:val="007254A5"/>
    <w:rsid w:val="00725748"/>
    <w:rsid w:val="00730DDE"/>
    <w:rsid w:val="00732028"/>
    <w:rsid w:val="00732BEB"/>
    <w:rsid w:val="00734EFA"/>
    <w:rsid w:val="00735D88"/>
    <w:rsid w:val="0073720D"/>
    <w:rsid w:val="00737507"/>
    <w:rsid w:val="00740712"/>
    <w:rsid w:val="00742AB9"/>
    <w:rsid w:val="007453A5"/>
    <w:rsid w:val="00746233"/>
    <w:rsid w:val="0075019D"/>
    <w:rsid w:val="00754FBF"/>
    <w:rsid w:val="0075648C"/>
    <w:rsid w:val="00766D9C"/>
    <w:rsid w:val="00770062"/>
    <w:rsid w:val="0077006F"/>
    <w:rsid w:val="007709EF"/>
    <w:rsid w:val="0077683D"/>
    <w:rsid w:val="007828BD"/>
    <w:rsid w:val="00783559"/>
    <w:rsid w:val="00791B79"/>
    <w:rsid w:val="00797AA5"/>
    <w:rsid w:val="007A0D08"/>
    <w:rsid w:val="007A4105"/>
    <w:rsid w:val="007B0C44"/>
    <w:rsid w:val="007B4503"/>
    <w:rsid w:val="007C1BDE"/>
    <w:rsid w:val="007C406E"/>
    <w:rsid w:val="007C5183"/>
    <w:rsid w:val="007D097F"/>
    <w:rsid w:val="007D0A6B"/>
    <w:rsid w:val="007D21B7"/>
    <w:rsid w:val="007D2A81"/>
    <w:rsid w:val="007D7584"/>
    <w:rsid w:val="007E03B7"/>
    <w:rsid w:val="007E2B20"/>
    <w:rsid w:val="007E6F14"/>
    <w:rsid w:val="007F2868"/>
    <w:rsid w:val="007F5331"/>
    <w:rsid w:val="00800CCA"/>
    <w:rsid w:val="00802763"/>
    <w:rsid w:val="00806120"/>
    <w:rsid w:val="00812028"/>
    <w:rsid w:val="0081239B"/>
    <w:rsid w:val="00813082"/>
    <w:rsid w:val="00814D03"/>
    <w:rsid w:val="0081547C"/>
    <w:rsid w:val="00816D33"/>
    <w:rsid w:val="00823AE2"/>
    <w:rsid w:val="0082675F"/>
    <w:rsid w:val="0083103A"/>
    <w:rsid w:val="0083178B"/>
    <w:rsid w:val="00833695"/>
    <w:rsid w:val="008336B7"/>
    <w:rsid w:val="00833872"/>
    <w:rsid w:val="00833A8E"/>
    <w:rsid w:val="00842CD8"/>
    <w:rsid w:val="008431FA"/>
    <w:rsid w:val="00845C8E"/>
    <w:rsid w:val="008547BA"/>
    <w:rsid w:val="008553C7"/>
    <w:rsid w:val="00857FEB"/>
    <w:rsid w:val="008601AF"/>
    <w:rsid w:val="00860AA2"/>
    <w:rsid w:val="00860BA7"/>
    <w:rsid w:val="00862642"/>
    <w:rsid w:val="008663CB"/>
    <w:rsid w:val="00866A77"/>
    <w:rsid w:val="00872271"/>
    <w:rsid w:val="0087607D"/>
    <w:rsid w:val="00881F19"/>
    <w:rsid w:val="0088487A"/>
    <w:rsid w:val="00885763"/>
    <w:rsid w:val="00893C0C"/>
    <w:rsid w:val="00894741"/>
    <w:rsid w:val="008A28F5"/>
    <w:rsid w:val="008A3920"/>
    <w:rsid w:val="008A7F7D"/>
    <w:rsid w:val="008B3929"/>
    <w:rsid w:val="008B4CB3"/>
    <w:rsid w:val="008B7011"/>
    <w:rsid w:val="008B7B24"/>
    <w:rsid w:val="008C25FC"/>
    <w:rsid w:val="008C356D"/>
    <w:rsid w:val="008C5051"/>
    <w:rsid w:val="008C7719"/>
    <w:rsid w:val="008D6C99"/>
    <w:rsid w:val="008E49AD"/>
    <w:rsid w:val="008F2731"/>
    <w:rsid w:val="008F3246"/>
    <w:rsid w:val="008F371A"/>
    <w:rsid w:val="008F3C1B"/>
    <w:rsid w:val="008F41D7"/>
    <w:rsid w:val="008F508C"/>
    <w:rsid w:val="0090271B"/>
    <w:rsid w:val="009043F8"/>
    <w:rsid w:val="00910642"/>
    <w:rsid w:val="00910DDF"/>
    <w:rsid w:val="00911834"/>
    <w:rsid w:val="009121F3"/>
    <w:rsid w:val="009200F4"/>
    <w:rsid w:val="00924120"/>
    <w:rsid w:val="009311C8"/>
    <w:rsid w:val="00933376"/>
    <w:rsid w:val="00933A2F"/>
    <w:rsid w:val="00933E8D"/>
    <w:rsid w:val="0093653B"/>
    <w:rsid w:val="009475FE"/>
    <w:rsid w:val="009517CD"/>
    <w:rsid w:val="00951D39"/>
    <w:rsid w:val="00954E35"/>
    <w:rsid w:val="00956DA9"/>
    <w:rsid w:val="009718F9"/>
    <w:rsid w:val="00971928"/>
    <w:rsid w:val="00972FB9"/>
    <w:rsid w:val="00975112"/>
    <w:rsid w:val="009808A2"/>
    <w:rsid w:val="009809C0"/>
    <w:rsid w:val="00981768"/>
    <w:rsid w:val="009839D2"/>
    <w:rsid w:val="00983E8F"/>
    <w:rsid w:val="00986B36"/>
    <w:rsid w:val="00994FDA"/>
    <w:rsid w:val="009A0BCC"/>
    <w:rsid w:val="009A2FD7"/>
    <w:rsid w:val="009A3B71"/>
    <w:rsid w:val="009A61BC"/>
    <w:rsid w:val="009B0138"/>
    <w:rsid w:val="009B0FE9"/>
    <w:rsid w:val="009B5949"/>
    <w:rsid w:val="009C0608"/>
    <w:rsid w:val="009C3F20"/>
    <w:rsid w:val="009C76E3"/>
    <w:rsid w:val="009C7CA1"/>
    <w:rsid w:val="009D043D"/>
    <w:rsid w:val="009D14B4"/>
    <w:rsid w:val="009D3B53"/>
    <w:rsid w:val="009D444A"/>
    <w:rsid w:val="009D5D50"/>
    <w:rsid w:val="009D67D1"/>
    <w:rsid w:val="009E4655"/>
    <w:rsid w:val="009F3259"/>
    <w:rsid w:val="009F6B27"/>
    <w:rsid w:val="00A0350A"/>
    <w:rsid w:val="00A03B2A"/>
    <w:rsid w:val="00A05669"/>
    <w:rsid w:val="00A128AD"/>
    <w:rsid w:val="00A1408F"/>
    <w:rsid w:val="00A1431B"/>
    <w:rsid w:val="00A14FC6"/>
    <w:rsid w:val="00A15BB6"/>
    <w:rsid w:val="00A165F6"/>
    <w:rsid w:val="00A203C6"/>
    <w:rsid w:val="00A21E76"/>
    <w:rsid w:val="00A23BC8"/>
    <w:rsid w:val="00A2457A"/>
    <w:rsid w:val="00A24F15"/>
    <w:rsid w:val="00A27CE4"/>
    <w:rsid w:val="00A30BE3"/>
    <w:rsid w:val="00A30E68"/>
    <w:rsid w:val="00A31933"/>
    <w:rsid w:val="00A328CE"/>
    <w:rsid w:val="00A34AA0"/>
    <w:rsid w:val="00A34AA1"/>
    <w:rsid w:val="00A34B62"/>
    <w:rsid w:val="00A41F6E"/>
    <w:rsid w:val="00A41FE2"/>
    <w:rsid w:val="00A443CD"/>
    <w:rsid w:val="00A454E4"/>
    <w:rsid w:val="00A47948"/>
    <w:rsid w:val="00A50824"/>
    <w:rsid w:val="00A53549"/>
    <w:rsid w:val="00A55513"/>
    <w:rsid w:val="00A56946"/>
    <w:rsid w:val="00A63B8C"/>
    <w:rsid w:val="00A675E5"/>
    <w:rsid w:val="00A706BA"/>
    <w:rsid w:val="00A73839"/>
    <w:rsid w:val="00A77F6F"/>
    <w:rsid w:val="00A81E91"/>
    <w:rsid w:val="00A831FD"/>
    <w:rsid w:val="00A9016E"/>
    <w:rsid w:val="00A90A87"/>
    <w:rsid w:val="00A91FA3"/>
    <w:rsid w:val="00A93F67"/>
    <w:rsid w:val="00A94C4D"/>
    <w:rsid w:val="00AA087F"/>
    <w:rsid w:val="00AA30BB"/>
    <w:rsid w:val="00AA45E2"/>
    <w:rsid w:val="00AA4791"/>
    <w:rsid w:val="00AA7278"/>
    <w:rsid w:val="00AA7FC9"/>
    <w:rsid w:val="00AB237D"/>
    <w:rsid w:val="00AB462F"/>
    <w:rsid w:val="00AB5933"/>
    <w:rsid w:val="00AC2321"/>
    <w:rsid w:val="00AC3A1F"/>
    <w:rsid w:val="00AC59C5"/>
    <w:rsid w:val="00AC732A"/>
    <w:rsid w:val="00AD198B"/>
    <w:rsid w:val="00AE013D"/>
    <w:rsid w:val="00AE11B7"/>
    <w:rsid w:val="00AE2058"/>
    <w:rsid w:val="00AE434A"/>
    <w:rsid w:val="00AE4A91"/>
    <w:rsid w:val="00AE6410"/>
    <w:rsid w:val="00AE6865"/>
    <w:rsid w:val="00AF13DA"/>
    <w:rsid w:val="00AF4F6D"/>
    <w:rsid w:val="00AF501C"/>
    <w:rsid w:val="00AF52F6"/>
    <w:rsid w:val="00AF7237"/>
    <w:rsid w:val="00AF78B4"/>
    <w:rsid w:val="00B0043A"/>
    <w:rsid w:val="00B00D75"/>
    <w:rsid w:val="00B070CB"/>
    <w:rsid w:val="00B10831"/>
    <w:rsid w:val="00B17BBB"/>
    <w:rsid w:val="00B259C8"/>
    <w:rsid w:val="00B26A45"/>
    <w:rsid w:val="00B26CCF"/>
    <w:rsid w:val="00B30E88"/>
    <w:rsid w:val="00B349FA"/>
    <w:rsid w:val="00B34C10"/>
    <w:rsid w:val="00B425F0"/>
    <w:rsid w:val="00B42DFA"/>
    <w:rsid w:val="00B44934"/>
    <w:rsid w:val="00B44F73"/>
    <w:rsid w:val="00B450D7"/>
    <w:rsid w:val="00B46E5D"/>
    <w:rsid w:val="00B520EC"/>
    <w:rsid w:val="00B531DD"/>
    <w:rsid w:val="00B55014"/>
    <w:rsid w:val="00B609ED"/>
    <w:rsid w:val="00B60FC2"/>
    <w:rsid w:val="00B62232"/>
    <w:rsid w:val="00B640FD"/>
    <w:rsid w:val="00B71DC2"/>
    <w:rsid w:val="00B80506"/>
    <w:rsid w:val="00B870A9"/>
    <w:rsid w:val="00B9126B"/>
    <w:rsid w:val="00B93893"/>
    <w:rsid w:val="00B95BDB"/>
    <w:rsid w:val="00BA2448"/>
    <w:rsid w:val="00BA2586"/>
    <w:rsid w:val="00BA74AC"/>
    <w:rsid w:val="00BB4785"/>
    <w:rsid w:val="00BB6C2A"/>
    <w:rsid w:val="00BC08F8"/>
    <w:rsid w:val="00BC164E"/>
    <w:rsid w:val="00BC3B53"/>
    <w:rsid w:val="00BC3B96"/>
    <w:rsid w:val="00BC4AE3"/>
    <w:rsid w:val="00BD48A8"/>
    <w:rsid w:val="00BE19E1"/>
    <w:rsid w:val="00BE3F88"/>
    <w:rsid w:val="00BE4756"/>
    <w:rsid w:val="00BE5E86"/>
    <w:rsid w:val="00BE5ED9"/>
    <w:rsid w:val="00BE6F08"/>
    <w:rsid w:val="00BE77D3"/>
    <w:rsid w:val="00BE7B41"/>
    <w:rsid w:val="00BF43DB"/>
    <w:rsid w:val="00BF58C8"/>
    <w:rsid w:val="00BF5BBC"/>
    <w:rsid w:val="00C026FC"/>
    <w:rsid w:val="00C06D4A"/>
    <w:rsid w:val="00C07E1D"/>
    <w:rsid w:val="00C1212C"/>
    <w:rsid w:val="00C206F1"/>
    <w:rsid w:val="00C217E1"/>
    <w:rsid w:val="00C26FF2"/>
    <w:rsid w:val="00C34966"/>
    <w:rsid w:val="00C40B1B"/>
    <w:rsid w:val="00C40C60"/>
    <w:rsid w:val="00C41376"/>
    <w:rsid w:val="00C4175A"/>
    <w:rsid w:val="00C433F1"/>
    <w:rsid w:val="00C47047"/>
    <w:rsid w:val="00C4709F"/>
    <w:rsid w:val="00C5258E"/>
    <w:rsid w:val="00C5390E"/>
    <w:rsid w:val="00C61E8B"/>
    <w:rsid w:val="00C6711D"/>
    <w:rsid w:val="00C72038"/>
    <w:rsid w:val="00C81565"/>
    <w:rsid w:val="00C84DF4"/>
    <w:rsid w:val="00C9311D"/>
    <w:rsid w:val="00C97C80"/>
    <w:rsid w:val="00CA0AB3"/>
    <w:rsid w:val="00CA47D3"/>
    <w:rsid w:val="00CA6950"/>
    <w:rsid w:val="00CA6A3F"/>
    <w:rsid w:val="00CA7C99"/>
    <w:rsid w:val="00CB7ABA"/>
    <w:rsid w:val="00CC32EF"/>
    <w:rsid w:val="00CC5174"/>
    <w:rsid w:val="00CC71D3"/>
    <w:rsid w:val="00CD362D"/>
    <w:rsid w:val="00CE1C84"/>
    <w:rsid w:val="00CE48D1"/>
    <w:rsid w:val="00CE567E"/>
    <w:rsid w:val="00CE7D4B"/>
    <w:rsid w:val="00CF04BD"/>
    <w:rsid w:val="00CF053F"/>
    <w:rsid w:val="00CF5917"/>
    <w:rsid w:val="00D047F9"/>
    <w:rsid w:val="00D0609E"/>
    <w:rsid w:val="00D078E1"/>
    <w:rsid w:val="00D100E9"/>
    <w:rsid w:val="00D10E3A"/>
    <w:rsid w:val="00D1185B"/>
    <w:rsid w:val="00D21E4B"/>
    <w:rsid w:val="00D23522"/>
    <w:rsid w:val="00D264D6"/>
    <w:rsid w:val="00D27A8B"/>
    <w:rsid w:val="00D30565"/>
    <w:rsid w:val="00D30DC2"/>
    <w:rsid w:val="00D333FF"/>
    <w:rsid w:val="00D33BF0"/>
    <w:rsid w:val="00D37E21"/>
    <w:rsid w:val="00D474F4"/>
    <w:rsid w:val="00D516BE"/>
    <w:rsid w:val="00D5423B"/>
    <w:rsid w:val="00D54F4E"/>
    <w:rsid w:val="00D60BA4"/>
    <w:rsid w:val="00D62419"/>
    <w:rsid w:val="00D62EC4"/>
    <w:rsid w:val="00D7522C"/>
    <w:rsid w:val="00D77870"/>
    <w:rsid w:val="00D80CCE"/>
    <w:rsid w:val="00D87D03"/>
    <w:rsid w:val="00D95C88"/>
    <w:rsid w:val="00D97B2E"/>
    <w:rsid w:val="00DB297C"/>
    <w:rsid w:val="00DB36FE"/>
    <w:rsid w:val="00DB40CE"/>
    <w:rsid w:val="00DB533A"/>
    <w:rsid w:val="00DC0BFB"/>
    <w:rsid w:val="00DC2EE0"/>
    <w:rsid w:val="00DC622B"/>
    <w:rsid w:val="00DC66FF"/>
    <w:rsid w:val="00DC71FC"/>
    <w:rsid w:val="00DD0751"/>
    <w:rsid w:val="00DD17C5"/>
    <w:rsid w:val="00DD66F2"/>
    <w:rsid w:val="00DE2917"/>
    <w:rsid w:val="00DE3FE0"/>
    <w:rsid w:val="00DE578A"/>
    <w:rsid w:val="00DF2583"/>
    <w:rsid w:val="00DF4580"/>
    <w:rsid w:val="00DF5450"/>
    <w:rsid w:val="00DF54D9"/>
    <w:rsid w:val="00E01A59"/>
    <w:rsid w:val="00E0640A"/>
    <w:rsid w:val="00E06ACE"/>
    <w:rsid w:val="00E10DC6"/>
    <w:rsid w:val="00E11F8E"/>
    <w:rsid w:val="00E16DE2"/>
    <w:rsid w:val="00E20A9F"/>
    <w:rsid w:val="00E21DE3"/>
    <w:rsid w:val="00E34702"/>
    <w:rsid w:val="00E3731D"/>
    <w:rsid w:val="00E40ED2"/>
    <w:rsid w:val="00E44667"/>
    <w:rsid w:val="00E51469"/>
    <w:rsid w:val="00E634E3"/>
    <w:rsid w:val="00E65251"/>
    <w:rsid w:val="00E73DC4"/>
    <w:rsid w:val="00E77F89"/>
    <w:rsid w:val="00E80236"/>
    <w:rsid w:val="00E80874"/>
    <w:rsid w:val="00E80E71"/>
    <w:rsid w:val="00E814FE"/>
    <w:rsid w:val="00E82D86"/>
    <w:rsid w:val="00E83FCB"/>
    <w:rsid w:val="00E850D3"/>
    <w:rsid w:val="00E870D5"/>
    <w:rsid w:val="00E876B9"/>
    <w:rsid w:val="00E937C8"/>
    <w:rsid w:val="00E93B7B"/>
    <w:rsid w:val="00E945D9"/>
    <w:rsid w:val="00EA14A9"/>
    <w:rsid w:val="00EB458F"/>
    <w:rsid w:val="00EC0DFF"/>
    <w:rsid w:val="00EC237D"/>
    <w:rsid w:val="00EC4558"/>
    <w:rsid w:val="00EC4D0E"/>
    <w:rsid w:val="00ED072A"/>
    <w:rsid w:val="00ED19CC"/>
    <w:rsid w:val="00EE4A1F"/>
    <w:rsid w:val="00EE4C2D"/>
    <w:rsid w:val="00EF1B5A"/>
    <w:rsid w:val="00EF24FB"/>
    <w:rsid w:val="00EF2CCA"/>
    <w:rsid w:val="00EF4D1C"/>
    <w:rsid w:val="00F0033C"/>
    <w:rsid w:val="00F03963"/>
    <w:rsid w:val="00F04F0A"/>
    <w:rsid w:val="00F11068"/>
    <w:rsid w:val="00F1256D"/>
    <w:rsid w:val="00F138CC"/>
    <w:rsid w:val="00F13A4E"/>
    <w:rsid w:val="00F13D80"/>
    <w:rsid w:val="00F14CA0"/>
    <w:rsid w:val="00F172BB"/>
    <w:rsid w:val="00F17B10"/>
    <w:rsid w:val="00F21BEF"/>
    <w:rsid w:val="00F30AEF"/>
    <w:rsid w:val="00F356BE"/>
    <w:rsid w:val="00F3602F"/>
    <w:rsid w:val="00F3673F"/>
    <w:rsid w:val="00F369AF"/>
    <w:rsid w:val="00F36C49"/>
    <w:rsid w:val="00F36E84"/>
    <w:rsid w:val="00F37290"/>
    <w:rsid w:val="00F426BB"/>
    <w:rsid w:val="00F432DA"/>
    <w:rsid w:val="00F44D1B"/>
    <w:rsid w:val="00F45A25"/>
    <w:rsid w:val="00F50F86"/>
    <w:rsid w:val="00F53F91"/>
    <w:rsid w:val="00F61A72"/>
    <w:rsid w:val="00F62083"/>
    <w:rsid w:val="00F62B67"/>
    <w:rsid w:val="00F6461F"/>
    <w:rsid w:val="00F66F13"/>
    <w:rsid w:val="00F70A37"/>
    <w:rsid w:val="00F70EF7"/>
    <w:rsid w:val="00F74073"/>
    <w:rsid w:val="00F7435B"/>
    <w:rsid w:val="00F75603"/>
    <w:rsid w:val="00F845B4"/>
    <w:rsid w:val="00F8713B"/>
    <w:rsid w:val="00F93F9E"/>
    <w:rsid w:val="00F95328"/>
    <w:rsid w:val="00F971A1"/>
    <w:rsid w:val="00FA2CD7"/>
    <w:rsid w:val="00FB06ED"/>
    <w:rsid w:val="00FB44E8"/>
    <w:rsid w:val="00FC145D"/>
    <w:rsid w:val="00FC2784"/>
    <w:rsid w:val="00FC3165"/>
    <w:rsid w:val="00FC36AB"/>
    <w:rsid w:val="00FC79A8"/>
    <w:rsid w:val="00FC7F66"/>
    <w:rsid w:val="00FE1815"/>
    <w:rsid w:val="00FE1CB6"/>
    <w:rsid w:val="00FE486B"/>
    <w:rsid w:val="00FE4F08"/>
    <w:rsid w:val="00FE6972"/>
    <w:rsid w:val="00FE72D4"/>
    <w:rsid w:val="00FF09AB"/>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5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A7FA3"/>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044CD5"/>
    <w:rPr>
      <w:color w:val="808080"/>
    </w:rPr>
  </w:style>
  <w:style w:type="paragraph" w:styleId="Ballontekst">
    <w:name w:val="Balloon Text"/>
    <w:basedOn w:val="Standaard"/>
    <w:link w:val="BallontekstChar"/>
    <w:rsid w:val="00374A71"/>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74A71"/>
    <w:rPr>
      <w:rFonts w:ascii="Segoe UI" w:hAnsi="Segoe UI" w:cs="Segoe UI"/>
      <w:sz w:val="18"/>
      <w:szCs w:val="18"/>
      <w:lang w:val="nl-NL" w:eastAsia="nl-NL"/>
    </w:rPr>
  </w:style>
  <w:style w:type="paragraph" w:styleId="Geenafstand">
    <w:name w:val="No Spacing"/>
    <w:uiPriority w:val="1"/>
    <w:qFormat/>
    <w:rsid w:val="008A3920"/>
    <w:rPr>
      <w:rFonts w:ascii="Verdana" w:hAnsi="Verdana"/>
      <w:sz w:val="18"/>
      <w:szCs w:val="24"/>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CommentReference3">
    <w:name w:val="Comment Reference3"/>
    <w:basedOn w:val="Standaardalinea-lettertype"/>
    <w:uiPriority w:val="99"/>
    <w:semiHidden/>
    <w:unhideWhenUsed/>
    <w:rsid w:val="002B1950"/>
    <w:rPr>
      <w:rFonts w:cs="Times New Roman"/>
      <w:sz w:val="16"/>
      <w:szCs w:val="16"/>
    </w:rPr>
  </w:style>
  <w:style w:type="character" w:styleId="Verwijzingopmerking">
    <w:name w:val="annotation reference"/>
    <w:basedOn w:val="Standaardalinea-lettertype"/>
    <w:uiPriority w:val="99"/>
    <w:semiHidden/>
    <w:unhideWhenUsed/>
    <w:rsid w:val="002B1950"/>
    <w:rPr>
      <w:rFonts w:cs="Times New Roman"/>
      <w:sz w:val="16"/>
      <w:szCs w:val="16"/>
    </w:rPr>
  </w:style>
  <w:style w:type="character" w:styleId="Vermelding">
    <w:name w:val="Mention"/>
    <w:basedOn w:val="Standaardalinea-lettertype"/>
    <w:uiPriority w:val="99"/>
    <w:unhideWhenUsed/>
    <w:rsid w:val="002B1950"/>
    <w:rPr>
      <w:rFonts w:cs="Times New Roman"/>
      <w:color w:val="2B579A"/>
      <w:shd w:val="clear" w:color="auto" w:fill="E1DFDD"/>
    </w:rPr>
  </w:style>
  <w:style w:type="paragraph" w:styleId="Tekstopmerking">
    <w:name w:val="annotation text"/>
    <w:basedOn w:val="Standaard"/>
    <w:link w:val="TekstopmerkingChar"/>
    <w:uiPriority w:val="99"/>
    <w:unhideWhenUsed/>
    <w:rsid w:val="002B1950"/>
    <w:pPr>
      <w:spacing w:line="240" w:lineRule="auto"/>
    </w:pPr>
    <w:rPr>
      <w:sz w:val="20"/>
      <w:szCs w:val="20"/>
    </w:rPr>
  </w:style>
  <w:style w:type="character" w:customStyle="1" w:styleId="TekstopmerkingChar">
    <w:name w:val="Tekst opmerking Char"/>
    <w:basedOn w:val="Standaardalinea-lettertype"/>
    <w:link w:val="Tekstopmerking"/>
    <w:uiPriority w:val="99"/>
    <w:rsid w:val="002B195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52D80"/>
    <w:rPr>
      <w:b/>
      <w:bCs/>
    </w:rPr>
  </w:style>
  <w:style w:type="character" w:customStyle="1" w:styleId="OnderwerpvanopmerkingChar">
    <w:name w:val="Onderwerp van opmerking Char"/>
    <w:basedOn w:val="TekstopmerkingChar"/>
    <w:link w:val="Onderwerpvanopmerking"/>
    <w:semiHidden/>
    <w:rsid w:val="00052D80"/>
    <w:rPr>
      <w:rFonts w:ascii="Verdana" w:hAnsi="Verdana"/>
      <w:b/>
      <w:bCs/>
      <w:lang w:val="nl-NL" w:eastAsia="nl-NL"/>
    </w:rPr>
  </w:style>
  <w:style w:type="paragraph" w:styleId="Revisie">
    <w:name w:val="Revision"/>
    <w:hidden/>
    <w:uiPriority w:val="99"/>
    <w:semiHidden/>
    <w:rsid w:val="001F368C"/>
    <w:rPr>
      <w:rFonts w:ascii="Verdana" w:hAnsi="Verdana"/>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
    <w:basedOn w:val="Standaard"/>
    <w:link w:val="LijstalineaChar"/>
    <w:uiPriority w:val="34"/>
    <w:qFormat/>
    <w:rsid w:val="00AA45E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A45E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1530</ap:Words>
  <ap:Characters>8415</ap:Characters>
  <ap:DocSecurity>0</ap:DocSecurity>
  <ap:Lines>70</ap:Lines>
  <ap:Paragraphs>19</ap:Paragraphs>
  <ap:ScaleCrop>false</ap:ScaleCrop>
  <ap:LinksUpToDate>false</ap:LinksUpToDate>
  <ap:CharactersWithSpaces>9926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2026-06-11T21:08:00.0000000Z</dcterms:created>
  <dcterms:modified xsi:type="dcterms:W3CDTF">2026-06-11T21:08:00.0000000Z</dcterms:modified>
  <dc:description>------------------------</dc:description>
  <dc:subject/>
  <keywords/>
  <version/>
  <category/>
</coreProperties>
</file>