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54A9" w:rsidR="00664385" w:rsidRDefault="001856D0" w14:paraId="66A3B614" w14:textId="77777777">
      <w:pPr>
        <w:autoSpaceDE w:val="0"/>
        <w:autoSpaceDN w:val="0"/>
        <w:adjustRightInd w:val="0"/>
        <w:spacing w:before="0" w:after="0"/>
        <w:ind w:left="1416" w:hanging="1371"/>
        <w:rPr>
          <w:b/>
          <w:bCs/>
          <w:sz w:val="23"/>
          <w:szCs w:val="23"/>
        </w:rPr>
      </w:pPr>
      <w:bookmarkStart w:name="_Hlk230855999" w:id="0"/>
      <w:r w:rsidRPr="001154A9">
        <w:rPr>
          <w:b/>
          <w:bCs/>
          <w:sz w:val="23"/>
          <w:szCs w:val="23"/>
        </w:rPr>
        <w:t>36945-XVII-1</w:t>
      </w:r>
      <w:r w:rsidRPr="001154A9">
        <w:rPr>
          <w:b/>
          <w:bCs/>
          <w:sz w:val="23"/>
          <w:szCs w:val="23"/>
        </w:rPr>
        <w:tab/>
        <w:t>Jaarverslag Buitenlandse Handel en Ontwikkelingshulp 2025</w:t>
      </w:r>
    </w:p>
    <w:p w:rsidRPr="001154A9" w:rsidR="00664385" w:rsidRDefault="00664385" w14:paraId="318D1CA5" w14:textId="77777777">
      <w:pPr>
        <w:autoSpaceDE w:val="0"/>
        <w:autoSpaceDN w:val="0"/>
        <w:adjustRightInd w:val="0"/>
        <w:spacing w:before="0" w:after="0"/>
        <w:ind w:left="1416" w:hanging="1371"/>
        <w:rPr>
          <w:b/>
        </w:rPr>
      </w:pPr>
    </w:p>
    <w:p w:rsidRPr="001154A9" w:rsidR="00664385" w:rsidRDefault="001856D0" w14:paraId="0D90B7B1" w14:textId="77777777">
      <w:pPr>
        <w:rPr>
          <w:b/>
        </w:rPr>
      </w:pPr>
      <w:r w:rsidRPr="001154A9">
        <w:rPr>
          <w:b/>
        </w:rPr>
        <w:t xml:space="preserve">nr. </w:t>
      </w:r>
      <w:r w:rsidRPr="001154A9">
        <w:rPr>
          <w:b/>
        </w:rPr>
        <w:tab/>
      </w:r>
      <w:r w:rsidRPr="001154A9">
        <w:rPr>
          <w:b/>
        </w:rPr>
        <w:tab/>
        <w:t>Lijst van vragen en antwoorden</w:t>
      </w:r>
    </w:p>
    <w:p w:rsidRPr="001154A9" w:rsidR="00664385" w:rsidRDefault="001856D0" w14:paraId="03E3BB4D" w14:textId="77777777">
      <w:r w:rsidRPr="001154A9">
        <w:tab/>
      </w:r>
      <w:r w:rsidRPr="001154A9">
        <w:tab/>
      </w:r>
    </w:p>
    <w:p w:rsidRPr="001154A9" w:rsidR="00664385" w:rsidRDefault="001856D0" w14:paraId="52951CB6" w14:textId="77777777">
      <w:pPr>
        <w:ind w:left="702" w:firstLine="708"/>
        <w:rPr>
          <w:i/>
        </w:rPr>
      </w:pPr>
      <w:r w:rsidRPr="001154A9">
        <w:t xml:space="preserve">Vastgesteld </w:t>
      </w:r>
      <w:r w:rsidRPr="001154A9">
        <w:rPr>
          <w:i/>
        </w:rPr>
        <w:t>(wordt door griffie ingevuld als antwoorden er zijn)</w:t>
      </w:r>
    </w:p>
    <w:p w:rsidRPr="001154A9" w:rsidR="00664385" w:rsidRDefault="001856D0" w14:paraId="3D7B649C" w14:textId="1F7B2CFF">
      <w:pPr>
        <w:ind w:left="1410"/>
      </w:pPr>
      <w:r w:rsidRPr="001154A9">
        <w:t>De vaste commissie voor</w:t>
      </w:r>
      <w:r w:rsidRPr="001154A9" w:rsidR="0048360E">
        <w:t xml:space="preserve"> Buitenlandse handel en Ontwikkelingssamenwerking</w:t>
      </w:r>
      <w:r w:rsidRPr="001154A9">
        <w:t xml:space="preserve"> heeft een aantal vragen voorgelegd aan de</w:t>
      </w:r>
      <w:r w:rsidRPr="001154A9" w:rsidR="0048360E">
        <w:t xml:space="preserve"> minister van Buitenlandse Handel en Ontwikkelingssamenwerking o</w:t>
      </w:r>
      <w:r w:rsidRPr="001154A9">
        <w:t xml:space="preserve">ver </w:t>
      </w:r>
      <w:r w:rsidRPr="001154A9" w:rsidR="0048360E">
        <w:t>het</w:t>
      </w:r>
      <w:r w:rsidRPr="001154A9">
        <w:t xml:space="preserve"> </w:t>
      </w:r>
      <w:r w:rsidRPr="001154A9">
        <w:rPr>
          <w:b/>
        </w:rPr>
        <w:t>Jaarverslag Buitenlandse Handel en Ontwikkelingshulp 2025</w:t>
      </w:r>
      <w:r w:rsidRPr="001154A9">
        <w:t xml:space="preserve"> (</w:t>
      </w:r>
      <w:r w:rsidRPr="001154A9">
        <w:rPr>
          <w:b/>
        </w:rPr>
        <w:t>36945-XVII-1</w:t>
      </w:r>
      <w:r w:rsidRPr="001154A9">
        <w:t xml:space="preserve">, nr. </w:t>
      </w:r>
      <w:r w:rsidRPr="001154A9">
        <w:rPr>
          <w:b/>
        </w:rPr>
        <w:t>1</w:t>
      </w:r>
      <w:r w:rsidRPr="001154A9">
        <w:t>).</w:t>
      </w:r>
    </w:p>
    <w:p w:rsidRPr="001154A9" w:rsidR="00664385" w:rsidRDefault="001856D0" w14:paraId="41CF7D21" w14:textId="2279144B">
      <w:pPr>
        <w:ind w:left="1410"/>
      </w:pPr>
      <w:r w:rsidRPr="001154A9">
        <w:t xml:space="preserve">De daarop door de </w:t>
      </w:r>
      <w:r w:rsidRPr="001154A9" w:rsidR="0048360E">
        <w:t xml:space="preserve">minister </w:t>
      </w:r>
      <w:r w:rsidRPr="001154A9">
        <w:t>gegeven antwoorden zijn hierbij afgedrukt.</w:t>
      </w:r>
    </w:p>
    <w:p w:rsidRPr="001154A9" w:rsidR="00664385" w:rsidRDefault="00664385" w14:paraId="50002744" w14:textId="77777777">
      <w:pPr>
        <w:spacing w:before="0" w:after="0"/>
      </w:pPr>
    </w:p>
    <w:p w:rsidRPr="001154A9" w:rsidR="00664385" w:rsidRDefault="001856D0" w14:paraId="30EF3219" w14:textId="77777777">
      <w:pPr>
        <w:spacing w:before="0" w:after="0"/>
        <w:ind w:left="703" w:firstLine="709"/>
      </w:pPr>
      <w:r w:rsidRPr="001154A9">
        <w:t xml:space="preserve">Voorzitter van de commissie, </w:t>
      </w:r>
    </w:p>
    <w:p w:rsidRPr="001154A9" w:rsidR="00664385" w:rsidRDefault="001856D0" w14:paraId="6361AD1D" w14:textId="1A812F6D">
      <w:pPr>
        <w:spacing w:before="0" w:after="0"/>
      </w:pPr>
      <w:r w:rsidRPr="001154A9">
        <w:tab/>
      </w:r>
      <w:r w:rsidRPr="001154A9">
        <w:tab/>
      </w:r>
      <w:r w:rsidRPr="001154A9" w:rsidR="0048360E">
        <w:t>Den Hollander</w:t>
      </w:r>
    </w:p>
    <w:p w:rsidRPr="001154A9" w:rsidR="00664385" w:rsidRDefault="001856D0" w14:paraId="353B2F0B" w14:textId="77777777">
      <w:pPr>
        <w:spacing w:before="0" w:after="0"/>
      </w:pPr>
      <w:r w:rsidRPr="001154A9">
        <w:tab/>
      </w:r>
      <w:r w:rsidRPr="001154A9">
        <w:tab/>
      </w:r>
    </w:p>
    <w:p w:rsidRPr="001154A9" w:rsidR="00664385" w:rsidRDefault="001856D0" w14:paraId="3A8875FD" w14:textId="77777777">
      <w:pPr>
        <w:spacing w:before="0" w:after="0"/>
      </w:pPr>
      <w:r w:rsidRPr="001154A9">
        <w:tab/>
      </w:r>
      <w:r w:rsidRPr="001154A9">
        <w:tab/>
        <w:t>Griffier van de commissie,</w:t>
      </w:r>
    </w:p>
    <w:p w:rsidRPr="001154A9" w:rsidR="00664385" w:rsidRDefault="001856D0" w14:paraId="20233F35" w14:textId="5DE939C7">
      <w:pPr>
        <w:spacing w:before="0" w:after="0"/>
      </w:pPr>
      <w:r w:rsidRPr="001154A9">
        <w:tab/>
      </w:r>
      <w:r w:rsidRPr="001154A9">
        <w:tab/>
      </w:r>
      <w:r w:rsidRPr="001154A9" w:rsidR="0048360E">
        <w:t xml:space="preserve">Van der </w:t>
      </w:r>
      <w:proofErr w:type="spellStart"/>
      <w:r w:rsidRPr="001154A9" w:rsidR="0048360E">
        <w:t>Leeden</w:t>
      </w:r>
      <w:proofErr w:type="spellEnd"/>
    </w:p>
    <w:p w:rsidRPr="001154A9" w:rsidR="00664385" w:rsidRDefault="00664385" w14:paraId="033C94FF" w14:textId="77777777"/>
    <w:tbl>
      <w:tblPr>
        <w:tblW w:w="8163" w:type="dxa"/>
        <w:tblLayout w:type="fixed"/>
        <w:tblCellMar>
          <w:left w:w="0" w:type="dxa"/>
          <w:right w:w="0" w:type="dxa"/>
        </w:tblCellMar>
        <w:tblLook w:val="0000" w:firstRow="0" w:lastRow="0" w:firstColumn="0" w:lastColumn="0" w:noHBand="0" w:noVBand="0"/>
      </w:tblPr>
      <w:tblGrid>
        <w:gridCol w:w="513"/>
        <w:gridCol w:w="5862"/>
        <w:gridCol w:w="894"/>
        <w:gridCol w:w="894"/>
      </w:tblGrid>
      <w:tr w:rsidRPr="001154A9" w:rsidR="00FD5980" w:rsidTr="001154A9" w14:paraId="41084319" w14:textId="77777777">
        <w:trPr>
          <w:cantSplit/>
        </w:trPr>
        <w:tc>
          <w:tcPr>
            <w:tcW w:w="513" w:type="dxa"/>
          </w:tcPr>
          <w:p w:rsidRPr="001154A9" w:rsidR="00FD5980" w:rsidRDefault="00FD5980" w14:paraId="462CABB7" w14:textId="77777777">
            <w:bookmarkStart w:name="bmkStartTabel" w:id="1"/>
            <w:bookmarkEnd w:id="1"/>
            <w:proofErr w:type="spellStart"/>
            <w:r w:rsidRPr="001154A9">
              <w:t>Nr</w:t>
            </w:r>
            <w:proofErr w:type="spellEnd"/>
          </w:p>
        </w:tc>
        <w:tc>
          <w:tcPr>
            <w:tcW w:w="5862" w:type="dxa"/>
          </w:tcPr>
          <w:p w:rsidRPr="001154A9" w:rsidR="00FD5980" w:rsidRDefault="00FD5980" w14:paraId="3AC46459" w14:textId="77777777">
            <w:r w:rsidRPr="001154A9">
              <w:t>Vraag</w:t>
            </w:r>
          </w:p>
        </w:tc>
        <w:tc>
          <w:tcPr>
            <w:tcW w:w="894" w:type="dxa"/>
          </w:tcPr>
          <w:p w:rsidRPr="001154A9" w:rsidR="00FD5980" w:rsidP="00E7153D" w:rsidRDefault="00FD5980" w14:paraId="14E2BBFA" w14:textId="77777777">
            <w:pPr>
              <w:jc w:val="right"/>
            </w:pPr>
            <w:r w:rsidRPr="001154A9">
              <w:t>Blz. (van)</w:t>
            </w:r>
          </w:p>
        </w:tc>
        <w:tc>
          <w:tcPr>
            <w:tcW w:w="894" w:type="dxa"/>
          </w:tcPr>
          <w:p w:rsidRPr="001154A9" w:rsidR="00FD5980" w:rsidP="00E7153D" w:rsidRDefault="00FD5980" w14:paraId="59523000" w14:textId="26CEA5B6">
            <w:pPr>
              <w:jc w:val="center"/>
            </w:pPr>
          </w:p>
        </w:tc>
      </w:tr>
      <w:tr w:rsidRPr="001154A9" w:rsidR="00FD5980" w:rsidTr="001154A9" w14:paraId="3054B08B" w14:textId="77777777">
        <w:tc>
          <w:tcPr>
            <w:tcW w:w="513" w:type="dxa"/>
          </w:tcPr>
          <w:p w:rsidRPr="001154A9" w:rsidR="00FD5980" w:rsidRDefault="00FD5980" w14:paraId="7502DA6A" w14:textId="77777777">
            <w:r w:rsidRPr="001154A9">
              <w:t>1</w:t>
            </w:r>
          </w:p>
        </w:tc>
        <w:tc>
          <w:tcPr>
            <w:tcW w:w="5862" w:type="dxa"/>
          </w:tcPr>
          <w:p w:rsidRPr="001154A9" w:rsidR="00FD5980" w:rsidRDefault="00FD5980" w14:paraId="2CB5BFAE" w14:textId="77777777">
            <w:r w:rsidRPr="001154A9">
              <w:t>In hoeverre heeft u zicht op de besteding van middelen door organisaties die financiering ontvangen vanuit de begroting van het ministerie van Buitenlandse Handel en Ontwikkelingssamenwerking?</w:t>
            </w:r>
          </w:p>
          <w:p w:rsidRPr="001154A9" w:rsidR="00FD5980" w:rsidRDefault="00FD5980" w14:paraId="30B310A0" w14:textId="77777777">
            <w:pPr>
              <w:rPr>
                <w:b/>
                <w:bCs/>
              </w:rPr>
            </w:pPr>
          </w:p>
          <w:p w:rsidRPr="001154A9" w:rsidR="00FD5980" w:rsidRDefault="00FD5980" w14:paraId="131B537D" w14:textId="66F1A570">
            <w:pPr>
              <w:rPr>
                <w:b/>
                <w:bCs/>
              </w:rPr>
            </w:pPr>
            <w:r w:rsidRPr="001154A9">
              <w:rPr>
                <w:b/>
                <w:bCs/>
              </w:rPr>
              <w:t>Antwoord</w:t>
            </w:r>
          </w:p>
          <w:p w:rsidRPr="001154A9" w:rsidR="00FD5980" w:rsidP="00FD5980" w:rsidRDefault="00FD5980" w14:paraId="09820787" w14:textId="6F9B0281">
            <w:r w:rsidRPr="001154A9">
              <w:rPr>
                <w:b/>
                <w:bCs/>
              </w:rPr>
              <w:t>Organisaties die financiering ontvangen verantwoorden deze jaarlijks via een financiële en inhoudelijke jaarrapportage. De betaling van de volgende tranche voor de uitvoering hangt van deze rapportages. Daarnaast wordt via audits de legitimiteit van de uitgaven getoetst en via evaluaties door onafhankelijk onderzoekers, de relevantie, effectiviteit en efficiëntie van de uitvoering. Daarnaast zijn er ook (structurele) overleggen tussen het ministerie en de verschillende organisaties. Zodoende houdt het ministerie zicht op de besteding van de middelen</w:t>
            </w:r>
            <w:r w:rsidRPr="001154A9">
              <w:t>.</w:t>
            </w:r>
          </w:p>
        </w:tc>
        <w:tc>
          <w:tcPr>
            <w:tcW w:w="894" w:type="dxa"/>
          </w:tcPr>
          <w:p w:rsidRPr="001154A9" w:rsidR="00FD5980" w:rsidRDefault="00FD5980" w14:paraId="07A540E4" w14:textId="77777777">
            <w:pPr>
              <w:jc w:val="right"/>
            </w:pPr>
          </w:p>
        </w:tc>
        <w:tc>
          <w:tcPr>
            <w:tcW w:w="894" w:type="dxa"/>
          </w:tcPr>
          <w:p w:rsidRPr="001154A9" w:rsidR="00FD5980" w:rsidRDefault="00FD5980" w14:paraId="69B7195B" w14:textId="0FD005D1">
            <w:pPr>
              <w:jc w:val="right"/>
            </w:pPr>
          </w:p>
        </w:tc>
      </w:tr>
      <w:tr w:rsidRPr="001154A9" w:rsidR="00FD5980" w:rsidTr="001154A9" w14:paraId="534526F4" w14:textId="77777777">
        <w:tc>
          <w:tcPr>
            <w:tcW w:w="513" w:type="dxa"/>
          </w:tcPr>
          <w:p w:rsidRPr="001154A9" w:rsidR="00FD5980" w:rsidRDefault="00FD5980" w14:paraId="3C05A155" w14:textId="77777777">
            <w:r w:rsidRPr="001154A9">
              <w:t>2</w:t>
            </w:r>
          </w:p>
        </w:tc>
        <w:tc>
          <w:tcPr>
            <w:tcW w:w="5862" w:type="dxa"/>
          </w:tcPr>
          <w:p w:rsidRPr="001154A9" w:rsidR="00FD5980" w:rsidRDefault="00FD5980" w14:paraId="06FA6CB6" w14:textId="77777777">
            <w:r w:rsidRPr="001154A9">
              <w:t>Kunt u uitsluiten dat organisaties die subsidies of bijdragen uit de middelen van uw ministerie ontvangen, deze middelen direct of indirect gebruiken voor juridische procedures tegen de Nederlandse Staat?</w:t>
            </w:r>
          </w:p>
          <w:p w:rsidRPr="001154A9" w:rsidR="00FD5980" w:rsidRDefault="00FD5980" w14:paraId="1D6F6450" w14:textId="77777777">
            <w:pPr>
              <w:rPr>
                <w:b/>
                <w:bCs/>
              </w:rPr>
            </w:pPr>
          </w:p>
          <w:p w:rsidRPr="001154A9" w:rsidR="00FD5980" w:rsidRDefault="00FD5980" w14:paraId="2A29A7FA" w14:textId="57F6B0E7">
            <w:pPr>
              <w:rPr>
                <w:b/>
                <w:bCs/>
              </w:rPr>
            </w:pPr>
            <w:r w:rsidRPr="001154A9">
              <w:rPr>
                <w:b/>
                <w:bCs/>
              </w:rPr>
              <w:t>Antwoord</w:t>
            </w:r>
          </w:p>
          <w:p w:rsidRPr="001154A9" w:rsidR="00FD5980" w:rsidP="00FD5980" w:rsidRDefault="00FD5980" w14:paraId="3F0B15BE" w14:textId="7F95E189">
            <w:pPr>
              <w:rPr>
                <w:b/>
                <w:bCs/>
              </w:rPr>
            </w:pPr>
            <w:r w:rsidRPr="001154A9">
              <w:rPr>
                <w:b/>
                <w:bCs/>
              </w:rPr>
              <w:t xml:space="preserve">Het ministerie verstrekt middelen waarmee de doelstellingen van het BHOS-beleid worden nagestreefd, de zogenaamde ‘doelgebondenheid’ van subsidies en bijdragen. Dit kan onder andere dienstverlening, capaciteitsversterking en pleitbezorging zijn, bijvoorbeeld voor het versterken van de internationale rechtsorde, van vrede en veiligheid en van het maatschappelijk middenveld in lage- en middeninkomenslanden. Het procederen tegen de Staat is, hoewel niet altijd expliciet uitgesloten, in verreweg de meeste gevallen evident geen subsidiabele activiteit. </w:t>
            </w:r>
          </w:p>
        </w:tc>
        <w:tc>
          <w:tcPr>
            <w:tcW w:w="894" w:type="dxa"/>
          </w:tcPr>
          <w:p w:rsidRPr="001154A9" w:rsidR="00FD5980" w:rsidRDefault="00FD5980" w14:paraId="72CB0B63" w14:textId="77777777">
            <w:pPr>
              <w:jc w:val="right"/>
            </w:pPr>
          </w:p>
        </w:tc>
        <w:tc>
          <w:tcPr>
            <w:tcW w:w="894" w:type="dxa"/>
          </w:tcPr>
          <w:p w:rsidRPr="001154A9" w:rsidR="00FD5980" w:rsidRDefault="00FD5980" w14:paraId="7280D3AA" w14:textId="3A7BE9E2">
            <w:pPr>
              <w:jc w:val="right"/>
            </w:pPr>
          </w:p>
        </w:tc>
      </w:tr>
      <w:tr w:rsidRPr="001154A9" w:rsidR="00FD5980" w:rsidTr="001154A9" w14:paraId="5F0B6F88" w14:textId="77777777">
        <w:tc>
          <w:tcPr>
            <w:tcW w:w="513" w:type="dxa"/>
          </w:tcPr>
          <w:p w:rsidRPr="001154A9" w:rsidR="00FD5980" w:rsidRDefault="00FD5980" w14:paraId="1EF444C5" w14:textId="77777777">
            <w:bookmarkStart w:name="_Hlk231289719" w:id="2"/>
            <w:r w:rsidRPr="001154A9">
              <w:t>3</w:t>
            </w:r>
          </w:p>
        </w:tc>
        <w:tc>
          <w:tcPr>
            <w:tcW w:w="5862" w:type="dxa"/>
            <w:shd w:val="clear" w:color="auto" w:fill="auto"/>
          </w:tcPr>
          <w:p w:rsidRPr="001154A9" w:rsidR="00FD5980" w:rsidRDefault="00FD5980" w14:paraId="59080DBC" w14:textId="77777777">
            <w:r w:rsidRPr="001154A9">
              <w:t>Hoeveel middelen zijn in 2025 vanuit uw begroting beschikbaar gesteld voor medische en humanitaire hulp in het Midden-Oosten, uitgesplitst naar land, uitvoerende organisatie en type hulp? En kan daarbij aan worden gegeven welke resultaten tot op heden zijn gerealiseerd?</w:t>
            </w:r>
          </w:p>
          <w:p w:rsidRPr="001154A9" w:rsidR="00FD5980" w:rsidRDefault="00FD5980" w14:paraId="02E29567" w14:textId="77777777">
            <w:pPr>
              <w:rPr>
                <w:b/>
                <w:bCs/>
              </w:rPr>
            </w:pPr>
          </w:p>
          <w:p w:rsidRPr="001154A9" w:rsidR="00FD5980" w:rsidRDefault="00FD5980" w14:paraId="1BFF0326" w14:textId="2ECDF384">
            <w:r w:rsidRPr="001154A9">
              <w:rPr>
                <w:b/>
                <w:bCs/>
              </w:rPr>
              <w:t>Antwoord</w:t>
            </w:r>
            <w:r w:rsidRPr="001154A9">
              <w:rPr>
                <w:b/>
                <w:bCs/>
              </w:rPr>
              <w:br/>
              <w:t>Nederland financiert verschillende noodhulpfondsen en hulporganisaties, waaronder de VN, de Rode Kruis- en Rode Halve</w:t>
            </w:r>
            <w:r w:rsidRPr="001154A9">
              <w:t xml:space="preserve"> </w:t>
            </w:r>
            <w:r w:rsidRPr="001154A9">
              <w:rPr>
                <w:b/>
                <w:bCs/>
              </w:rPr>
              <w:lastRenderedPageBreak/>
              <w:t xml:space="preserve">Maanbeweging en de Dutch Relief Alliance. Hiervoor geeft Nederland meerjarige en flexibele financiering die wereldwijd kan worden ingezet. Met deze bijdragen kunnen zij zodoende snel, en op basis van de hoogste noden, reageren op crises wereldwijd. Dat geldt ook voor de crises in het Midden-Oosten, waaronder in Libanon, Syrië, Jemen en de Palestijnse gebieden. Naast deze flexibel inzetbare bijdragen heeft Nederland in 2025 specifiek bijgedragen aan de humanitaire respons in Syrië met EUR 20,4 miljoen, in Jemen met EUR 18,5 miljoen en in Gaza met EUR 26,5 miljoen. Met deze bijdragen werden verschillende hulporganisaties ondersteund, waaronder het Nederlandse Rode Kruis en de door de VN beheerde Country </w:t>
            </w:r>
            <w:proofErr w:type="spellStart"/>
            <w:r w:rsidRPr="001154A9">
              <w:rPr>
                <w:b/>
                <w:bCs/>
              </w:rPr>
              <w:t>Based</w:t>
            </w:r>
            <w:proofErr w:type="spellEnd"/>
            <w:r w:rsidRPr="001154A9">
              <w:rPr>
                <w:b/>
                <w:bCs/>
              </w:rPr>
              <w:t xml:space="preserve"> Pooled Funds. </w:t>
            </w:r>
            <w:r w:rsidRPr="001154A9">
              <w:rPr>
                <w:b/>
                <w:bCs/>
                <w:color w:val="000000"/>
              </w:rPr>
              <w:t>Ook heeft Nederland een bedrag van 25 miljoen euro vrijgemaakt ter ondersteuning van de medische capaciteit in Gaza en het verlichten van de overbelasting van de zorg in de regio, waaronder in Egypte en Jordanië.</w:t>
            </w:r>
            <w:r w:rsidRPr="001154A9">
              <w:rPr>
                <w:rStyle w:val="EndnoteReference"/>
                <w:b/>
                <w:bCs/>
              </w:rPr>
              <w:endnoteReference w:id="1"/>
            </w:r>
            <w:r w:rsidRPr="001154A9">
              <w:rPr>
                <w:color w:val="000000"/>
              </w:rPr>
              <w:t xml:space="preserve"> </w:t>
            </w:r>
          </w:p>
        </w:tc>
        <w:tc>
          <w:tcPr>
            <w:tcW w:w="894" w:type="dxa"/>
          </w:tcPr>
          <w:p w:rsidRPr="001154A9" w:rsidR="00FD5980" w:rsidRDefault="00FD5980" w14:paraId="2B56CF42" w14:textId="77777777">
            <w:pPr>
              <w:jc w:val="right"/>
            </w:pPr>
          </w:p>
        </w:tc>
        <w:tc>
          <w:tcPr>
            <w:tcW w:w="894" w:type="dxa"/>
          </w:tcPr>
          <w:p w:rsidRPr="001154A9" w:rsidR="00FD5980" w:rsidRDefault="00FD5980" w14:paraId="3C59E0A2" w14:textId="3EC85D77">
            <w:pPr>
              <w:jc w:val="right"/>
            </w:pPr>
          </w:p>
        </w:tc>
      </w:tr>
      <w:bookmarkEnd w:id="2"/>
    </w:tbl>
    <w:p w:rsidRPr="001154A9" w:rsidR="00AF2F72" w:rsidRDefault="00AF2F72" w14:paraId="37F8A8FF" w14:textId="2E409609"/>
    <w:tbl>
      <w:tblPr>
        <w:tblW w:w="8647" w:type="dxa"/>
        <w:tblLayout w:type="fixed"/>
        <w:tblCellMar>
          <w:left w:w="0" w:type="dxa"/>
          <w:right w:w="0" w:type="dxa"/>
        </w:tblCellMar>
        <w:tblLook w:val="0000" w:firstRow="0" w:lastRow="0" w:firstColumn="0" w:lastColumn="0" w:noHBand="0" w:noVBand="0"/>
      </w:tblPr>
      <w:tblGrid>
        <w:gridCol w:w="567"/>
        <w:gridCol w:w="6521"/>
        <w:gridCol w:w="992"/>
        <w:gridCol w:w="567"/>
      </w:tblGrid>
      <w:tr w:rsidRPr="001154A9" w:rsidR="00FD5980" w:rsidTr="001154A9" w14:paraId="1AE7863D" w14:textId="77777777">
        <w:tc>
          <w:tcPr>
            <w:tcW w:w="567" w:type="dxa"/>
          </w:tcPr>
          <w:p w:rsidRPr="001154A9" w:rsidR="00FD5980" w:rsidRDefault="00FD5980" w14:paraId="54C29596" w14:textId="0B90401F">
            <w:r w:rsidRPr="001154A9">
              <w:t>4</w:t>
            </w:r>
          </w:p>
        </w:tc>
        <w:tc>
          <w:tcPr>
            <w:tcW w:w="6521" w:type="dxa"/>
          </w:tcPr>
          <w:p w:rsidRPr="001154A9" w:rsidR="00FD5980" w:rsidRDefault="00FD5980" w14:paraId="1B277AA2" w14:textId="77777777">
            <w:bookmarkStart w:name="_Hlk230859356" w:id="3"/>
            <w:r w:rsidRPr="001154A9">
              <w:t>Beschikt u over een integraal rijksbreed overzicht van alle Nederlandse publieke middelen die ten goede komen aan organisaties die actief zijn in Gaza? Zo ja, kunt u dit overzicht toelichten?</w:t>
            </w:r>
          </w:p>
          <w:bookmarkEnd w:id="3"/>
          <w:p w:rsidRPr="001154A9" w:rsidR="00FD5980" w:rsidRDefault="00FD5980" w14:paraId="6A18A78E" w14:textId="77777777">
            <w:pPr>
              <w:rPr>
                <w:b/>
                <w:bCs/>
              </w:rPr>
            </w:pPr>
          </w:p>
          <w:p w:rsidRPr="001154A9" w:rsidR="00FD5980" w:rsidRDefault="00FD5980" w14:paraId="4DDBFD46" w14:textId="06875D6E">
            <w:pPr>
              <w:rPr>
                <w:b/>
                <w:bCs/>
              </w:rPr>
            </w:pPr>
            <w:r w:rsidRPr="001154A9">
              <w:rPr>
                <w:b/>
                <w:bCs/>
              </w:rPr>
              <w:t>Antwoord</w:t>
            </w:r>
          </w:p>
          <w:p w:rsidRPr="001154A9" w:rsidR="00FD5980" w:rsidRDefault="00FD5980" w14:paraId="47F18BE2" w14:textId="3F7806C0">
            <w:pPr>
              <w:rPr>
                <w:b/>
              </w:rPr>
            </w:pPr>
            <w:r w:rsidRPr="001154A9">
              <w:rPr>
                <w:b/>
              </w:rPr>
              <w:t xml:space="preserve">De middelen op de begroting van Buitenlandse Zaken en Buitenlandse Handel en Ontwikkelingshulp die in 2025 direct ten goede kwamen aan de Palestijnse Gebieden bedroegen EUR 63 miljoen. Met deze financiering voerden de VN, maatschappelijke organisaties en bedrijven projecten uit op het gebied van water, voedsel, landrechten, private sectorontwikkeling en rechtsstaat. Deze middelen zijn ten goede gekomen aan de gehele Palestijnse Gebieden, met als gevolg dat het ministerie geen inzicht heeft in de uitsplitsing van middelen tussen Gaza en de Westelijke Jordaanoever. Wel heeft veel programmering in 2025 gezien het conflict in Gaza alleen doorgang kunnen vinden op de Westelijke Jordaanoever. Dit is in aanvulling op de middelen die in 2025 ten goede zijn gekomen aan de medische en humanitaire respons in Gaza (zie daarvoor het antwoord op vraag 3). Daarnaast bedroeg de Nederlandse bijdrage aan UNRWA het afgelopen jaar </w:t>
            </w:r>
            <w:r w:rsidRPr="001154A9" w:rsidR="001154A9">
              <w:rPr>
                <w:b/>
              </w:rPr>
              <w:t xml:space="preserve">EUR </w:t>
            </w:r>
            <w:r w:rsidRPr="001154A9">
              <w:rPr>
                <w:b/>
              </w:rPr>
              <w:t>15 miljoen, dat ten goede is gekomen aan de vijf werkgebieden van UNRWA, waaronder Gaza en de Westelijke Jordaanoever.</w:t>
            </w:r>
          </w:p>
        </w:tc>
        <w:tc>
          <w:tcPr>
            <w:tcW w:w="992" w:type="dxa"/>
          </w:tcPr>
          <w:p w:rsidRPr="001154A9" w:rsidR="00FD5980" w:rsidRDefault="00FD5980" w14:paraId="723EEEB3" w14:textId="77777777">
            <w:pPr>
              <w:jc w:val="right"/>
            </w:pPr>
          </w:p>
        </w:tc>
        <w:tc>
          <w:tcPr>
            <w:tcW w:w="567" w:type="dxa"/>
          </w:tcPr>
          <w:p w:rsidRPr="001154A9" w:rsidR="00FD5980" w:rsidRDefault="00FD5980" w14:paraId="73583B4A" w14:textId="77777777">
            <w:pPr>
              <w:jc w:val="right"/>
            </w:pPr>
            <w:r w:rsidRPr="001154A9">
              <w:t xml:space="preserve"> </w:t>
            </w:r>
          </w:p>
        </w:tc>
      </w:tr>
      <w:tr w:rsidRPr="001154A9" w:rsidR="00FD5980" w:rsidTr="001154A9" w14:paraId="595EC39C" w14:textId="77777777">
        <w:tc>
          <w:tcPr>
            <w:tcW w:w="567" w:type="dxa"/>
          </w:tcPr>
          <w:p w:rsidRPr="001154A9" w:rsidR="00FD5980" w:rsidRDefault="00FD5980" w14:paraId="3F158B7B" w14:textId="77777777">
            <w:r w:rsidRPr="001154A9">
              <w:t>5</w:t>
            </w:r>
          </w:p>
        </w:tc>
        <w:tc>
          <w:tcPr>
            <w:tcW w:w="6521" w:type="dxa"/>
          </w:tcPr>
          <w:p w:rsidRPr="001154A9" w:rsidR="00FD5980" w:rsidRDefault="00FD5980" w14:paraId="71BAC3ED" w14:textId="77777777">
            <w:r w:rsidRPr="001154A9">
              <w:t>Waarom is het budget voor veiligheid en rechtsstaatontwikkeling in Afghanistan slechts afgebouwd en nog niet volledig gestopt? Hoeveel hulpgeld gaat er nog naar Afghanistan, naar welke projecten gaat het en wat is daarvan het beoogde resultaat?</w:t>
            </w:r>
          </w:p>
          <w:p w:rsidRPr="001154A9" w:rsidR="00FD5980" w:rsidRDefault="00FD5980" w14:paraId="58DEFE35" w14:textId="77777777">
            <w:pPr>
              <w:rPr>
                <w:b/>
                <w:bCs/>
              </w:rPr>
            </w:pPr>
          </w:p>
          <w:p w:rsidRPr="001154A9" w:rsidR="00FD5980" w:rsidRDefault="00FD5980" w14:paraId="4623DF11" w14:textId="1217EE8D">
            <w:pPr>
              <w:rPr>
                <w:b/>
                <w:bCs/>
              </w:rPr>
            </w:pPr>
            <w:r w:rsidRPr="001154A9">
              <w:rPr>
                <w:b/>
                <w:bCs/>
              </w:rPr>
              <w:t>Antwoord</w:t>
            </w:r>
          </w:p>
          <w:p w:rsidRPr="001154A9" w:rsidR="00FD5980" w:rsidP="008023AD" w:rsidRDefault="00FD5980" w14:paraId="615BE2E1" w14:textId="5379F4A6">
            <w:pPr>
              <w:rPr>
                <w:b/>
              </w:rPr>
            </w:pPr>
            <w:r w:rsidRPr="001154A9">
              <w:rPr>
                <w:b/>
              </w:rPr>
              <w:t xml:space="preserve">Het budget voor veiligheid en rechtstaatontwikkeling in Afghanistan wordt conform afspraak stop gezet. Omdat een aantal betalingen nog voortvloeien uit eerder aangegane verplichtingen, is sprake van een afbouw in betalingen tot nul. </w:t>
            </w:r>
          </w:p>
          <w:p w:rsidRPr="001154A9" w:rsidR="00FD5980" w:rsidP="00FD5980" w:rsidRDefault="00FD5980" w14:paraId="3894C5CD" w14:textId="2F7CF4BF">
            <w:pPr>
              <w:rPr>
                <w:b/>
              </w:rPr>
            </w:pPr>
            <w:r w:rsidRPr="001154A9">
              <w:rPr>
                <w:b/>
              </w:rPr>
              <w:t>In 2025 waren er nog uitgaven, optellend tot EUR 7,4 mln. (zie het HGIS jaarverslag 2025). In 2026 is nog EUR 1,3 mln. aan uitgaven gepland, in 2027 EUR 1,5 mln. en vanaf 2028 t/m 2031 nog EUR 1 mln. per jaar. Deze uitgaven vinden plaats in het kader van twee partnerschappen’ op het terrein van lokale conflictoplossing, met speciale aandacht voor inclusieve deelname van vrouwen en jongeren, en beschermen van burgers.</w:t>
            </w:r>
          </w:p>
        </w:tc>
        <w:tc>
          <w:tcPr>
            <w:tcW w:w="992" w:type="dxa"/>
          </w:tcPr>
          <w:p w:rsidRPr="001154A9" w:rsidR="00FD5980" w:rsidRDefault="00FD5980" w14:paraId="2C999F9A" w14:textId="77777777">
            <w:pPr>
              <w:jc w:val="right"/>
            </w:pPr>
            <w:r w:rsidRPr="001154A9">
              <w:t>23</w:t>
            </w:r>
          </w:p>
        </w:tc>
        <w:tc>
          <w:tcPr>
            <w:tcW w:w="567" w:type="dxa"/>
          </w:tcPr>
          <w:p w:rsidRPr="001154A9" w:rsidR="00FD5980" w:rsidRDefault="00FD5980" w14:paraId="1C8C9C8E" w14:textId="77777777">
            <w:pPr>
              <w:jc w:val="right"/>
            </w:pPr>
            <w:r w:rsidRPr="001154A9">
              <w:t xml:space="preserve"> </w:t>
            </w:r>
          </w:p>
        </w:tc>
      </w:tr>
      <w:tr w:rsidRPr="001154A9" w:rsidR="00FD5980" w:rsidTr="001154A9" w14:paraId="7546BD8B" w14:textId="77777777">
        <w:tc>
          <w:tcPr>
            <w:tcW w:w="567" w:type="dxa"/>
          </w:tcPr>
          <w:p w:rsidRPr="001154A9" w:rsidR="00FD5980" w:rsidRDefault="00FD5980" w14:paraId="23831137" w14:textId="77777777">
            <w:r w:rsidRPr="001154A9">
              <w:t>6</w:t>
            </w:r>
          </w:p>
        </w:tc>
        <w:tc>
          <w:tcPr>
            <w:tcW w:w="6521" w:type="dxa"/>
          </w:tcPr>
          <w:p w:rsidRPr="001154A9" w:rsidR="00FD5980" w:rsidRDefault="00FD5980" w14:paraId="589CF9B8" w14:textId="77777777">
            <w:r w:rsidRPr="001154A9">
              <w:t>Waarom kiest Nederland er niet voor om inzake investeringen in publieke infrastructuurprojecten uitsluitend te kiezen voor subsidies met een terugbetaalverplichting?</w:t>
            </w:r>
          </w:p>
          <w:p w:rsidRPr="001154A9" w:rsidR="00FD5980" w:rsidRDefault="00FD5980" w14:paraId="32CFB49C" w14:textId="65509BF6">
            <w:pPr>
              <w:rPr>
                <w:b/>
                <w:bCs/>
                <w:color w:val="424242"/>
                <w:shd w:val="clear" w:color="auto" w:fill="FFFFFF"/>
              </w:rPr>
            </w:pPr>
            <w:r w:rsidRPr="001154A9">
              <w:rPr>
                <w:b/>
                <w:bCs/>
              </w:rPr>
              <w:lastRenderedPageBreak/>
              <w:t>Antwoord</w:t>
            </w:r>
            <w:r w:rsidRPr="001154A9">
              <w:rPr>
                <w:b/>
                <w:bCs/>
                <w:color w:val="424242"/>
                <w:shd w:val="clear" w:color="auto" w:fill="FFFFFF"/>
              </w:rPr>
              <w:t xml:space="preserve"> </w:t>
            </w:r>
          </w:p>
          <w:p w:rsidRPr="001154A9" w:rsidR="00FD5980" w:rsidP="00FD5980" w:rsidRDefault="00FD5980" w14:paraId="763820C7" w14:textId="63F5C30D">
            <w:pPr>
              <w:rPr>
                <w:b/>
                <w:bCs/>
              </w:rPr>
            </w:pPr>
            <w:r w:rsidRPr="001154A9">
              <w:rPr>
                <w:b/>
                <w:bCs/>
                <w:color w:val="424242"/>
                <w:shd w:val="clear" w:color="auto" w:fill="FFFFFF"/>
              </w:rPr>
              <w:t>S</w:t>
            </w:r>
            <w:r w:rsidRPr="001154A9">
              <w:rPr>
                <w:b/>
                <w:bCs/>
              </w:rPr>
              <w:t xml:space="preserve">ubsidies met terugbetaalverplichting worden selectief ingezet, bijvoorbeeld in het geval waar sprake is van een reële kasstroom na oplevering van het project. In het geval van publieksrelevante infrastructuur leveren deze vaak wel maatschappelijke, maar nauwelijks directe inkomensstromen op voor de overheid. Hierbij moet gedacht worden aan openbare wegen, bruggen, waterzuivering en ziekenhuizen. Zonder subsidie, zoals dat bijvoorbeeld wordt gedaan via het </w:t>
            </w:r>
            <w:r w:rsidRPr="001154A9">
              <w:rPr>
                <w:b/>
                <w:bCs/>
                <w:i/>
                <w:iCs/>
              </w:rPr>
              <w:t xml:space="preserve">Development Related Infrastructure Investment Vehicle </w:t>
            </w:r>
            <w:r w:rsidRPr="001154A9">
              <w:rPr>
                <w:b/>
                <w:bCs/>
              </w:rPr>
              <w:t xml:space="preserve">(DRIVE), zijn deze projecten financieel onhaalbaar. </w:t>
            </w:r>
          </w:p>
        </w:tc>
        <w:tc>
          <w:tcPr>
            <w:tcW w:w="992" w:type="dxa"/>
          </w:tcPr>
          <w:p w:rsidRPr="001154A9" w:rsidR="00FD5980" w:rsidRDefault="00FD5980" w14:paraId="7332AA6B" w14:textId="77777777">
            <w:pPr>
              <w:jc w:val="right"/>
            </w:pPr>
            <w:r w:rsidRPr="001154A9">
              <w:lastRenderedPageBreak/>
              <w:t>33</w:t>
            </w:r>
          </w:p>
        </w:tc>
        <w:tc>
          <w:tcPr>
            <w:tcW w:w="567" w:type="dxa"/>
          </w:tcPr>
          <w:p w:rsidRPr="001154A9" w:rsidR="00FD5980" w:rsidRDefault="00FD5980" w14:paraId="79C0D20A" w14:textId="77777777">
            <w:pPr>
              <w:jc w:val="right"/>
            </w:pPr>
            <w:r w:rsidRPr="001154A9">
              <w:t xml:space="preserve"> </w:t>
            </w:r>
          </w:p>
        </w:tc>
      </w:tr>
      <w:tr w:rsidRPr="001154A9" w:rsidR="00FD5980" w:rsidTr="001154A9" w14:paraId="7DA49F16" w14:textId="77777777">
        <w:tc>
          <w:tcPr>
            <w:tcW w:w="567" w:type="dxa"/>
          </w:tcPr>
          <w:p w:rsidRPr="001154A9" w:rsidR="00FD5980" w:rsidRDefault="00FD5980" w14:paraId="35E27DB3" w14:textId="77777777">
            <w:r w:rsidRPr="001154A9">
              <w:t>7</w:t>
            </w:r>
          </w:p>
        </w:tc>
        <w:tc>
          <w:tcPr>
            <w:tcW w:w="6521" w:type="dxa"/>
          </w:tcPr>
          <w:p w:rsidRPr="001154A9" w:rsidR="00FD5980" w:rsidRDefault="00FD5980" w14:paraId="3A933E79" w14:textId="77777777">
            <w:r w:rsidRPr="001154A9">
              <w:t>Wie zijn – naast Nederland – de andere aandeelhouders van de Afrikaanse ontwikkelingsbank (AFDB), wat is de grootte van hun belang en wie zijn de andere aandeelhouders met een AAA-kredietstatus?</w:t>
            </w:r>
          </w:p>
          <w:p w:rsidRPr="001154A9" w:rsidR="00FD5980" w:rsidRDefault="00FD5980" w14:paraId="3F749E32" w14:textId="77777777"/>
          <w:p w:rsidRPr="001154A9" w:rsidR="00FD5980" w:rsidRDefault="00FD5980" w14:paraId="7AFF3DA5" w14:textId="2B7E5528">
            <w:pPr>
              <w:rPr>
                <w:b/>
                <w:bCs/>
              </w:rPr>
            </w:pPr>
            <w:r w:rsidRPr="001154A9">
              <w:rPr>
                <w:b/>
                <w:bCs/>
              </w:rPr>
              <w:t>Antwoord</w:t>
            </w:r>
          </w:p>
          <w:p w:rsidRPr="001154A9" w:rsidR="00FD5980" w:rsidP="002645BC" w:rsidRDefault="00FD5980" w14:paraId="460EF991" w14:textId="77777777">
            <w:r w:rsidRPr="001154A9">
              <w:rPr>
                <w:b/>
                <w:bCs/>
              </w:rPr>
              <w:t>De Afrikaanse Ontwikkelingsbank (AfDB) heeft een brede aandeelhoudersbasis van 81 landen: 54 Afrikaanse regionale leden en 27 niet-regionale leden. De stemverhouding is bewust zo ingericht dat Afrikaanse landen gezamenlijk de meerderheid houden. Deze regionale leden beschikken samen over grofweg 58,5% van de stemrechten; niet-regionale leden circa 41.5%. De exacte percentages bewegen beperkt mee met kapitaalinschrijvingen en worden periodiek door de AfDB gepubliceerd.</w:t>
            </w:r>
          </w:p>
          <w:p w:rsidRPr="001154A9" w:rsidR="00FD5980" w:rsidP="002645BC" w:rsidRDefault="00FD5980" w14:paraId="47890C36" w14:textId="77777777"/>
          <w:p w:rsidRPr="001154A9" w:rsidR="00FD5980" w:rsidP="770C3A65" w:rsidRDefault="00FD5980" w14:paraId="6FA659F7" w14:textId="4090BAC6">
            <w:pPr>
              <w:rPr>
                <w:b/>
                <w:bCs/>
              </w:rPr>
            </w:pPr>
            <w:r w:rsidRPr="001154A9">
              <w:rPr>
                <w:b/>
                <w:bCs/>
              </w:rPr>
              <w:t>De grootste aandeelhouders zijn Nigeria met 8,7%, de Verenigde Staten met 6,6%, Egypte met 6,3%, Japan met 5,5%, Algerije met 5,3%, Zuid-Afrika met 5,1%, Marokko met 4,8%, Duitsland met 4,1%, Canada met 3,9% en Frankrijk met 3,7%. Nederland heeft een relatief beperkt direct stemgewicht van 0,884%, maar zit in een kiesgroep met Italië en het VK, die gezamenlijk circa 5,2% vertegenwoordigt.</w:t>
            </w:r>
          </w:p>
          <w:p w:rsidRPr="001154A9" w:rsidR="00FD5980" w:rsidP="002645BC" w:rsidRDefault="00FD5980" w14:paraId="5BD65D94" w14:textId="77777777"/>
          <w:p w:rsidRPr="001154A9" w:rsidR="00FD5980" w:rsidP="00FD5980" w:rsidRDefault="00FD5980" w14:paraId="4CFD0DC6" w14:textId="2A73F056">
            <w:pPr>
              <w:rPr>
                <w:b/>
                <w:bCs/>
              </w:rPr>
            </w:pPr>
            <w:r w:rsidRPr="001154A9">
              <w:rPr>
                <w:b/>
                <w:bCs/>
              </w:rPr>
              <w:t>Voor de kredietkwaliteit is vooral relevant dat een aantal niet-regionale aandeelhouders zelf een AAA-status heeft. Naast Nederland gaat het, als wordt gekeken naar AAA/</w:t>
            </w:r>
            <w:proofErr w:type="spellStart"/>
            <w:r w:rsidRPr="001154A9">
              <w:rPr>
                <w:b/>
                <w:bCs/>
              </w:rPr>
              <w:t>Aaa</w:t>
            </w:r>
            <w:proofErr w:type="spellEnd"/>
            <w:r w:rsidRPr="001154A9">
              <w:rPr>
                <w:b/>
                <w:bCs/>
              </w:rPr>
              <w:t xml:space="preserve"> bij de drie grote </w:t>
            </w:r>
            <w:r w:rsidRPr="001154A9">
              <w:rPr>
                <w:b/>
                <w:bCs/>
                <w:i/>
                <w:iCs/>
              </w:rPr>
              <w:t xml:space="preserve">rating </w:t>
            </w:r>
            <w:proofErr w:type="spellStart"/>
            <w:r w:rsidRPr="001154A9">
              <w:rPr>
                <w:b/>
                <w:bCs/>
                <w:i/>
                <w:iCs/>
              </w:rPr>
              <w:t>agencies</w:t>
            </w:r>
            <w:proofErr w:type="spellEnd"/>
            <w:r w:rsidRPr="001154A9">
              <w:rPr>
                <w:b/>
                <w:bCs/>
              </w:rPr>
              <w:t xml:space="preserve">, om Duitsland, Denemarken, Luxemburg, Noorwegen, Zweden en Zwitserland. Canada heeft bij </w:t>
            </w:r>
            <w:proofErr w:type="spellStart"/>
            <w:r w:rsidRPr="001154A9">
              <w:rPr>
                <w:b/>
                <w:bCs/>
              </w:rPr>
              <w:t>Moody’s</w:t>
            </w:r>
            <w:proofErr w:type="spellEnd"/>
            <w:r w:rsidRPr="001154A9">
              <w:rPr>
                <w:b/>
                <w:bCs/>
              </w:rPr>
              <w:t xml:space="preserve"> en S&amp;P de hoogste rating, maar niet bij </w:t>
            </w:r>
            <w:proofErr w:type="spellStart"/>
            <w:r w:rsidRPr="001154A9">
              <w:rPr>
                <w:b/>
                <w:bCs/>
              </w:rPr>
              <w:t>Fitch</w:t>
            </w:r>
            <w:proofErr w:type="spellEnd"/>
            <w:r w:rsidRPr="001154A9">
              <w:rPr>
                <w:b/>
                <w:bCs/>
              </w:rPr>
              <w:t>. De Verenigde Staten en het Verenigd Koninkrijk zijn belangrijke aandeelhouders, maar hebben niet langer bij alle drie de grote bureaus een AAA-status.</w:t>
            </w:r>
          </w:p>
        </w:tc>
        <w:tc>
          <w:tcPr>
            <w:tcW w:w="992" w:type="dxa"/>
          </w:tcPr>
          <w:p w:rsidRPr="001154A9" w:rsidR="00FD5980" w:rsidRDefault="00FD5980" w14:paraId="429CF1FD" w14:textId="77777777">
            <w:pPr>
              <w:jc w:val="right"/>
            </w:pPr>
            <w:r w:rsidRPr="001154A9">
              <w:t>36</w:t>
            </w:r>
          </w:p>
        </w:tc>
        <w:tc>
          <w:tcPr>
            <w:tcW w:w="567" w:type="dxa"/>
          </w:tcPr>
          <w:p w:rsidRPr="001154A9" w:rsidR="00FD5980" w:rsidRDefault="00FD5980" w14:paraId="19FC430A" w14:textId="77777777">
            <w:pPr>
              <w:jc w:val="right"/>
            </w:pPr>
            <w:r w:rsidRPr="001154A9">
              <w:t xml:space="preserve"> </w:t>
            </w:r>
          </w:p>
        </w:tc>
      </w:tr>
      <w:tr w:rsidRPr="001154A9" w:rsidR="00FD5980" w:rsidTr="001154A9" w14:paraId="5D9B1EF7" w14:textId="77777777">
        <w:tc>
          <w:tcPr>
            <w:tcW w:w="567" w:type="dxa"/>
          </w:tcPr>
          <w:p w:rsidRPr="001154A9" w:rsidR="00FD5980" w:rsidRDefault="00FD5980" w14:paraId="2F7801A2" w14:textId="77777777">
            <w:r w:rsidRPr="001154A9">
              <w:t>8</w:t>
            </w:r>
          </w:p>
        </w:tc>
        <w:tc>
          <w:tcPr>
            <w:tcW w:w="6521" w:type="dxa"/>
          </w:tcPr>
          <w:p w:rsidRPr="001154A9" w:rsidR="00FD5980" w:rsidRDefault="00FD5980" w14:paraId="79935131" w14:textId="023B3762">
            <w:r w:rsidRPr="001154A9">
              <w:t>Welke ambities en doelstellingen streeft Nederland na bij het strategisch aansturen van de Nederlandse Financieringsmaatschappij voor Ontwikkelingslanden (FMO) de komende jaren?</w:t>
            </w:r>
          </w:p>
          <w:p w:rsidRPr="001154A9" w:rsidR="00FD5980" w:rsidRDefault="00FD5980" w14:paraId="5019B4B9" w14:textId="77777777">
            <w:pPr>
              <w:rPr>
                <w:b/>
                <w:bCs/>
              </w:rPr>
            </w:pPr>
          </w:p>
          <w:p w:rsidRPr="001154A9" w:rsidR="00FD5980" w:rsidRDefault="00FD5980" w14:paraId="29C427E4" w14:textId="710D4469">
            <w:pPr>
              <w:rPr>
                <w:b/>
                <w:bCs/>
              </w:rPr>
            </w:pPr>
            <w:r w:rsidRPr="001154A9">
              <w:rPr>
                <w:b/>
                <w:bCs/>
              </w:rPr>
              <w:t xml:space="preserve">Antwoord </w:t>
            </w:r>
          </w:p>
          <w:p w:rsidRPr="001154A9" w:rsidR="00FD5980" w:rsidP="00FD5980" w:rsidRDefault="00FD5980" w14:paraId="29E37A65" w14:textId="08AB5F1F">
            <w:r w:rsidRPr="001154A9">
              <w:rPr>
                <w:b/>
                <w:bCs/>
              </w:rPr>
              <w:t>FMO blijft ook de komende jaren een belangrijke partner in het BHOS-beleid. Als innovatieve speler en spil in het internationale financieringslandschap zal FMO, in samenwerking met andere BHOS-partners, een belangrijke bijdrage blijven leveren aan het versterken van de economische weerbaarheid van partnerlanden. Er zal de komende jaren extra aandacht uitgaan naar de rol die FMO speelt in het versterken van strategische partnerschappen, zowel bilateraal als in EU verband en multilateraal. Dit alles natuurlijk met respect voor het mandaat van FMO en het feit dat FMO op afstand van de staat opereert.</w:t>
            </w:r>
            <w:r w:rsidRPr="001154A9">
              <w:t xml:space="preserve"> </w:t>
            </w:r>
          </w:p>
        </w:tc>
        <w:tc>
          <w:tcPr>
            <w:tcW w:w="992" w:type="dxa"/>
          </w:tcPr>
          <w:p w:rsidRPr="001154A9" w:rsidR="00FD5980" w:rsidRDefault="00FD5980" w14:paraId="7532B6A8" w14:textId="77777777">
            <w:pPr>
              <w:jc w:val="right"/>
            </w:pPr>
            <w:r w:rsidRPr="001154A9">
              <w:t>42</w:t>
            </w:r>
          </w:p>
        </w:tc>
        <w:tc>
          <w:tcPr>
            <w:tcW w:w="567" w:type="dxa"/>
          </w:tcPr>
          <w:p w:rsidRPr="001154A9" w:rsidR="00FD5980" w:rsidRDefault="00FD5980" w14:paraId="35962F23" w14:textId="77777777">
            <w:pPr>
              <w:jc w:val="right"/>
            </w:pPr>
            <w:r w:rsidRPr="001154A9">
              <w:t xml:space="preserve"> </w:t>
            </w:r>
          </w:p>
        </w:tc>
      </w:tr>
      <w:tr w:rsidRPr="001154A9" w:rsidR="00FD5980" w:rsidTr="001154A9" w14:paraId="66858F29" w14:textId="77777777">
        <w:tc>
          <w:tcPr>
            <w:tcW w:w="567" w:type="dxa"/>
          </w:tcPr>
          <w:p w:rsidRPr="001154A9" w:rsidR="00FD5980" w:rsidRDefault="00FD5980" w14:paraId="22FFCDFD" w14:textId="77777777">
            <w:r w:rsidRPr="001154A9">
              <w:t>9</w:t>
            </w:r>
          </w:p>
        </w:tc>
        <w:tc>
          <w:tcPr>
            <w:tcW w:w="6521" w:type="dxa"/>
          </w:tcPr>
          <w:p w:rsidRPr="001154A9" w:rsidR="00FD5980" w:rsidRDefault="00FD5980" w14:paraId="6735D2CB" w14:textId="77777777">
            <w:r w:rsidRPr="001154A9">
              <w:t>Wat is er voor Nederland overgebleven uit de failliete boedel van Instrument in Support of Trade Exchanges (INSTEX)?</w:t>
            </w:r>
          </w:p>
          <w:p w:rsidRPr="001154A9" w:rsidR="00FD5980" w:rsidRDefault="00FD5980" w14:paraId="31AF0755" w14:textId="77777777">
            <w:pPr>
              <w:rPr>
                <w:b/>
                <w:bCs/>
              </w:rPr>
            </w:pPr>
          </w:p>
          <w:p w:rsidRPr="001154A9" w:rsidR="00FD5980" w:rsidRDefault="00FD5980" w14:paraId="7751EDBC" w14:textId="54496A2D">
            <w:pPr>
              <w:rPr>
                <w:b/>
                <w:bCs/>
              </w:rPr>
            </w:pPr>
            <w:r w:rsidRPr="001154A9">
              <w:rPr>
                <w:b/>
                <w:bCs/>
              </w:rPr>
              <w:lastRenderedPageBreak/>
              <w:t>Antwoord</w:t>
            </w:r>
          </w:p>
          <w:p w:rsidRPr="001154A9" w:rsidR="00FD5980" w:rsidRDefault="00FD5980" w14:paraId="4A8E17BC" w14:textId="4021305E">
            <w:pPr>
              <w:rPr>
                <w:b/>
              </w:rPr>
            </w:pPr>
            <w:r w:rsidRPr="001154A9">
              <w:rPr>
                <w:b/>
              </w:rPr>
              <w:t>Nederland bezat 4,21% van de aandelen in INSTEX. Bij de liquidatie vloeide EUR 135.509,36 terug naar Nederland.</w:t>
            </w:r>
          </w:p>
        </w:tc>
        <w:tc>
          <w:tcPr>
            <w:tcW w:w="992" w:type="dxa"/>
          </w:tcPr>
          <w:p w:rsidRPr="001154A9" w:rsidR="00FD5980" w:rsidRDefault="00FD5980" w14:paraId="29BBA9A3" w14:textId="77777777">
            <w:pPr>
              <w:jc w:val="right"/>
            </w:pPr>
            <w:r w:rsidRPr="001154A9">
              <w:lastRenderedPageBreak/>
              <w:t>84</w:t>
            </w:r>
          </w:p>
        </w:tc>
        <w:tc>
          <w:tcPr>
            <w:tcW w:w="567" w:type="dxa"/>
          </w:tcPr>
          <w:p w:rsidRPr="001154A9" w:rsidR="00FD5980" w:rsidRDefault="00FD5980" w14:paraId="1F67A730" w14:textId="77777777">
            <w:pPr>
              <w:jc w:val="right"/>
            </w:pPr>
            <w:r w:rsidRPr="001154A9">
              <w:t xml:space="preserve"> </w:t>
            </w:r>
          </w:p>
        </w:tc>
      </w:tr>
      <w:tr w:rsidRPr="001154A9" w:rsidR="00FD5980" w:rsidTr="001154A9" w14:paraId="218EB48E" w14:textId="77777777">
        <w:tc>
          <w:tcPr>
            <w:tcW w:w="567" w:type="dxa"/>
          </w:tcPr>
          <w:p w:rsidRPr="001154A9" w:rsidR="00FD5980" w:rsidRDefault="00FD5980" w14:paraId="2CD216F9" w14:textId="77777777">
            <w:r w:rsidRPr="001154A9">
              <w:t>10</w:t>
            </w:r>
          </w:p>
        </w:tc>
        <w:tc>
          <w:tcPr>
            <w:tcW w:w="6521" w:type="dxa"/>
          </w:tcPr>
          <w:p w:rsidRPr="001154A9" w:rsidR="00FD5980" w:rsidRDefault="00FD5980" w14:paraId="5EE2DFEC" w14:textId="77777777">
            <w:r w:rsidRPr="001154A9">
              <w:t>Kan worden aangeven wat INSTEX (incl. kosten aandeelhouderschap) de Nederlandse belastingbetaler uiteindelijk heeft gekost van de oprichting tot en met de liquidatie?</w:t>
            </w:r>
          </w:p>
          <w:p w:rsidRPr="001154A9" w:rsidR="00FD5980" w:rsidRDefault="00FD5980" w14:paraId="0338CF55" w14:textId="77777777">
            <w:pPr>
              <w:rPr>
                <w:b/>
                <w:bCs/>
              </w:rPr>
            </w:pPr>
          </w:p>
          <w:p w:rsidRPr="001154A9" w:rsidR="00FD5980" w:rsidRDefault="00FD5980" w14:paraId="071997D9" w14:textId="358B2D72">
            <w:pPr>
              <w:rPr>
                <w:b/>
                <w:bCs/>
              </w:rPr>
            </w:pPr>
            <w:r w:rsidRPr="001154A9">
              <w:rPr>
                <w:b/>
                <w:bCs/>
              </w:rPr>
              <w:t>Antwoord</w:t>
            </w:r>
          </w:p>
          <w:p w:rsidRPr="001154A9" w:rsidR="00FD5980" w:rsidP="00FD5980" w:rsidRDefault="00FD5980" w14:paraId="12C82AB2" w14:textId="0804A719">
            <w:pPr>
              <w:rPr>
                <w:b/>
              </w:rPr>
            </w:pPr>
            <w:r w:rsidRPr="001154A9">
              <w:rPr>
                <w:b/>
              </w:rPr>
              <w:t>Nederland trad in 2020 toe als aandeelhouder met een kapitaalbijdrage van EUR 418.500. Bij de liquidatie ontving Nederland EUR 135.509,36 terug. Dit betekent dat het nettoverlies op de kapitaalbijdrage EUR 282.990,64 bedraagt.</w:t>
            </w:r>
          </w:p>
        </w:tc>
        <w:tc>
          <w:tcPr>
            <w:tcW w:w="992" w:type="dxa"/>
          </w:tcPr>
          <w:p w:rsidRPr="001154A9" w:rsidR="00FD5980" w:rsidRDefault="00FD5980" w14:paraId="303D890C" w14:textId="77777777">
            <w:pPr>
              <w:jc w:val="right"/>
            </w:pPr>
            <w:r w:rsidRPr="001154A9">
              <w:t>84</w:t>
            </w:r>
          </w:p>
        </w:tc>
        <w:tc>
          <w:tcPr>
            <w:tcW w:w="567" w:type="dxa"/>
          </w:tcPr>
          <w:p w:rsidRPr="001154A9" w:rsidR="00FD5980" w:rsidRDefault="00FD5980" w14:paraId="43BF6B93" w14:textId="77777777">
            <w:pPr>
              <w:jc w:val="right"/>
            </w:pPr>
            <w:r w:rsidRPr="001154A9">
              <w:t xml:space="preserve"> </w:t>
            </w:r>
          </w:p>
        </w:tc>
      </w:tr>
      <w:tr w:rsidRPr="001154A9" w:rsidR="00FD5980" w:rsidTr="001154A9" w14:paraId="39D36669" w14:textId="77777777">
        <w:tc>
          <w:tcPr>
            <w:tcW w:w="567" w:type="dxa"/>
          </w:tcPr>
          <w:p w:rsidRPr="001154A9" w:rsidR="00FD5980" w:rsidRDefault="00FD5980" w14:paraId="7AB1705E" w14:textId="77777777">
            <w:r w:rsidRPr="001154A9">
              <w:t>11</w:t>
            </w:r>
          </w:p>
        </w:tc>
        <w:tc>
          <w:tcPr>
            <w:tcW w:w="6521" w:type="dxa"/>
          </w:tcPr>
          <w:p w:rsidRPr="001154A9" w:rsidR="00FD5980" w:rsidRDefault="00FD5980" w14:paraId="06386CB0" w14:textId="77777777">
            <w:r w:rsidRPr="001154A9">
              <w:t>Is het mogelijk om bij de nieuwe verantwoordingssystematiek ook nieuwe of verbeterde indicatoren toe te voegen?</w:t>
            </w:r>
          </w:p>
          <w:p w:rsidRPr="001154A9" w:rsidR="00FD5980" w:rsidRDefault="00FD5980" w14:paraId="3B8A4B68" w14:textId="77777777">
            <w:pPr>
              <w:rPr>
                <w:b/>
                <w:bCs/>
              </w:rPr>
            </w:pPr>
          </w:p>
          <w:p w:rsidRPr="001154A9" w:rsidR="00FD5980" w:rsidRDefault="00FD5980" w14:paraId="0B26FCB8" w14:textId="0E9F30C9">
            <w:pPr>
              <w:rPr>
                <w:b/>
                <w:bCs/>
              </w:rPr>
            </w:pPr>
            <w:r w:rsidRPr="001154A9">
              <w:rPr>
                <w:b/>
                <w:bCs/>
              </w:rPr>
              <w:t>Antwoord</w:t>
            </w:r>
          </w:p>
          <w:p w:rsidRPr="001154A9" w:rsidR="00FD5980" w:rsidP="00FD5980" w:rsidRDefault="00FD5980" w14:paraId="0430BC9D" w14:textId="39494F02">
            <w:pPr>
              <w:rPr>
                <w:b/>
              </w:rPr>
            </w:pPr>
            <w:r w:rsidRPr="001154A9">
              <w:rPr>
                <w:b/>
              </w:rPr>
              <w:t xml:space="preserve">De verbeterde verantwoordingssystematiek ziet op een manier van verantwoorden die meer zeggingskracht heeft. Het gaat - naast de uniform meetbare indicatoren - ook om andere relevante ontwikkelingen binnen een bepaald beleidsterrein. De verbeterde verantwoordingssystematiek </w:t>
            </w:r>
            <w:r w:rsidRPr="001154A9">
              <w:rPr>
                <w:b/>
                <w:bCs/>
              </w:rPr>
              <w:t>maakt het mogelijk om</w:t>
            </w:r>
            <w:r w:rsidRPr="001154A9">
              <w:rPr>
                <w:b/>
              </w:rPr>
              <w:t xml:space="preserve"> flexibeler </w:t>
            </w:r>
            <w:r w:rsidRPr="001154A9">
              <w:rPr>
                <w:b/>
                <w:bCs/>
              </w:rPr>
              <w:t>in te spelen</w:t>
            </w:r>
            <w:r w:rsidRPr="001154A9">
              <w:rPr>
                <w:b/>
              </w:rPr>
              <w:t xml:space="preserve"> op de verschillende doelstellingen en resultaten die worden behaald</w:t>
            </w:r>
            <w:r w:rsidRPr="001154A9">
              <w:rPr>
                <w:b/>
                <w:bCs/>
              </w:rPr>
              <w:t>.</w:t>
            </w:r>
            <w:r w:rsidRPr="001154A9">
              <w:rPr>
                <w:b/>
              </w:rPr>
              <w:t xml:space="preserve"> Dat maakt ook de introductie van nieuwe indicatoren </w:t>
            </w:r>
            <w:r w:rsidRPr="001154A9">
              <w:rPr>
                <w:b/>
                <w:bCs/>
              </w:rPr>
              <w:t xml:space="preserve">eenvoudiger, waarbij de totale werkdruk niet uit het oog wordt verloren.  </w:t>
            </w:r>
          </w:p>
        </w:tc>
        <w:tc>
          <w:tcPr>
            <w:tcW w:w="992" w:type="dxa"/>
          </w:tcPr>
          <w:p w:rsidRPr="001154A9" w:rsidR="00FD5980" w:rsidRDefault="00FD5980" w14:paraId="61F7D59F" w14:textId="77777777">
            <w:pPr>
              <w:jc w:val="right"/>
            </w:pPr>
            <w:r w:rsidRPr="001154A9">
              <w:t>100</w:t>
            </w:r>
          </w:p>
        </w:tc>
        <w:tc>
          <w:tcPr>
            <w:tcW w:w="567" w:type="dxa"/>
          </w:tcPr>
          <w:p w:rsidRPr="001154A9" w:rsidR="00FD5980" w:rsidRDefault="00FD5980" w14:paraId="7BCB1AE3" w14:textId="77777777">
            <w:pPr>
              <w:jc w:val="right"/>
            </w:pPr>
            <w:r w:rsidRPr="001154A9">
              <w:t xml:space="preserve"> </w:t>
            </w:r>
          </w:p>
        </w:tc>
      </w:tr>
      <w:tr w:rsidRPr="001154A9" w:rsidR="00FD5980" w:rsidTr="001154A9" w14:paraId="4F89D3A5" w14:textId="77777777">
        <w:tc>
          <w:tcPr>
            <w:tcW w:w="567" w:type="dxa"/>
          </w:tcPr>
          <w:p w:rsidRPr="001154A9" w:rsidR="00FD5980" w:rsidRDefault="00FD5980" w14:paraId="7E0C8C01" w14:textId="77777777">
            <w:r w:rsidRPr="001154A9">
              <w:t>12</w:t>
            </w:r>
          </w:p>
        </w:tc>
        <w:tc>
          <w:tcPr>
            <w:tcW w:w="6521" w:type="dxa"/>
          </w:tcPr>
          <w:p w:rsidRPr="001154A9" w:rsidR="00FD5980" w:rsidRDefault="00FD5980" w14:paraId="61B0D81F" w14:textId="77777777">
            <w:r w:rsidRPr="001154A9">
              <w:t>Hoe kan het dat ondanks bezuinigingen op voedselzekerheid de realisatie in 2025 veel hoger ligt dan in 2024 en 2023 en ruim boven de streefwaarden op het gebied van uitbannen van honger?</w:t>
            </w:r>
          </w:p>
          <w:p w:rsidRPr="001154A9" w:rsidR="00FD5980" w:rsidRDefault="00FD5980" w14:paraId="10506561" w14:textId="77777777">
            <w:pPr>
              <w:rPr>
                <w:b/>
                <w:bCs/>
              </w:rPr>
            </w:pPr>
          </w:p>
          <w:p w:rsidRPr="001154A9" w:rsidR="00FD5980" w:rsidRDefault="00FD5980" w14:paraId="541B4032" w14:textId="25065C58">
            <w:pPr>
              <w:rPr>
                <w:b/>
                <w:bCs/>
              </w:rPr>
            </w:pPr>
            <w:r w:rsidRPr="001154A9">
              <w:rPr>
                <w:b/>
                <w:bCs/>
              </w:rPr>
              <w:t>Antwoord</w:t>
            </w:r>
          </w:p>
          <w:p w:rsidRPr="001154A9" w:rsidR="00FD5980" w:rsidP="00FD5980" w:rsidRDefault="00FD5980" w14:paraId="4263F59A" w14:textId="391759EC">
            <w:pPr>
              <w:rPr>
                <w:b/>
              </w:rPr>
            </w:pPr>
            <w:r w:rsidRPr="001154A9">
              <w:rPr>
                <w:b/>
              </w:rPr>
              <w:t>De realisaties in 2025 zijn het resultaat van in eerdere jaren gefinancierde activiteiten. In dit geval betreft het enkele grootschalige voedingsprogramma’s die in voorgaande jaren zijn gestart en nu tegelijkertijd resultaten laten zien die, opgeteld, boven de streefwaarde uitkomen.</w:t>
            </w:r>
          </w:p>
        </w:tc>
        <w:tc>
          <w:tcPr>
            <w:tcW w:w="992" w:type="dxa"/>
          </w:tcPr>
          <w:p w:rsidRPr="001154A9" w:rsidR="00FD5980" w:rsidRDefault="00FD5980" w14:paraId="05DECE62" w14:textId="77777777">
            <w:pPr>
              <w:jc w:val="right"/>
            </w:pPr>
            <w:r w:rsidRPr="001154A9">
              <w:t>101</w:t>
            </w:r>
          </w:p>
        </w:tc>
        <w:tc>
          <w:tcPr>
            <w:tcW w:w="567" w:type="dxa"/>
          </w:tcPr>
          <w:p w:rsidRPr="001154A9" w:rsidR="00FD5980" w:rsidRDefault="00FD5980" w14:paraId="4FA03122" w14:textId="77777777">
            <w:pPr>
              <w:jc w:val="right"/>
            </w:pPr>
            <w:r w:rsidRPr="001154A9">
              <w:t xml:space="preserve"> </w:t>
            </w:r>
          </w:p>
        </w:tc>
      </w:tr>
      <w:tr w:rsidRPr="001154A9" w:rsidR="00FD5980" w:rsidTr="001154A9" w14:paraId="03CD0E9B" w14:textId="77777777">
        <w:tc>
          <w:tcPr>
            <w:tcW w:w="567" w:type="dxa"/>
          </w:tcPr>
          <w:p w:rsidRPr="001154A9" w:rsidR="00FD5980" w:rsidP="00017527" w:rsidRDefault="00FD5980" w14:paraId="7589492A" w14:textId="77777777">
            <w:r w:rsidRPr="001154A9">
              <w:t>13</w:t>
            </w:r>
          </w:p>
        </w:tc>
        <w:tc>
          <w:tcPr>
            <w:tcW w:w="6521" w:type="dxa"/>
          </w:tcPr>
          <w:p w:rsidRPr="001154A9" w:rsidR="00FD5980" w:rsidP="00017527" w:rsidRDefault="00FD5980" w14:paraId="74F08E1B" w14:textId="77777777">
            <w:r w:rsidRPr="001154A9">
              <w:t>Is er in het beleid een keuze gemaakt om meer prioriteit te geven aan de eerste indicator op voedselzekerheid in tegenstelling tot de twee andere indicatoren?</w:t>
            </w:r>
          </w:p>
          <w:p w:rsidRPr="001154A9" w:rsidR="00FD5980" w:rsidP="00017527" w:rsidRDefault="00FD5980" w14:paraId="34E82E07" w14:textId="77777777">
            <w:pPr>
              <w:rPr>
                <w:b/>
                <w:bCs/>
              </w:rPr>
            </w:pPr>
          </w:p>
          <w:p w:rsidRPr="001154A9" w:rsidR="00FD5980" w:rsidP="00017527" w:rsidRDefault="00FD5980" w14:paraId="3FDD343E" w14:textId="4FE195F0">
            <w:pPr>
              <w:rPr>
                <w:b/>
                <w:bCs/>
              </w:rPr>
            </w:pPr>
            <w:r w:rsidRPr="001154A9">
              <w:rPr>
                <w:b/>
                <w:bCs/>
              </w:rPr>
              <w:t>Antwoord</w:t>
            </w:r>
          </w:p>
          <w:p w:rsidRPr="001154A9" w:rsidR="00FD5980" w:rsidP="00FD5980" w:rsidRDefault="00FD5980" w14:paraId="2EC8C380" w14:textId="7CFC61B8">
            <w:pPr>
              <w:rPr>
                <w:b/>
                <w:bCs/>
              </w:rPr>
            </w:pPr>
            <w:r w:rsidRPr="001154A9">
              <w:rPr>
                <w:b/>
                <w:bCs/>
              </w:rPr>
              <w:t xml:space="preserve">Nee, voor alle indicatoren geldt dat de inzet gericht is op het behalen van de streefwaardes. </w:t>
            </w:r>
          </w:p>
        </w:tc>
        <w:tc>
          <w:tcPr>
            <w:tcW w:w="992" w:type="dxa"/>
          </w:tcPr>
          <w:p w:rsidRPr="001154A9" w:rsidR="00FD5980" w:rsidP="00017527" w:rsidRDefault="00FD5980" w14:paraId="23E1882E" w14:textId="77777777">
            <w:pPr>
              <w:jc w:val="right"/>
            </w:pPr>
            <w:r w:rsidRPr="001154A9">
              <w:t>101</w:t>
            </w:r>
          </w:p>
        </w:tc>
        <w:tc>
          <w:tcPr>
            <w:tcW w:w="567" w:type="dxa"/>
          </w:tcPr>
          <w:p w:rsidRPr="001154A9" w:rsidR="00FD5980" w:rsidP="00017527" w:rsidRDefault="00FD5980" w14:paraId="1E321E9C" w14:textId="77777777">
            <w:pPr>
              <w:jc w:val="right"/>
            </w:pPr>
            <w:r w:rsidRPr="001154A9">
              <w:t xml:space="preserve"> </w:t>
            </w:r>
          </w:p>
        </w:tc>
      </w:tr>
      <w:tr w:rsidRPr="001154A9" w:rsidR="00FD5980" w:rsidTr="001154A9" w14:paraId="1B8DE088" w14:textId="77777777">
        <w:tc>
          <w:tcPr>
            <w:tcW w:w="567" w:type="dxa"/>
          </w:tcPr>
          <w:p w:rsidRPr="001154A9" w:rsidR="00FD5980" w:rsidP="00017527" w:rsidRDefault="00FD5980" w14:paraId="6CB6122B" w14:textId="77777777">
            <w:r w:rsidRPr="001154A9">
              <w:t>14</w:t>
            </w:r>
          </w:p>
        </w:tc>
        <w:tc>
          <w:tcPr>
            <w:tcW w:w="6521" w:type="dxa"/>
          </w:tcPr>
          <w:p w:rsidRPr="001154A9" w:rsidR="00FD5980" w:rsidP="00017527" w:rsidRDefault="00FD5980" w14:paraId="51C51565" w14:textId="77777777">
            <w:r w:rsidRPr="001154A9">
              <w:t>Hoe gaat de bijsturing en vernieuwde inzet op de indicator van het aantal boeren worden gewijzigd om toch de streefwaarde van 8 miljoen boeren in beeld te krijgen?</w:t>
            </w:r>
          </w:p>
          <w:p w:rsidRPr="001154A9" w:rsidR="00FD5980" w:rsidP="00017527" w:rsidRDefault="00FD5980" w14:paraId="3496AD00" w14:textId="77777777">
            <w:pPr>
              <w:rPr>
                <w:b/>
                <w:bCs/>
              </w:rPr>
            </w:pPr>
          </w:p>
          <w:p w:rsidRPr="001154A9" w:rsidR="00FD5980" w:rsidP="00017527" w:rsidRDefault="00FD5980" w14:paraId="197FD478" w14:textId="793DD37E">
            <w:pPr>
              <w:rPr>
                <w:b/>
                <w:bCs/>
              </w:rPr>
            </w:pPr>
            <w:r w:rsidRPr="001154A9">
              <w:rPr>
                <w:b/>
                <w:bCs/>
              </w:rPr>
              <w:t>Antwoord</w:t>
            </w:r>
          </w:p>
          <w:p w:rsidRPr="001154A9" w:rsidR="00FD5980" w:rsidP="00FD5980" w:rsidRDefault="00FD5980" w14:paraId="1FE3EEDD" w14:textId="2296402F">
            <w:pPr>
              <w:rPr>
                <w:b/>
              </w:rPr>
            </w:pPr>
            <w:r w:rsidRPr="001154A9">
              <w:rPr>
                <w:b/>
              </w:rPr>
              <w:t xml:space="preserve">In 2026 en 2027 wordt een aantal nieuwe programma’s opgestart, onder meer op het gebied van duurzame groenteteelt en toegang tot verbeterd zaaizaad. Deze programma’s zullen de komende jaren tot een hoger bereik van het aantal boeren leiden. De verwachting is dat daarmee de doelstelling voor 2030, 8 miljoen boeren met verhoogde productiviteit en inkomen, behaald zal kunnen worden. </w:t>
            </w:r>
          </w:p>
        </w:tc>
        <w:tc>
          <w:tcPr>
            <w:tcW w:w="992" w:type="dxa"/>
          </w:tcPr>
          <w:p w:rsidRPr="001154A9" w:rsidR="00FD5980" w:rsidP="00017527" w:rsidRDefault="00FD5980" w14:paraId="2C9D3D33" w14:textId="77777777">
            <w:pPr>
              <w:jc w:val="right"/>
            </w:pPr>
            <w:r w:rsidRPr="001154A9">
              <w:t>101</w:t>
            </w:r>
          </w:p>
        </w:tc>
        <w:tc>
          <w:tcPr>
            <w:tcW w:w="567" w:type="dxa"/>
          </w:tcPr>
          <w:p w:rsidRPr="001154A9" w:rsidR="00FD5980" w:rsidP="00017527" w:rsidRDefault="00FD5980" w14:paraId="27419F6D" w14:textId="77777777">
            <w:pPr>
              <w:jc w:val="right"/>
            </w:pPr>
            <w:r w:rsidRPr="001154A9">
              <w:t xml:space="preserve"> </w:t>
            </w:r>
          </w:p>
        </w:tc>
      </w:tr>
      <w:tr w:rsidRPr="001154A9" w:rsidR="00FD5980" w:rsidTr="001154A9" w14:paraId="7D7B5044" w14:textId="77777777">
        <w:tc>
          <w:tcPr>
            <w:tcW w:w="567" w:type="dxa"/>
          </w:tcPr>
          <w:p w:rsidRPr="001154A9" w:rsidR="00FD5980" w:rsidP="00017527" w:rsidRDefault="00FD5980" w14:paraId="2CEB8345" w14:textId="77777777">
            <w:r w:rsidRPr="001154A9">
              <w:t>15</w:t>
            </w:r>
          </w:p>
        </w:tc>
        <w:tc>
          <w:tcPr>
            <w:tcW w:w="6521" w:type="dxa"/>
          </w:tcPr>
          <w:p w:rsidRPr="001154A9" w:rsidR="00FD5980" w:rsidP="00017527" w:rsidRDefault="00FD5980" w14:paraId="79B8EA2C" w14:textId="77777777">
            <w:r w:rsidRPr="001154A9">
              <w:t xml:space="preserve">Hoe gaat de bijsturing en intensivering op de indicator van het aantal hectare duurzame landgebruik worden gewijzigd om toch de 8 miljoen te halen? Waar en </w:t>
            </w:r>
            <w:r w:rsidRPr="001154A9">
              <w:lastRenderedPageBreak/>
              <w:t>hoeveel wordt er in geïnvesteerd? Komt er een nieuw project die zich vooral hierop gaat richten?</w:t>
            </w:r>
          </w:p>
          <w:p w:rsidRPr="001154A9" w:rsidR="00FD5980" w:rsidP="00017527" w:rsidRDefault="00FD5980" w14:paraId="2555DFB3" w14:textId="77777777">
            <w:pPr>
              <w:rPr>
                <w:b/>
                <w:bCs/>
              </w:rPr>
            </w:pPr>
          </w:p>
          <w:p w:rsidRPr="001154A9" w:rsidR="00FD5980" w:rsidP="00017527" w:rsidRDefault="00FD5980" w14:paraId="796DFB65" w14:textId="79290883">
            <w:pPr>
              <w:rPr>
                <w:b/>
                <w:bCs/>
              </w:rPr>
            </w:pPr>
            <w:r w:rsidRPr="001154A9">
              <w:rPr>
                <w:b/>
                <w:bCs/>
              </w:rPr>
              <w:t>Antwoord</w:t>
            </w:r>
          </w:p>
          <w:p w:rsidRPr="001154A9" w:rsidR="00FD5980" w:rsidP="00FD5980" w:rsidRDefault="00FD5980" w14:paraId="6217BAF1" w14:textId="3449448B">
            <w:pPr>
              <w:rPr>
                <w:b/>
              </w:rPr>
            </w:pPr>
            <w:r w:rsidRPr="001154A9">
              <w:rPr>
                <w:b/>
              </w:rPr>
              <w:t xml:space="preserve">Nieuwe activiteiten gericht op duurzaam landgebruik zijn reeds ingezet. Zo is er in 2023 </w:t>
            </w:r>
            <w:r w:rsidRPr="001154A9" w:rsidR="001154A9">
              <w:rPr>
                <w:b/>
              </w:rPr>
              <w:t>EUR 100</w:t>
            </w:r>
            <w:r w:rsidRPr="001154A9">
              <w:rPr>
                <w:b/>
              </w:rPr>
              <w:t xml:space="preserve"> miljoen gecommitteerd aan een tienjarig bodemvruchtbaarheidsprogramma in de </w:t>
            </w:r>
            <w:proofErr w:type="spellStart"/>
            <w:r w:rsidRPr="001154A9">
              <w:rPr>
                <w:b/>
              </w:rPr>
              <w:t>Sahel</w:t>
            </w:r>
            <w:proofErr w:type="spellEnd"/>
            <w:r w:rsidRPr="001154A9">
              <w:rPr>
                <w:b/>
              </w:rPr>
              <w:t xml:space="preserve">. Daarnaast wordt bij elke relevante activiteit scherper gestuurd op het meten en rapporteren van resultaten op gebied van duurzaam landgebruik. De verwachting is dat dit de komende jaren tot een stijging in het aantal bereikte hectare landbouwgrond zal leiden en dat de doelstelling voor 2030, 8 miljoen hectare duurzaam beheerd, nog steeds haalbaar is. </w:t>
            </w:r>
          </w:p>
        </w:tc>
        <w:tc>
          <w:tcPr>
            <w:tcW w:w="992" w:type="dxa"/>
          </w:tcPr>
          <w:p w:rsidRPr="001154A9" w:rsidR="00FD5980" w:rsidP="00017527" w:rsidRDefault="00FD5980" w14:paraId="11993AF3" w14:textId="77777777">
            <w:pPr>
              <w:jc w:val="right"/>
            </w:pPr>
            <w:r w:rsidRPr="001154A9">
              <w:lastRenderedPageBreak/>
              <w:t>102</w:t>
            </w:r>
          </w:p>
        </w:tc>
        <w:tc>
          <w:tcPr>
            <w:tcW w:w="567" w:type="dxa"/>
          </w:tcPr>
          <w:p w:rsidRPr="001154A9" w:rsidR="00FD5980" w:rsidP="00017527" w:rsidRDefault="00FD5980" w14:paraId="3E77300E" w14:textId="77777777">
            <w:pPr>
              <w:jc w:val="right"/>
            </w:pPr>
            <w:r w:rsidRPr="001154A9">
              <w:t xml:space="preserve"> </w:t>
            </w:r>
          </w:p>
        </w:tc>
      </w:tr>
      <w:tr w:rsidRPr="001154A9" w:rsidR="00FD5980" w:rsidTr="001154A9" w14:paraId="411F8281" w14:textId="77777777">
        <w:tc>
          <w:tcPr>
            <w:tcW w:w="567" w:type="dxa"/>
          </w:tcPr>
          <w:p w:rsidRPr="001154A9" w:rsidR="00FD5980" w:rsidP="00017527" w:rsidRDefault="00FD5980" w14:paraId="7EC32FF8" w14:textId="77777777">
            <w:r w:rsidRPr="001154A9">
              <w:t>16</w:t>
            </w:r>
          </w:p>
        </w:tc>
        <w:tc>
          <w:tcPr>
            <w:tcW w:w="6521" w:type="dxa"/>
          </w:tcPr>
          <w:p w:rsidRPr="001154A9" w:rsidR="00FD5980" w:rsidP="00017527" w:rsidRDefault="00FD5980" w14:paraId="04F66929" w14:textId="77777777">
            <w:r w:rsidRPr="001154A9">
              <w:t>Hoe kan het dat op al de drie indicatoren op water overal de streefwaarden worden gehaald ondanks dat erop werd bezuinigd?</w:t>
            </w:r>
          </w:p>
          <w:p w:rsidRPr="001154A9" w:rsidR="00FD5980" w:rsidP="00017527" w:rsidRDefault="00FD5980" w14:paraId="18BA2DE9" w14:textId="77777777">
            <w:pPr>
              <w:rPr>
                <w:b/>
                <w:bCs/>
              </w:rPr>
            </w:pPr>
          </w:p>
          <w:p w:rsidRPr="001154A9" w:rsidR="00FD5980" w:rsidP="00FD5980" w:rsidRDefault="00FD5980" w14:paraId="21143342" w14:textId="5093D873">
            <w:pPr>
              <w:rPr>
                <w:b/>
                <w:bCs/>
              </w:rPr>
            </w:pPr>
            <w:r w:rsidRPr="001154A9">
              <w:rPr>
                <w:b/>
                <w:bCs/>
              </w:rPr>
              <w:t>Antwoord</w:t>
            </w:r>
            <w:r w:rsidRPr="001154A9">
              <w:rPr>
                <w:b/>
                <w:bCs/>
              </w:rPr>
              <w:br/>
              <w:t>De over 2025 gerapporteerde resultaten zijn het resultaat van contracten met partners die in eerdere jaren zijn aangegaan. De bezuiniging heeft daardoor geen direct effect op de resultaten in het jaar 2025. Het heeft wel geleid tot minder nieuwe contracten met onze partners en zal doorwerken in de resultaten in de komende jaren.</w:t>
            </w:r>
          </w:p>
        </w:tc>
        <w:tc>
          <w:tcPr>
            <w:tcW w:w="992" w:type="dxa"/>
          </w:tcPr>
          <w:p w:rsidRPr="001154A9" w:rsidR="00FD5980" w:rsidP="00017527" w:rsidRDefault="00FD5980" w14:paraId="3ED53C11" w14:textId="77777777">
            <w:pPr>
              <w:jc w:val="right"/>
            </w:pPr>
            <w:r w:rsidRPr="001154A9">
              <w:t>102</w:t>
            </w:r>
          </w:p>
        </w:tc>
        <w:tc>
          <w:tcPr>
            <w:tcW w:w="567" w:type="dxa"/>
          </w:tcPr>
          <w:p w:rsidRPr="001154A9" w:rsidR="00FD5980" w:rsidP="00017527" w:rsidRDefault="00FD5980" w14:paraId="156E3CCF" w14:textId="77777777">
            <w:pPr>
              <w:jc w:val="right"/>
            </w:pPr>
            <w:r w:rsidRPr="001154A9">
              <w:t xml:space="preserve"> </w:t>
            </w:r>
          </w:p>
        </w:tc>
      </w:tr>
      <w:tr w:rsidR="00FD5980" w:rsidTr="001154A9" w14:paraId="7C3AC8A8" w14:textId="77777777">
        <w:tc>
          <w:tcPr>
            <w:tcW w:w="567" w:type="dxa"/>
          </w:tcPr>
          <w:p w:rsidRPr="001154A9" w:rsidR="00FD5980" w:rsidP="00017527" w:rsidRDefault="00FD5980" w14:paraId="70DE5644" w14:textId="77777777">
            <w:r w:rsidRPr="001154A9">
              <w:t>17</w:t>
            </w:r>
          </w:p>
        </w:tc>
        <w:tc>
          <w:tcPr>
            <w:tcW w:w="6521" w:type="dxa"/>
          </w:tcPr>
          <w:p w:rsidRPr="001154A9" w:rsidR="00FD5980" w:rsidP="00017527" w:rsidRDefault="00FD5980" w14:paraId="62ED2F1B" w14:textId="316CE16F">
            <w:r w:rsidRPr="001154A9">
              <w:t>Waarom is er geen indicator op klimaatfinanciering? Waarom is niet gekozen om in de nieuwe verantwoordingssystematiek ook een of meerdere indicatoren rondom klimaatfinanciering toe te voegen?</w:t>
            </w:r>
          </w:p>
          <w:p w:rsidRPr="001154A9" w:rsidR="00FD5980" w:rsidP="00017527" w:rsidRDefault="00FD5980" w14:paraId="502A50D0" w14:textId="77777777">
            <w:pPr>
              <w:rPr>
                <w:b/>
                <w:bCs/>
              </w:rPr>
            </w:pPr>
          </w:p>
          <w:p w:rsidRPr="001154A9" w:rsidR="00FD5980" w:rsidP="00017527" w:rsidRDefault="00FD5980" w14:paraId="1C7A1CBB" w14:textId="5DF7F13E">
            <w:pPr>
              <w:rPr>
                <w:b/>
                <w:bCs/>
              </w:rPr>
            </w:pPr>
            <w:r w:rsidRPr="001154A9">
              <w:rPr>
                <w:b/>
                <w:bCs/>
              </w:rPr>
              <w:t>Antwoord</w:t>
            </w:r>
          </w:p>
          <w:p w:rsidRPr="001154A9" w:rsidR="00FD5980" w:rsidP="00017527" w:rsidRDefault="00FD5980" w14:paraId="516C1A1D" w14:textId="53095E60">
            <w:pPr>
              <w:rPr>
                <w:b/>
              </w:rPr>
            </w:pPr>
            <w:r w:rsidRPr="001154A9">
              <w:rPr>
                <w:b/>
              </w:rPr>
              <w:t xml:space="preserve">De Nederlandse inzet op klimaat is onderdeel van verschillende programma’s op beleidsterreinen als water, voedselzekerheid, humanitaire hulp, duurzame economische ontwikkeling, energie en bossen. Binnen deze programma’s zijn indicatoren opgenomen die het effect op klimaat concreet maken. Denk hierbij bijvoorbeeld aan het aantal hectares grond onder duurzaam beheer en het aantal mensen met toegang tot hernieuwbare energie. Omdat klimaatfinanciering een optelsom is van de totale besteding aan deze inzet, en daarmee uitsluitend over financiën gaat, is er geen specifieke indicator opgenomen in het BHO-jaarverslag en maakt het ook geen deel uit van de nieuwe verantwoordingssystematiek.   </w:t>
            </w:r>
          </w:p>
          <w:p w:rsidRPr="001154A9" w:rsidR="00FD5980" w:rsidP="00017527" w:rsidRDefault="00FD5980" w14:paraId="4CBFFE12" w14:textId="77777777">
            <w:pPr>
              <w:rPr>
                <w:b/>
              </w:rPr>
            </w:pPr>
          </w:p>
          <w:p w:rsidRPr="001154A9" w:rsidR="00FD5980" w:rsidP="00FD5980" w:rsidRDefault="00FD5980" w14:paraId="1CA072E1" w14:textId="7F738AC2">
            <w:pPr>
              <w:rPr>
                <w:b/>
              </w:rPr>
            </w:pPr>
            <w:r w:rsidRPr="001154A9">
              <w:rPr>
                <w:b/>
              </w:rPr>
              <w:t xml:space="preserve">Wel ontvangt de Tweede Kamer jaarlijks een overzicht van de Nederlandse klimaatfinanciering als bijlage bij het HGIS-jaarverslag. </w:t>
            </w:r>
          </w:p>
        </w:tc>
        <w:tc>
          <w:tcPr>
            <w:tcW w:w="992" w:type="dxa"/>
          </w:tcPr>
          <w:p w:rsidR="00FD5980" w:rsidP="00017527" w:rsidRDefault="00FD5980" w14:paraId="5D58D53C" w14:textId="77777777">
            <w:pPr>
              <w:jc w:val="right"/>
            </w:pPr>
            <w:r w:rsidRPr="001154A9">
              <w:t>103</w:t>
            </w:r>
          </w:p>
        </w:tc>
        <w:tc>
          <w:tcPr>
            <w:tcW w:w="567" w:type="dxa"/>
          </w:tcPr>
          <w:p w:rsidR="00FD5980" w:rsidP="00017527" w:rsidRDefault="00FD5980" w14:paraId="33F940E1" w14:textId="77777777">
            <w:pPr>
              <w:jc w:val="right"/>
            </w:pPr>
            <w:r>
              <w:t xml:space="preserve"> </w:t>
            </w:r>
          </w:p>
        </w:tc>
      </w:tr>
      <w:bookmarkEnd w:id="0"/>
    </w:tbl>
    <w:p w:rsidRPr="0083662B" w:rsidR="00664385" w:rsidRDefault="00664385" w14:paraId="7630DBD3" w14:textId="77777777">
      <w:pPr>
        <w:rPr>
          <w:lang w:val="en-US"/>
        </w:rPr>
      </w:pPr>
    </w:p>
    <w:sectPr w:rsidRPr="0083662B" w:rsidR="00664385"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B1EF" w14:textId="77777777" w:rsidR="00ED1D57" w:rsidRDefault="00ED1D57">
      <w:pPr>
        <w:spacing w:before="0" w:after="0"/>
      </w:pPr>
      <w:r>
        <w:separator/>
      </w:r>
    </w:p>
  </w:endnote>
  <w:endnote w:type="continuationSeparator" w:id="0">
    <w:p w14:paraId="6069CC61" w14:textId="77777777" w:rsidR="00ED1D57" w:rsidRDefault="00ED1D57">
      <w:pPr>
        <w:spacing w:before="0" w:after="0"/>
      </w:pPr>
      <w:r>
        <w:continuationSeparator/>
      </w:r>
    </w:p>
  </w:endnote>
  <w:endnote w:id="1">
    <w:p w14:paraId="15124184" w14:textId="6C63DC7A" w:rsidR="00FD5980" w:rsidRPr="00151C91" w:rsidRDefault="00FD5980">
      <w:pPr>
        <w:pStyle w:val="EndnoteText"/>
      </w:pPr>
      <w:r>
        <w:rPr>
          <w:rStyle w:val="EndnoteReference"/>
        </w:rPr>
        <w:endnoteRef/>
      </w:r>
      <w:r>
        <w:t xml:space="preserve"> </w:t>
      </w:r>
      <w:r w:rsidRPr="00B970F8">
        <w:t>Kamerstuk 23 432, nr. 611 (Kamerbrief over de Inzet ondersteuning regionale capaciteit t.b.v. medische evacuaties uit de Gazastrook, d.d. 2 oktober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7DC9" w14:textId="77777777" w:rsidR="001358F7" w:rsidRDefault="00135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0ED3" w14:textId="77777777" w:rsidR="00664385" w:rsidRDefault="001856D0">
    <w:pPr>
      <w:pStyle w:val="Footer"/>
    </w:pPr>
    <w:r>
      <w:t xml:space="preserve">Totaallijst feitelijke vragen Jaarverslag Buitenlandse Handel en Ontwikkelingshulp 2025 (36945-XVII-1-1)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21F2" w14:textId="77777777" w:rsidR="001358F7" w:rsidRDefault="00135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DF5F" w14:textId="77777777" w:rsidR="00ED1D57" w:rsidRDefault="00ED1D57">
      <w:pPr>
        <w:spacing w:before="0" w:after="0"/>
      </w:pPr>
      <w:r>
        <w:separator/>
      </w:r>
    </w:p>
  </w:footnote>
  <w:footnote w:type="continuationSeparator" w:id="0">
    <w:p w14:paraId="465305F8" w14:textId="77777777" w:rsidR="00ED1D57" w:rsidRDefault="00ED1D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82AA" w14:textId="77777777" w:rsidR="001358F7" w:rsidRDefault="00135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A755" w14:textId="77777777" w:rsidR="001358F7" w:rsidRDefault="00135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45B4" w14:textId="77777777" w:rsidR="001358F7" w:rsidRDefault="001358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59FE"/>
    <w:rsid w:val="00007486"/>
    <w:rsid w:val="00015003"/>
    <w:rsid w:val="00016B21"/>
    <w:rsid w:val="00017527"/>
    <w:rsid w:val="0002445C"/>
    <w:rsid w:val="000406A7"/>
    <w:rsid w:val="00040B90"/>
    <w:rsid w:val="00056A5F"/>
    <w:rsid w:val="00062E22"/>
    <w:rsid w:val="000635F6"/>
    <w:rsid w:val="00076DF7"/>
    <w:rsid w:val="00085EBE"/>
    <w:rsid w:val="000864D0"/>
    <w:rsid w:val="00094535"/>
    <w:rsid w:val="0009577D"/>
    <w:rsid w:val="000B4ED7"/>
    <w:rsid w:val="000B50CA"/>
    <w:rsid w:val="000C0B60"/>
    <w:rsid w:val="000C0FB7"/>
    <w:rsid w:val="000D64E8"/>
    <w:rsid w:val="000E24C6"/>
    <w:rsid w:val="000E6A1B"/>
    <w:rsid w:val="000F5A6A"/>
    <w:rsid w:val="0010400A"/>
    <w:rsid w:val="00105C2D"/>
    <w:rsid w:val="00107936"/>
    <w:rsid w:val="0011110C"/>
    <w:rsid w:val="001154A9"/>
    <w:rsid w:val="00115AC7"/>
    <w:rsid w:val="001212C6"/>
    <w:rsid w:val="00132DA9"/>
    <w:rsid w:val="00134405"/>
    <w:rsid w:val="001358F7"/>
    <w:rsid w:val="0013597F"/>
    <w:rsid w:val="00135DF9"/>
    <w:rsid w:val="00136407"/>
    <w:rsid w:val="00151C91"/>
    <w:rsid w:val="0015359E"/>
    <w:rsid w:val="00154F3D"/>
    <w:rsid w:val="00172883"/>
    <w:rsid w:val="001804AB"/>
    <w:rsid w:val="001856D0"/>
    <w:rsid w:val="00187C0C"/>
    <w:rsid w:val="0019086C"/>
    <w:rsid w:val="001913F0"/>
    <w:rsid w:val="00193212"/>
    <w:rsid w:val="001939BE"/>
    <w:rsid w:val="00193BA3"/>
    <w:rsid w:val="001968FD"/>
    <w:rsid w:val="001A47AF"/>
    <w:rsid w:val="001A56AB"/>
    <w:rsid w:val="001A58C4"/>
    <w:rsid w:val="001C1AE3"/>
    <w:rsid w:val="001C547A"/>
    <w:rsid w:val="001D2034"/>
    <w:rsid w:val="001D5A83"/>
    <w:rsid w:val="001E721D"/>
    <w:rsid w:val="001F4718"/>
    <w:rsid w:val="001F6746"/>
    <w:rsid w:val="00201490"/>
    <w:rsid w:val="002043E5"/>
    <w:rsid w:val="00213867"/>
    <w:rsid w:val="00221BEE"/>
    <w:rsid w:val="002260A5"/>
    <w:rsid w:val="00226198"/>
    <w:rsid w:val="002645BC"/>
    <w:rsid w:val="002727A1"/>
    <w:rsid w:val="00281CB0"/>
    <w:rsid w:val="00287A37"/>
    <w:rsid w:val="00290B19"/>
    <w:rsid w:val="002B13C2"/>
    <w:rsid w:val="002C6130"/>
    <w:rsid w:val="002C6216"/>
    <w:rsid w:val="002E5915"/>
    <w:rsid w:val="002F01B3"/>
    <w:rsid w:val="00307E5E"/>
    <w:rsid w:val="00314497"/>
    <w:rsid w:val="00321F3F"/>
    <w:rsid w:val="0032214D"/>
    <w:rsid w:val="00325946"/>
    <w:rsid w:val="00327493"/>
    <w:rsid w:val="00330159"/>
    <w:rsid w:val="00332803"/>
    <w:rsid w:val="003417EB"/>
    <w:rsid w:val="00345D2F"/>
    <w:rsid w:val="0036106B"/>
    <w:rsid w:val="00365C38"/>
    <w:rsid w:val="00366DF9"/>
    <w:rsid w:val="00372F88"/>
    <w:rsid w:val="0037443C"/>
    <w:rsid w:val="00391448"/>
    <w:rsid w:val="003A18D7"/>
    <w:rsid w:val="003A23A2"/>
    <w:rsid w:val="003B72EA"/>
    <w:rsid w:val="003C46C0"/>
    <w:rsid w:val="003C7F63"/>
    <w:rsid w:val="003D0A17"/>
    <w:rsid w:val="003D44DD"/>
    <w:rsid w:val="003D54AC"/>
    <w:rsid w:val="003D6C19"/>
    <w:rsid w:val="003E5CDB"/>
    <w:rsid w:val="003E69A8"/>
    <w:rsid w:val="00426251"/>
    <w:rsid w:val="00430745"/>
    <w:rsid w:val="00435B0F"/>
    <w:rsid w:val="0044642F"/>
    <w:rsid w:val="00453F7F"/>
    <w:rsid w:val="00465555"/>
    <w:rsid w:val="004655FB"/>
    <w:rsid w:val="00465C77"/>
    <w:rsid w:val="00467959"/>
    <w:rsid w:val="0048360E"/>
    <w:rsid w:val="00497F90"/>
    <w:rsid w:val="004A4B93"/>
    <w:rsid w:val="004A4E1F"/>
    <w:rsid w:val="004B0A50"/>
    <w:rsid w:val="004B6622"/>
    <w:rsid w:val="004C2314"/>
    <w:rsid w:val="004C5A72"/>
    <w:rsid w:val="004D1B40"/>
    <w:rsid w:val="004D2E9D"/>
    <w:rsid w:val="004E00BF"/>
    <w:rsid w:val="004E2913"/>
    <w:rsid w:val="004E3AF2"/>
    <w:rsid w:val="004E58A5"/>
    <w:rsid w:val="004E7234"/>
    <w:rsid w:val="004F2ACD"/>
    <w:rsid w:val="004F706D"/>
    <w:rsid w:val="00512AEC"/>
    <w:rsid w:val="0052081A"/>
    <w:rsid w:val="005216D6"/>
    <w:rsid w:val="00522677"/>
    <w:rsid w:val="00523D14"/>
    <w:rsid w:val="005343F6"/>
    <w:rsid w:val="00537D3F"/>
    <w:rsid w:val="00540596"/>
    <w:rsid w:val="00545811"/>
    <w:rsid w:val="0054635C"/>
    <w:rsid w:val="005543A7"/>
    <w:rsid w:val="005754F5"/>
    <w:rsid w:val="00585092"/>
    <w:rsid w:val="005903BE"/>
    <w:rsid w:val="00592305"/>
    <w:rsid w:val="00597E8F"/>
    <w:rsid w:val="005A1D0A"/>
    <w:rsid w:val="005B1C72"/>
    <w:rsid w:val="005B1DAF"/>
    <w:rsid w:val="005C0F14"/>
    <w:rsid w:val="005C10C7"/>
    <w:rsid w:val="005C4C96"/>
    <w:rsid w:val="005E027D"/>
    <w:rsid w:val="005F2705"/>
    <w:rsid w:val="005F27EC"/>
    <w:rsid w:val="005F374C"/>
    <w:rsid w:val="005F603A"/>
    <w:rsid w:val="005F659B"/>
    <w:rsid w:val="00610CDB"/>
    <w:rsid w:val="006129C4"/>
    <w:rsid w:val="00626BFF"/>
    <w:rsid w:val="00630184"/>
    <w:rsid w:val="00630302"/>
    <w:rsid w:val="00632488"/>
    <w:rsid w:val="00634F4F"/>
    <w:rsid w:val="00641CB9"/>
    <w:rsid w:val="00664385"/>
    <w:rsid w:val="00665F20"/>
    <w:rsid w:val="00674C9D"/>
    <w:rsid w:val="00676271"/>
    <w:rsid w:val="00693DA8"/>
    <w:rsid w:val="006A3963"/>
    <w:rsid w:val="006E2E91"/>
    <w:rsid w:val="006E63D5"/>
    <w:rsid w:val="006E652C"/>
    <w:rsid w:val="006F0475"/>
    <w:rsid w:val="00713004"/>
    <w:rsid w:val="00717B07"/>
    <w:rsid w:val="00722025"/>
    <w:rsid w:val="007321C8"/>
    <w:rsid w:val="00733E49"/>
    <w:rsid w:val="00742BF7"/>
    <w:rsid w:val="00751983"/>
    <w:rsid w:val="00757B08"/>
    <w:rsid w:val="00767CE6"/>
    <w:rsid w:val="00776E58"/>
    <w:rsid w:val="00784343"/>
    <w:rsid w:val="0079205F"/>
    <w:rsid w:val="007926BD"/>
    <w:rsid w:val="007B1D0B"/>
    <w:rsid w:val="007B3DEB"/>
    <w:rsid w:val="007B6E6C"/>
    <w:rsid w:val="007C21B7"/>
    <w:rsid w:val="007D317D"/>
    <w:rsid w:val="007E7F10"/>
    <w:rsid w:val="007F14A0"/>
    <w:rsid w:val="007F2324"/>
    <w:rsid w:val="007F2476"/>
    <w:rsid w:val="007F57F8"/>
    <w:rsid w:val="008023AD"/>
    <w:rsid w:val="008040F0"/>
    <w:rsid w:val="008048E2"/>
    <w:rsid w:val="008154B5"/>
    <w:rsid w:val="0083662B"/>
    <w:rsid w:val="00841883"/>
    <w:rsid w:val="00843E9F"/>
    <w:rsid w:val="00851E5B"/>
    <w:rsid w:val="00856AE5"/>
    <w:rsid w:val="00860B5A"/>
    <w:rsid w:val="00866570"/>
    <w:rsid w:val="00871825"/>
    <w:rsid w:val="00875EAE"/>
    <w:rsid w:val="00877513"/>
    <w:rsid w:val="00894624"/>
    <w:rsid w:val="00895CBE"/>
    <w:rsid w:val="008A3539"/>
    <w:rsid w:val="008A5FAC"/>
    <w:rsid w:val="008A60EB"/>
    <w:rsid w:val="008B73FF"/>
    <w:rsid w:val="008C30D5"/>
    <w:rsid w:val="008C33DF"/>
    <w:rsid w:val="008D7CA1"/>
    <w:rsid w:val="008E30E7"/>
    <w:rsid w:val="008E3565"/>
    <w:rsid w:val="008E45EE"/>
    <w:rsid w:val="008F09A6"/>
    <w:rsid w:val="008F0BBD"/>
    <w:rsid w:val="008F30DE"/>
    <w:rsid w:val="008F734A"/>
    <w:rsid w:val="009050EC"/>
    <w:rsid w:val="009066B2"/>
    <w:rsid w:val="009130D8"/>
    <w:rsid w:val="00914C5E"/>
    <w:rsid w:val="009154DA"/>
    <w:rsid w:val="009155A1"/>
    <w:rsid w:val="00944BA4"/>
    <w:rsid w:val="00957E21"/>
    <w:rsid w:val="00966B40"/>
    <w:rsid w:val="00974E86"/>
    <w:rsid w:val="009837F3"/>
    <w:rsid w:val="00983C36"/>
    <w:rsid w:val="009A796A"/>
    <w:rsid w:val="009B3B90"/>
    <w:rsid w:val="009C11A4"/>
    <w:rsid w:val="009C27B3"/>
    <w:rsid w:val="009D2F63"/>
    <w:rsid w:val="009D48A0"/>
    <w:rsid w:val="009E1BE0"/>
    <w:rsid w:val="00A07BB9"/>
    <w:rsid w:val="00A1324E"/>
    <w:rsid w:val="00A139C8"/>
    <w:rsid w:val="00A346CE"/>
    <w:rsid w:val="00A41BB2"/>
    <w:rsid w:val="00A41FB1"/>
    <w:rsid w:val="00A42CC2"/>
    <w:rsid w:val="00A553A3"/>
    <w:rsid w:val="00A5562B"/>
    <w:rsid w:val="00A57590"/>
    <w:rsid w:val="00A627F8"/>
    <w:rsid w:val="00A64E42"/>
    <w:rsid w:val="00A65E86"/>
    <w:rsid w:val="00A72511"/>
    <w:rsid w:val="00A7372B"/>
    <w:rsid w:val="00A77C3E"/>
    <w:rsid w:val="00A8502E"/>
    <w:rsid w:val="00AC0D94"/>
    <w:rsid w:val="00AF2F72"/>
    <w:rsid w:val="00AF3E8B"/>
    <w:rsid w:val="00AF6058"/>
    <w:rsid w:val="00B0156B"/>
    <w:rsid w:val="00B01D38"/>
    <w:rsid w:val="00B060BF"/>
    <w:rsid w:val="00B179E2"/>
    <w:rsid w:val="00B21B0F"/>
    <w:rsid w:val="00B227D5"/>
    <w:rsid w:val="00B31208"/>
    <w:rsid w:val="00B37285"/>
    <w:rsid w:val="00B37487"/>
    <w:rsid w:val="00B538F8"/>
    <w:rsid w:val="00B617C5"/>
    <w:rsid w:val="00B63F98"/>
    <w:rsid w:val="00B86C11"/>
    <w:rsid w:val="00B915EC"/>
    <w:rsid w:val="00B94CFB"/>
    <w:rsid w:val="00B9620C"/>
    <w:rsid w:val="00B970F8"/>
    <w:rsid w:val="00BA6F7D"/>
    <w:rsid w:val="00BB4095"/>
    <w:rsid w:val="00BB6040"/>
    <w:rsid w:val="00BC1523"/>
    <w:rsid w:val="00BC1865"/>
    <w:rsid w:val="00BC275B"/>
    <w:rsid w:val="00BE21BC"/>
    <w:rsid w:val="00BE5636"/>
    <w:rsid w:val="00BF4FC4"/>
    <w:rsid w:val="00BF583F"/>
    <w:rsid w:val="00BF5B02"/>
    <w:rsid w:val="00C060EC"/>
    <w:rsid w:val="00C26547"/>
    <w:rsid w:val="00C272A5"/>
    <w:rsid w:val="00C67C1C"/>
    <w:rsid w:val="00C72666"/>
    <w:rsid w:val="00C80D64"/>
    <w:rsid w:val="00C82B56"/>
    <w:rsid w:val="00CE0AC5"/>
    <w:rsid w:val="00CE7E41"/>
    <w:rsid w:val="00CF1C94"/>
    <w:rsid w:val="00CF3676"/>
    <w:rsid w:val="00D0051F"/>
    <w:rsid w:val="00D038D4"/>
    <w:rsid w:val="00D04CDE"/>
    <w:rsid w:val="00D05993"/>
    <w:rsid w:val="00D26816"/>
    <w:rsid w:val="00D30D76"/>
    <w:rsid w:val="00D31902"/>
    <w:rsid w:val="00D40092"/>
    <w:rsid w:val="00D45573"/>
    <w:rsid w:val="00D667C4"/>
    <w:rsid w:val="00D71112"/>
    <w:rsid w:val="00D73BB5"/>
    <w:rsid w:val="00D96CF1"/>
    <w:rsid w:val="00DA06DF"/>
    <w:rsid w:val="00DA396F"/>
    <w:rsid w:val="00DB0567"/>
    <w:rsid w:val="00DB1403"/>
    <w:rsid w:val="00DB2707"/>
    <w:rsid w:val="00DD1BEB"/>
    <w:rsid w:val="00DD366D"/>
    <w:rsid w:val="00DE32A7"/>
    <w:rsid w:val="00DE3959"/>
    <w:rsid w:val="00DE7965"/>
    <w:rsid w:val="00DE7C4C"/>
    <w:rsid w:val="00DF7225"/>
    <w:rsid w:val="00E04A87"/>
    <w:rsid w:val="00E06B70"/>
    <w:rsid w:val="00E209B7"/>
    <w:rsid w:val="00E24E55"/>
    <w:rsid w:val="00E259EF"/>
    <w:rsid w:val="00E25B25"/>
    <w:rsid w:val="00E324B9"/>
    <w:rsid w:val="00E3749D"/>
    <w:rsid w:val="00E37746"/>
    <w:rsid w:val="00E45A90"/>
    <w:rsid w:val="00E47507"/>
    <w:rsid w:val="00E4766D"/>
    <w:rsid w:val="00E51D7B"/>
    <w:rsid w:val="00E65BE2"/>
    <w:rsid w:val="00E7153D"/>
    <w:rsid w:val="00E73DD6"/>
    <w:rsid w:val="00E74950"/>
    <w:rsid w:val="00E84DEB"/>
    <w:rsid w:val="00E86A3C"/>
    <w:rsid w:val="00E96692"/>
    <w:rsid w:val="00EB197F"/>
    <w:rsid w:val="00EB3ABD"/>
    <w:rsid w:val="00EB6626"/>
    <w:rsid w:val="00EB6FCD"/>
    <w:rsid w:val="00ED0AC5"/>
    <w:rsid w:val="00ED1D57"/>
    <w:rsid w:val="00EE6289"/>
    <w:rsid w:val="00F24967"/>
    <w:rsid w:val="00F40947"/>
    <w:rsid w:val="00F827BB"/>
    <w:rsid w:val="00F96C1D"/>
    <w:rsid w:val="00FC3EFC"/>
    <w:rsid w:val="00FC5F30"/>
    <w:rsid w:val="00FC7BB7"/>
    <w:rsid w:val="00FD5980"/>
    <w:rsid w:val="00FE3FC5"/>
    <w:rsid w:val="00FE4074"/>
    <w:rsid w:val="00FE7BCC"/>
    <w:rsid w:val="00FF05D6"/>
    <w:rsid w:val="00FF5525"/>
    <w:rsid w:val="1943E36C"/>
    <w:rsid w:val="1FF9C128"/>
    <w:rsid w:val="2260732D"/>
    <w:rsid w:val="29860899"/>
    <w:rsid w:val="4CC15423"/>
    <w:rsid w:val="6EE5D6AE"/>
    <w:rsid w:val="770C3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FC3EA8"/>
  <w15:docId w15:val="{95B50FD7-7E24-4B9F-B225-236DBF13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FF05D6"/>
    <w:rPr>
      <w:sz w:val="16"/>
      <w:szCs w:val="16"/>
    </w:rPr>
  </w:style>
  <w:style w:type="paragraph" w:styleId="CommentText">
    <w:name w:val="annotation text"/>
    <w:basedOn w:val="Normal"/>
    <w:link w:val="CommentTextChar"/>
    <w:uiPriority w:val="99"/>
    <w:unhideWhenUsed/>
    <w:rsid w:val="00FF05D6"/>
  </w:style>
  <w:style w:type="character" w:customStyle="1" w:styleId="CommentTextChar">
    <w:name w:val="Comment Text Char"/>
    <w:basedOn w:val="DefaultParagraphFont"/>
    <w:link w:val="CommentText"/>
    <w:uiPriority w:val="99"/>
    <w:rsid w:val="00FF05D6"/>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FF05D6"/>
    <w:rPr>
      <w:b/>
      <w:bCs/>
    </w:rPr>
  </w:style>
  <w:style w:type="character" w:customStyle="1" w:styleId="CommentSubjectChar">
    <w:name w:val="Comment Subject Char"/>
    <w:basedOn w:val="CommentTextChar"/>
    <w:link w:val="CommentSubject"/>
    <w:uiPriority w:val="99"/>
    <w:semiHidden/>
    <w:rsid w:val="00FF05D6"/>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FF05D6"/>
    <w:rPr>
      <w:rFonts w:ascii="Times New Roman" w:eastAsia="Times New Roman" w:hAnsi="Times New Roman" w:cs="Times New Roman"/>
      <w:sz w:val="20"/>
      <w:szCs w:val="20"/>
      <w:lang w:val="nl-NL" w:eastAsia="nl-NL"/>
    </w:rPr>
  </w:style>
  <w:style w:type="paragraph" w:styleId="EndnoteText">
    <w:name w:val="endnote text"/>
    <w:basedOn w:val="Normal"/>
    <w:link w:val="EndnoteTextChar"/>
    <w:uiPriority w:val="99"/>
    <w:semiHidden/>
    <w:unhideWhenUsed/>
    <w:rsid w:val="00015003"/>
    <w:pPr>
      <w:spacing w:before="0" w:after="0"/>
    </w:pPr>
  </w:style>
  <w:style w:type="character" w:customStyle="1" w:styleId="EndnoteTextChar">
    <w:name w:val="Endnote Text Char"/>
    <w:basedOn w:val="DefaultParagraphFont"/>
    <w:link w:val="EndnoteText"/>
    <w:uiPriority w:val="99"/>
    <w:semiHidden/>
    <w:rsid w:val="00015003"/>
    <w:rPr>
      <w:rFonts w:ascii="Times New Roman" w:eastAsia="Times New Roman" w:hAnsi="Times New Roman" w:cs="Times New Roman"/>
      <w:sz w:val="20"/>
      <w:szCs w:val="20"/>
      <w:lang w:val="nl-NL" w:eastAsia="nl-NL"/>
    </w:rPr>
  </w:style>
  <w:style w:type="character" w:styleId="EndnoteReference">
    <w:name w:val="endnote reference"/>
    <w:basedOn w:val="DefaultParagraphFont"/>
    <w:uiPriority w:val="99"/>
    <w:semiHidden/>
    <w:unhideWhenUsed/>
    <w:rsid w:val="00015003"/>
    <w:rPr>
      <w:vertAlign w:val="superscript"/>
    </w:rPr>
  </w:style>
  <w:style w:type="character" w:styleId="Hyperlink">
    <w:name w:val="Hyperlink"/>
    <w:basedOn w:val="DefaultParagraphFont"/>
    <w:uiPriority w:val="99"/>
    <w:unhideWhenUsed/>
    <w:rsid w:val="00015003"/>
    <w:rPr>
      <w:color w:val="0000FF" w:themeColor="hyperlink"/>
      <w:u w:val="single"/>
    </w:rPr>
  </w:style>
  <w:style w:type="character" w:styleId="UnresolvedMention">
    <w:name w:val="Unresolved Mention"/>
    <w:basedOn w:val="DefaultParagraphFont"/>
    <w:uiPriority w:val="99"/>
    <w:semiHidden/>
    <w:unhideWhenUsed/>
    <w:rsid w:val="00015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2687">
      <w:bodyDiv w:val="1"/>
      <w:marLeft w:val="0"/>
      <w:marRight w:val="0"/>
      <w:marTop w:val="0"/>
      <w:marBottom w:val="0"/>
      <w:divBdr>
        <w:top w:val="none" w:sz="0" w:space="0" w:color="auto"/>
        <w:left w:val="none" w:sz="0" w:space="0" w:color="auto"/>
        <w:bottom w:val="none" w:sz="0" w:space="0" w:color="auto"/>
        <w:right w:val="none" w:sz="0" w:space="0" w:color="auto"/>
      </w:divBdr>
    </w:div>
    <w:div w:id="64113053">
      <w:bodyDiv w:val="1"/>
      <w:marLeft w:val="0"/>
      <w:marRight w:val="0"/>
      <w:marTop w:val="0"/>
      <w:marBottom w:val="0"/>
      <w:divBdr>
        <w:top w:val="none" w:sz="0" w:space="0" w:color="auto"/>
        <w:left w:val="none" w:sz="0" w:space="0" w:color="auto"/>
        <w:bottom w:val="none" w:sz="0" w:space="0" w:color="auto"/>
        <w:right w:val="none" w:sz="0" w:space="0" w:color="auto"/>
      </w:divBdr>
    </w:div>
    <w:div w:id="72702142">
      <w:bodyDiv w:val="1"/>
      <w:marLeft w:val="0"/>
      <w:marRight w:val="0"/>
      <w:marTop w:val="0"/>
      <w:marBottom w:val="0"/>
      <w:divBdr>
        <w:top w:val="none" w:sz="0" w:space="0" w:color="auto"/>
        <w:left w:val="none" w:sz="0" w:space="0" w:color="auto"/>
        <w:bottom w:val="none" w:sz="0" w:space="0" w:color="auto"/>
        <w:right w:val="none" w:sz="0" w:space="0" w:color="auto"/>
      </w:divBdr>
    </w:div>
    <w:div w:id="138810423">
      <w:bodyDiv w:val="1"/>
      <w:marLeft w:val="0"/>
      <w:marRight w:val="0"/>
      <w:marTop w:val="0"/>
      <w:marBottom w:val="0"/>
      <w:divBdr>
        <w:top w:val="none" w:sz="0" w:space="0" w:color="auto"/>
        <w:left w:val="none" w:sz="0" w:space="0" w:color="auto"/>
        <w:bottom w:val="none" w:sz="0" w:space="0" w:color="auto"/>
        <w:right w:val="none" w:sz="0" w:space="0" w:color="auto"/>
      </w:divBdr>
    </w:div>
    <w:div w:id="163399075">
      <w:bodyDiv w:val="1"/>
      <w:marLeft w:val="0"/>
      <w:marRight w:val="0"/>
      <w:marTop w:val="0"/>
      <w:marBottom w:val="0"/>
      <w:divBdr>
        <w:top w:val="none" w:sz="0" w:space="0" w:color="auto"/>
        <w:left w:val="none" w:sz="0" w:space="0" w:color="auto"/>
        <w:bottom w:val="none" w:sz="0" w:space="0" w:color="auto"/>
        <w:right w:val="none" w:sz="0" w:space="0" w:color="auto"/>
      </w:divBdr>
    </w:div>
    <w:div w:id="165092567">
      <w:bodyDiv w:val="1"/>
      <w:marLeft w:val="0"/>
      <w:marRight w:val="0"/>
      <w:marTop w:val="0"/>
      <w:marBottom w:val="0"/>
      <w:divBdr>
        <w:top w:val="none" w:sz="0" w:space="0" w:color="auto"/>
        <w:left w:val="none" w:sz="0" w:space="0" w:color="auto"/>
        <w:bottom w:val="none" w:sz="0" w:space="0" w:color="auto"/>
        <w:right w:val="none" w:sz="0" w:space="0" w:color="auto"/>
      </w:divBdr>
    </w:div>
    <w:div w:id="180557827">
      <w:bodyDiv w:val="1"/>
      <w:marLeft w:val="0"/>
      <w:marRight w:val="0"/>
      <w:marTop w:val="0"/>
      <w:marBottom w:val="0"/>
      <w:divBdr>
        <w:top w:val="none" w:sz="0" w:space="0" w:color="auto"/>
        <w:left w:val="none" w:sz="0" w:space="0" w:color="auto"/>
        <w:bottom w:val="none" w:sz="0" w:space="0" w:color="auto"/>
        <w:right w:val="none" w:sz="0" w:space="0" w:color="auto"/>
      </w:divBdr>
    </w:div>
    <w:div w:id="180973430">
      <w:bodyDiv w:val="1"/>
      <w:marLeft w:val="0"/>
      <w:marRight w:val="0"/>
      <w:marTop w:val="0"/>
      <w:marBottom w:val="0"/>
      <w:divBdr>
        <w:top w:val="none" w:sz="0" w:space="0" w:color="auto"/>
        <w:left w:val="none" w:sz="0" w:space="0" w:color="auto"/>
        <w:bottom w:val="none" w:sz="0" w:space="0" w:color="auto"/>
        <w:right w:val="none" w:sz="0" w:space="0" w:color="auto"/>
      </w:divBdr>
    </w:div>
    <w:div w:id="195193960">
      <w:bodyDiv w:val="1"/>
      <w:marLeft w:val="0"/>
      <w:marRight w:val="0"/>
      <w:marTop w:val="0"/>
      <w:marBottom w:val="0"/>
      <w:divBdr>
        <w:top w:val="none" w:sz="0" w:space="0" w:color="auto"/>
        <w:left w:val="none" w:sz="0" w:space="0" w:color="auto"/>
        <w:bottom w:val="none" w:sz="0" w:space="0" w:color="auto"/>
        <w:right w:val="none" w:sz="0" w:space="0" w:color="auto"/>
      </w:divBdr>
    </w:div>
    <w:div w:id="223181920">
      <w:bodyDiv w:val="1"/>
      <w:marLeft w:val="0"/>
      <w:marRight w:val="0"/>
      <w:marTop w:val="0"/>
      <w:marBottom w:val="0"/>
      <w:divBdr>
        <w:top w:val="none" w:sz="0" w:space="0" w:color="auto"/>
        <w:left w:val="none" w:sz="0" w:space="0" w:color="auto"/>
        <w:bottom w:val="none" w:sz="0" w:space="0" w:color="auto"/>
        <w:right w:val="none" w:sz="0" w:space="0" w:color="auto"/>
      </w:divBdr>
    </w:div>
    <w:div w:id="258611278">
      <w:bodyDiv w:val="1"/>
      <w:marLeft w:val="0"/>
      <w:marRight w:val="0"/>
      <w:marTop w:val="0"/>
      <w:marBottom w:val="0"/>
      <w:divBdr>
        <w:top w:val="none" w:sz="0" w:space="0" w:color="auto"/>
        <w:left w:val="none" w:sz="0" w:space="0" w:color="auto"/>
        <w:bottom w:val="none" w:sz="0" w:space="0" w:color="auto"/>
        <w:right w:val="none" w:sz="0" w:space="0" w:color="auto"/>
      </w:divBdr>
    </w:div>
    <w:div w:id="264534061">
      <w:bodyDiv w:val="1"/>
      <w:marLeft w:val="0"/>
      <w:marRight w:val="0"/>
      <w:marTop w:val="0"/>
      <w:marBottom w:val="0"/>
      <w:divBdr>
        <w:top w:val="none" w:sz="0" w:space="0" w:color="auto"/>
        <w:left w:val="none" w:sz="0" w:space="0" w:color="auto"/>
        <w:bottom w:val="none" w:sz="0" w:space="0" w:color="auto"/>
        <w:right w:val="none" w:sz="0" w:space="0" w:color="auto"/>
      </w:divBdr>
    </w:div>
    <w:div w:id="323051155">
      <w:bodyDiv w:val="1"/>
      <w:marLeft w:val="0"/>
      <w:marRight w:val="0"/>
      <w:marTop w:val="0"/>
      <w:marBottom w:val="0"/>
      <w:divBdr>
        <w:top w:val="none" w:sz="0" w:space="0" w:color="auto"/>
        <w:left w:val="none" w:sz="0" w:space="0" w:color="auto"/>
        <w:bottom w:val="none" w:sz="0" w:space="0" w:color="auto"/>
        <w:right w:val="none" w:sz="0" w:space="0" w:color="auto"/>
      </w:divBdr>
    </w:div>
    <w:div w:id="385185941">
      <w:bodyDiv w:val="1"/>
      <w:marLeft w:val="0"/>
      <w:marRight w:val="0"/>
      <w:marTop w:val="0"/>
      <w:marBottom w:val="0"/>
      <w:divBdr>
        <w:top w:val="none" w:sz="0" w:space="0" w:color="auto"/>
        <w:left w:val="none" w:sz="0" w:space="0" w:color="auto"/>
        <w:bottom w:val="none" w:sz="0" w:space="0" w:color="auto"/>
        <w:right w:val="none" w:sz="0" w:space="0" w:color="auto"/>
      </w:divBdr>
    </w:div>
    <w:div w:id="391007764">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84399926">
      <w:bodyDiv w:val="1"/>
      <w:marLeft w:val="0"/>
      <w:marRight w:val="0"/>
      <w:marTop w:val="0"/>
      <w:marBottom w:val="0"/>
      <w:divBdr>
        <w:top w:val="none" w:sz="0" w:space="0" w:color="auto"/>
        <w:left w:val="none" w:sz="0" w:space="0" w:color="auto"/>
        <w:bottom w:val="none" w:sz="0" w:space="0" w:color="auto"/>
        <w:right w:val="none" w:sz="0" w:space="0" w:color="auto"/>
      </w:divBdr>
    </w:div>
    <w:div w:id="487669028">
      <w:bodyDiv w:val="1"/>
      <w:marLeft w:val="0"/>
      <w:marRight w:val="0"/>
      <w:marTop w:val="0"/>
      <w:marBottom w:val="0"/>
      <w:divBdr>
        <w:top w:val="none" w:sz="0" w:space="0" w:color="auto"/>
        <w:left w:val="none" w:sz="0" w:space="0" w:color="auto"/>
        <w:bottom w:val="none" w:sz="0" w:space="0" w:color="auto"/>
        <w:right w:val="none" w:sz="0" w:space="0" w:color="auto"/>
      </w:divBdr>
    </w:div>
    <w:div w:id="501748281">
      <w:bodyDiv w:val="1"/>
      <w:marLeft w:val="0"/>
      <w:marRight w:val="0"/>
      <w:marTop w:val="0"/>
      <w:marBottom w:val="0"/>
      <w:divBdr>
        <w:top w:val="none" w:sz="0" w:space="0" w:color="auto"/>
        <w:left w:val="none" w:sz="0" w:space="0" w:color="auto"/>
        <w:bottom w:val="none" w:sz="0" w:space="0" w:color="auto"/>
        <w:right w:val="none" w:sz="0" w:space="0" w:color="auto"/>
      </w:divBdr>
    </w:div>
    <w:div w:id="519898739">
      <w:bodyDiv w:val="1"/>
      <w:marLeft w:val="0"/>
      <w:marRight w:val="0"/>
      <w:marTop w:val="0"/>
      <w:marBottom w:val="0"/>
      <w:divBdr>
        <w:top w:val="none" w:sz="0" w:space="0" w:color="auto"/>
        <w:left w:val="none" w:sz="0" w:space="0" w:color="auto"/>
        <w:bottom w:val="none" w:sz="0" w:space="0" w:color="auto"/>
        <w:right w:val="none" w:sz="0" w:space="0" w:color="auto"/>
      </w:divBdr>
    </w:div>
    <w:div w:id="600183760">
      <w:bodyDiv w:val="1"/>
      <w:marLeft w:val="0"/>
      <w:marRight w:val="0"/>
      <w:marTop w:val="0"/>
      <w:marBottom w:val="0"/>
      <w:divBdr>
        <w:top w:val="none" w:sz="0" w:space="0" w:color="auto"/>
        <w:left w:val="none" w:sz="0" w:space="0" w:color="auto"/>
        <w:bottom w:val="none" w:sz="0" w:space="0" w:color="auto"/>
        <w:right w:val="none" w:sz="0" w:space="0" w:color="auto"/>
      </w:divBdr>
    </w:div>
    <w:div w:id="604850836">
      <w:bodyDiv w:val="1"/>
      <w:marLeft w:val="0"/>
      <w:marRight w:val="0"/>
      <w:marTop w:val="0"/>
      <w:marBottom w:val="0"/>
      <w:divBdr>
        <w:top w:val="none" w:sz="0" w:space="0" w:color="auto"/>
        <w:left w:val="none" w:sz="0" w:space="0" w:color="auto"/>
        <w:bottom w:val="none" w:sz="0" w:space="0" w:color="auto"/>
        <w:right w:val="none" w:sz="0" w:space="0" w:color="auto"/>
      </w:divBdr>
    </w:div>
    <w:div w:id="621348903">
      <w:bodyDiv w:val="1"/>
      <w:marLeft w:val="0"/>
      <w:marRight w:val="0"/>
      <w:marTop w:val="0"/>
      <w:marBottom w:val="0"/>
      <w:divBdr>
        <w:top w:val="none" w:sz="0" w:space="0" w:color="auto"/>
        <w:left w:val="none" w:sz="0" w:space="0" w:color="auto"/>
        <w:bottom w:val="none" w:sz="0" w:space="0" w:color="auto"/>
        <w:right w:val="none" w:sz="0" w:space="0" w:color="auto"/>
      </w:divBdr>
    </w:div>
    <w:div w:id="704529189">
      <w:bodyDiv w:val="1"/>
      <w:marLeft w:val="0"/>
      <w:marRight w:val="0"/>
      <w:marTop w:val="0"/>
      <w:marBottom w:val="0"/>
      <w:divBdr>
        <w:top w:val="none" w:sz="0" w:space="0" w:color="auto"/>
        <w:left w:val="none" w:sz="0" w:space="0" w:color="auto"/>
        <w:bottom w:val="none" w:sz="0" w:space="0" w:color="auto"/>
        <w:right w:val="none" w:sz="0" w:space="0" w:color="auto"/>
      </w:divBdr>
    </w:div>
    <w:div w:id="791946351">
      <w:bodyDiv w:val="1"/>
      <w:marLeft w:val="0"/>
      <w:marRight w:val="0"/>
      <w:marTop w:val="0"/>
      <w:marBottom w:val="0"/>
      <w:divBdr>
        <w:top w:val="none" w:sz="0" w:space="0" w:color="auto"/>
        <w:left w:val="none" w:sz="0" w:space="0" w:color="auto"/>
        <w:bottom w:val="none" w:sz="0" w:space="0" w:color="auto"/>
        <w:right w:val="none" w:sz="0" w:space="0" w:color="auto"/>
      </w:divBdr>
    </w:div>
    <w:div w:id="820122218">
      <w:bodyDiv w:val="1"/>
      <w:marLeft w:val="0"/>
      <w:marRight w:val="0"/>
      <w:marTop w:val="0"/>
      <w:marBottom w:val="0"/>
      <w:divBdr>
        <w:top w:val="none" w:sz="0" w:space="0" w:color="auto"/>
        <w:left w:val="none" w:sz="0" w:space="0" w:color="auto"/>
        <w:bottom w:val="none" w:sz="0" w:space="0" w:color="auto"/>
        <w:right w:val="none" w:sz="0" w:space="0" w:color="auto"/>
      </w:divBdr>
    </w:div>
    <w:div w:id="843279121">
      <w:bodyDiv w:val="1"/>
      <w:marLeft w:val="0"/>
      <w:marRight w:val="0"/>
      <w:marTop w:val="0"/>
      <w:marBottom w:val="0"/>
      <w:divBdr>
        <w:top w:val="none" w:sz="0" w:space="0" w:color="auto"/>
        <w:left w:val="none" w:sz="0" w:space="0" w:color="auto"/>
        <w:bottom w:val="none" w:sz="0" w:space="0" w:color="auto"/>
        <w:right w:val="none" w:sz="0" w:space="0" w:color="auto"/>
      </w:divBdr>
    </w:div>
    <w:div w:id="846940256">
      <w:bodyDiv w:val="1"/>
      <w:marLeft w:val="0"/>
      <w:marRight w:val="0"/>
      <w:marTop w:val="0"/>
      <w:marBottom w:val="0"/>
      <w:divBdr>
        <w:top w:val="none" w:sz="0" w:space="0" w:color="auto"/>
        <w:left w:val="none" w:sz="0" w:space="0" w:color="auto"/>
        <w:bottom w:val="none" w:sz="0" w:space="0" w:color="auto"/>
        <w:right w:val="none" w:sz="0" w:space="0" w:color="auto"/>
      </w:divBdr>
    </w:div>
    <w:div w:id="884561238">
      <w:bodyDiv w:val="1"/>
      <w:marLeft w:val="0"/>
      <w:marRight w:val="0"/>
      <w:marTop w:val="0"/>
      <w:marBottom w:val="0"/>
      <w:divBdr>
        <w:top w:val="none" w:sz="0" w:space="0" w:color="auto"/>
        <w:left w:val="none" w:sz="0" w:space="0" w:color="auto"/>
        <w:bottom w:val="none" w:sz="0" w:space="0" w:color="auto"/>
        <w:right w:val="none" w:sz="0" w:space="0" w:color="auto"/>
      </w:divBdr>
    </w:div>
    <w:div w:id="893738421">
      <w:bodyDiv w:val="1"/>
      <w:marLeft w:val="0"/>
      <w:marRight w:val="0"/>
      <w:marTop w:val="0"/>
      <w:marBottom w:val="0"/>
      <w:divBdr>
        <w:top w:val="none" w:sz="0" w:space="0" w:color="auto"/>
        <w:left w:val="none" w:sz="0" w:space="0" w:color="auto"/>
        <w:bottom w:val="none" w:sz="0" w:space="0" w:color="auto"/>
        <w:right w:val="none" w:sz="0" w:space="0" w:color="auto"/>
      </w:divBdr>
    </w:div>
    <w:div w:id="906719332">
      <w:bodyDiv w:val="1"/>
      <w:marLeft w:val="0"/>
      <w:marRight w:val="0"/>
      <w:marTop w:val="0"/>
      <w:marBottom w:val="0"/>
      <w:divBdr>
        <w:top w:val="none" w:sz="0" w:space="0" w:color="auto"/>
        <w:left w:val="none" w:sz="0" w:space="0" w:color="auto"/>
        <w:bottom w:val="none" w:sz="0" w:space="0" w:color="auto"/>
        <w:right w:val="none" w:sz="0" w:space="0" w:color="auto"/>
      </w:divBdr>
    </w:div>
    <w:div w:id="928197268">
      <w:bodyDiv w:val="1"/>
      <w:marLeft w:val="0"/>
      <w:marRight w:val="0"/>
      <w:marTop w:val="0"/>
      <w:marBottom w:val="0"/>
      <w:divBdr>
        <w:top w:val="none" w:sz="0" w:space="0" w:color="auto"/>
        <w:left w:val="none" w:sz="0" w:space="0" w:color="auto"/>
        <w:bottom w:val="none" w:sz="0" w:space="0" w:color="auto"/>
        <w:right w:val="none" w:sz="0" w:space="0" w:color="auto"/>
      </w:divBdr>
    </w:div>
    <w:div w:id="935331272">
      <w:bodyDiv w:val="1"/>
      <w:marLeft w:val="0"/>
      <w:marRight w:val="0"/>
      <w:marTop w:val="0"/>
      <w:marBottom w:val="0"/>
      <w:divBdr>
        <w:top w:val="none" w:sz="0" w:space="0" w:color="auto"/>
        <w:left w:val="none" w:sz="0" w:space="0" w:color="auto"/>
        <w:bottom w:val="none" w:sz="0" w:space="0" w:color="auto"/>
        <w:right w:val="none" w:sz="0" w:space="0" w:color="auto"/>
      </w:divBdr>
    </w:div>
    <w:div w:id="1001860122">
      <w:bodyDiv w:val="1"/>
      <w:marLeft w:val="0"/>
      <w:marRight w:val="0"/>
      <w:marTop w:val="0"/>
      <w:marBottom w:val="0"/>
      <w:divBdr>
        <w:top w:val="none" w:sz="0" w:space="0" w:color="auto"/>
        <w:left w:val="none" w:sz="0" w:space="0" w:color="auto"/>
        <w:bottom w:val="none" w:sz="0" w:space="0" w:color="auto"/>
        <w:right w:val="none" w:sz="0" w:space="0" w:color="auto"/>
      </w:divBdr>
    </w:div>
    <w:div w:id="1011489499">
      <w:bodyDiv w:val="1"/>
      <w:marLeft w:val="0"/>
      <w:marRight w:val="0"/>
      <w:marTop w:val="0"/>
      <w:marBottom w:val="0"/>
      <w:divBdr>
        <w:top w:val="none" w:sz="0" w:space="0" w:color="auto"/>
        <w:left w:val="none" w:sz="0" w:space="0" w:color="auto"/>
        <w:bottom w:val="none" w:sz="0" w:space="0" w:color="auto"/>
        <w:right w:val="none" w:sz="0" w:space="0" w:color="auto"/>
      </w:divBdr>
    </w:div>
    <w:div w:id="1014039993">
      <w:bodyDiv w:val="1"/>
      <w:marLeft w:val="0"/>
      <w:marRight w:val="0"/>
      <w:marTop w:val="0"/>
      <w:marBottom w:val="0"/>
      <w:divBdr>
        <w:top w:val="none" w:sz="0" w:space="0" w:color="auto"/>
        <w:left w:val="none" w:sz="0" w:space="0" w:color="auto"/>
        <w:bottom w:val="none" w:sz="0" w:space="0" w:color="auto"/>
        <w:right w:val="none" w:sz="0" w:space="0" w:color="auto"/>
      </w:divBdr>
    </w:div>
    <w:div w:id="1054355098">
      <w:bodyDiv w:val="1"/>
      <w:marLeft w:val="0"/>
      <w:marRight w:val="0"/>
      <w:marTop w:val="0"/>
      <w:marBottom w:val="0"/>
      <w:divBdr>
        <w:top w:val="none" w:sz="0" w:space="0" w:color="auto"/>
        <w:left w:val="none" w:sz="0" w:space="0" w:color="auto"/>
        <w:bottom w:val="none" w:sz="0" w:space="0" w:color="auto"/>
        <w:right w:val="none" w:sz="0" w:space="0" w:color="auto"/>
      </w:divBdr>
    </w:div>
    <w:div w:id="1077360037">
      <w:bodyDiv w:val="1"/>
      <w:marLeft w:val="0"/>
      <w:marRight w:val="0"/>
      <w:marTop w:val="0"/>
      <w:marBottom w:val="0"/>
      <w:divBdr>
        <w:top w:val="none" w:sz="0" w:space="0" w:color="auto"/>
        <w:left w:val="none" w:sz="0" w:space="0" w:color="auto"/>
        <w:bottom w:val="none" w:sz="0" w:space="0" w:color="auto"/>
        <w:right w:val="none" w:sz="0" w:space="0" w:color="auto"/>
      </w:divBdr>
    </w:div>
    <w:div w:id="1078405821">
      <w:bodyDiv w:val="1"/>
      <w:marLeft w:val="0"/>
      <w:marRight w:val="0"/>
      <w:marTop w:val="0"/>
      <w:marBottom w:val="0"/>
      <w:divBdr>
        <w:top w:val="none" w:sz="0" w:space="0" w:color="auto"/>
        <w:left w:val="none" w:sz="0" w:space="0" w:color="auto"/>
        <w:bottom w:val="none" w:sz="0" w:space="0" w:color="auto"/>
        <w:right w:val="none" w:sz="0" w:space="0" w:color="auto"/>
      </w:divBdr>
    </w:div>
    <w:div w:id="1095906884">
      <w:bodyDiv w:val="1"/>
      <w:marLeft w:val="0"/>
      <w:marRight w:val="0"/>
      <w:marTop w:val="0"/>
      <w:marBottom w:val="0"/>
      <w:divBdr>
        <w:top w:val="none" w:sz="0" w:space="0" w:color="auto"/>
        <w:left w:val="none" w:sz="0" w:space="0" w:color="auto"/>
        <w:bottom w:val="none" w:sz="0" w:space="0" w:color="auto"/>
        <w:right w:val="none" w:sz="0" w:space="0" w:color="auto"/>
      </w:divBdr>
    </w:div>
    <w:div w:id="1204095674">
      <w:bodyDiv w:val="1"/>
      <w:marLeft w:val="0"/>
      <w:marRight w:val="0"/>
      <w:marTop w:val="0"/>
      <w:marBottom w:val="0"/>
      <w:divBdr>
        <w:top w:val="none" w:sz="0" w:space="0" w:color="auto"/>
        <w:left w:val="none" w:sz="0" w:space="0" w:color="auto"/>
        <w:bottom w:val="none" w:sz="0" w:space="0" w:color="auto"/>
        <w:right w:val="none" w:sz="0" w:space="0" w:color="auto"/>
      </w:divBdr>
    </w:div>
    <w:div w:id="1209679592">
      <w:bodyDiv w:val="1"/>
      <w:marLeft w:val="0"/>
      <w:marRight w:val="0"/>
      <w:marTop w:val="0"/>
      <w:marBottom w:val="0"/>
      <w:divBdr>
        <w:top w:val="none" w:sz="0" w:space="0" w:color="auto"/>
        <w:left w:val="none" w:sz="0" w:space="0" w:color="auto"/>
        <w:bottom w:val="none" w:sz="0" w:space="0" w:color="auto"/>
        <w:right w:val="none" w:sz="0" w:space="0" w:color="auto"/>
      </w:divBdr>
    </w:div>
    <w:div w:id="1210386135">
      <w:bodyDiv w:val="1"/>
      <w:marLeft w:val="0"/>
      <w:marRight w:val="0"/>
      <w:marTop w:val="0"/>
      <w:marBottom w:val="0"/>
      <w:divBdr>
        <w:top w:val="none" w:sz="0" w:space="0" w:color="auto"/>
        <w:left w:val="none" w:sz="0" w:space="0" w:color="auto"/>
        <w:bottom w:val="none" w:sz="0" w:space="0" w:color="auto"/>
        <w:right w:val="none" w:sz="0" w:space="0" w:color="auto"/>
      </w:divBdr>
    </w:div>
    <w:div w:id="1211845621">
      <w:bodyDiv w:val="1"/>
      <w:marLeft w:val="0"/>
      <w:marRight w:val="0"/>
      <w:marTop w:val="0"/>
      <w:marBottom w:val="0"/>
      <w:divBdr>
        <w:top w:val="none" w:sz="0" w:space="0" w:color="auto"/>
        <w:left w:val="none" w:sz="0" w:space="0" w:color="auto"/>
        <w:bottom w:val="none" w:sz="0" w:space="0" w:color="auto"/>
        <w:right w:val="none" w:sz="0" w:space="0" w:color="auto"/>
      </w:divBdr>
    </w:div>
    <w:div w:id="1252012247">
      <w:bodyDiv w:val="1"/>
      <w:marLeft w:val="0"/>
      <w:marRight w:val="0"/>
      <w:marTop w:val="0"/>
      <w:marBottom w:val="0"/>
      <w:divBdr>
        <w:top w:val="none" w:sz="0" w:space="0" w:color="auto"/>
        <w:left w:val="none" w:sz="0" w:space="0" w:color="auto"/>
        <w:bottom w:val="none" w:sz="0" w:space="0" w:color="auto"/>
        <w:right w:val="none" w:sz="0" w:space="0" w:color="auto"/>
      </w:divBdr>
    </w:div>
    <w:div w:id="1278489644">
      <w:bodyDiv w:val="1"/>
      <w:marLeft w:val="0"/>
      <w:marRight w:val="0"/>
      <w:marTop w:val="0"/>
      <w:marBottom w:val="0"/>
      <w:divBdr>
        <w:top w:val="none" w:sz="0" w:space="0" w:color="auto"/>
        <w:left w:val="none" w:sz="0" w:space="0" w:color="auto"/>
        <w:bottom w:val="none" w:sz="0" w:space="0" w:color="auto"/>
        <w:right w:val="none" w:sz="0" w:space="0" w:color="auto"/>
      </w:divBdr>
    </w:div>
    <w:div w:id="1310406845">
      <w:bodyDiv w:val="1"/>
      <w:marLeft w:val="0"/>
      <w:marRight w:val="0"/>
      <w:marTop w:val="0"/>
      <w:marBottom w:val="0"/>
      <w:divBdr>
        <w:top w:val="none" w:sz="0" w:space="0" w:color="auto"/>
        <w:left w:val="none" w:sz="0" w:space="0" w:color="auto"/>
        <w:bottom w:val="none" w:sz="0" w:space="0" w:color="auto"/>
        <w:right w:val="none" w:sz="0" w:space="0" w:color="auto"/>
      </w:divBdr>
    </w:div>
    <w:div w:id="1367949330">
      <w:bodyDiv w:val="1"/>
      <w:marLeft w:val="0"/>
      <w:marRight w:val="0"/>
      <w:marTop w:val="0"/>
      <w:marBottom w:val="0"/>
      <w:divBdr>
        <w:top w:val="none" w:sz="0" w:space="0" w:color="auto"/>
        <w:left w:val="none" w:sz="0" w:space="0" w:color="auto"/>
        <w:bottom w:val="none" w:sz="0" w:space="0" w:color="auto"/>
        <w:right w:val="none" w:sz="0" w:space="0" w:color="auto"/>
      </w:divBdr>
    </w:div>
    <w:div w:id="1478302514">
      <w:bodyDiv w:val="1"/>
      <w:marLeft w:val="0"/>
      <w:marRight w:val="0"/>
      <w:marTop w:val="0"/>
      <w:marBottom w:val="0"/>
      <w:divBdr>
        <w:top w:val="none" w:sz="0" w:space="0" w:color="auto"/>
        <w:left w:val="none" w:sz="0" w:space="0" w:color="auto"/>
        <w:bottom w:val="none" w:sz="0" w:space="0" w:color="auto"/>
        <w:right w:val="none" w:sz="0" w:space="0" w:color="auto"/>
      </w:divBdr>
    </w:div>
    <w:div w:id="1561281023">
      <w:bodyDiv w:val="1"/>
      <w:marLeft w:val="0"/>
      <w:marRight w:val="0"/>
      <w:marTop w:val="0"/>
      <w:marBottom w:val="0"/>
      <w:divBdr>
        <w:top w:val="none" w:sz="0" w:space="0" w:color="auto"/>
        <w:left w:val="none" w:sz="0" w:space="0" w:color="auto"/>
        <w:bottom w:val="none" w:sz="0" w:space="0" w:color="auto"/>
        <w:right w:val="none" w:sz="0" w:space="0" w:color="auto"/>
      </w:divBdr>
    </w:div>
    <w:div w:id="1624191707">
      <w:bodyDiv w:val="1"/>
      <w:marLeft w:val="0"/>
      <w:marRight w:val="0"/>
      <w:marTop w:val="0"/>
      <w:marBottom w:val="0"/>
      <w:divBdr>
        <w:top w:val="none" w:sz="0" w:space="0" w:color="auto"/>
        <w:left w:val="none" w:sz="0" w:space="0" w:color="auto"/>
        <w:bottom w:val="none" w:sz="0" w:space="0" w:color="auto"/>
        <w:right w:val="none" w:sz="0" w:space="0" w:color="auto"/>
      </w:divBdr>
    </w:div>
    <w:div w:id="1631475933">
      <w:bodyDiv w:val="1"/>
      <w:marLeft w:val="0"/>
      <w:marRight w:val="0"/>
      <w:marTop w:val="0"/>
      <w:marBottom w:val="0"/>
      <w:divBdr>
        <w:top w:val="none" w:sz="0" w:space="0" w:color="auto"/>
        <w:left w:val="none" w:sz="0" w:space="0" w:color="auto"/>
        <w:bottom w:val="none" w:sz="0" w:space="0" w:color="auto"/>
        <w:right w:val="none" w:sz="0" w:space="0" w:color="auto"/>
      </w:divBdr>
    </w:div>
    <w:div w:id="1705136643">
      <w:bodyDiv w:val="1"/>
      <w:marLeft w:val="0"/>
      <w:marRight w:val="0"/>
      <w:marTop w:val="0"/>
      <w:marBottom w:val="0"/>
      <w:divBdr>
        <w:top w:val="none" w:sz="0" w:space="0" w:color="auto"/>
        <w:left w:val="none" w:sz="0" w:space="0" w:color="auto"/>
        <w:bottom w:val="none" w:sz="0" w:space="0" w:color="auto"/>
        <w:right w:val="none" w:sz="0" w:space="0" w:color="auto"/>
      </w:divBdr>
    </w:div>
    <w:div w:id="1705909194">
      <w:bodyDiv w:val="1"/>
      <w:marLeft w:val="0"/>
      <w:marRight w:val="0"/>
      <w:marTop w:val="0"/>
      <w:marBottom w:val="0"/>
      <w:divBdr>
        <w:top w:val="none" w:sz="0" w:space="0" w:color="auto"/>
        <w:left w:val="none" w:sz="0" w:space="0" w:color="auto"/>
        <w:bottom w:val="none" w:sz="0" w:space="0" w:color="auto"/>
        <w:right w:val="none" w:sz="0" w:space="0" w:color="auto"/>
      </w:divBdr>
    </w:div>
    <w:div w:id="1750224289">
      <w:bodyDiv w:val="1"/>
      <w:marLeft w:val="0"/>
      <w:marRight w:val="0"/>
      <w:marTop w:val="0"/>
      <w:marBottom w:val="0"/>
      <w:divBdr>
        <w:top w:val="none" w:sz="0" w:space="0" w:color="auto"/>
        <w:left w:val="none" w:sz="0" w:space="0" w:color="auto"/>
        <w:bottom w:val="none" w:sz="0" w:space="0" w:color="auto"/>
        <w:right w:val="none" w:sz="0" w:space="0" w:color="auto"/>
      </w:divBdr>
    </w:div>
    <w:div w:id="1757550511">
      <w:bodyDiv w:val="1"/>
      <w:marLeft w:val="0"/>
      <w:marRight w:val="0"/>
      <w:marTop w:val="0"/>
      <w:marBottom w:val="0"/>
      <w:divBdr>
        <w:top w:val="none" w:sz="0" w:space="0" w:color="auto"/>
        <w:left w:val="none" w:sz="0" w:space="0" w:color="auto"/>
        <w:bottom w:val="none" w:sz="0" w:space="0" w:color="auto"/>
        <w:right w:val="none" w:sz="0" w:space="0" w:color="auto"/>
      </w:divBdr>
    </w:div>
    <w:div w:id="1792170050">
      <w:bodyDiv w:val="1"/>
      <w:marLeft w:val="0"/>
      <w:marRight w:val="0"/>
      <w:marTop w:val="0"/>
      <w:marBottom w:val="0"/>
      <w:divBdr>
        <w:top w:val="none" w:sz="0" w:space="0" w:color="auto"/>
        <w:left w:val="none" w:sz="0" w:space="0" w:color="auto"/>
        <w:bottom w:val="none" w:sz="0" w:space="0" w:color="auto"/>
        <w:right w:val="none" w:sz="0" w:space="0" w:color="auto"/>
      </w:divBdr>
    </w:div>
    <w:div w:id="1966957966">
      <w:bodyDiv w:val="1"/>
      <w:marLeft w:val="0"/>
      <w:marRight w:val="0"/>
      <w:marTop w:val="0"/>
      <w:marBottom w:val="0"/>
      <w:divBdr>
        <w:top w:val="none" w:sz="0" w:space="0" w:color="auto"/>
        <w:left w:val="none" w:sz="0" w:space="0" w:color="auto"/>
        <w:bottom w:val="none" w:sz="0" w:space="0" w:color="auto"/>
        <w:right w:val="none" w:sz="0" w:space="0" w:color="auto"/>
      </w:divBdr>
    </w:div>
    <w:div w:id="1970285513">
      <w:bodyDiv w:val="1"/>
      <w:marLeft w:val="0"/>
      <w:marRight w:val="0"/>
      <w:marTop w:val="0"/>
      <w:marBottom w:val="0"/>
      <w:divBdr>
        <w:top w:val="none" w:sz="0" w:space="0" w:color="auto"/>
        <w:left w:val="none" w:sz="0" w:space="0" w:color="auto"/>
        <w:bottom w:val="none" w:sz="0" w:space="0" w:color="auto"/>
        <w:right w:val="none" w:sz="0" w:space="0" w:color="auto"/>
      </w:divBdr>
    </w:div>
    <w:div w:id="1991710216">
      <w:bodyDiv w:val="1"/>
      <w:marLeft w:val="0"/>
      <w:marRight w:val="0"/>
      <w:marTop w:val="0"/>
      <w:marBottom w:val="0"/>
      <w:divBdr>
        <w:top w:val="none" w:sz="0" w:space="0" w:color="auto"/>
        <w:left w:val="none" w:sz="0" w:space="0" w:color="auto"/>
        <w:bottom w:val="none" w:sz="0" w:space="0" w:color="auto"/>
        <w:right w:val="none" w:sz="0" w:space="0" w:color="auto"/>
      </w:divBdr>
    </w:div>
    <w:div w:id="2049408633">
      <w:bodyDiv w:val="1"/>
      <w:marLeft w:val="0"/>
      <w:marRight w:val="0"/>
      <w:marTop w:val="0"/>
      <w:marBottom w:val="0"/>
      <w:divBdr>
        <w:top w:val="none" w:sz="0" w:space="0" w:color="auto"/>
        <w:left w:val="none" w:sz="0" w:space="0" w:color="auto"/>
        <w:bottom w:val="none" w:sz="0" w:space="0" w:color="auto"/>
        <w:right w:val="none" w:sz="0" w:space="0" w:color="auto"/>
      </w:divBdr>
    </w:div>
    <w:div w:id="2064064318">
      <w:bodyDiv w:val="1"/>
      <w:marLeft w:val="0"/>
      <w:marRight w:val="0"/>
      <w:marTop w:val="0"/>
      <w:marBottom w:val="0"/>
      <w:divBdr>
        <w:top w:val="none" w:sz="0" w:space="0" w:color="auto"/>
        <w:left w:val="none" w:sz="0" w:space="0" w:color="auto"/>
        <w:bottom w:val="none" w:sz="0" w:space="0" w:color="auto"/>
        <w:right w:val="none" w:sz="0" w:space="0" w:color="auto"/>
      </w:divBdr>
    </w:div>
    <w:div w:id="2127040047">
      <w:bodyDiv w:val="1"/>
      <w:marLeft w:val="0"/>
      <w:marRight w:val="0"/>
      <w:marTop w:val="0"/>
      <w:marBottom w:val="0"/>
      <w:divBdr>
        <w:top w:val="none" w:sz="0" w:space="0" w:color="auto"/>
        <w:left w:val="none" w:sz="0" w:space="0" w:color="auto"/>
        <w:bottom w:val="none" w:sz="0" w:space="0" w:color="auto"/>
        <w:right w:val="none" w:sz="0" w:space="0" w:color="auto"/>
      </w:divBdr>
    </w:div>
    <w:div w:id="2130783230">
      <w:bodyDiv w:val="1"/>
      <w:marLeft w:val="0"/>
      <w:marRight w:val="0"/>
      <w:marTop w:val="0"/>
      <w:marBottom w:val="0"/>
      <w:divBdr>
        <w:top w:val="none" w:sz="0" w:space="0" w:color="auto"/>
        <w:left w:val="none" w:sz="0" w:space="0" w:color="auto"/>
        <w:bottom w:val="none" w:sz="0" w:space="0" w:color="auto"/>
        <w:right w:val="none" w:sz="0" w:space="0" w:color="auto"/>
      </w:divBdr>
    </w:div>
    <w:div w:id="2137403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2122</ap:Words>
  <ap:Characters>11674</ap:Characters>
  <ap:DocSecurity>0</ap:DocSecurity>
  <ap:Lines>97</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2026-06-11T13:25:00.0000000Z</dcterms:created>
  <dcterms:modified xsi:type="dcterms:W3CDTF">2026-06-11T13:25:00.0000000Z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2876ff0e-360e-423f-97ef-45e6c079e969</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BZDossierTemplate">
    <vt:lpwstr>Verzoek</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URL">
    <vt:lpwstr>https://247.plaza.buzaservices.nl/subject/PV-VZ2026022026/BZ2628610/GRT-Regering-BHO-36945-XVII-1.docx, </vt:lpwstr>
  </property>
  <property fmtid="{D5CDD505-2E9C-101B-9397-08002B2CF9AE}" pid="27" name="_docset_NoMedatataSyncRequired">
    <vt:lpwstr>False</vt:lpwstr>
  </property>
</Properties>
</file>