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2026Z12775</w:t>
        <w:br/>
      </w:r>
      <w:proofErr w:type="spellEnd"/>
    </w:p>
    <w:p>
      <w:pPr>
        <w:pStyle w:val="Normal"/>
        <w:rPr>
          <w:b w:val="1"/>
          <w:bCs w:val="1"/>
        </w:rPr>
      </w:pPr>
      <w:r w:rsidR="250AE766">
        <w:rPr>
          <w:b w:val="0"/>
          <w:bCs w:val="0"/>
        </w:rPr>
        <w:t>(ingezonden 11 juni 2026)</w:t>
        <w:br/>
      </w:r>
    </w:p>
    <w:p>
      <w:r>
        <w:t xml:space="preserve">Vragen van het lid Van Brenk (50PLUS) aan de minister van Sociale Zaken en Werkgelegenheid over het nieuws dat de Europese Commissie een formele klacht heeft gehonoreerd/opgepakt waardoor de grote verplichtstelling mogelijk in strijd is met EU-recht.</w:t>
      </w:r>
      <w:r>
        <w:br/>
      </w:r>
    </w:p>
    <w:p>
      <w:r>
        <w:t xml:space="preserve"> </w:t>
      </w:r>
      <w:r>
        <w:br/>
      </w:r>
    </w:p>
    <w:p>
      <w:pPr>
        <w:pStyle w:val="ListParagraph"/>
        <w:numPr>
          <w:ilvl w:val="0"/>
          <w:numId w:val="100510580"/>
        </w:numPr>
        <w:ind w:left="360"/>
      </w:pPr>
      <w:r>
        <w:t xml:space="preserve">Bent u op de hoogte van de recente uitlatingen van prof. van Meerten dat de Europese Commissie in 2026 zijn klacht (ingediend in 2021) over de grote verplichtstelling deelt? Zo ja, hoe luidt de positie van de Europese Commissie precies en wanneer wordt de Kamer hierover geïnformeerd? 1)</w:t>
      </w:r>
      <w:r>
        <w:br/>
      </w:r>
    </w:p>
    <w:p>
      <w:pPr>
        <w:pStyle w:val="ListParagraph"/>
        <w:numPr>
          <w:ilvl w:val="0"/>
          <w:numId w:val="100510580"/>
        </w:numPr>
        <w:ind w:left="360"/>
      </w:pPr>
      <w:r>
        <w:t xml:space="preserve">Heeft u correspondentie ontvangen van de Europese Commissie of de Europese Ombudsman over deze klacht? Zo ja, wilt u deze correspondentie (eventueel geanonimiseerd) met de Kamer delen, inclusief eventuele termijnen die de Europese Commissie stelt?</w:t>
      </w:r>
      <w:r>
        <w:br/>
      </w:r>
    </w:p>
    <w:p>
      <w:pPr>
        <w:pStyle w:val="ListParagraph"/>
        <w:numPr>
          <w:ilvl w:val="0"/>
          <w:numId w:val="100510580"/>
        </w:numPr>
        <w:ind w:left="360"/>
      </w:pPr>
      <w:r>
        <w:t xml:space="preserve">Welke risico’s ziet u voor de Wet toekomst pensioenen (Wtp) en lopende transitietrajecten als de grote verplichtstelling inderdaad EU-rechtelijk onhoudbaar blijkt? Moet de wet dan worden aangepast en zo ja, op welke termijn?</w:t>
      </w:r>
      <w:r>
        <w:br/>
      </w:r>
    </w:p>
    <w:p>
      <w:pPr>
        <w:pStyle w:val="ListParagraph"/>
        <w:numPr>
          <w:ilvl w:val="0"/>
          <w:numId w:val="100510580"/>
        </w:numPr>
        <w:ind w:left="360"/>
      </w:pPr>
      <w:r>
        <w:t xml:space="preserve">Bent u het eens dat de kleine verplichtstelling (verplicht pensioen opbouwen) wél gehandhaafd kan blijven, terwijl de grote verplichtstelling (aan één specifiek fonds) wordt afgeschaft? Zo nee, waarom niet?</w:t>
      </w:r>
      <w:r>
        <w:br/>
      </w:r>
    </w:p>
    <w:p>
      <w:pPr>
        <w:pStyle w:val="ListParagraph"/>
        <w:numPr>
          <w:ilvl w:val="0"/>
          <w:numId w:val="100510580"/>
        </w:numPr>
        <w:ind w:left="360"/>
      </w:pPr>
      <w:r>
        <w:t xml:space="preserve">Hoeveel pensioenvermogen (en hoeveel deelnemers) valt momenteel onder de grote verplichtstelling?</w:t>
      </w:r>
      <w:r>
        <w:br/>
      </w:r>
    </w:p>
    <w:p>
      <w:pPr>
        <w:pStyle w:val="ListParagraph"/>
        <w:numPr>
          <w:ilvl w:val="0"/>
          <w:numId w:val="100510580"/>
        </w:numPr>
        <w:ind w:left="360"/>
      </w:pPr>
      <w:r>
        <w:t xml:space="preserve">Heeft het kabinet inmiddels een juridische analyse laten maken (bijv. door de landsadvocaat) over de houdbaarheid van de grote verplichtstelling onder het huidige EU-recht? Wilt u die analyse met de Kamer delen?</w:t>
      </w:r>
      <w:r>
        <w:br/>
      </w:r>
    </w:p>
    <w:p>
      <w:pPr>
        <w:pStyle w:val="ListParagraph"/>
        <w:numPr>
          <w:ilvl w:val="0"/>
          <w:numId w:val="100510580"/>
        </w:numPr>
        <w:ind w:left="360"/>
      </w:pPr>
      <w:r>
        <w:t xml:space="preserve">Wat is precies de strekking en reikwijdte van het oordeel van de Europese Commissie dat de Nederlandse stichting-eis voor een verplichtgesteld bedrijfstakpensioenfonds (Bpf) in strijd is met het EU-recht? Welke bepalingen van het Verdrag betreffende de Werking van de Europese Unie (VWEU) worden geschonden, en welke consequenties trekt het kabinet voor de Wet Bpf 2000 en de verplichtstellingsbesluiten?</w:t>
      </w:r>
      <w:r>
        <w:br/>
      </w:r>
    </w:p>
    <w:p>
      <w:pPr>
        <w:pStyle w:val="ListParagraph"/>
        <w:numPr>
          <w:ilvl w:val="0"/>
          <w:numId w:val="100510580"/>
        </w:numPr>
        <w:ind w:left="360"/>
      </w:pPr>
      <w:r>
        <w:t xml:space="preserve">Is het niet rijkelijk laat, dat het kabinet aangeeft dat de wijziging bij de implementatie van de nieuwe IORP-richtlijn (Institutions for Occupational Retirement Provision-richtlijn) in Nederland gaat gebeuren, terwijl de stichting-eis al sinds 2016 geldt, en dus al tien jaar in strijd is met het EU-recht? Sinds wanneer is het kabinet hiervan op de hoogte (bijvoorbeeld via klachten bij de Europese Commissie of interne analyses)? Waarom handelde het kabinet niet? Volgens EU-recht experts is strijd met EU toch duidelijk? Heeft het kabinet zich laten leiden door het advies van prof. Lutjens en andere door de regering geraadpleegde pensioenexperts die het probleem überhaupt niet zagen? Hoe beoordeelt het kabinet het feit dat de situatie al geruime tijd onrechtmatig is? Welke consequenties verbindt het kabinet aan deze voortdurende inbreuk?</w:t>
      </w:r>
      <w:r>
        <w:br/>
      </w:r>
    </w:p>
    <w:p>
      <w:pPr>
        <w:pStyle w:val="ListParagraph"/>
        <w:numPr>
          <w:ilvl w:val="0"/>
          <w:numId w:val="100510580"/>
        </w:numPr>
        <w:ind w:left="360"/>
      </w:pPr>
      <w:r>
        <w:t xml:space="preserve">Indien de strijdigheid al sinds (in elk geval) 2016 bestaat: welke maatregelen zijn sindsdien genomen om de situatie te herstellen? Hoe beoordeelt het kabinet de mogelijke terugwerkende kracht of aansprakelijkheid voor de periode waarin de stichting-eis onrechtmatig werd gehandhaafd? Worden schadeclaims verwacht van (buitenlandse) partijen of deelnemers?</w:t>
      </w:r>
      <w:r>
        <w:br/>
      </w:r>
    </w:p>
    <w:p>
      <w:pPr>
        <w:pStyle w:val="ListParagraph"/>
        <w:numPr>
          <w:ilvl w:val="0"/>
          <w:numId w:val="100510580"/>
        </w:numPr>
        <w:ind w:left="360"/>
      </w:pPr>
      <w:r>
        <w:t xml:space="preserve">Zouden buitenlandse pensioenuitvoerders interesse hebben om een verplichtgestelde sectorregeling uit te voeren? Zo zou bijvoorbeeld United Pensions, de Belgische IORP van Aon interesse kunnen hebben. Zo ja, om welke partijen zou het verder kunnen gaan en hoe verloopt dan de beoordeling? Zo nee, waarom verwacht het kabinet dat de praktijk niet zal veranderen?</w:t>
      </w:r>
      <w:r>
        <w:br/>
      </w:r>
    </w:p>
    <w:p>
      <w:pPr>
        <w:pStyle w:val="ListParagraph"/>
        <w:numPr>
          <w:ilvl w:val="0"/>
          <w:numId w:val="100510580"/>
        </w:numPr>
        <w:ind w:left="360"/>
      </w:pPr>
      <w:r>
        <w:t xml:space="preserve">Kunnen Premiepensioeninstellingen (PPI’s) en (buitenlandse) verzekeraars nu of binnenkort ook als uitvoerder optreden voor verplichtgestelde regelingen? Zo nee: waarom niet, terwijl PPI’s en verzekeraars in de niet-verplichte sfeer wél pensioenregelingen mogen uitvoeren en de IORP-richtlijn juist diversiteit van uitvoerders en grensoverschrijdende activiteiten beoogt te bevorderen? Hoe verhoudt deze uitsluiting zich tot de uitspraak van de Commissie en tot het EU-recht? Wordt de Wet Bpf 2000 op dit punt alsnog aangepast, en zo ja, binnen welke termijn? Zo ja: welke stappen worden genomen om PPI’s en verzekeraars (Nederlands én buitenlands) daadwerkelijk toe te laten, en hoe wordt voorkomen dat er nieuwe de facto belemmeringen ontstaan?</w:t>
      </w:r>
      <w:r>
        <w:br/>
      </w:r>
    </w:p>
    <w:p>
      <w:pPr>
        <w:pStyle w:val="ListParagraph"/>
        <w:numPr>
          <w:ilvl w:val="0"/>
          <w:numId w:val="100510580"/>
        </w:numPr>
        <w:ind w:left="360"/>
      </w:pPr>
      <w:r>
        <w:t xml:space="preserve">Is het “invaren” (overheveling van opgebouwde pensioenaanspraken) naar een buitenlandse uitvoerder nu ook mogelijk, of blijft dit beperkt tot Nederlandse Bpf’en? Indien het alleen binnen een Bpf kan: vormt dit geen nieuwe onrechtmatige belemmering van het EU-recht? Hoe zorgt het kabinet ervoor dat de overdracht van pensioenkapitaal naar een erkende buitenlandse entiteit zonder onnodige belemmeringen kan plaatsvinden?</w:t>
      </w:r>
      <w:r>
        <w:br/>
      </w:r>
    </w:p>
    <w:p>
      <w:pPr>
        <w:pStyle w:val="ListParagraph"/>
        <w:numPr>
          <w:ilvl w:val="0"/>
          <w:numId w:val="100510580"/>
        </w:numPr>
        <w:ind w:left="360"/>
      </w:pPr>
      <w:r>
        <w:t xml:space="preserve">Indien het kabinet meent dat “er niets verandert” en sociale partners in de praktijk toch een Nederlands fonds kunnen aanwijzen: wat zegt dit over de prioriteit die wordt gegeven aan het belang van de deelnemer? Stel dat een buitenlandse partij (of een PPI/verzekeraar) aantoonbaar goedkoper, transparanter of met betere rendement-risico-verhoudingen kan opereren – hoe waarborgt het kabinet dan dat het belang van de deelnemer prevaleert boven het behoud van een Nederlands monopolie?</w:t>
      </w:r>
      <w:r>
        <w:br/>
      </w:r>
    </w:p>
    <w:p>
      <w:pPr>
        <w:pStyle w:val="ListParagraph"/>
        <w:numPr>
          <w:ilvl w:val="0"/>
          <w:numId w:val="100510580"/>
        </w:numPr>
        <w:ind w:left="360"/>
      </w:pPr>
      <w:r>
        <w:t xml:space="preserve">Is het kabinet bekend met de rechtspraak van het Hof van Justitie (en latere jurisprudentie over vrijheid van vestiging), zoals Inspire Art Ltd (C-167/01, 30 september 2003) waarin werd geoordeeld dat extra nationale eisen aan een geldig opgerichte buitenlandse vennootschap in strijd zijn met de vrijheid van vestiging? Lidstaten mogen geen “eigen” rechtsvorm eisen of equivalenten opleggen om eigen regels af te dwingen. Hoe ziet het kabinet dit?</w:t>
      </w:r>
      <w:r>
        <w:br/>
      </w:r>
    </w:p>
    <w:p>
      <w:pPr>
        <w:pStyle w:val="ListParagraph"/>
        <w:numPr>
          <w:ilvl w:val="0"/>
          <w:numId w:val="100510580"/>
        </w:numPr>
        <w:ind w:left="360"/>
      </w:pPr>
      <w:r>
        <w:t xml:space="preserve">Welke concrete voorwaarden, toezichtseisen en waarborgen heeft het kabinet in gedachten voor buitenlandse entiteiten (inclusief PPI’s en verzekeraars) die een verplichtgestelde regeling willen uitvoeren? Hoe worden deze eisen getoetst op proportionaliteit, non-discriminatie en verenigbaarheid met de Inspire Art-doctrine?</w:t>
      </w:r>
      <w:r>
        <w:br/>
      </w:r>
    </w:p>
    <w:p>
      <w:pPr>
        <w:pStyle w:val="ListParagraph"/>
        <w:numPr>
          <w:ilvl w:val="0"/>
          <w:numId w:val="100510580"/>
        </w:numPr>
        <w:ind w:left="360"/>
      </w:pPr>
      <w:r>
        <w:t xml:space="preserve">Ziet u kansen in een meer open stelsel met verplichte deelname aan een pensioenregeling, maar vrije keuze van uitvoerder? Hoe verhoudt zich dat tot de solidariteit en het polderoverleg met sociale partners?</w:t>
      </w:r>
      <w:r>
        <w:br/>
      </w:r>
    </w:p>
    <w:p>
      <w:pPr>
        <w:pStyle w:val="ListParagraph"/>
        <w:numPr>
          <w:ilvl w:val="0"/>
          <w:numId w:val="100510580"/>
        </w:numPr>
        <w:ind w:left="360"/>
      </w:pPr>
      <w:r>
        <w:t xml:space="preserve">Is het denkbaar dat Nederland een boete- of infractieprocedure krijgt van de Europese Commissie, en dat individuele werkgevers (zoals in de Booking.com-zaak) alsnog geconfronteerd worden met enorme navorderingen?</w:t>
      </w:r>
      <w:r>
        <w:br/>
      </w:r>
    </w:p>
    <w:p>
      <w:pPr>
        <w:pStyle w:val="ListParagraph"/>
        <w:numPr>
          <w:ilvl w:val="0"/>
          <w:numId w:val="100510580"/>
        </w:numPr>
        <w:ind w:left="360"/>
      </w:pPr>
      <w:r>
        <w:t xml:space="preserve">Welke stappen gaat u nemen om de Tweede Kamer proactief te betrekken bij deze ontwikkeling, bijvoorbeeld via een spoeddebat of een brief met een impactanalyse, voordat eventuele Europese stappen onomkeerbaar worden?</w:t>
      </w:r>
      <w:r>
        <w:br/>
      </w:r>
    </w:p>
    <w:p>
      <w:pPr>
        <w:pStyle w:val="ListParagraph"/>
        <w:numPr>
          <w:ilvl w:val="0"/>
          <w:numId w:val="100510580"/>
        </w:numPr>
        <w:ind w:left="360"/>
      </w:pPr>
      <w:r>
        <w:t xml:space="preserve">Waarom weigert het kabinet consistent om landsadvocaat-adviezen over het invaren van pensioenen openbaar te maken, terwijl in 2011 al expliciet werd erkend dat er (minstens) twee adviezen waren over het omzetten van oude rechten in een nieuw contract? Kunt u deze adviezen alsnog volledig (ongecensureerd) aan de Kamer doen toekomen?</w:t>
      </w:r>
      <w:r>
        <w:br/>
      </w:r>
    </w:p>
    <w:p>
      <w:pPr>
        <w:pStyle w:val="ListParagraph"/>
        <w:numPr>
          <w:ilvl w:val="0"/>
          <w:numId w:val="100510580"/>
        </w:numPr>
        <w:ind w:left="360"/>
      </w:pPr>
      <w:r>
        <w:t xml:space="preserve">Klopt het dat voormalig minister Koolmees tijdens het debat over het pensioenakkoord in juni 2019 aan het Kamerlid Van Brenk (50PLUS) heeft bevestigd dat “het pensioenakkoord van de baan is” als de verplichtstelling in gevaar komt? Kunt u de consequenties hiervan, in het licht van de huidige inzet van de Europese Commissie, toelichten?</w:t>
      </w:r>
      <w:r>
        <w:br/>
      </w:r>
    </w:p>
    <w:p>
      <w:r>
        <w:t xml:space="preserve"> </w:t>
      </w:r>
      <w:r>
        <w:br/>
      </w:r>
    </w:p>
    <w:p>
      <w:r>
        <w:t xml:space="preserve">1) https://x.com/LawPension/status/2059262266218856779?s=20</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