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247DC6F1">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0CEC663B">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00796673">
        <w:rPr>
          <w:rFonts w:ascii="Times New Roman" w:hAnsi="Times New Roman" w:eastAsia="Times New Roman" w:cs="Times New Roman"/>
          <w:b/>
          <w:bCs/>
          <w:kern w:val="0"/>
          <w:lang w:eastAsia="nl-NL"/>
          <w14:ligatures w14:val="none"/>
        </w:rPr>
        <w:t>3427</w:t>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0E7CA15A">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Vastgesteld d.d. </w:t>
      </w:r>
      <w:r w:rsidR="00151782">
        <w:rPr>
          <w:rFonts w:ascii="Times New Roman" w:hAnsi="Times New Roman" w:eastAsia="Times New Roman" w:cs="Times New Roman"/>
          <w:bCs/>
          <w:kern w:val="0"/>
          <w:lang w:eastAsia="nl-NL"/>
          <w14:ligatures w14:val="none"/>
        </w:rPr>
        <w:t>…</w:t>
      </w:r>
      <w:r w:rsidR="00796673">
        <w:rPr>
          <w:rFonts w:ascii="Times New Roman" w:hAnsi="Times New Roman" w:eastAsia="Times New Roman" w:cs="Times New Roman"/>
          <w:bCs/>
          <w:kern w:val="0"/>
          <w:lang w:eastAsia="nl-NL"/>
          <w14:ligatures w14:val="none"/>
        </w:rPr>
        <w:t xml:space="preserve"> juni 2026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79C69ABE">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5200CB">
        <w:rPr>
          <w:rFonts w:ascii="Times New Roman" w:hAnsi="Times New Roman" w:eastAsia="Calibri" w:cs="Times New Roman"/>
          <w:kern w:val="0"/>
          <w14:ligatures w14:val="none"/>
        </w:rPr>
        <w:t>1 juni 2026</w:t>
      </w:r>
      <w:r w:rsidR="00422741">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inzake </w:t>
      </w:r>
      <w:r w:rsidR="005200CB">
        <w:rPr>
          <w:rFonts w:ascii="Times New Roman" w:hAnsi="Times New Roman" w:eastAsia="Calibri" w:cs="Times New Roman"/>
        </w:rPr>
        <w:t>de geannoteerde agenda Raad Algemene Zaken van 16 juni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w:t>
      </w:r>
      <w:r w:rsidR="008928D3">
        <w:rPr>
          <w:rFonts w:ascii="Times New Roman" w:hAnsi="Times New Roman" w:eastAsia="Calibri" w:cs="Times New Roman"/>
        </w:rPr>
        <w:t xml:space="preserve"> </w:t>
      </w:r>
      <w:r w:rsidR="005200CB">
        <w:rPr>
          <w:rFonts w:ascii="Times New Roman" w:hAnsi="Times New Roman" w:eastAsia="Calibri" w:cs="Times New Roman"/>
        </w:rPr>
        <w:t>21501-02, nr. 3427</w:t>
      </w:r>
      <w:r w:rsidR="008928D3">
        <w:rPr>
          <w:rFonts w:ascii="Times New Roman" w:hAnsi="Times New Roman" w:eastAsia="Calibri" w:cs="Times New Roman"/>
        </w:rPr>
        <w:t>)</w:t>
      </w:r>
      <w:r w:rsidR="007A4FF4">
        <w:rPr>
          <w:rFonts w:ascii="Times New Roman" w:hAnsi="Times New Roman" w:eastAsia="Calibri" w:cs="Times New Roman"/>
        </w:rPr>
        <w:t xml:space="preserve">, </w:t>
      </w:r>
      <w:r w:rsidR="008928D3">
        <w:rPr>
          <w:rFonts w:ascii="Times New Roman" w:hAnsi="Times New Roman" w:eastAsia="Calibri" w:cs="Times New Roman"/>
        </w:rPr>
        <w:t xml:space="preserve">de </w:t>
      </w:r>
      <w:r w:rsidRPr="00733336" w:rsidR="00336FC2">
        <w:rPr>
          <w:rFonts w:ascii="Times New Roman" w:hAnsi="Times New Roman" w:eastAsia="Calibri" w:cs="Times New Roman"/>
          <w:kern w:val="0"/>
          <w14:ligatures w14:val="none"/>
        </w:rPr>
        <w:t xml:space="preserve">brief d.d. </w:t>
      </w:r>
      <w:r w:rsidR="00A22DB3">
        <w:rPr>
          <w:rFonts w:ascii="Times New Roman" w:hAnsi="Times New Roman" w:eastAsia="Calibri" w:cs="Times New Roman"/>
          <w:kern w:val="0"/>
          <w14:ligatures w14:val="none"/>
        </w:rPr>
        <w:t>16 januari 2026</w:t>
      </w:r>
      <w:r w:rsidR="00336FC2">
        <w:rPr>
          <w:rFonts w:ascii="Times New Roman" w:hAnsi="Times New Roman" w:eastAsia="Calibri" w:cs="Times New Roman"/>
          <w:kern w:val="0"/>
          <w14:ligatures w14:val="none"/>
        </w:rPr>
        <w:t xml:space="preserve"> </w:t>
      </w:r>
      <w:r w:rsidRPr="00733336" w:rsidR="00336FC2">
        <w:rPr>
          <w:rFonts w:ascii="Times New Roman" w:hAnsi="Times New Roman" w:eastAsia="Calibri" w:cs="Times New Roman"/>
          <w:kern w:val="0"/>
          <w14:ligatures w14:val="none"/>
        </w:rPr>
        <w:t xml:space="preserve">inzake </w:t>
      </w:r>
      <w:r w:rsidR="00A22DB3">
        <w:rPr>
          <w:rFonts w:ascii="Times New Roman" w:hAnsi="Times New Roman" w:eastAsia="Calibri" w:cs="Times New Roman"/>
        </w:rPr>
        <w:t>de Kabinetsreactie AIV-advies loyale samenwerking in de EU</w:t>
      </w:r>
      <w:r w:rsidR="00336FC2">
        <w:rPr>
          <w:rFonts w:ascii="Times New Roman" w:hAnsi="Times New Roman" w:eastAsia="Calibri" w:cs="Times New Roman"/>
          <w:kern w:val="0"/>
          <w14:ligatures w14:val="none"/>
        </w:rPr>
        <w:t xml:space="preserve">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336FC2">
        <w:rPr>
          <w:rFonts w:ascii="Times New Roman" w:hAnsi="Times New Roman" w:eastAsia="Calibri" w:cs="Times New Roman"/>
        </w:rPr>
        <w:t xml:space="preserve"> </w:t>
      </w:r>
      <w:r w:rsidR="00A22DB3">
        <w:rPr>
          <w:rFonts w:ascii="Times New Roman" w:hAnsi="Times New Roman" w:eastAsia="Calibri" w:cs="Times New Roman"/>
        </w:rPr>
        <w:t>36715-</w:t>
      </w:r>
      <w:r w:rsidR="007A4FF4">
        <w:rPr>
          <w:rFonts w:ascii="Times New Roman" w:hAnsi="Times New Roman" w:eastAsia="Calibri" w:cs="Times New Roman"/>
        </w:rPr>
        <w:t>31</w:t>
      </w:r>
      <w:r w:rsidR="00336FC2">
        <w:rPr>
          <w:rFonts w:ascii="Times New Roman" w:hAnsi="Times New Roman" w:eastAsia="Calibri" w:cs="Times New Roman"/>
        </w:rPr>
        <w:t>)</w:t>
      </w:r>
      <w:r w:rsidR="007A4FF4">
        <w:rPr>
          <w:rFonts w:ascii="Times New Roman" w:hAnsi="Times New Roman" w:eastAsia="Calibri" w:cs="Times New Roman"/>
        </w:rPr>
        <w:t xml:space="preserve"> en de brief d.d. 18 mei 2026 inzake het Verslag informele Raad Algemene Zaken van 11 mei 2026 (Kamerstuk 21501-02, nr. </w:t>
      </w:r>
      <w:r w:rsidR="00F73E25">
        <w:rPr>
          <w:rFonts w:ascii="Times New Roman" w:hAnsi="Times New Roman" w:eastAsia="Calibri" w:cs="Times New Roman"/>
        </w:rPr>
        <w:t>3399)</w:t>
      </w:r>
      <w:r w:rsidR="00336FC2">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433F806E">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w:t>
      </w:r>
      <w:r w:rsidR="00DE1421">
        <w:rPr>
          <w:rFonts w:ascii="Times New Roman" w:hAnsi="Times New Roman" w:eastAsia="Times New Roman" w:cs="Times New Roman"/>
          <w:kern w:val="0"/>
          <w:lang w:eastAsia="nl-NL"/>
          <w14:ligatures w14:val="none"/>
        </w:rPr>
        <w:t xml:space="preserve"> vragen</w:t>
      </w:r>
      <w:r w:rsidRPr="00733336">
        <w:rPr>
          <w:rFonts w:ascii="Times New Roman" w:hAnsi="Times New Roman" w:eastAsia="Times New Roman" w:cs="Times New Roman"/>
          <w:kern w:val="0"/>
          <w:lang w:eastAsia="nl-NL"/>
          <w14:ligatures w14:val="none"/>
        </w:rPr>
        <w:t xml:space="preserv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4C2C65AC" w14:textId="28F6F2D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3E25" w:rsidP="0089565E" w:rsidRDefault="00F73E25" w14:paraId="43DA2086" w14:textId="29E6447E">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Van </w:t>
      </w:r>
      <w:proofErr w:type="spellStart"/>
      <w:r>
        <w:rPr>
          <w:rFonts w:ascii="Times New Roman" w:hAnsi="Times New Roman" w:eastAsia="Times New Roman" w:cs="Times New Roman"/>
          <w:kern w:val="0"/>
          <w:lang w:eastAsia="nl-NL"/>
          <w14:ligatures w14:val="none"/>
        </w:rPr>
        <w:t>Meetelen</w:t>
      </w:r>
      <w:proofErr w:type="spellEnd"/>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705B9C88" w14:textId="1B39111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F73E25" w:rsidP="0089565E" w:rsidRDefault="00F73E25" w14:paraId="4C39198B" w14:textId="27A99ACC">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p>
    <w:p w:rsidRPr="00733336" w:rsidR="0089565E" w:rsidP="0089565E" w:rsidRDefault="00E605FF" w14:paraId="2798F8DF" w14:textId="28F6E6FF">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640549" w:rsidP="00F73E25" w:rsidRDefault="00640549" w14:paraId="746F56A8" w14:textId="77777777">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C64ABF" w:rsidP="00F73E25" w:rsidRDefault="00C64ABF" w14:paraId="6C04CB9D" w14:textId="0AB7E562">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F73E25" w:rsidP="00F73E25" w:rsidRDefault="00F73E25" w14:paraId="630A943B" w14:textId="168481AC">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Pr="00F73E25" w:rsidR="00F73E25" w:rsidP="00F73E25" w:rsidRDefault="00821BED" w14:paraId="33310291" w14:textId="4395C099">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00F73E25">
        <w:rPr>
          <w:rFonts w:ascii="Times New Roman" w:hAnsi="Times New Roman" w:eastAsia="Times New Roman" w:cs="Times New Roman"/>
          <w:kern w:val="0"/>
          <w:lang w:eastAsia="nl-NL"/>
          <w14:ligatures w14:val="none"/>
        </w:rPr>
        <w:t xml:space="preserve"> CDA</w:t>
      </w:r>
      <w:r w:rsidRPr="30E3A035" w:rsidR="03080C55">
        <w:rPr>
          <w:rFonts w:ascii="Times New Roman" w:hAnsi="Times New Roman" w:eastAsia="Times New Roman" w:cs="Times New Roman"/>
          <w:lang w:eastAsia="nl-NL"/>
        </w:rPr>
        <w:t>-fractie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NoSpacing"/>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NoSpacing"/>
        <w:rPr>
          <w:rFonts w:ascii="Times New Roman" w:hAnsi="Times New Roman" w:cs="Times New Roman"/>
        </w:rPr>
      </w:pPr>
    </w:p>
    <w:p w:rsidR="007B2E58" w:rsidP="30E3A035" w:rsidRDefault="007B2E58" w14:paraId="6BC5B36B" w14:textId="703A17BD">
      <w:pPr>
        <w:pStyle w:val="NoSpacing"/>
        <w:rPr>
          <w:rFonts w:ascii="Times New Roman" w:hAnsi="Times New Roman" w:cs="Times New Roman"/>
        </w:rPr>
      </w:pPr>
      <w:r>
        <w:rPr>
          <w:rFonts w:ascii="Times New Roman" w:hAnsi="Times New Roman" w:cs="Times New Roman"/>
          <w:b/>
          <w:bCs/>
        </w:rPr>
        <w:t>Vragen en opmerkingen van de leden van de D66-fractie</w:t>
      </w:r>
    </w:p>
    <w:p w:rsidR="007B2E58" w:rsidP="30E3A035" w:rsidRDefault="007B2E58" w14:paraId="4136942C" w14:textId="77777777">
      <w:pPr>
        <w:pStyle w:val="NoSpacing"/>
        <w:rPr>
          <w:rFonts w:ascii="Times New Roman" w:hAnsi="Times New Roman" w:cs="Times New Roman"/>
        </w:rPr>
      </w:pPr>
    </w:p>
    <w:p w:rsidR="007B2E58" w:rsidP="007B2E58" w:rsidRDefault="007B2E58" w14:paraId="28A0A74B" w14:textId="138A60D7">
      <w:pPr>
        <w:pStyle w:val="NoSpacing"/>
        <w:rPr>
          <w:rFonts w:ascii="Times New Roman" w:hAnsi="Times New Roman" w:cs="Times New Roman"/>
        </w:rPr>
      </w:pPr>
      <w:r w:rsidRPr="007B2E58">
        <w:rPr>
          <w:rFonts w:ascii="Times New Roman" w:hAnsi="Times New Roman" w:cs="Times New Roman"/>
        </w:rPr>
        <w:t>De leden van de D66</w:t>
      </w:r>
      <w:r>
        <w:rPr>
          <w:rFonts w:ascii="Times New Roman" w:hAnsi="Times New Roman" w:cs="Times New Roman"/>
        </w:rPr>
        <w:t>-</w:t>
      </w:r>
      <w:r w:rsidRPr="007B2E58">
        <w:rPr>
          <w:rFonts w:ascii="Times New Roman" w:hAnsi="Times New Roman" w:cs="Times New Roman"/>
        </w:rPr>
        <w:t>fractie hebben met interesse kennisgenomen van de geannoteerde agenda voor de Raad Algemene Zaken. Hierover hebben zij de volgende vragen</w:t>
      </w:r>
      <w:r>
        <w:rPr>
          <w:rFonts w:ascii="Times New Roman" w:hAnsi="Times New Roman" w:cs="Times New Roman"/>
        </w:rPr>
        <w:t>.</w:t>
      </w:r>
    </w:p>
    <w:p w:rsidRPr="007B2E58" w:rsidR="007B2E58" w:rsidP="007B2E58" w:rsidRDefault="007B2E58" w14:paraId="209B403B" w14:textId="77777777">
      <w:pPr>
        <w:pStyle w:val="NoSpacing"/>
        <w:rPr>
          <w:rFonts w:ascii="Times New Roman" w:hAnsi="Times New Roman" w:cs="Times New Roman"/>
        </w:rPr>
      </w:pPr>
    </w:p>
    <w:p w:rsidR="00AE299D" w:rsidP="00607E7A" w:rsidRDefault="002845FA" w14:paraId="6E69ED8D" w14:textId="42183B63">
      <w:pPr>
        <w:pStyle w:val="NoSpacing"/>
        <w:rPr>
          <w:rFonts w:ascii="Times New Roman" w:hAnsi="Times New Roman" w:cs="Times New Roman"/>
          <w:b/>
          <w:bCs/>
        </w:rPr>
      </w:pPr>
      <w:r>
        <w:rPr>
          <w:rFonts w:ascii="Times New Roman" w:hAnsi="Times New Roman" w:cs="Times New Roman"/>
        </w:rPr>
        <w:t>De leden van de D66-fractie vragen h</w:t>
      </w:r>
      <w:r w:rsidRPr="007B2E58" w:rsidR="007B2E58">
        <w:rPr>
          <w:rFonts w:ascii="Times New Roman" w:hAnsi="Times New Roman" w:cs="Times New Roman"/>
        </w:rPr>
        <w:t xml:space="preserve">oe het kabinet </w:t>
      </w:r>
      <w:r w:rsidR="00640549">
        <w:rPr>
          <w:rFonts w:ascii="Times New Roman" w:hAnsi="Times New Roman" w:cs="Times New Roman"/>
        </w:rPr>
        <w:t xml:space="preserve">staat </w:t>
      </w:r>
      <w:r w:rsidRPr="007B2E58" w:rsidR="007B2E58">
        <w:rPr>
          <w:rFonts w:ascii="Times New Roman" w:hAnsi="Times New Roman" w:cs="Times New Roman"/>
        </w:rPr>
        <w:t xml:space="preserve">tegenover het voorstel van de Europese </w:t>
      </w:r>
      <w:r w:rsidR="00DE1421">
        <w:rPr>
          <w:rFonts w:ascii="Times New Roman" w:hAnsi="Times New Roman" w:cs="Times New Roman"/>
        </w:rPr>
        <w:t>C</w:t>
      </w:r>
      <w:r w:rsidRPr="007B2E58" w:rsidR="007B2E58">
        <w:rPr>
          <w:rFonts w:ascii="Times New Roman" w:hAnsi="Times New Roman" w:cs="Times New Roman"/>
        </w:rPr>
        <w:t xml:space="preserve">ommissie om hoofdstuk 2 van de onderhandelingen met Montenegro over toetreding tot de </w:t>
      </w:r>
      <w:r w:rsidR="009507D2">
        <w:rPr>
          <w:rFonts w:ascii="Times New Roman" w:hAnsi="Times New Roman" w:cs="Times New Roman"/>
        </w:rPr>
        <w:t>Europese Unie (</w:t>
      </w:r>
      <w:r w:rsidRPr="007B2E58" w:rsidR="007B2E58">
        <w:rPr>
          <w:rFonts w:ascii="Times New Roman" w:hAnsi="Times New Roman" w:cs="Times New Roman"/>
        </w:rPr>
        <w:t>EU</w:t>
      </w:r>
      <w:r w:rsidR="009507D2">
        <w:rPr>
          <w:rFonts w:ascii="Times New Roman" w:hAnsi="Times New Roman" w:cs="Times New Roman"/>
        </w:rPr>
        <w:t>)</w:t>
      </w:r>
      <w:r w:rsidRPr="007B2E58" w:rsidR="007B2E58">
        <w:rPr>
          <w:rFonts w:ascii="Times New Roman" w:hAnsi="Times New Roman" w:cs="Times New Roman"/>
        </w:rPr>
        <w:t xml:space="preserve"> te sluiten</w:t>
      </w:r>
      <w:r>
        <w:rPr>
          <w:rFonts w:ascii="Times New Roman" w:hAnsi="Times New Roman" w:cs="Times New Roman"/>
        </w:rPr>
        <w:t>.</w:t>
      </w:r>
      <w:r w:rsidR="007B2E58">
        <w:rPr>
          <w:rFonts w:ascii="Times New Roman" w:hAnsi="Times New Roman" w:cs="Times New Roman"/>
        </w:rPr>
        <w:t xml:space="preserve"> </w:t>
      </w:r>
      <w:r w:rsidR="008326BF">
        <w:rPr>
          <w:rFonts w:ascii="Times New Roman" w:hAnsi="Times New Roman" w:cs="Times New Roman"/>
        </w:rPr>
        <w:br/>
      </w:r>
    </w:p>
    <w:p w:rsidR="004421C9" w:rsidP="004421C9" w:rsidRDefault="00AE299D" w14:paraId="65BE9A94" w14:textId="24C59BC1">
      <w:pPr>
        <w:pStyle w:val="NoSpacing"/>
        <w:numPr>
          <w:ilvl w:val="0"/>
          <w:numId w:val="42"/>
        </w:numPr>
        <w:rPr>
          <w:rFonts w:ascii="Times New Roman" w:hAnsi="Times New Roman" w:cs="Times New Roman"/>
          <w:b/>
          <w:bCs/>
        </w:rPr>
      </w:pPr>
      <w:r w:rsidRPr="005B264F">
        <w:rPr>
          <w:rFonts w:ascii="Times New Roman" w:hAnsi="Times New Roman" w:cs="Times New Roman"/>
          <w:b/>
          <w:bCs/>
          <w:u w:val="single"/>
        </w:rPr>
        <w:t>Antwoord van het kabinet</w:t>
      </w:r>
    </w:p>
    <w:p w:rsidRPr="00583001" w:rsidR="008326BF" w:rsidP="004421C9" w:rsidRDefault="008326BF" w14:paraId="763E3C3D" w14:textId="384A672F">
      <w:pPr>
        <w:pStyle w:val="NoSpacing"/>
        <w:rPr>
          <w:rFonts w:ascii="Times New Roman" w:hAnsi="Times New Roman" w:cs="Times New Roman"/>
          <w:b/>
          <w:bCs/>
        </w:rPr>
      </w:pPr>
      <w:r>
        <w:rPr>
          <w:rFonts w:ascii="Times New Roman" w:hAnsi="Times New Roman" w:cs="Times New Roman"/>
          <w:b/>
          <w:bCs/>
        </w:rPr>
        <w:t>H</w:t>
      </w:r>
      <w:r w:rsidRPr="00686983">
        <w:rPr>
          <w:rFonts w:ascii="Times New Roman" w:hAnsi="Times New Roman" w:cs="Times New Roman"/>
          <w:b/>
          <w:bCs/>
        </w:rPr>
        <w:t xml:space="preserve">oofdstuk </w:t>
      </w:r>
      <w:r>
        <w:rPr>
          <w:rFonts w:ascii="Times New Roman" w:hAnsi="Times New Roman" w:cs="Times New Roman"/>
          <w:b/>
          <w:bCs/>
        </w:rPr>
        <w:t xml:space="preserve">2 </w:t>
      </w:r>
      <w:r w:rsidRPr="00686983">
        <w:rPr>
          <w:rFonts w:ascii="Times New Roman" w:hAnsi="Times New Roman" w:cs="Times New Roman"/>
          <w:b/>
          <w:bCs/>
        </w:rPr>
        <w:t xml:space="preserve">omvat onder andere </w:t>
      </w:r>
      <w:r w:rsidR="00CC03F3">
        <w:rPr>
          <w:rFonts w:ascii="Times New Roman" w:hAnsi="Times New Roman" w:cs="Times New Roman"/>
          <w:b/>
          <w:bCs/>
        </w:rPr>
        <w:t xml:space="preserve">de </w:t>
      </w:r>
      <w:r w:rsidRPr="00686983">
        <w:rPr>
          <w:rFonts w:ascii="Times New Roman" w:hAnsi="Times New Roman" w:cs="Times New Roman"/>
          <w:b/>
          <w:bCs/>
        </w:rPr>
        <w:t>toegang tot de arbeidsmarkt in lidstaten, coördinatie van socialezekerheidsstelsels, versterking van de capaciteit van de arbeidsinspectie, en samenwerking tussen lidstaten en de Europese Arbeidsautoriteit. Bij d</w:t>
      </w:r>
      <w:r w:rsidR="00CC03F3">
        <w:rPr>
          <w:rFonts w:ascii="Times New Roman" w:hAnsi="Times New Roman" w:cs="Times New Roman"/>
          <w:b/>
          <w:bCs/>
        </w:rPr>
        <w:t xml:space="preserve">e behandeling van de </w:t>
      </w:r>
      <w:r w:rsidR="00CC03F3">
        <w:rPr>
          <w:rFonts w:ascii="Times New Roman" w:hAnsi="Times New Roman" w:cs="Times New Roman"/>
          <w:b/>
          <w:bCs/>
          <w:i/>
          <w:iCs/>
        </w:rPr>
        <w:t xml:space="preserve">Draft Common </w:t>
      </w:r>
      <w:proofErr w:type="spellStart"/>
      <w:r w:rsidR="00CC03F3">
        <w:rPr>
          <w:rFonts w:ascii="Times New Roman" w:hAnsi="Times New Roman" w:cs="Times New Roman"/>
          <w:b/>
          <w:bCs/>
          <w:i/>
          <w:iCs/>
        </w:rPr>
        <w:t>Position</w:t>
      </w:r>
      <w:proofErr w:type="spellEnd"/>
      <w:r w:rsidR="00CC03F3">
        <w:rPr>
          <w:rFonts w:ascii="Times New Roman" w:hAnsi="Times New Roman" w:cs="Times New Roman"/>
          <w:b/>
          <w:bCs/>
          <w:i/>
          <w:iCs/>
        </w:rPr>
        <w:t xml:space="preserve"> </w:t>
      </w:r>
      <w:r w:rsidR="00CC03F3">
        <w:rPr>
          <w:rFonts w:ascii="Times New Roman" w:hAnsi="Times New Roman" w:cs="Times New Roman"/>
          <w:b/>
          <w:bCs/>
        </w:rPr>
        <w:t>(DCP) voor d</w:t>
      </w:r>
      <w:r w:rsidRPr="00686983">
        <w:rPr>
          <w:rFonts w:ascii="Times New Roman" w:hAnsi="Times New Roman" w:cs="Times New Roman"/>
          <w:b/>
          <w:bCs/>
        </w:rPr>
        <w:t xml:space="preserve">it hoofdstuk zijn tevens </w:t>
      </w:r>
      <w:r w:rsidR="00CC03F3">
        <w:rPr>
          <w:rFonts w:ascii="Times New Roman" w:hAnsi="Times New Roman" w:cs="Times New Roman"/>
          <w:b/>
          <w:bCs/>
        </w:rPr>
        <w:t xml:space="preserve">de </w:t>
      </w:r>
      <w:r w:rsidRPr="00686983">
        <w:rPr>
          <w:rFonts w:ascii="Times New Roman" w:hAnsi="Times New Roman" w:cs="Times New Roman"/>
          <w:b/>
          <w:bCs/>
        </w:rPr>
        <w:t xml:space="preserve">transitiemaatregelen </w:t>
      </w:r>
      <w:r w:rsidRPr="00686983" w:rsidR="00CC03F3">
        <w:rPr>
          <w:rFonts w:ascii="Times New Roman" w:hAnsi="Times New Roman" w:cs="Times New Roman"/>
          <w:b/>
          <w:bCs/>
        </w:rPr>
        <w:t xml:space="preserve">behandeld </w:t>
      </w:r>
      <w:r w:rsidRPr="00686983">
        <w:rPr>
          <w:rFonts w:ascii="Times New Roman" w:hAnsi="Times New Roman" w:cs="Times New Roman"/>
          <w:b/>
          <w:bCs/>
        </w:rPr>
        <w:t xml:space="preserve">voor vrij verkeer van werknemers en </w:t>
      </w:r>
      <w:r w:rsidR="00CC03F3">
        <w:rPr>
          <w:rFonts w:ascii="Times New Roman" w:hAnsi="Times New Roman" w:cs="Times New Roman"/>
          <w:b/>
          <w:bCs/>
        </w:rPr>
        <w:t xml:space="preserve">voor </w:t>
      </w:r>
      <w:r w:rsidRPr="00686983">
        <w:rPr>
          <w:rFonts w:ascii="Times New Roman" w:hAnsi="Times New Roman" w:cs="Times New Roman"/>
          <w:b/>
          <w:bCs/>
        </w:rPr>
        <w:t xml:space="preserve">arbeidsmobiliteit </w:t>
      </w:r>
      <w:r w:rsidRPr="00CC03F3" w:rsidR="00CC03F3">
        <w:rPr>
          <w:rFonts w:ascii="Times New Roman" w:hAnsi="Times New Roman" w:cs="Times New Roman"/>
          <w:b/>
          <w:bCs/>
        </w:rPr>
        <w:t xml:space="preserve">op grond van het vrij verkeer van diensten </w:t>
      </w:r>
      <w:r w:rsidR="00627102">
        <w:rPr>
          <w:rFonts w:ascii="Times New Roman" w:hAnsi="Times New Roman" w:cs="Times New Roman"/>
          <w:b/>
          <w:bCs/>
        </w:rPr>
        <w:t xml:space="preserve">afspraken </w:t>
      </w:r>
      <w:r w:rsidRPr="00CC03F3" w:rsidR="00CC03F3">
        <w:rPr>
          <w:rFonts w:ascii="Times New Roman" w:hAnsi="Times New Roman" w:cs="Times New Roman"/>
          <w:b/>
          <w:bCs/>
        </w:rPr>
        <w:t>vastgelegd</w:t>
      </w:r>
      <w:r w:rsidR="008C19B4">
        <w:rPr>
          <w:rFonts w:ascii="Times New Roman" w:hAnsi="Times New Roman" w:cs="Times New Roman"/>
          <w:b/>
          <w:bCs/>
        </w:rPr>
        <w:t>.</w:t>
      </w:r>
      <w:r w:rsidRPr="00686983">
        <w:rPr>
          <w:rFonts w:ascii="Times New Roman" w:hAnsi="Times New Roman" w:cs="Times New Roman"/>
          <w:b/>
          <w:bCs/>
        </w:rPr>
        <w:br/>
      </w:r>
      <w:r w:rsidRPr="00686983">
        <w:rPr>
          <w:rFonts w:ascii="Times New Roman" w:hAnsi="Times New Roman" w:cs="Times New Roman"/>
          <w:b/>
          <w:bCs/>
        </w:rPr>
        <w:br/>
        <w:t>Het kabinet weegt de bredere (rechtsstaats-)situatie in Montenegro zodanig dat het een kritisch-constructieve grondhouding heeft ten aanzien van voorstellen van de Commissie voor het onder voorbehoud sluiten van individuele hoofdstukken. Het kabinet kan d</w:t>
      </w:r>
      <w:r w:rsidR="00627102">
        <w:rPr>
          <w:rFonts w:ascii="Times New Roman" w:hAnsi="Times New Roman" w:cs="Times New Roman"/>
          <w:b/>
          <w:bCs/>
        </w:rPr>
        <w:t>it</w:t>
      </w:r>
      <w:r w:rsidRPr="00686983">
        <w:rPr>
          <w:rFonts w:ascii="Times New Roman" w:hAnsi="Times New Roman" w:cs="Times New Roman"/>
          <w:b/>
          <w:bCs/>
        </w:rPr>
        <w:t xml:space="preserve"> steunen, mits Montenegro blijvend investeert in versterking van de administratieve en personele capaciteit, en aan de beleidsinhoudelijke </w:t>
      </w:r>
      <w:proofErr w:type="spellStart"/>
      <w:r w:rsidRPr="00686983">
        <w:rPr>
          <w:rFonts w:ascii="Times New Roman" w:hAnsi="Times New Roman" w:cs="Times New Roman"/>
          <w:b/>
          <w:bCs/>
          <w:i/>
          <w:iCs/>
        </w:rPr>
        <w:t>closing</w:t>
      </w:r>
      <w:proofErr w:type="spellEnd"/>
      <w:r w:rsidRPr="00686983">
        <w:rPr>
          <w:rFonts w:ascii="Times New Roman" w:hAnsi="Times New Roman" w:cs="Times New Roman"/>
          <w:b/>
          <w:bCs/>
          <w:i/>
          <w:iCs/>
        </w:rPr>
        <w:t xml:space="preserve"> benchmarks</w:t>
      </w:r>
      <w:r w:rsidRPr="00686983">
        <w:rPr>
          <w:rFonts w:ascii="Times New Roman" w:hAnsi="Times New Roman" w:cs="Times New Roman"/>
          <w:b/>
          <w:bCs/>
        </w:rPr>
        <w:t xml:space="preserve"> voor individuele hoofdstukken is voldaan.</w:t>
      </w:r>
      <w:r w:rsidR="006427E3">
        <w:rPr>
          <w:rStyle w:val="FootnoteReference"/>
          <w:rFonts w:ascii="Times New Roman" w:hAnsi="Times New Roman" w:cs="Times New Roman"/>
          <w:b/>
          <w:bCs/>
        </w:rPr>
        <w:footnoteReference w:id="2"/>
      </w:r>
      <w:r w:rsidRPr="00686983">
        <w:rPr>
          <w:rFonts w:ascii="Times New Roman" w:hAnsi="Times New Roman" w:cs="Times New Roman"/>
          <w:b/>
          <w:bCs/>
        </w:rPr>
        <w:t xml:space="preserve"> Voor hoofdstuk 2 ziet de </w:t>
      </w:r>
      <w:r w:rsidRPr="00686983">
        <w:rPr>
          <w:rFonts w:ascii="Times New Roman" w:hAnsi="Times New Roman" w:cs="Times New Roman"/>
          <w:b/>
          <w:bCs/>
          <w:i/>
          <w:iCs/>
        </w:rPr>
        <w:t>benchmark</w:t>
      </w:r>
      <w:r w:rsidRPr="00686983">
        <w:rPr>
          <w:rFonts w:ascii="Times New Roman" w:hAnsi="Times New Roman" w:cs="Times New Roman"/>
          <w:b/>
          <w:bCs/>
        </w:rPr>
        <w:t xml:space="preserve"> op het instellen van adequate organisatorische structuren en administratieve en personele capaciteit om op het moment van toetreding toe te zien op effectieve implementatie van het EU-</w:t>
      </w:r>
      <w:proofErr w:type="spellStart"/>
      <w:r w:rsidRPr="00686983">
        <w:rPr>
          <w:rFonts w:ascii="Times New Roman" w:hAnsi="Times New Roman" w:cs="Times New Roman"/>
          <w:b/>
          <w:bCs/>
        </w:rPr>
        <w:t>acquis</w:t>
      </w:r>
      <w:proofErr w:type="spellEnd"/>
      <w:r w:rsidRPr="00686983">
        <w:rPr>
          <w:rFonts w:ascii="Times New Roman" w:hAnsi="Times New Roman" w:cs="Times New Roman"/>
          <w:b/>
          <w:bCs/>
        </w:rPr>
        <w:t xml:space="preserve"> </w:t>
      </w:r>
      <w:r w:rsidR="00422512">
        <w:rPr>
          <w:rFonts w:ascii="Times New Roman" w:hAnsi="Times New Roman" w:cs="Times New Roman"/>
          <w:b/>
          <w:bCs/>
        </w:rPr>
        <w:t xml:space="preserve">dat valt </w:t>
      </w:r>
      <w:r w:rsidRPr="00686983">
        <w:rPr>
          <w:rFonts w:ascii="Times New Roman" w:hAnsi="Times New Roman" w:cs="Times New Roman"/>
          <w:b/>
          <w:bCs/>
        </w:rPr>
        <w:t xml:space="preserve">onder hoofdstuk 2. </w:t>
      </w:r>
      <w:r w:rsidRPr="00686983">
        <w:rPr>
          <w:rFonts w:ascii="Times New Roman" w:hAnsi="Times New Roman" w:cs="Times New Roman"/>
          <w:b/>
          <w:bCs/>
        </w:rPr>
        <w:br/>
      </w:r>
      <w:r w:rsidRPr="00686983">
        <w:rPr>
          <w:rFonts w:ascii="Times New Roman" w:hAnsi="Times New Roman" w:cs="Times New Roman"/>
          <w:b/>
          <w:bCs/>
        </w:rPr>
        <w:br/>
        <w:t xml:space="preserve">Nederland heeft tijdens de behandeling van de </w:t>
      </w:r>
      <w:r w:rsidR="00CC03F3">
        <w:rPr>
          <w:rFonts w:ascii="Times New Roman" w:hAnsi="Times New Roman" w:cs="Times New Roman"/>
          <w:b/>
          <w:bCs/>
        </w:rPr>
        <w:t>DCP</w:t>
      </w:r>
      <w:r w:rsidRPr="00686983">
        <w:rPr>
          <w:rFonts w:ascii="Times New Roman" w:hAnsi="Times New Roman" w:cs="Times New Roman"/>
          <w:b/>
          <w:bCs/>
          <w:i/>
          <w:iCs/>
        </w:rPr>
        <w:t xml:space="preserve"> </w:t>
      </w:r>
      <w:r w:rsidRPr="00686983">
        <w:rPr>
          <w:rFonts w:ascii="Times New Roman" w:hAnsi="Times New Roman" w:cs="Times New Roman"/>
          <w:b/>
          <w:bCs/>
        </w:rPr>
        <w:t xml:space="preserve">in Brussel opgeroepen tot deugdelijke implementatie van hervormingen en nauwe, blijvende monitoring door de Commissie. Voor </w:t>
      </w:r>
      <w:r w:rsidR="00CC03F3">
        <w:rPr>
          <w:rFonts w:ascii="Times New Roman" w:hAnsi="Times New Roman" w:cs="Times New Roman"/>
          <w:b/>
          <w:bCs/>
        </w:rPr>
        <w:t xml:space="preserve">de </w:t>
      </w:r>
      <w:r w:rsidRPr="00686983">
        <w:rPr>
          <w:rFonts w:ascii="Times New Roman" w:hAnsi="Times New Roman" w:cs="Times New Roman"/>
          <w:b/>
          <w:bCs/>
        </w:rPr>
        <w:t xml:space="preserve">transitiemaatregelen </w:t>
      </w:r>
      <w:r w:rsidRPr="00686983" w:rsidR="00CC03F3">
        <w:rPr>
          <w:rFonts w:ascii="Times New Roman" w:hAnsi="Times New Roman" w:cs="Times New Roman"/>
          <w:b/>
          <w:bCs/>
        </w:rPr>
        <w:t xml:space="preserve">voor vrij verkeer van werknemers </w:t>
      </w:r>
      <w:r w:rsidRPr="00686983">
        <w:rPr>
          <w:rFonts w:ascii="Times New Roman" w:hAnsi="Times New Roman" w:cs="Times New Roman"/>
          <w:b/>
          <w:bCs/>
        </w:rPr>
        <w:t xml:space="preserve">heeft Nederland een verlenging van de mogelijke maximumduur met 2 jaar gerealiseerd. Daarmee wordt het mogelijk om arbeidsmobiliteit </w:t>
      </w:r>
      <w:r w:rsidR="00CC03F3">
        <w:rPr>
          <w:rFonts w:ascii="Times New Roman" w:hAnsi="Times New Roman" w:cs="Times New Roman"/>
          <w:b/>
          <w:bCs/>
        </w:rPr>
        <w:t xml:space="preserve">na EU-toetreding van Montenegro </w:t>
      </w:r>
      <w:r w:rsidRPr="00686983">
        <w:rPr>
          <w:rFonts w:ascii="Times New Roman" w:hAnsi="Times New Roman" w:cs="Times New Roman"/>
          <w:b/>
          <w:bCs/>
        </w:rPr>
        <w:t xml:space="preserve">voor een </w:t>
      </w:r>
      <w:r w:rsidR="00CC03F3">
        <w:rPr>
          <w:rFonts w:ascii="Times New Roman" w:hAnsi="Times New Roman" w:cs="Times New Roman"/>
          <w:b/>
          <w:bCs/>
        </w:rPr>
        <w:t xml:space="preserve">initiële </w:t>
      </w:r>
      <w:r w:rsidRPr="00686983">
        <w:rPr>
          <w:rFonts w:ascii="Times New Roman" w:hAnsi="Times New Roman" w:cs="Times New Roman"/>
          <w:b/>
          <w:bCs/>
        </w:rPr>
        <w:t>periode van 4 jaar te beperken, wat vervolgens nog verlengd kan worden met achtereenvolgens 3 en 2 jaar</w:t>
      </w:r>
      <w:r w:rsidR="00CC03F3">
        <w:rPr>
          <w:rFonts w:ascii="Times New Roman" w:hAnsi="Times New Roman" w:cs="Times New Roman"/>
          <w:b/>
          <w:bCs/>
        </w:rPr>
        <w:t>. B</w:t>
      </w:r>
      <w:r w:rsidRPr="00686983">
        <w:rPr>
          <w:rFonts w:ascii="Times New Roman" w:hAnsi="Times New Roman" w:cs="Times New Roman"/>
          <w:b/>
          <w:bCs/>
        </w:rPr>
        <w:t xml:space="preserve">ij eerdere </w:t>
      </w:r>
      <w:r w:rsidR="00CC03F3">
        <w:rPr>
          <w:rFonts w:ascii="Times New Roman" w:hAnsi="Times New Roman" w:cs="Times New Roman"/>
          <w:b/>
          <w:bCs/>
        </w:rPr>
        <w:t>toetredingen</w:t>
      </w:r>
      <w:r w:rsidRPr="00686983">
        <w:rPr>
          <w:rFonts w:ascii="Times New Roman" w:hAnsi="Times New Roman" w:cs="Times New Roman"/>
          <w:b/>
          <w:bCs/>
        </w:rPr>
        <w:t xml:space="preserve"> bedroegen de maximale termijnen </w:t>
      </w:r>
      <w:r w:rsidR="00CC03F3">
        <w:rPr>
          <w:rFonts w:ascii="Times New Roman" w:hAnsi="Times New Roman" w:cs="Times New Roman"/>
          <w:b/>
          <w:bCs/>
        </w:rPr>
        <w:t xml:space="preserve">voor deze overgangsmaatregel </w:t>
      </w:r>
      <w:r w:rsidRPr="00686983">
        <w:rPr>
          <w:rFonts w:ascii="Times New Roman" w:hAnsi="Times New Roman" w:cs="Times New Roman"/>
          <w:b/>
          <w:bCs/>
        </w:rPr>
        <w:t>2+3+2 jaar. Ook is het op verzoek van Nederland mogelijk</w:t>
      </w:r>
      <w:r w:rsidR="00CC03F3">
        <w:rPr>
          <w:rFonts w:ascii="Times New Roman" w:hAnsi="Times New Roman" w:cs="Times New Roman"/>
          <w:b/>
          <w:bCs/>
        </w:rPr>
        <w:t xml:space="preserve"> geworden</w:t>
      </w:r>
      <w:r w:rsidRPr="00686983">
        <w:rPr>
          <w:rFonts w:ascii="Times New Roman" w:hAnsi="Times New Roman" w:cs="Times New Roman"/>
          <w:b/>
          <w:bCs/>
        </w:rPr>
        <w:t xml:space="preserve"> om de bredere maatschappelijke </w:t>
      </w:r>
      <w:r w:rsidR="00627102">
        <w:rPr>
          <w:rFonts w:ascii="Times New Roman" w:hAnsi="Times New Roman" w:cs="Times New Roman"/>
          <w:b/>
          <w:bCs/>
        </w:rPr>
        <w:t>gevolgen</w:t>
      </w:r>
      <w:r w:rsidRPr="00686983">
        <w:rPr>
          <w:rFonts w:ascii="Times New Roman" w:hAnsi="Times New Roman" w:cs="Times New Roman"/>
          <w:b/>
          <w:bCs/>
        </w:rPr>
        <w:t xml:space="preserve">, zoals op huisvesting, mee te wegen bij </w:t>
      </w:r>
      <w:r w:rsidR="00CC03F3">
        <w:rPr>
          <w:rFonts w:ascii="Times New Roman" w:hAnsi="Times New Roman" w:cs="Times New Roman"/>
          <w:b/>
          <w:bCs/>
        </w:rPr>
        <w:t xml:space="preserve">een eventueel besluit tot </w:t>
      </w:r>
      <w:r w:rsidRPr="00686983">
        <w:rPr>
          <w:rFonts w:ascii="Times New Roman" w:hAnsi="Times New Roman" w:cs="Times New Roman"/>
          <w:b/>
          <w:bCs/>
        </w:rPr>
        <w:t xml:space="preserve">verlenging. Tot slot heeft Nederland naast het vrij verkeer van werknemers ook transitiemaatregelen voor arbeidsmobiliteit </w:t>
      </w:r>
      <w:bookmarkStart w:name="_Hlk231982936" w:id="2"/>
      <w:r w:rsidRPr="00686983">
        <w:rPr>
          <w:rFonts w:ascii="Times New Roman" w:hAnsi="Times New Roman" w:cs="Times New Roman"/>
          <w:b/>
          <w:bCs/>
        </w:rPr>
        <w:t xml:space="preserve">op grond van het vrij verkeer van diensten vastgelegd </w:t>
      </w:r>
      <w:bookmarkEnd w:id="2"/>
      <w:r w:rsidRPr="00686983">
        <w:rPr>
          <w:rFonts w:ascii="Times New Roman" w:hAnsi="Times New Roman" w:cs="Times New Roman"/>
          <w:b/>
          <w:bCs/>
        </w:rPr>
        <w:t xml:space="preserve">in een aantal </w:t>
      </w:r>
      <w:r w:rsidRPr="00686983">
        <w:rPr>
          <w:rFonts w:ascii="Times New Roman" w:hAnsi="Times New Roman" w:cs="Times New Roman"/>
          <w:b/>
          <w:bCs/>
        </w:rPr>
        <w:lastRenderedPageBreak/>
        <w:t>sectoren die volgens het Roemer-rapport</w:t>
      </w:r>
      <w:r w:rsidR="00B05D65">
        <w:rPr>
          <w:rStyle w:val="FootnoteReference"/>
          <w:rFonts w:ascii="Times New Roman" w:hAnsi="Times New Roman" w:cs="Times New Roman"/>
          <w:b/>
          <w:bCs/>
        </w:rPr>
        <w:footnoteReference w:id="3"/>
      </w:r>
      <w:hyperlink w:history="1" w:anchor="_ftn2"/>
      <w:r w:rsidR="00BC3056">
        <w:t xml:space="preserve"> </w:t>
      </w:r>
      <w:r w:rsidRPr="00686983">
        <w:rPr>
          <w:rFonts w:ascii="Times New Roman" w:hAnsi="Times New Roman" w:cs="Times New Roman"/>
          <w:b/>
          <w:bCs/>
        </w:rPr>
        <w:t xml:space="preserve">als risicosector gezien worden voor misstanden en uitbuiting van laagbetaalde arbeidsmigranten. Voor deze transitiemaatregelen geldt dezelfde maximumduur als </w:t>
      </w:r>
      <w:r w:rsidR="00627102">
        <w:rPr>
          <w:rFonts w:ascii="Times New Roman" w:hAnsi="Times New Roman" w:cs="Times New Roman"/>
          <w:b/>
          <w:bCs/>
        </w:rPr>
        <w:t xml:space="preserve">voor het </w:t>
      </w:r>
      <w:r w:rsidRPr="00686983">
        <w:rPr>
          <w:rFonts w:ascii="Times New Roman" w:hAnsi="Times New Roman" w:cs="Times New Roman"/>
          <w:b/>
          <w:bCs/>
        </w:rPr>
        <w:t xml:space="preserve">vrij verkeer van werknemers. </w:t>
      </w:r>
      <w:r w:rsidRPr="00686983">
        <w:rPr>
          <w:rFonts w:ascii="Times New Roman" w:hAnsi="Times New Roman" w:cs="Times New Roman"/>
          <w:b/>
          <w:bCs/>
        </w:rPr>
        <w:br/>
      </w:r>
      <w:r w:rsidRPr="00686983">
        <w:rPr>
          <w:rFonts w:ascii="Times New Roman" w:hAnsi="Times New Roman" w:cs="Times New Roman"/>
          <w:b/>
          <w:bCs/>
        </w:rPr>
        <w:br/>
        <w:t xml:space="preserve">Het kabinet steunt het onder voorbehoud sluiten van dit hoofdstuk, nu de Commissie bevestigt dat Montenegro aan de </w:t>
      </w:r>
      <w:proofErr w:type="spellStart"/>
      <w:r w:rsidRPr="00686983">
        <w:rPr>
          <w:rFonts w:ascii="Times New Roman" w:hAnsi="Times New Roman" w:cs="Times New Roman"/>
          <w:b/>
          <w:bCs/>
          <w:i/>
          <w:iCs/>
        </w:rPr>
        <w:t>closing</w:t>
      </w:r>
      <w:proofErr w:type="spellEnd"/>
      <w:r w:rsidRPr="00686983">
        <w:rPr>
          <w:rFonts w:ascii="Times New Roman" w:hAnsi="Times New Roman" w:cs="Times New Roman"/>
          <w:b/>
          <w:bCs/>
          <w:i/>
          <w:iCs/>
        </w:rPr>
        <w:t xml:space="preserve"> benchmark</w:t>
      </w:r>
      <w:r w:rsidRPr="00686983">
        <w:rPr>
          <w:rFonts w:ascii="Times New Roman" w:hAnsi="Times New Roman" w:cs="Times New Roman"/>
          <w:b/>
          <w:bCs/>
        </w:rPr>
        <w:t xml:space="preserve"> voldoet, en de transitiemaatregelen naar tevredenheid zijn </w:t>
      </w:r>
      <w:r w:rsidR="00974EC6">
        <w:rPr>
          <w:rFonts w:ascii="Times New Roman" w:hAnsi="Times New Roman" w:cs="Times New Roman"/>
          <w:b/>
          <w:bCs/>
        </w:rPr>
        <w:t>verstevigd</w:t>
      </w:r>
      <w:r w:rsidRPr="00686983">
        <w:rPr>
          <w:rFonts w:ascii="Times New Roman" w:hAnsi="Times New Roman" w:cs="Times New Roman"/>
          <w:b/>
          <w:bCs/>
        </w:rPr>
        <w:t>. Naar verwachting zal er in de Raad unanieme steun zijn voor deze stap en wordt en marge van de R</w:t>
      </w:r>
      <w:r w:rsidR="005F62EA">
        <w:rPr>
          <w:rFonts w:ascii="Times New Roman" w:hAnsi="Times New Roman" w:cs="Times New Roman"/>
          <w:b/>
          <w:bCs/>
        </w:rPr>
        <w:t xml:space="preserve">aad </w:t>
      </w:r>
      <w:r>
        <w:rPr>
          <w:rFonts w:ascii="Times New Roman" w:hAnsi="Times New Roman" w:cs="Times New Roman"/>
          <w:b/>
          <w:bCs/>
        </w:rPr>
        <w:t>B</w:t>
      </w:r>
      <w:r w:rsidR="005F62EA">
        <w:rPr>
          <w:rFonts w:ascii="Times New Roman" w:hAnsi="Times New Roman" w:cs="Times New Roman"/>
          <w:b/>
          <w:bCs/>
        </w:rPr>
        <w:t xml:space="preserve">uitenlandse </w:t>
      </w:r>
      <w:r>
        <w:rPr>
          <w:rFonts w:ascii="Times New Roman" w:hAnsi="Times New Roman" w:cs="Times New Roman"/>
          <w:b/>
          <w:bCs/>
        </w:rPr>
        <w:t>Z</w:t>
      </w:r>
      <w:r w:rsidR="005F62EA">
        <w:rPr>
          <w:rFonts w:ascii="Times New Roman" w:hAnsi="Times New Roman" w:cs="Times New Roman"/>
          <w:b/>
          <w:bCs/>
        </w:rPr>
        <w:t>aken</w:t>
      </w:r>
      <w:r w:rsidRPr="00686983">
        <w:rPr>
          <w:rFonts w:ascii="Times New Roman" w:hAnsi="Times New Roman" w:cs="Times New Roman"/>
          <w:b/>
          <w:bCs/>
        </w:rPr>
        <w:t xml:space="preserve"> van 1</w:t>
      </w:r>
      <w:r>
        <w:rPr>
          <w:rFonts w:ascii="Times New Roman" w:hAnsi="Times New Roman" w:cs="Times New Roman"/>
          <w:b/>
          <w:bCs/>
        </w:rPr>
        <w:t>5</w:t>
      </w:r>
      <w:r w:rsidRPr="00686983">
        <w:rPr>
          <w:rFonts w:ascii="Times New Roman" w:hAnsi="Times New Roman" w:cs="Times New Roman"/>
          <w:b/>
          <w:bCs/>
        </w:rPr>
        <w:t xml:space="preserve"> juni een Intergouvernementele Conferentie georganiseerd om deze stap te markeren.</w:t>
      </w:r>
    </w:p>
    <w:p w:rsidR="007B2E58" w:rsidP="30E3A035" w:rsidRDefault="008326BF" w14:paraId="0CF17746" w14:textId="77777777">
      <w:pPr>
        <w:pStyle w:val="NoSpacing"/>
        <w:rPr>
          <w:rFonts w:ascii="Times New Roman" w:hAnsi="Times New Roman" w:cs="Times New Roman"/>
        </w:rPr>
      </w:pPr>
      <w:r>
        <w:rPr>
          <w:rFonts w:ascii="Times New Roman" w:hAnsi="Times New Roman" w:cs="Times New Roman"/>
        </w:rPr>
        <w:br/>
      </w:r>
      <w:r w:rsidRPr="007B2E58" w:rsidR="007B2E58">
        <w:rPr>
          <w:rFonts w:ascii="Times New Roman" w:hAnsi="Times New Roman" w:cs="Times New Roman"/>
        </w:rPr>
        <w:t xml:space="preserve">Wat zijn de exacte aandachtspunten van het kabinet bij de compromisteksten voor de </w:t>
      </w:r>
      <w:r w:rsidRPr="00B5597D" w:rsidR="00B5597D">
        <w:rPr>
          <w:rFonts w:ascii="Times New Roman" w:hAnsi="Times New Roman" w:cs="Times New Roman"/>
        </w:rPr>
        <w:t>gedeeltelijke algemene oriëntatie</w:t>
      </w:r>
      <w:r w:rsidR="00B5597D">
        <w:rPr>
          <w:rFonts w:ascii="Times New Roman" w:hAnsi="Times New Roman" w:cs="Times New Roman"/>
        </w:rPr>
        <w:t>s</w:t>
      </w:r>
      <w:r w:rsidRPr="00B5597D" w:rsidR="00B5597D">
        <w:rPr>
          <w:rFonts w:ascii="Times New Roman" w:hAnsi="Times New Roman" w:cs="Times New Roman"/>
        </w:rPr>
        <w:t xml:space="preserve"> (PGA</w:t>
      </w:r>
      <w:r w:rsidR="00B5597D">
        <w:rPr>
          <w:rFonts w:ascii="Times New Roman" w:hAnsi="Times New Roman" w:cs="Times New Roman"/>
        </w:rPr>
        <w:t>’s</w:t>
      </w:r>
      <w:r w:rsidRPr="00B5597D" w:rsidR="00B5597D">
        <w:rPr>
          <w:rFonts w:ascii="Times New Roman" w:hAnsi="Times New Roman" w:cs="Times New Roman"/>
        </w:rPr>
        <w:t xml:space="preserve">) </w:t>
      </w:r>
      <w:r w:rsidRPr="007B2E58" w:rsidR="007B2E58">
        <w:rPr>
          <w:rFonts w:ascii="Times New Roman" w:hAnsi="Times New Roman" w:cs="Times New Roman"/>
        </w:rPr>
        <w:t>en op welke punten komen zij nog niet overeen met het kabinetsstandpunt? </w:t>
      </w:r>
    </w:p>
    <w:p w:rsidR="00C3493F" w:rsidP="30E3A035" w:rsidRDefault="00C3493F" w14:paraId="410405AE" w14:textId="77777777">
      <w:pPr>
        <w:pStyle w:val="NoSpacing"/>
        <w:rPr>
          <w:rFonts w:ascii="Times New Roman" w:hAnsi="Times New Roman" w:cs="Times New Roman"/>
        </w:rPr>
      </w:pPr>
    </w:p>
    <w:p w:rsidRPr="00CD0C26" w:rsidR="005B264F" w:rsidP="00CD0C26" w:rsidRDefault="005B264F" w14:paraId="16C6C950" w14:textId="51879F95">
      <w:pPr>
        <w:pStyle w:val="NoSpacing"/>
        <w:numPr>
          <w:ilvl w:val="0"/>
          <w:numId w:val="42"/>
        </w:numPr>
        <w:rPr>
          <w:rFonts w:ascii="Times New Roman" w:hAnsi="Times New Roman" w:cs="Times New Roman"/>
        </w:rPr>
      </w:pPr>
      <w:r w:rsidRPr="005B264F">
        <w:rPr>
          <w:rFonts w:ascii="Times New Roman" w:hAnsi="Times New Roman" w:cs="Times New Roman"/>
          <w:b/>
          <w:bCs/>
          <w:u w:val="single"/>
        </w:rPr>
        <w:t>Antwoord van het kabinet</w:t>
      </w:r>
    </w:p>
    <w:p w:rsidRPr="003E7575" w:rsidR="00643E4F" w:rsidP="005B264F" w:rsidRDefault="00643E4F" w14:paraId="6CB5A5F3" w14:textId="3581B8D0">
      <w:pPr>
        <w:pStyle w:val="NoSpacing"/>
        <w:rPr>
          <w:rFonts w:ascii="Times New Roman" w:hAnsi="Times New Roman" w:cs="Times New Roman"/>
          <w:b/>
          <w:bCs/>
        </w:rPr>
      </w:pPr>
      <w:r w:rsidRPr="00DD46C3">
        <w:rPr>
          <w:rFonts w:ascii="Times New Roman" w:hAnsi="Times New Roman" w:cs="Times New Roman"/>
          <w:b/>
          <w:bCs/>
        </w:rPr>
        <w:t xml:space="preserve">De laatste versies van de compromisteksten voor de </w:t>
      </w:r>
      <w:r w:rsidRPr="007B031F">
        <w:rPr>
          <w:rFonts w:ascii="Times New Roman" w:hAnsi="Times New Roman" w:cs="Times New Roman"/>
          <w:b/>
          <w:bCs/>
        </w:rPr>
        <w:t xml:space="preserve">gedeeltelijke algemene oriëntaties </w:t>
      </w:r>
      <w:r>
        <w:rPr>
          <w:rFonts w:ascii="Times New Roman" w:hAnsi="Times New Roman" w:cs="Times New Roman"/>
          <w:b/>
          <w:bCs/>
        </w:rPr>
        <w:t>(</w:t>
      </w:r>
      <w:r w:rsidRPr="00DD46C3">
        <w:rPr>
          <w:rFonts w:ascii="Times New Roman" w:hAnsi="Times New Roman" w:cs="Times New Roman"/>
          <w:b/>
          <w:bCs/>
        </w:rPr>
        <w:t>PGA’s</w:t>
      </w:r>
      <w:r>
        <w:rPr>
          <w:rFonts w:ascii="Times New Roman" w:hAnsi="Times New Roman" w:cs="Times New Roman"/>
          <w:b/>
          <w:bCs/>
        </w:rPr>
        <w:t>)</w:t>
      </w:r>
      <w:r w:rsidRPr="00DD46C3">
        <w:rPr>
          <w:rFonts w:ascii="Times New Roman" w:hAnsi="Times New Roman" w:cs="Times New Roman"/>
          <w:b/>
          <w:bCs/>
        </w:rPr>
        <w:t xml:space="preserve"> zijn grotendeels in lijn met de kabinetsinzet zoals geformuleerd in de </w:t>
      </w:r>
      <w:r>
        <w:rPr>
          <w:rFonts w:ascii="Times New Roman" w:hAnsi="Times New Roman" w:cs="Times New Roman"/>
          <w:b/>
          <w:bCs/>
        </w:rPr>
        <w:t>Kamer</w:t>
      </w:r>
      <w:r w:rsidRPr="00DD46C3">
        <w:rPr>
          <w:rFonts w:ascii="Times New Roman" w:hAnsi="Times New Roman" w:cs="Times New Roman"/>
          <w:b/>
          <w:bCs/>
        </w:rPr>
        <w:t xml:space="preserve">brief </w:t>
      </w:r>
      <w:r>
        <w:rPr>
          <w:rFonts w:ascii="Times New Roman" w:hAnsi="Times New Roman" w:cs="Times New Roman"/>
          <w:b/>
          <w:bCs/>
        </w:rPr>
        <w:t>van</w:t>
      </w:r>
      <w:r w:rsidRPr="00DD46C3">
        <w:rPr>
          <w:rFonts w:ascii="Times New Roman" w:hAnsi="Times New Roman" w:cs="Times New Roman"/>
          <w:b/>
          <w:bCs/>
        </w:rPr>
        <w:t xml:space="preserve"> 22 mei jl.</w:t>
      </w:r>
      <w:r>
        <w:rPr>
          <w:rStyle w:val="FootnoteReference"/>
          <w:rFonts w:ascii="Times New Roman" w:hAnsi="Times New Roman" w:cs="Times New Roman"/>
          <w:b/>
          <w:bCs/>
        </w:rPr>
        <w:footnoteReference w:id="4"/>
      </w:r>
      <w:r w:rsidRPr="00DD46C3">
        <w:rPr>
          <w:rFonts w:ascii="Times New Roman" w:hAnsi="Times New Roman" w:cs="Times New Roman"/>
          <w:b/>
          <w:bCs/>
        </w:rPr>
        <w:t xml:space="preserve"> </w:t>
      </w:r>
      <w:r>
        <w:rPr>
          <w:rFonts w:ascii="Times New Roman" w:hAnsi="Times New Roman" w:cs="Times New Roman"/>
          <w:b/>
          <w:bCs/>
        </w:rPr>
        <w:t>Voor de PGA inzake de nationale en regionale partnerschapsplannen (NRPP) heeft het kabinet met name aandacht voor de uitvoerbaarheid van de plannen</w:t>
      </w:r>
      <w:r w:rsidR="00486171">
        <w:rPr>
          <w:rFonts w:ascii="Times New Roman" w:hAnsi="Times New Roman" w:cs="Times New Roman"/>
          <w:b/>
          <w:bCs/>
        </w:rPr>
        <w:t xml:space="preserve"> en de </w:t>
      </w:r>
      <w:r w:rsidR="005D17E6">
        <w:rPr>
          <w:rFonts w:ascii="Times New Roman" w:hAnsi="Times New Roman" w:cs="Times New Roman"/>
          <w:b/>
          <w:bCs/>
        </w:rPr>
        <w:t xml:space="preserve">aanscherping </w:t>
      </w:r>
      <w:r w:rsidR="00486171">
        <w:rPr>
          <w:rFonts w:ascii="Times New Roman" w:hAnsi="Times New Roman" w:cs="Times New Roman"/>
          <w:b/>
          <w:bCs/>
        </w:rPr>
        <w:t xml:space="preserve">van de </w:t>
      </w:r>
      <w:r w:rsidR="005D17E6">
        <w:rPr>
          <w:rFonts w:ascii="Times New Roman" w:hAnsi="Times New Roman" w:cs="Times New Roman"/>
          <w:b/>
          <w:bCs/>
        </w:rPr>
        <w:t>rechtsstaat</w:t>
      </w:r>
      <w:r w:rsidR="00486171">
        <w:rPr>
          <w:rFonts w:ascii="Times New Roman" w:hAnsi="Times New Roman" w:cs="Times New Roman"/>
          <w:b/>
          <w:bCs/>
        </w:rPr>
        <w:t>conditionaliteiten</w:t>
      </w:r>
      <w:r>
        <w:rPr>
          <w:rFonts w:ascii="Times New Roman" w:hAnsi="Times New Roman" w:cs="Times New Roman"/>
          <w:b/>
          <w:bCs/>
        </w:rPr>
        <w:t xml:space="preserve">. Ten aanzien van de PGA van het Europees </w:t>
      </w:r>
      <w:r w:rsidR="00C16976">
        <w:rPr>
          <w:rFonts w:ascii="Times New Roman" w:hAnsi="Times New Roman" w:cs="Times New Roman"/>
          <w:b/>
          <w:bCs/>
        </w:rPr>
        <w:t>C</w:t>
      </w:r>
      <w:r>
        <w:rPr>
          <w:rFonts w:ascii="Times New Roman" w:hAnsi="Times New Roman" w:cs="Times New Roman"/>
          <w:b/>
          <w:bCs/>
        </w:rPr>
        <w:t>oncurrentievermogenfonds (ECF) pleit het kabinet</w:t>
      </w:r>
      <w:r w:rsidRPr="00707F59">
        <w:rPr>
          <w:rFonts w:ascii="Times New Roman" w:hAnsi="Times New Roman" w:cs="Times New Roman"/>
          <w:b/>
          <w:bCs/>
        </w:rPr>
        <w:t xml:space="preserve"> </w:t>
      </w:r>
      <w:r w:rsidR="00DA1021">
        <w:rPr>
          <w:rFonts w:ascii="Times New Roman" w:hAnsi="Times New Roman" w:cs="Times New Roman"/>
          <w:b/>
          <w:bCs/>
        </w:rPr>
        <w:t xml:space="preserve">met gelijkgestemde lidstaten </w:t>
      </w:r>
      <w:r w:rsidRPr="00707F59">
        <w:rPr>
          <w:rFonts w:ascii="Times New Roman" w:hAnsi="Times New Roman" w:cs="Times New Roman"/>
          <w:b/>
          <w:bCs/>
        </w:rPr>
        <w:t xml:space="preserve">voor </w:t>
      </w:r>
      <w:r>
        <w:rPr>
          <w:rFonts w:ascii="Times New Roman" w:hAnsi="Times New Roman" w:cs="Times New Roman"/>
          <w:b/>
          <w:bCs/>
        </w:rPr>
        <w:t xml:space="preserve">het </w:t>
      </w:r>
      <w:r w:rsidRPr="00707F59">
        <w:rPr>
          <w:rFonts w:ascii="Times New Roman" w:hAnsi="Times New Roman" w:cs="Times New Roman"/>
          <w:b/>
          <w:bCs/>
        </w:rPr>
        <w:t>vasthouden aan excellentie als uitgangspunt</w:t>
      </w:r>
      <w:r>
        <w:rPr>
          <w:rFonts w:ascii="Times New Roman" w:hAnsi="Times New Roman" w:cs="Times New Roman"/>
          <w:b/>
          <w:bCs/>
        </w:rPr>
        <w:t xml:space="preserve"> en kijkt het kabinet nauwgezet naar de</w:t>
      </w:r>
      <w:r w:rsidRPr="00707F59">
        <w:rPr>
          <w:rFonts w:ascii="Times New Roman" w:hAnsi="Times New Roman" w:cs="Times New Roman"/>
          <w:b/>
          <w:bCs/>
        </w:rPr>
        <w:t xml:space="preserve"> toegang en restricties </w:t>
      </w:r>
      <w:r>
        <w:rPr>
          <w:rFonts w:ascii="Times New Roman" w:hAnsi="Times New Roman" w:cs="Times New Roman"/>
          <w:b/>
          <w:bCs/>
        </w:rPr>
        <w:t xml:space="preserve">omtrent de </w:t>
      </w:r>
      <w:r w:rsidRPr="00226FE2">
        <w:rPr>
          <w:rFonts w:ascii="Times New Roman" w:hAnsi="Times New Roman" w:cs="Times New Roman"/>
          <w:b/>
          <w:bCs/>
          <w:i/>
          <w:iCs/>
        </w:rPr>
        <w:t>governance</w:t>
      </w:r>
      <w:r>
        <w:rPr>
          <w:rFonts w:ascii="Times New Roman" w:hAnsi="Times New Roman" w:cs="Times New Roman"/>
          <w:b/>
          <w:bCs/>
        </w:rPr>
        <w:t xml:space="preserve"> </w:t>
      </w:r>
      <w:r w:rsidRPr="00707F59">
        <w:rPr>
          <w:rFonts w:ascii="Times New Roman" w:hAnsi="Times New Roman" w:cs="Times New Roman"/>
          <w:b/>
          <w:bCs/>
        </w:rPr>
        <w:t xml:space="preserve">in </w:t>
      </w:r>
      <w:r>
        <w:rPr>
          <w:rFonts w:ascii="Times New Roman" w:hAnsi="Times New Roman" w:cs="Times New Roman"/>
          <w:b/>
          <w:bCs/>
        </w:rPr>
        <w:t xml:space="preserve">het </w:t>
      </w:r>
      <w:r w:rsidRPr="00707F59">
        <w:rPr>
          <w:rFonts w:ascii="Times New Roman" w:hAnsi="Times New Roman" w:cs="Times New Roman"/>
          <w:b/>
          <w:bCs/>
        </w:rPr>
        <w:t>ruimtevaartdomein</w:t>
      </w:r>
      <w:r>
        <w:rPr>
          <w:rFonts w:ascii="Times New Roman" w:hAnsi="Times New Roman" w:cs="Times New Roman"/>
          <w:b/>
          <w:bCs/>
        </w:rPr>
        <w:t xml:space="preserve">. </w:t>
      </w:r>
      <w:r w:rsidR="00A52381">
        <w:rPr>
          <w:rFonts w:ascii="Times New Roman" w:hAnsi="Times New Roman" w:cs="Times New Roman"/>
          <w:b/>
          <w:bCs/>
        </w:rPr>
        <w:t xml:space="preserve">Ook hecht het kabinet eraan dat het </w:t>
      </w:r>
      <w:r w:rsidRPr="00A52381" w:rsidR="00A52381">
        <w:rPr>
          <w:rFonts w:ascii="Times New Roman" w:hAnsi="Times New Roman" w:cs="Times New Roman"/>
          <w:b/>
          <w:bCs/>
        </w:rPr>
        <w:t>defensie-industrie hoofdstuk</w:t>
      </w:r>
      <w:r w:rsidR="00A52381">
        <w:rPr>
          <w:rFonts w:ascii="Times New Roman" w:hAnsi="Times New Roman" w:cs="Times New Roman"/>
          <w:b/>
          <w:bCs/>
        </w:rPr>
        <w:t xml:space="preserve"> binnen het ECF</w:t>
      </w:r>
      <w:r w:rsidRPr="00A52381" w:rsidR="00A52381">
        <w:rPr>
          <w:rFonts w:ascii="Times New Roman" w:hAnsi="Times New Roman" w:cs="Times New Roman"/>
          <w:b/>
          <w:bCs/>
        </w:rPr>
        <w:t xml:space="preserve"> open staat voor associatie van derde landen</w:t>
      </w:r>
      <w:r w:rsidR="00A52381">
        <w:rPr>
          <w:rFonts w:ascii="Times New Roman" w:hAnsi="Times New Roman" w:cs="Times New Roman"/>
          <w:b/>
          <w:bCs/>
          <w:i/>
          <w:iCs/>
        </w:rPr>
        <w:t>.</w:t>
      </w:r>
      <w:r>
        <w:rPr>
          <w:rFonts w:ascii="Times New Roman" w:hAnsi="Times New Roman" w:cs="Times New Roman"/>
          <w:b/>
          <w:i/>
        </w:rPr>
        <w:t xml:space="preserve"> </w:t>
      </w:r>
      <w:r>
        <w:rPr>
          <w:rFonts w:ascii="Times New Roman" w:hAnsi="Times New Roman" w:cs="Times New Roman"/>
          <w:b/>
          <w:bCs/>
        </w:rPr>
        <w:t xml:space="preserve">Met betrekking tot de PGA in Global Europe zijn betrokkenheid van de Raad en </w:t>
      </w:r>
      <w:r w:rsidR="00627102">
        <w:rPr>
          <w:rFonts w:ascii="Times New Roman" w:hAnsi="Times New Roman" w:cs="Times New Roman"/>
          <w:b/>
          <w:bCs/>
        </w:rPr>
        <w:t xml:space="preserve">een effectieve en juridisch houdbare </w:t>
      </w:r>
      <w:r>
        <w:rPr>
          <w:rFonts w:ascii="Times New Roman" w:hAnsi="Times New Roman" w:cs="Times New Roman"/>
          <w:b/>
          <w:bCs/>
        </w:rPr>
        <w:t xml:space="preserve">migratieconditionaliteit belangrijke aandachtspunten voor het kabinet. </w:t>
      </w:r>
    </w:p>
    <w:p w:rsidR="00C64ABF" w:rsidP="30E3A035" w:rsidRDefault="00C64ABF" w14:paraId="0BF80E29" w14:textId="77777777">
      <w:pPr>
        <w:pStyle w:val="NoSpacing"/>
        <w:rPr>
          <w:rFonts w:ascii="Times New Roman" w:hAnsi="Times New Roman" w:cs="Times New Roman"/>
        </w:rPr>
      </w:pPr>
    </w:p>
    <w:p w:rsidR="00C64ABF" w:rsidP="30E3A035" w:rsidRDefault="00C64ABF" w14:paraId="36BDA874" w14:textId="1E7D9A33">
      <w:pPr>
        <w:pStyle w:val="NoSpacing"/>
        <w:rPr>
          <w:rFonts w:ascii="Times New Roman" w:hAnsi="Times New Roman" w:cs="Times New Roman"/>
        </w:rPr>
      </w:pPr>
      <w:r>
        <w:rPr>
          <w:rFonts w:ascii="Times New Roman" w:hAnsi="Times New Roman" w:cs="Times New Roman"/>
          <w:b/>
          <w:bCs/>
        </w:rPr>
        <w:t>Vragen en opmerkingen van de leden van de VVD-fractie</w:t>
      </w:r>
    </w:p>
    <w:p w:rsidR="00C64ABF" w:rsidP="30E3A035" w:rsidRDefault="00C64ABF" w14:paraId="09EA61DB" w14:textId="77777777">
      <w:pPr>
        <w:pStyle w:val="NoSpacing"/>
        <w:rPr>
          <w:rFonts w:ascii="Times New Roman" w:hAnsi="Times New Roman" w:cs="Times New Roman"/>
        </w:rPr>
      </w:pPr>
    </w:p>
    <w:p w:rsidRPr="00C64ABF" w:rsidR="00C64ABF" w:rsidP="00C64ABF" w:rsidRDefault="00C64ABF" w14:paraId="51844BAC" w14:textId="7D0FD6B4">
      <w:pPr>
        <w:pStyle w:val="NoSpacing"/>
        <w:rPr>
          <w:rFonts w:ascii="Times New Roman" w:hAnsi="Times New Roman" w:cs="Times New Roman"/>
        </w:rPr>
      </w:pPr>
      <w:r w:rsidRPr="00C64ABF">
        <w:rPr>
          <w:rFonts w:ascii="Times New Roman" w:hAnsi="Times New Roman" w:cs="Times New Roman"/>
        </w:rPr>
        <w:t xml:space="preserve">De leden van de VVD-fractie hebben met belangstelling kennisgenomen van de geannoteerde agenda ter voorbereiding op de Raad Algemene Zaken d.d. 16 juni 2026. Naar aanleiding van deze agenda hebben de leden nog enkele vragen. </w:t>
      </w:r>
    </w:p>
    <w:p w:rsidRPr="00C64ABF" w:rsidR="00C64ABF" w:rsidP="00C64ABF" w:rsidRDefault="00C64ABF" w14:paraId="5B57F4C0" w14:textId="77777777">
      <w:pPr>
        <w:pStyle w:val="NoSpacing"/>
        <w:rPr>
          <w:rFonts w:ascii="Times New Roman" w:hAnsi="Times New Roman" w:cs="Times New Roman"/>
        </w:rPr>
      </w:pPr>
    </w:p>
    <w:p w:rsidR="00C64ABF" w:rsidP="00C64ABF" w:rsidRDefault="00C64ABF" w14:paraId="58555FD6" w14:textId="34597C47">
      <w:pPr>
        <w:pStyle w:val="NoSpacing"/>
        <w:rPr>
          <w:rFonts w:ascii="Times New Roman" w:hAnsi="Times New Roman" w:cs="Times New Roman"/>
        </w:rPr>
      </w:pPr>
      <w:r w:rsidRPr="00C64ABF">
        <w:rPr>
          <w:rFonts w:ascii="Times New Roman" w:hAnsi="Times New Roman" w:cs="Times New Roman"/>
        </w:rPr>
        <w:t>De leden van de VVD-fractie constateren dat het tijdens deze Raad onder andere zal gaan over het Meerjarig Financieel Kader</w:t>
      </w:r>
      <w:r w:rsidR="00A41082">
        <w:rPr>
          <w:rFonts w:ascii="Times New Roman" w:hAnsi="Times New Roman" w:cs="Times New Roman"/>
        </w:rPr>
        <w:t xml:space="preserve"> (MFK)</w:t>
      </w:r>
      <w:r w:rsidRPr="00C64ABF">
        <w:rPr>
          <w:rFonts w:ascii="Times New Roman" w:hAnsi="Times New Roman" w:cs="Times New Roman"/>
        </w:rPr>
        <w:t xml:space="preserve">. Volgens de geannoteerde agenda kan het kabinet zich grotendeels vinden in de inhoud van de gedeeltelijke algemene oriëntatie voor het fonds </w:t>
      </w:r>
      <w:r w:rsidRPr="00C64ABF">
        <w:rPr>
          <w:rFonts w:ascii="Times New Roman" w:hAnsi="Times New Roman" w:cs="Times New Roman"/>
        </w:rPr>
        <w:lastRenderedPageBreak/>
        <w:t>voor Nationale en Regionale Partnerschapsplannen, het Europees Concurrentievermogenfonds en Europa in de Wereld. Wel heeft het kabinet nog aandachtspunten in de verordeningen, waaronder een verdere versterking van de rechtstaat. Op welke manier is het kabinet van plan om via de betreffende verordeningen meer aandacht voor rechtstatelijke aspecten te creëren? Houdt de inzet van het kabinet in dat bepaalde gelden uit de fondsen niet naar lidstaten mogen vloeien waarbij de rechtstaat niet op orde is, of wordt hiermee een andere vorm van versterking van de rechtstaat bedoel</w:t>
      </w:r>
      <w:r w:rsidR="00BC5860">
        <w:rPr>
          <w:rFonts w:ascii="Times New Roman" w:hAnsi="Times New Roman" w:cs="Times New Roman"/>
        </w:rPr>
        <w:t>d</w:t>
      </w:r>
      <w:r w:rsidRPr="00C64ABF">
        <w:rPr>
          <w:rFonts w:ascii="Times New Roman" w:hAnsi="Times New Roman" w:cs="Times New Roman"/>
        </w:rPr>
        <w:t xml:space="preserve">? Wat zijn de andere aandachtspunten betreffende de verordeningen waar het kabinet naar verwijst in de geannoteerde agenda, en verwacht het kabinet dat er voor het bereiken van deze aandachtspunten een meerderheid te vinden is? </w:t>
      </w:r>
    </w:p>
    <w:p w:rsidR="0074330D" w:rsidP="00C64ABF" w:rsidRDefault="0074330D" w14:paraId="68DB706F" w14:textId="77777777">
      <w:pPr>
        <w:pStyle w:val="NoSpacing"/>
        <w:rPr>
          <w:rFonts w:ascii="Times New Roman" w:hAnsi="Times New Roman" w:cs="Times New Roman"/>
        </w:rPr>
      </w:pPr>
    </w:p>
    <w:p w:rsidRPr="0074330D" w:rsidR="0074330D" w:rsidP="00CD0C26" w:rsidRDefault="0074330D" w14:paraId="3DFAB899" w14:textId="293E9311">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Pr="00DD46C3" w:rsidR="00643E4F" w:rsidP="00643E4F" w:rsidRDefault="00643E4F" w14:paraId="22C4B806" w14:textId="7D9AC583">
      <w:pPr>
        <w:pStyle w:val="NoSpacing"/>
        <w:rPr>
          <w:rFonts w:ascii="Times New Roman" w:hAnsi="Times New Roman" w:cs="Times New Roman"/>
          <w:b/>
          <w:bCs/>
        </w:rPr>
      </w:pPr>
      <w:bookmarkStart w:name="_Hlk231822798" w:id="3"/>
      <w:r>
        <w:rPr>
          <w:rFonts w:ascii="Times New Roman" w:hAnsi="Times New Roman" w:cs="Times New Roman"/>
          <w:b/>
          <w:bCs/>
        </w:rPr>
        <w:t xml:space="preserve">Het kabinet </w:t>
      </w:r>
      <w:r w:rsidR="00816083">
        <w:rPr>
          <w:rFonts w:ascii="Times New Roman" w:hAnsi="Times New Roman" w:cs="Times New Roman"/>
          <w:b/>
          <w:bCs/>
        </w:rPr>
        <w:t>is van mening</w:t>
      </w:r>
      <w:r>
        <w:rPr>
          <w:rFonts w:ascii="Times New Roman" w:hAnsi="Times New Roman" w:cs="Times New Roman"/>
          <w:b/>
          <w:bCs/>
        </w:rPr>
        <w:t xml:space="preserve"> dat </w:t>
      </w:r>
      <w:r w:rsidRPr="00DD46C3">
        <w:rPr>
          <w:rFonts w:ascii="Times New Roman" w:hAnsi="Times New Roman" w:cs="Times New Roman"/>
          <w:b/>
          <w:bCs/>
        </w:rPr>
        <w:t>l</w:t>
      </w:r>
      <w:r>
        <w:rPr>
          <w:rFonts w:ascii="Times New Roman" w:hAnsi="Times New Roman" w:cs="Times New Roman"/>
          <w:b/>
          <w:bCs/>
        </w:rPr>
        <w:t>i</w:t>
      </w:r>
      <w:r w:rsidRPr="00DD46C3">
        <w:rPr>
          <w:rFonts w:ascii="Times New Roman" w:hAnsi="Times New Roman" w:cs="Times New Roman"/>
          <w:b/>
          <w:bCs/>
        </w:rPr>
        <w:t>dstaten</w:t>
      </w:r>
      <w:r w:rsidRPr="00803A72">
        <w:rPr>
          <w:rFonts w:ascii="Times New Roman" w:hAnsi="Times New Roman" w:cs="Times New Roman"/>
        </w:rPr>
        <w:t xml:space="preserve"> </w:t>
      </w:r>
      <w:r w:rsidRPr="00E04CDF">
        <w:rPr>
          <w:rFonts w:ascii="Times New Roman" w:hAnsi="Times New Roman" w:cs="Times New Roman"/>
          <w:b/>
          <w:bCs/>
        </w:rPr>
        <w:t>die de rechtsstaat en fundamentele waarden niet respecteren hun recht op Europees geld</w:t>
      </w:r>
      <w:r>
        <w:rPr>
          <w:rFonts w:ascii="Times New Roman" w:hAnsi="Times New Roman" w:cs="Times New Roman"/>
          <w:b/>
          <w:bCs/>
        </w:rPr>
        <w:t xml:space="preserve"> </w:t>
      </w:r>
      <w:r w:rsidRPr="00E04CDF">
        <w:rPr>
          <w:rFonts w:ascii="Times New Roman" w:hAnsi="Times New Roman" w:cs="Times New Roman"/>
          <w:b/>
          <w:bCs/>
        </w:rPr>
        <w:t xml:space="preserve">verliezen. Samen met gelijkgezinde lidstaten zet het kabinet zich in voor </w:t>
      </w:r>
      <w:r w:rsidR="001B00D6">
        <w:rPr>
          <w:rFonts w:ascii="Times New Roman" w:hAnsi="Times New Roman" w:cs="Times New Roman"/>
          <w:b/>
          <w:bCs/>
        </w:rPr>
        <w:t xml:space="preserve">zowel </w:t>
      </w:r>
      <w:r w:rsidRPr="00E04CDF">
        <w:rPr>
          <w:rFonts w:ascii="Times New Roman" w:hAnsi="Times New Roman" w:cs="Times New Roman"/>
          <w:b/>
          <w:bCs/>
        </w:rPr>
        <w:t>het behoud van de door de Europese Commissie voorgestelde versterking van de</w:t>
      </w:r>
      <w:r w:rsidR="00F20157">
        <w:rPr>
          <w:rFonts w:ascii="Times New Roman" w:hAnsi="Times New Roman" w:cs="Times New Roman"/>
          <w:b/>
          <w:bCs/>
        </w:rPr>
        <w:t xml:space="preserve"> </w:t>
      </w:r>
      <w:r w:rsidRPr="00E04CDF">
        <w:rPr>
          <w:rFonts w:ascii="Times New Roman" w:hAnsi="Times New Roman" w:cs="Times New Roman"/>
          <w:b/>
          <w:bCs/>
        </w:rPr>
        <w:t xml:space="preserve">rechtsstaatconditionaliteiten, als voor verdere aanscherping van de rechtsstaat- en </w:t>
      </w:r>
      <w:proofErr w:type="spellStart"/>
      <w:r w:rsidRPr="00E04CDF">
        <w:rPr>
          <w:rFonts w:ascii="Times New Roman" w:hAnsi="Times New Roman" w:cs="Times New Roman"/>
          <w:b/>
          <w:bCs/>
        </w:rPr>
        <w:t>Handvestconditionaliteiten</w:t>
      </w:r>
      <w:proofErr w:type="spellEnd"/>
      <w:r w:rsidRPr="00E04CDF">
        <w:rPr>
          <w:rFonts w:ascii="Times New Roman" w:hAnsi="Times New Roman" w:cs="Times New Roman"/>
          <w:b/>
          <w:bCs/>
        </w:rPr>
        <w:t xml:space="preserve"> in het volgend </w:t>
      </w:r>
      <w:r w:rsidR="00AA6441">
        <w:rPr>
          <w:rFonts w:ascii="Times New Roman" w:hAnsi="Times New Roman" w:cs="Times New Roman"/>
          <w:b/>
          <w:bCs/>
        </w:rPr>
        <w:t>Meerjarig Financieel Kader (</w:t>
      </w:r>
      <w:r w:rsidRPr="00E04CDF">
        <w:rPr>
          <w:rFonts w:ascii="Times New Roman" w:hAnsi="Times New Roman" w:cs="Times New Roman"/>
          <w:b/>
          <w:bCs/>
        </w:rPr>
        <w:t>MFK</w:t>
      </w:r>
      <w:r w:rsidR="00AA6441">
        <w:rPr>
          <w:rFonts w:ascii="Times New Roman" w:hAnsi="Times New Roman" w:cs="Times New Roman"/>
          <w:b/>
          <w:bCs/>
        </w:rPr>
        <w:t>)</w:t>
      </w:r>
      <w:r w:rsidRPr="00E04CDF">
        <w:rPr>
          <w:rFonts w:ascii="Times New Roman" w:hAnsi="Times New Roman" w:cs="Times New Roman"/>
          <w:b/>
          <w:bCs/>
        </w:rPr>
        <w:t xml:space="preserve">. </w:t>
      </w:r>
      <w:r w:rsidRPr="00DD46C3">
        <w:rPr>
          <w:rFonts w:ascii="Times New Roman" w:hAnsi="Times New Roman" w:cs="Times New Roman"/>
          <w:b/>
          <w:bCs/>
        </w:rPr>
        <w:t>De versterkte rechtsstaatconditionaliteiten voor het volgend MFK zijn</w:t>
      </w:r>
      <w:r>
        <w:rPr>
          <w:rFonts w:ascii="Times New Roman" w:hAnsi="Times New Roman" w:cs="Times New Roman"/>
          <w:b/>
          <w:bCs/>
        </w:rPr>
        <w:t xml:space="preserve"> </w:t>
      </w:r>
      <w:r w:rsidRPr="00DD46C3">
        <w:rPr>
          <w:rFonts w:ascii="Times New Roman" w:hAnsi="Times New Roman" w:cs="Times New Roman"/>
          <w:b/>
          <w:bCs/>
        </w:rPr>
        <w:t xml:space="preserve">met name opgenomen in de huidige compromistekst voor </w:t>
      </w:r>
      <w:r>
        <w:rPr>
          <w:rFonts w:ascii="Times New Roman" w:hAnsi="Times New Roman" w:cs="Times New Roman"/>
          <w:b/>
          <w:bCs/>
        </w:rPr>
        <w:t>het NRPP.</w:t>
      </w:r>
      <w:r w:rsidRPr="00DD46C3" w:rsidDel="00F74A98">
        <w:rPr>
          <w:rFonts w:ascii="Times New Roman" w:hAnsi="Times New Roman" w:cs="Times New Roman"/>
          <w:b/>
          <w:bCs/>
        </w:rPr>
        <w:t xml:space="preserve"> </w:t>
      </w:r>
      <w:r w:rsidRPr="004764F8">
        <w:rPr>
          <w:rFonts w:ascii="Times New Roman" w:hAnsi="Times New Roman" w:cs="Times New Roman"/>
          <w:b/>
          <w:bCs/>
        </w:rPr>
        <w:t>D</w:t>
      </w:r>
      <w:r>
        <w:rPr>
          <w:rFonts w:ascii="Times New Roman" w:hAnsi="Times New Roman" w:cs="Times New Roman"/>
          <w:b/>
          <w:bCs/>
        </w:rPr>
        <w:t>eze compromistekst</w:t>
      </w:r>
      <w:r w:rsidRPr="004764F8">
        <w:rPr>
          <w:rFonts w:ascii="Times New Roman" w:hAnsi="Times New Roman" w:cs="Times New Roman"/>
          <w:b/>
          <w:bCs/>
        </w:rPr>
        <w:t xml:space="preserve"> bevat horizontale voorwaarden die betrekking hebben op de rechtsstaatbeginselen en het EU-</w:t>
      </w:r>
      <w:r>
        <w:rPr>
          <w:rFonts w:ascii="Times New Roman" w:hAnsi="Times New Roman" w:cs="Times New Roman"/>
          <w:b/>
          <w:bCs/>
        </w:rPr>
        <w:t>grondrechtenhandvest</w:t>
      </w:r>
      <w:r w:rsidRPr="00DD46C3">
        <w:rPr>
          <w:rFonts w:ascii="Times New Roman" w:hAnsi="Times New Roman" w:cs="Times New Roman"/>
          <w:b/>
          <w:bCs/>
        </w:rPr>
        <w:t xml:space="preserve">. </w:t>
      </w:r>
      <w:r w:rsidRPr="004764F8">
        <w:rPr>
          <w:rFonts w:ascii="Times New Roman" w:hAnsi="Times New Roman" w:cs="Times New Roman"/>
          <w:b/>
          <w:bCs/>
        </w:rPr>
        <w:t>Als een lidstaat niet (meer) aan deze voorwaarden voldoet, vindt geen uitbetaling plaats. Ook moeten lidstaten in hun plannen laten zien dat zij opvolging geven aan de landenspecifieke aanbevelingen</w:t>
      </w:r>
      <w:r>
        <w:rPr>
          <w:rFonts w:ascii="Times New Roman" w:hAnsi="Times New Roman" w:cs="Times New Roman"/>
          <w:b/>
          <w:bCs/>
        </w:rPr>
        <w:t xml:space="preserve"> op het terrein van rechtsstaat</w:t>
      </w:r>
      <w:r w:rsidRPr="004764F8">
        <w:rPr>
          <w:rFonts w:ascii="Times New Roman" w:hAnsi="Times New Roman" w:cs="Times New Roman"/>
          <w:b/>
          <w:bCs/>
        </w:rPr>
        <w:t xml:space="preserve"> uit het rechtsstaatrapport en het Europees Semester. </w:t>
      </w:r>
      <w:r w:rsidRPr="00DD46C3">
        <w:rPr>
          <w:rFonts w:ascii="Times New Roman" w:hAnsi="Times New Roman" w:cs="Times New Roman"/>
          <w:b/>
          <w:bCs/>
        </w:rPr>
        <w:t>Dit sluit</w:t>
      </w:r>
      <w:r>
        <w:rPr>
          <w:rFonts w:ascii="Times New Roman" w:hAnsi="Times New Roman" w:cs="Times New Roman"/>
          <w:b/>
          <w:bCs/>
        </w:rPr>
        <w:t xml:space="preserve"> grotendeels</w:t>
      </w:r>
      <w:r w:rsidRPr="00DD46C3">
        <w:rPr>
          <w:rFonts w:ascii="Times New Roman" w:hAnsi="Times New Roman" w:cs="Times New Roman"/>
          <w:b/>
          <w:bCs/>
        </w:rPr>
        <w:t xml:space="preserve"> aan bij de </w:t>
      </w:r>
      <w:r>
        <w:rPr>
          <w:rFonts w:ascii="Times New Roman" w:hAnsi="Times New Roman" w:cs="Times New Roman"/>
          <w:b/>
          <w:bCs/>
        </w:rPr>
        <w:t>eerder</w:t>
      </w:r>
      <w:r w:rsidRPr="00DD46C3">
        <w:rPr>
          <w:rFonts w:ascii="Times New Roman" w:hAnsi="Times New Roman" w:cs="Times New Roman"/>
          <w:b/>
          <w:bCs/>
        </w:rPr>
        <w:t>genoemde inzet van het kabinet</w:t>
      </w:r>
      <w:r>
        <w:rPr>
          <w:rFonts w:ascii="Times New Roman" w:hAnsi="Times New Roman" w:cs="Times New Roman"/>
          <w:b/>
          <w:bCs/>
        </w:rPr>
        <w:t xml:space="preserve">. </w:t>
      </w:r>
      <w:r w:rsidRPr="004061D6">
        <w:rPr>
          <w:rFonts w:ascii="Times New Roman" w:hAnsi="Times New Roman" w:cs="Times New Roman"/>
          <w:b/>
          <w:bCs/>
        </w:rPr>
        <w:t xml:space="preserve">Zie </w:t>
      </w:r>
      <w:r w:rsidR="00816083">
        <w:rPr>
          <w:rFonts w:ascii="Times New Roman" w:hAnsi="Times New Roman" w:cs="Times New Roman"/>
          <w:b/>
          <w:bCs/>
        </w:rPr>
        <w:t>ook de</w:t>
      </w:r>
      <w:r w:rsidRPr="004061D6">
        <w:rPr>
          <w:rFonts w:ascii="Times New Roman" w:hAnsi="Times New Roman" w:cs="Times New Roman"/>
          <w:b/>
          <w:bCs/>
        </w:rPr>
        <w:t xml:space="preserve"> beantwoording </w:t>
      </w:r>
      <w:r>
        <w:rPr>
          <w:rFonts w:ascii="Times New Roman" w:hAnsi="Times New Roman" w:cs="Times New Roman"/>
          <w:b/>
          <w:bCs/>
        </w:rPr>
        <w:t>van de vorige vraag</w:t>
      </w:r>
      <w:r w:rsidRPr="004061D6">
        <w:rPr>
          <w:rFonts w:ascii="Times New Roman" w:hAnsi="Times New Roman" w:cs="Times New Roman"/>
          <w:b/>
          <w:bCs/>
        </w:rPr>
        <w:t xml:space="preserve"> </w:t>
      </w:r>
      <w:r w:rsidR="001B00D6">
        <w:rPr>
          <w:rFonts w:ascii="Times New Roman" w:hAnsi="Times New Roman" w:cs="Times New Roman"/>
          <w:b/>
          <w:bCs/>
        </w:rPr>
        <w:t>over</w:t>
      </w:r>
      <w:r w:rsidRPr="004061D6">
        <w:rPr>
          <w:rFonts w:ascii="Times New Roman" w:hAnsi="Times New Roman" w:cs="Times New Roman"/>
          <w:b/>
          <w:bCs/>
        </w:rPr>
        <w:t xml:space="preserve"> andere aandachtspunten</w:t>
      </w:r>
      <w:r>
        <w:rPr>
          <w:rFonts w:ascii="Times New Roman" w:hAnsi="Times New Roman" w:cs="Times New Roman"/>
          <w:b/>
          <w:bCs/>
        </w:rPr>
        <w:t xml:space="preserve"> van het kabinet inzake PGA’s</w:t>
      </w:r>
      <w:r w:rsidRPr="004061D6">
        <w:rPr>
          <w:rFonts w:ascii="Times New Roman" w:hAnsi="Times New Roman" w:cs="Times New Roman"/>
          <w:b/>
          <w:bCs/>
        </w:rPr>
        <w:t>.</w:t>
      </w:r>
    </w:p>
    <w:bookmarkEnd w:id="3"/>
    <w:p w:rsidRPr="00C64ABF" w:rsidR="00C64ABF" w:rsidP="00C64ABF" w:rsidRDefault="00C64ABF" w14:paraId="5E4A78C5" w14:textId="77777777">
      <w:pPr>
        <w:pStyle w:val="NoSpacing"/>
        <w:rPr>
          <w:rFonts w:ascii="Times New Roman" w:hAnsi="Times New Roman" w:cs="Times New Roman"/>
        </w:rPr>
      </w:pPr>
    </w:p>
    <w:p w:rsidR="00C64ABF" w:rsidP="00C64ABF" w:rsidRDefault="00C64ABF" w14:paraId="6A080A36" w14:textId="4119EB39">
      <w:pPr>
        <w:pStyle w:val="NoSpacing"/>
        <w:rPr>
          <w:rFonts w:ascii="Times New Roman" w:hAnsi="Times New Roman" w:cs="Times New Roman"/>
        </w:rPr>
      </w:pPr>
      <w:r w:rsidRPr="00C64ABF">
        <w:rPr>
          <w:rFonts w:ascii="Times New Roman" w:hAnsi="Times New Roman" w:cs="Times New Roman"/>
        </w:rPr>
        <w:t xml:space="preserve">De leden van de VVD-fractie constateren voorts dat er tijdens de Raad stil zal worden gestaan bij de </w:t>
      </w:r>
      <w:r w:rsidR="00DD51D4">
        <w:rPr>
          <w:rFonts w:ascii="Times New Roman" w:hAnsi="Times New Roman" w:cs="Times New Roman"/>
        </w:rPr>
        <w:t>‘</w:t>
      </w:r>
      <w:r w:rsidRPr="00C64ABF">
        <w:rPr>
          <w:rFonts w:ascii="Times New Roman" w:hAnsi="Times New Roman" w:cs="Times New Roman"/>
        </w:rPr>
        <w:t>Eén Europa, één markt</w:t>
      </w:r>
      <w:r w:rsidR="00DD51D4">
        <w:rPr>
          <w:rFonts w:ascii="Times New Roman" w:hAnsi="Times New Roman" w:cs="Times New Roman"/>
        </w:rPr>
        <w:t>’-</w:t>
      </w:r>
      <w:r w:rsidRPr="00C64ABF">
        <w:rPr>
          <w:rFonts w:ascii="Times New Roman" w:hAnsi="Times New Roman" w:cs="Times New Roman"/>
        </w:rPr>
        <w:t xml:space="preserve">routekaart. </w:t>
      </w:r>
      <w:r w:rsidR="00DD51D4">
        <w:rPr>
          <w:rFonts w:ascii="Times New Roman" w:hAnsi="Times New Roman" w:cs="Times New Roman"/>
        </w:rPr>
        <w:t>Deze leden</w:t>
      </w:r>
      <w:r w:rsidRPr="00C64ABF">
        <w:rPr>
          <w:rFonts w:ascii="Times New Roman" w:hAnsi="Times New Roman" w:cs="Times New Roman"/>
        </w:rPr>
        <w:t xml:space="preserve"> ondersteun</w:t>
      </w:r>
      <w:r w:rsidR="00DD51D4">
        <w:rPr>
          <w:rFonts w:ascii="Times New Roman" w:hAnsi="Times New Roman" w:cs="Times New Roman"/>
        </w:rPr>
        <w:t>en</w:t>
      </w:r>
      <w:r w:rsidRPr="00C64ABF">
        <w:rPr>
          <w:rFonts w:ascii="Times New Roman" w:hAnsi="Times New Roman" w:cs="Times New Roman"/>
        </w:rPr>
        <w:t xml:space="preserve"> de overkoepelende intentie van deze routekaart om de regeldruk in Europees verband, daar waar mogelijk, tegen te gaan. Welke stappen is het kabinet van plan te zetten om ervoor te zorgen dat deze </w:t>
      </w:r>
      <w:r w:rsidR="00DE1421">
        <w:rPr>
          <w:rFonts w:ascii="Times New Roman" w:hAnsi="Times New Roman" w:cs="Times New Roman"/>
        </w:rPr>
        <w:t>r</w:t>
      </w:r>
      <w:r w:rsidRPr="00C64ABF">
        <w:rPr>
          <w:rFonts w:ascii="Times New Roman" w:hAnsi="Times New Roman" w:cs="Times New Roman"/>
        </w:rPr>
        <w:t>outekaart zo snel mogelijk tot concrete resultaten zal leiden?</w:t>
      </w:r>
    </w:p>
    <w:p w:rsidR="00A11ADA" w:rsidP="00C64ABF" w:rsidRDefault="00A11ADA" w14:paraId="34D9950C" w14:textId="77777777">
      <w:pPr>
        <w:pStyle w:val="NoSpacing"/>
        <w:rPr>
          <w:rFonts w:ascii="Times New Roman" w:hAnsi="Times New Roman" w:cs="Times New Roman"/>
        </w:rPr>
      </w:pPr>
    </w:p>
    <w:p w:rsidRPr="0074330D" w:rsidR="00A11ADA" w:rsidP="00CD0C26" w:rsidRDefault="00A11ADA" w14:paraId="3DB08153" w14:textId="7794E51A">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Pr="00803A72" w:rsidR="00730404" w:rsidP="00730404" w:rsidRDefault="00730404" w14:paraId="39F315C6" w14:textId="2416EA01">
      <w:pPr>
        <w:rPr>
          <w:rFonts w:ascii="Times New Roman" w:hAnsi="Times New Roman" w:cs="Times New Roman"/>
        </w:rPr>
      </w:pPr>
      <w:r w:rsidRPr="00730404">
        <w:rPr>
          <w:rFonts w:ascii="Times New Roman" w:hAnsi="Times New Roman" w:cs="Times New Roman"/>
          <w:b/>
          <w:bCs/>
          <w:kern w:val="0"/>
          <w14:ligatures w14:val="none"/>
        </w:rPr>
        <w:t xml:space="preserve">Alle acties in de </w:t>
      </w:r>
      <w:r w:rsidR="00CF59B3">
        <w:rPr>
          <w:rFonts w:ascii="Times New Roman" w:hAnsi="Times New Roman" w:cs="Times New Roman"/>
          <w:b/>
          <w:bCs/>
          <w:kern w:val="0"/>
          <w14:ligatures w14:val="none"/>
        </w:rPr>
        <w:t>routekaart</w:t>
      </w:r>
      <w:r w:rsidRPr="00730404">
        <w:rPr>
          <w:rFonts w:ascii="Times New Roman" w:hAnsi="Times New Roman" w:cs="Times New Roman"/>
          <w:b/>
          <w:bCs/>
          <w:kern w:val="0"/>
          <w14:ligatures w14:val="none"/>
        </w:rPr>
        <w:t xml:space="preserve"> sluiten aan bij het kabinetsvoornemen uit het coalitieakkoord om de interne markt te voltooien. Meer specifiek werkt het kabinet aan versterking van de Europese interne markt op grond van de interne-markt</w:t>
      </w:r>
      <w:r w:rsidR="00816083">
        <w:rPr>
          <w:rFonts w:ascii="Times New Roman" w:hAnsi="Times New Roman" w:cs="Times New Roman"/>
          <w:b/>
          <w:bCs/>
          <w:kern w:val="0"/>
          <w14:ligatures w14:val="none"/>
        </w:rPr>
        <w:t xml:space="preserve"> </w:t>
      </w:r>
      <w:r w:rsidRPr="00730404">
        <w:rPr>
          <w:rFonts w:ascii="Times New Roman" w:hAnsi="Times New Roman" w:cs="Times New Roman"/>
          <w:b/>
          <w:bCs/>
          <w:kern w:val="0"/>
          <w14:ligatures w14:val="none"/>
        </w:rPr>
        <w:t>actieagenda. Deze is recent geactualiseerd en u bent hierover bij brief geïnformeerd</w:t>
      </w:r>
      <w:r w:rsidRPr="00CB7C1F">
        <w:rPr>
          <w:rFonts w:ascii="Times New Roman" w:hAnsi="Times New Roman" w:cs="Times New Roman"/>
          <w:b/>
          <w:bCs/>
          <w:kern w:val="0"/>
          <w14:ligatures w14:val="none"/>
        </w:rPr>
        <w:t>.</w:t>
      </w:r>
      <w:r w:rsidRPr="00CB7C1F" w:rsidR="00253350">
        <w:rPr>
          <w:rStyle w:val="FootnoteReference"/>
          <w:rFonts w:ascii="Times New Roman" w:hAnsi="Times New Roman" w:cs="Times New Roman"/>
          <w:b/>
          <w:bCs/>
          <w:kern w:val="0"/>
          <w14:ligatures w14:val="none"/>
        </w:rPr>
        <w:footnoteReference w:id="5"/>
      </w:r>
      <w:r w:rsidRPr="00CB7C1F">
        <w:rPr>
          <w:rFonts w:ascii="Times New Roman" w:hAnsi="Times New Roman" w:cs="Times New Roman"/>
          <w:b/>
          <w:bCs/>
          <w:kern w:val="0"/>
          <w14:ligatures w14:val="none"/>
        </w:rPr>
        <w:t xml:space="preserve"> </w:t>
      </w:r>
      <w:r w:rsidRPr="00CB7C1F" w:rsidR="00E20210">
        <w:rPr>
          <w:rFonts w:ascii="Times New Roman" w:hAnsi="Times New Roman" w:cs="Times New Roman"/>
          <w:b/>
          <w:bCs/>
          <w:kern w:val="0"/>
          <w14:ligatures w14:val="none"/>
        </w:rPr>
        <w:t>Versterking van de interne markt ligt in onze eigen handen en hangt niet af van externe factoren.</w:t>
      </w:r>
      <w:r w:rsidR="00E20210">
        <w:rPr>
          <w:rFonts w:ascii="Times New Roman" w:hAnsi="Times New Roman" w:cs="Times New Roman"/>
          <w:b/>
          <w:bCs/>
          <w:kern w:val="0"/>
          <w14:ligatures w14:val="none"/>
        </w:rPr>
        <w:t xml:space="preserve"> </w:t>
      </w:r>
      <w:r w:rsidRPr="00730404">
        <w:rPr>
          <w:rFonts w:ascii="Times New Roman" w:hAnsi="Times New Roman" w:cs="Times New Roman"/>
          <w:b/>
          <w:bCs/>
          <w:kern w:val="0"/>
          <w14:ligatures w14:val="none"/>
        </w:rPr>
        <w:t xml:space="preserve">Diverse acties in de </w:t>
      </w:r>
      <w:r w:rsidR="00CF59B3">
        <w:rPr>
          <w:rFonts w:ascii="Times New Roman" w:hAnsi="Times New Roman" w:cs="Times New Roman"/>
          <w:b/>
          <w:bCs/>
          <w:kern w:val="0"/>
          <w14:ligatures w14:val="none"/>
        </w:rPr>
        <w:t>routekaart</w:t>
      </w:r>
      <w:r w:rsidRPr="00730404">
        <w:rPr>
          <w:rFonts w:ascii="Times New Roman" w:hAnsi="Times New Roman" w:cs="Times New Roman"/>
          <w:b/>
          <w:bCs/>
          <w:kern w:val="0"/>
          <w14:ligatures w14:val="none"/>
        </w:rPr>
        <w:t xml:space="preserve">zijn onderdeel van de actieagenda. Het kabinet zal </w:t>
      </w:r>
      <w:r w:rsidRPr="00730404">
        <w:rPr>
          <w:rFonts w:ascii="Times New Roman" w:hAnsi="Times New Roman" w:cs="Times New Roman"/>
          <w:b/>
          <w:bCs/>
          <w:kern w:val="0"/>
          <w14:ligatures w14:val="none"/>
        </w:rPr>
        <w:lastRenderedPageBreak/>
        <w:t>bewaken dat het interne-marktperspectief expliciet bij alle onderdelen van de routekaart wordt meegenomen.</w:t>
      </w:r>
      <w:r w:rsidRPr="00803A72">
        <w:rPr>
          <w:rFonts w:ascii="Times New Roman" w:hAnsi="Times New Roman" w:cs="Times New Roman"/>
        </w:rPr>
        <w:t xml:space="preserve"> </w:t>
      </w:r>
    </w:p>
    <w:p w:rsidRPr="005716A2" w:rsidR="00C64ABF" w:rsidP="00C64ABF" w:rsidRDefault="00C64ABF" w14:paraId="355F6816" w14:textId="67C78AA1">
      <w:pPr>
        <w:pStyle w:val="NoSpacing"/>
        <w:rPr>
          <w:rFonts w:ascii="Times New Roman" w:hAnsi="Times New Roman" w:cs="Times New Roman"/>
        </w:rPr>
      </w:pPr>
      <w:r w:rsidRPr="00C64ABF">
        <w:rPr>
          <w:rFonts w:ascii="Times New Roman" w:hAnsi="Times New Roman" w:cs="Times New Roman"/>
        </w:rPr>
        <w:t xml:space="preserve">De leden van de VVD-fractie stellen vast dat het tijdens de Raad ook zal gaan over de </w:t>
      </w:r>
      <w:r w:rsidR="00B935D4">
        <w:rPr>
          <w:rFonts w:ascii="Times New Roman" w:hAnsi="Times New Roman" w:cs="Times New Roman"/>
        </w:rPr>
        <w:t>A</w:t>
      </w:r>
      <w:r w:rsidRPr="00C64ABF">
        <w:rPr>
          <w:rFonts w:ascii="Times New Roman" w:hAnsi="Times New Roman" w:cs="Times New Roman"/>
        </w:rPr>
        <w:t xml:space="preserve">rtikel 7-procedure die in 2018 tegen Hongarije is gestart. Net als het kabinet </w:t>
      </w:r>
      <w:r w:rsidR="00B935D4">
        <w:rPr>
          <w:rFonts w:ascii="Times New Roman" w:hAnsi="Times New Roman" w:cs="Times New Roman"/>
        </w:rPr>
        <w:t>menen deze leden</w:t>
      </w:r>
      <w:r w:rsidRPr="00C64ABF">
        <w:rPr>
          <w:rFonts w:ascii="Times New Roman" w:hAnsi="Times New Roman" w:cs="Times New Roman"/>
        </w:rPr>
        <w:t xml:space="preserve"> dat de verkiezingswinst van Magyar een positieve ontwikkeling is. Wel constateren </w:t>
      </w:r>
      <w:r w:rsidR="00B935D4">
        <w:rPr>
          <w:rFonts w:ascii="Times New Roman" w:hAnsi="Times New Roman" w:cs="Times New Roman"/>
        </w:rPr>
        <w:t>zij</w:t>
      </w:r>
      <w:r w:rsidRPr="00C64ABF">
        <w:rPr>
          <w:rFonts w:ascii="Times New Roman" w:hAnsi="Times New Roman" w:cs="Times New Roman"/>
        </w:rPr>
        <w:t xml:space="preserve"> dat het </w:t>
      </w:r>
      <w:r w:rsidRPr="005716A2">
        <w:rPr>
          <w:rFonts w:ascii="Times New Roman" w:hAnsi="Times New Roman" w:cs="Times New Roman"/>
        </w:rPr>
        <w:t>kabinet middels een Benelux-interventie aandacht zal vragen voor de thema’s waarover richting Hongarije nog zorgen bestaan. Over welke thema’s gaat het, en welke verbeteringen hebben er op deze thema’s sinds de installatie van Magyar in Hongarije plaatsgevonden?</w:t>
      </w:r>
    </w:p>
    <w:p w:rsidRPr="005716A2" w:rsidR="0052098C" w:rsidP="00C64ABF" w:rsidRDefault="0052098C" w14:paraId="37BB8DFB" w14:textId="77777777">
      <w:pPr>
        <w:pStyle w:val="NoSpacing"/>
        <w:rPr>
          <w:rFonts w:ascii="Times New Roman" w:hAnsi="Times New Roman" w:cs="Times New Roman"/>
        </w:rPr>
      </w:pPr>
    </w:p>
    <w:p w:rsidRPr="005716A2" w:rsidR="0052098C" w:rsidP="00CD0C26" w:rsidRDefault="0052098C" w14:paraId="028470C6" w14:textId="40D8C555">
      <w:pPr>
        <w:pStyle w:val="NoSpacing"/>
        <w:numPr>
          <w:ilvl w:val="0"/>
          <w:numId w:val="42"/>
        </w:numPr>
        <w:spacing w:line="276" w:lineRule="auto"/>
        <w:rPr>
          <w:rFonts w:ascii="Times New Roman" w:hAnsi="Times New Roman" w:cs="Times New Roman"/>
          <w:b/>
          <w:bCs/>
          <w:u w:val="single"/>
        </w:rPr>
      </w:pPr>
      <w:r w:rsidRPr="005716A2">
        <w:rPr>
          <w:rFonts w:ascii="Times New Roman" w:hAnsi="Times New Roman" w:cs="Times New Roman"/>
          <w:b/>
          <w:bCs/>
          <w:u w:val="single"/>
        </w:rPr>
        <w:t>Antwoord van het kabinet</w:t>
      </w:r>
    </w:p>
    <w:p w:rsidRPr="005716A2" w:rsidR="005A54AB" w:rsidP="005716A2" w:rsidRDefault="005A54AB" w14:paraId="526E1A53" w14:textId="55115C6D">
      <w:pPr>
        <w:spacing w:line="276" w:lineRule="auto"/>
        <w:rPr>
          <w:rFonts w:ascii="Times New Roman" w:hAnsi="Times New Roman" w:cs="Times New Roman"/>
          <w:b/>
          <w:bCs/>
        </w:rPr>
      </w:pPr>
      <w:r w:rsidRPr="005716A2">
        <w:rPr>
          <w:rFonts w:ascii="Times New Roman" w:hAnsi="Times New Roman" w:cs="Times New Roman"/>
          <w:b/>
          <w:bCs/>
        </w:rPr>
        <w:t xml:space="preserve">De artikel 7-procedure tegen Hongarije richt zich op zorgen over onafhankelijkheid van de rechterlijke macht, corruptie en belangenverstrengeling, ruimte voor het maatschappelijk middenveld, gelijke rechten voor minderheden, academische vrijheid en mediavrijheid en privacy en gegevensbescherming. </w:t>
      </w:r>
    </w:p>
    <w:p w:rsidRPr="005716A2" w:rsidR="005A54AB" w:rsidP="005716A2" w:rsidRDefault="005A54AB" w14:paraId="2E7C880F" w14:textId="54155711">
      <w:pPr>
        <w:spacing w:line="276" w:lineRule="auto"/>
        <w:rPr>
          <w:rFonts w:ascii="Times New Roman" w:hAnsi="Times New Roman" w:cs="Times New Roman"/>
          <w:b/>
          <w:bCs/>
        </w:rPr>
      </w:pPr>
      <w:r w:rsidRPr="005716A2">
        <w:rPr>
          <w:rFonts w:ascii="Times New Roman" w:hAnsi="Times New Roman" w:cs="Times New Roman"/>
          <w:b/>
          <w:bCs/>
        </w:rPr>
        <w:t xml:space="preserve">De nieuwe Hongaarse regering </w:t>
      </w:r>
      <w:r w:rsidRPr="00F74A98" w:rsidR="00F74A98">
        <w:rPr>
          <w:rFonts w:ascii="Times New Roman" w:hAnsi="Times New Roman" w:cs="Times New Roman"/>
          <w:b/>
          <w:bCs/>
        </w:rPr>
        <w:t>laat zien dat zij een serieuze Europese koers wil varen en</w:t>
      </w:r>
      <w:r w:rsidRPr="00F74A98" w:rsidDel="00F74A98" w:rsidR="00F74A98">
        <w:rPr>
          <w:rFonts w:ascii="Times New Roman" w:hAnsi="Times New Roman" w:cs="Times New Roman"/>
          <w:b/>
          <w:bCs/>
        </w:rPr>
        <w:t xml:space="preserve"> </w:t>
      </w:r>
      <w:r w:rsidRPr="00CB7C1F" w:rsidR="00F74A98">
        <w:rPr>
          <w:rFonts w:ascii="Times New Roman" w:hAnsi="Times New Roman" w:cs="Times New Roman"/>
          <w:b/>
          <w:bCs/>
        </w:rPr>
        <w:t>zet zich in voor</w:t>
      </w:r>
      <w:r w:rsidRPr="00CB7C1F">
        <w:rPr>
          <w:rFonts w:ascii="Times New Roman" w:hAnsi="Times New Roman" w:cs="Times New Roman"/>
          <w:b/>
          <w:bCs/>
        </w:rPr>
        <w:t xml:space="preserve"> het herstel van de rechtsstaat en de bescherming van de Europese waarden</w:t>
      </w:r>
      <w:r w:rsidRPr="00CB7C1F" w:rsidR="00F74A98">
        <w:rPr>
          <w:rFonts w:ascii="Times New Roman" w:hAnsi="Times New Roman" w:cs="Times New Roman"/>
          <w:b/>
          <w:bCs/>
        </w:rPr>
        <w:t>.</w:t>
      </w:r>
      <w:r w:rsidRPr="00CB7C1F">
        <w:rPr>
          <w:rFonts w:ascii="Times New Roman" w:hAnsi="Times New Roman" w:cs="Times New Roman"/>
          <w:b/>
          <w:bCs/>
        </w:rPr>
        <w:t xml:space="preserve"> </w:t>
      </w:r>
      <w:r w:rsidRPr="000C7CE8" w:rsidR="000C7CE8">
        <w:rPr>
          <w:rFonts w:ascii="Times New Roman" w:hAnsi="Times New Roman" w:cs="Times New Roman"/>
          <w:b/>
          <w:bCs/>
        </w:rPr>
        <w:t>Dit werd ook bevestigd tijdens het bezoek van de minister van Buitenlandse Zaken  aan Boedapest op 1 juni jl</w:t>
      </w:r>
      <w:r w:rsidR="00F77414">
        <w:rPr>
          <w:rFonts w:ascii="Times New Roman" w:hAnsi="Times New Roman" w:cs="Times New Roman"/>
          <w:b/>
          <w:bCs/>
        </w:rPr>
        <w:t>.,</w:t>
      </w:r>
      <w:r w:rsidRPr="000C7CE8" w:rsidR="000C7CE8">
        <w:rPr>
          <w:rFonts w:ascii="Times New Roman" w:hAnsi="Times New Roman" w:cs="Times New Roman"/>
          <w:b/>
          <w:bCs/>
        </w:rPr>
        <w:t xml:space="preserve"> het eerste buitenlandbezoek dat minister Anita Orbán ontving</w:t>
      </w:r>
      <w:r w:rsidR="000C7CE8">
        <w:rPr>
          <w:rFonts w:ascii="Times New Roman" w:hAnsi="Times New Roman" w:cs="Times New Roman"/>
          <w:b/>
          <w:bCs/>
        </w:rPr>
        <w:t xml:space="preserve">. </w:t>
      </w:r>
      <w:r w:rsidR="00F74A98">
        <w:rPr>
          <w:rFonts w:ascii="Times New Roman" w:hAnsi="Times New Roman" w:cs="Times New Roman"/>
          <w:b/>
          <w:bCs/>
        </w:rPr>
        <w:t xml:space="preserve">Hongarije </w:t>
      </w:r>
      <w:r w:rsidR="00AD0F58">
        <w:rPr>
          <w:rFonts w:ascii="Times New Roman" w:hAnsi="Times New Roman" w:cs="Times New Roman"/>
          <w:b/>
          <w:bCs/>
        </w:rPr>
        <w:t xml:space="preserve">heeft </w:t>
      </w:r>
      <w:r w:rsidR="00F74A98">
        <w:rPr>
          <w:rFonts w:ascii="Times New Roman" w:hAnsi="Times New Roman" w:cs="Times New Roman"/>
          <w:b/>
          <w:bCs/>
        </w:rPr>
        <w:t>inmiddels</w:t>
      </w:r>
      <w:r w:rsidRPr="005716A2">
        <w:rPr>
          <w:rFonts w:ascii="Times New Roman" w:hAnsi="Times New Roman" w:cs="Times New Roman"/>
          <w:b/>
          <w:bCs/>
        </w:rPr>
        <w:t xml:space="preserve"> </w:t>
      </w:r>
      <w:r w:rsidR="00AD0F58">
        <w:rPr>
          <w:rFonts w:ascii="Times New Roman" w:hAnsi="Times New Roman" w:cs="Times New Roman"/>
          <w:b/>
          <w:bCs/>
        </w:rPr>
        <w:t xml:space="preserve">besloten </w:t>
      </w:r>
      <w:r w:rsidR="005716A2">
        <w:rPr>
          <w:rFonts w:ascii="Times New Roman" w:hAnsi="Times New Roman" w:cs="Times New Roman"/>
          <w:b/>
          <w:bCs/>
        </w:rPr>
        <w:t xml:space="preserve">om </w:t>
      </w:r>
      <w:r w:rsidRPr="005716A2">
        <w:rPr>
          <w:rFonts w:ascii="Times New Roman" w:hAnsi="Times New Roman" w:cs="Times New Roman"/>
          <w:b/>
          <w:bCs/>
        </w:rPr>
        <w:t xml:space="preserve">deel te nemen aan het Europees Openbaar Ministerie, </w:t>
      </w:r>
      <w:r w:rsidR="00F74A98">
        <w:rPr>
          <w:rFonts w:ascii="Times New Roman" w:hAnsi="Times New Roman" w:cs="Times New Roman"/>
          <w:b/>
          <w:bCs/>
        </w:rPr>
        <w:t>om</w:t>
      </w:r>
      <w:r w:rsidRPr="005716A2">
        <w:rPr>
          <w:rFonts w:ascii="Times New Roman" w:hAnsi="Times New Roman" w:cs="Times New Roman"/>
          <w:b/>
          <w:bCs/>
        </w:rPr>
        <w:t xml:space="preserve"> de terugtrekking uit het Internationaal Gerechtshof (ICC) </w:t>
      </w:r>
      <w:r w:rsidR="00F74A98">
        <w:rPr>
          <w:rFonts w:ascii="Times New Roman" w:hAnsi="Times New Roman" w:cs="Times New Roman"/>
          <w:b/>
          <w:bCs/>
        </w:rPr>
        <w:t xml:space="preserve">te herroepen </w:t>
      </w:r>
      <w:r w:rsidRPr="005716A2">
        <w:rPr>
          <w:rFonts w:ascii="Times New Roman" w:hAnsi="Times New Roman" w:cs="Times New Roman"/>
          <w:b/>
          <w:bCs/>
        </w:rPr>
        <w:t>en</w:t>
      </w:r>
      <w:r w:rsidR="00F74A98">
        <w:rPr>
          <w:rFonts w:ascii="Times New Roman" w:hAnsi="Times New Roman" w:cs="Times New Roman"/>
          <w:b/>
          <w:bCs/>
        </w:rPr>
        <w:t xml:space="preserve"> om</w:t>
      </w:r>
      <w:r w:rsidRPr="005716A2" w:rsidDel="00F74A98">
        <w:rPr>
          <w:rFonts w:ascii="Times New Roman" w:hAnsi="Times New Roman" w:cs="Times New Roman"/>
          <w:b/>
          <w:bCs/>
        </w:rPr>
        <w:t xml:space="preserve"> </w:t>
      </w:r>
      <w:r w:rsidRPr="005716A2">
        <w:rPr>
          <w:rFonts w:ascii="Times New Roman" w:hAnsi="Times New Roman" w:cs="Times New Roman"/>
          <w:b/>
          <w:bCs/>
        </w:rPr>
        <w:t>een wetvoorstel</w:t>
      </w:r>
      <w:r w:rsidR="00F74A98">
        <w:rPr>
          <w:rFonts w:ascii="Times New Roman" w:hAnsi="Times New Roman" w:cs="Times New Roman"/>
          <w:b/>
          <w:bCs/>
        </w:rPr>
        <w:t xml:space="preserve"> in te dienen</w:t>
      </w:r>
      <w:r w:rsidRPr="005716A2">
        <w:rPr>
          <w:rFonts w:ascii="Times New Roman" w:hAnsi="Times New Roman" w:cs="Times New Roman"/>
          <w:b/>
          <w:bCs/>
        </w:rPr>
        <w:t xml:space="preserve"> om het Soevereiniteitsbureau op te heffen. Hongarije zal tijdens de</w:t>
      </w:r>
      <w:r w:rsidR="005716A2">
        <w:rPr>
          <w:rFonts w:ascii="Times New Roman" w:hAnsi="Times New Roman" w:cs="Times New Roman"/>
          <w:b/>
          <w:bCs/>
        </w:rPr>
        <w:t>ze</w:t>
      </w:r>
      <w:r w:rsidRPr="005716A2">
        <w:rPr>
          <w:rFonts w:ascii="Times New Roman" w:hAnsi="Times New Roman" w:cs="Times New Roman"/>
          <w:b/>
          <w:bCs/>
        </w:rPr>
        <w:t xml:space="preserve"> </w:t>
      </w:r>
      <w:r w:rsidR="005716A2">
        <w:rPr>
          <w:rFonts w:ascii="Times New Roman" w:hAnsi="Times New Roman" w:cs="Times New Roman"/>
          <w:b/>
          <w:bCs/>
        </w:rPr>
        <w:t>Raad</w:t>
      </w:r>
      <w:r w:rsidRPr="005716A2">
        <w:rPr>
          <w:rFonts w:ascii="Times New Roman" w:hAnsi="Times New Roman" w:cs="Times New Roman"/>
          <w:b/>
          <w:bCs/>
        </w:rPr>
        <w:t xml:space="preserve"> de voortgang verder toelichten. </w:t>
      </w:r>
    </w:p>
    <w:p w:rsidRPr="00353DF7" w:rsidR="00353DF7" w:rsidP="00207E19" w:rsidRDefault="003448D3" w14:paraId="08622603" w14:textId="349B9431">
      <w:pPr>
        <w:spacing w:line="276" w:lineRule="auto"/>
        <w:rPr>
          <w:rFonts w:ascii="Times New Roman" w:hAnsi="Times New Roman" w:cs="Times New Roman"/>
          <w:b/>
          <w:bCs/>
          <w:iCs/>
        </w:rPr>
      </w:pPr>
      <w:bookmarkStart w:name="_Hlk231895714" w:id="4"/>
      <w:r>
        <w:rPr>
          <w:rFonts w:ascii="Times New Roman" w:hAnsi="Times New Roman" w:cs="Times New Roman"/>
          <w:b/>
          <w:bCs/>
        </w:rPr>
        <w:t>H</w:t>
      </w:r>
      <w:r w:rsidRPr="005D17E6">
        <w:rPr>
          <w:rFonts w:ascii="Times New Roman" w:hAnsi="Times New Roman" w:cs="Times New Roman"/>
          <w:b/>
          <w:bCs/>
        </w:rPr>
        <w:t xml:space="preserve">et kabinet </w:t>
      </w:r>
      <w:r>
        <w:rPr>
          <w:rFonts w:ascii="Times New Roman" w:hAnsi="Times New Roman" w:cs="Times New Roman"/>
          <w:b/>
          <w:bCs/>
        </w:rPr>
        <w:t xml:space="preserve">zal </w:t>
      </w:r>
      <w:r w:rsidRPr="005D17E6">
        <w:rPr>
          <w:rFonts w:ascii="Times New Roman" w:hAnsi="Times New Roman" w:cs="Times New Roman"/>
          <w:b/>
          <w:bCs/>
        </w:rPr>
        <w:t xml:space="preserve">middels een Benelux-interventie optimisme uitdragen over de door de nieuwe Hongaarse regering ingezette koers en </w:t>
      </w:r>
      <w:r w:rsidRPr="003448D3">
        <w:rPr>
          <w:rFonts w:ascii="Times New Roman" w:hAnsi="Times New Roman" w:eastAsia="Times New Roman" w:cs="Times New Roman"/>
          <w:b/>
        </w:rPr>
        <w:t>de verwachtingen uitspreken dat H</w:t>
      </w:r>
      <w:r>
        <w:rPr>
          <w:rFonts w:ascii="Times New Roman" w:hAnsi="Times New Roman" w:eastAsia="Times New Roman" w:cs="Times New Roman"/>
          <w:b/>
        </w:rPr>
        <w:t>ongarije</w:t>
      </w:r>
      <w:r w:rsidRPr="003448D3">
        <w:rPr>
          <w:rFonts w:ascii="Times New Roman" w:hAnsi="Times New Roman" w:eastAsia="Times New Roman" w:cs="Times New Roman"/>
          <w:b/>
        </w:rPr>
        <w:t xml:space="preserve"> de benodigde duurzame hervormingen zal </w:t>
      </w:r>
      <w:r w:rsidRPr="003448D3">
        <w:rPr>
          <w:rFonts w:ascii="Times New Roman" w:hAnsi="Times New Roman" w:eastAsia="Times New Roman" w:cs="Times New Roman"/>
          <w:b/>
          <w:bCs/>
        </w:rPr>
        <w:t>doorvoeren</w:t>
      </w:r>
      <w:r w:rsidRPr="005716A2" w:rsidR="005A54AB">
        <w:rPr>
          <w:rFonts w:ascii="Times New Roman" w:hAnsi="Times New Roman" w:cs="Times New Roman"/>
          <w:b/>
          <w:bCs/>
          <w:iCs/>
        </w:rPr>
        <w:t>, bijvoorbeeld op het terrein van anti-corruptie, belangenverstrengeling, rechterlijke onafhankelijkheid, academische vrijheid en gelijke rechten van minderheden.</w:t>
      </w:r>
      <w:bookmarkEnd w:id="4"/>
    </w:p>
    <w:p w:rsidR="00C64ABF" w:rsidP="007A7BA2" w:rsidRDefault="00C64ABF" w14:paraId="6D660B89" w14:textId="37B74458">
      <w:pPr>
        <w:pStyle w:val="NoSpacing"/>
        <w:spacing w:line="276" w:lineRule="auto"/>
        <w:rPr>
          <w:rFonts w:ascii="Times New Roman" w:hAnsi="Times New Roman" w:cs="Times New Roman"/>
        </w:rPr>
      </w:pPr>
      <w:r w:rsidRPr="005716A2">
        <w:rPr>
          <w:rFonts w:ascii="Times New Roman" w:hAnsi="Times New Roman" w:cs="Times New Roman"/>
        </w:rPr>
        <w:t>De leden van de VVD-fractie</w:t>
      </w:r>
      <w:r w:rsidRPr="00C64ABF">
        <w:rPr>
          <w:rFonts w:ascii="Times New Roman" w:hAnsi="Times New Roman" w:cs="Times New Roman"/>
        </w:rPr>
        <w:t xml:space="preserve"> hebben tot slot nog enkele vragen over het EU-toetredingsproces van Montenegro. De</w:t>
      </w:r>
      <w:r w:rsidR="00FE0640">
        <w:rPr>
          <w:rFonts w:ascii="Times New Roman" w:hAnsi="Times New Roman" w:cs="Times New Roman"/>
        </w:rPr>
        <w:t>ze</w:t>
      </w:r>
      <w:r w:rsidRPr="00C64ABF">
        <w:rPr>
          <w:rFonts w:ascii="Times New Roman" w:hAnsi="Times New Roman" w:cs="Times New Roman"/>
        </w:rPr>
        <w:t xml:space="preserve"> leden constateren dat er op 22 april 2026 een ad hoc werkgroep is opgericht om een toetredingsverdrag met Montenegro op te stellen. Wat zijn tot dusver de resultaten van deze ad hoc werkgroep?</w:t>
      </w:r>
      <w:r w:rsidR="007A7BA2">
        <w:rPr>
          <w:rFonts w:ascii="Times New Roman" w:hAnsi="Times New Roman" w:cs="Times New Roman"/>
        </w:rPr>
        <w:t xml:space="preserve"> </w:t>
      </w:r>
      <w:r w:rsidRPr="00C64ABF">
        <w:rPr>
          <w:rFonts w:ascii="Times New Roman" w:hAnsi="Times New Roman" w:cs="Times New Roman"/>
        </w:rPr>
        <w:t xml:space="preserve">Op welke manier is deze werkgroep van plan om invulling te geven aan de ambitie van de </w:t>
      </w:r>
      <w:r w:rsidR="00FE0640">
        <w:rPr>
          <w:rFonts w:ascii="Times New Roman" w:hAnsi="Times New Roman" w:cs="Times New Roman"/>
        </w:rPr>
        <w:t xml:space="preserve">Europese </w:t>
      </w:r>
      <w:r w:rsidRPr="00C64ABF">
        <w:rPr>
          <w:rFonts w:ascii="Times New Roman" w:hAnsi="Times New Roman" w:cs="Times New Roman"/>
        </w:rPr>
        <w:t>Commissie om te werken aan een nieuwe generatie EU-toetredingsverdragen?</w:t>
      </w:r>
      <w:r w:rsidR="007A7BA2">
        <w:rPr>
          <w:rFonts w:ascii="Times New Roman" w:hAnsi="Times New Roman" w:cs="Times New Roman"/>
        </w:rPr>
        <w:t xml:space="preserve"> </w:t>
      </w:r>
      <w:r w:rsidRPr="00C64ABF">
        <w:rPr>
          <w:rFonts w:ascii="Times New Roman" w:hAnsi="Times New Roman" w:cs="Times New Roman"/>
        </w:rPr>
        <w:t>In hoeverre is dit begrip al concreet ingevuld voor Montenegro, en wat zullen de consequenties hiervan voor Montenegro, de EU, en Nederland zijn?</w:t>
      </w:r>
    </w:p>
    <w:p w:rsidR="00A211E5" w:rsidP="30E3A035" w:rsidRDefault="00A211E5" w14:paraId="037A90F3" w14:textId="77777777">
      <w:pPr>
        <w:pStyle w:val="NoSpacing"/>
        <w:rPr>
          <w:rFonts w:ascii="Times New Roman" w:hAnsi="Times New Roman" w:cs="Times New Roman"/>
        </w:rPr>
      </w:pPr>
    </w:p>
    <w:p w:rsidRPr="0074330D" w:rsidR="00A211E5" w:rsidP="00CD0C26" w:rsidRDefault="00A211E5" w14:paraId="73BCA98E" w14:textId="2EC8CA9A">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007B2E58" w:rsidP="30E3A035" w:rsidRDefault="001B2DA8" w14:paraId="608CA61A" w14:textId="395BFB8E">
      <w:pPr>
        <w:pStyle w:val="NoSpacing"/>
        <w:rPr>
          <w:rFonts w:ascii="Times New Roman" w:hAnsi="Times New Roman" w:cs="Times New Roman"/>
          <w:b/>
          <w:bCs/>
        </w:rPr>
      </w:pPr>
      <w:r>
        <w:rPr>
          <w:rFonts w:ascii="Times New Roman" w:hAnsi="Times New Roman" w:cs="Times New Roman"/>
          <w:b/>
          <w:bCs/>
        </w:rPr>
        <w:t>De werkgroep</w:t>
      </w:r>
      <w:r w:rsidRPr="001B2DA8">
        <w:rPr>
          <w:rFonts w:ascii="Times New Roman" w:hAnsi="Times New Roman" w:cs="Times New Roman"/>
          <w:b/>
          <w:bCs/>
        </w:rPr>
        <w:t xml:space="preserve"> </w:t>
      </w:r>
      <w:r>
        <w:rPr>
          <w:rFonts w:ascii="Times New Roman" w:hAnsi="Times New Roman" w:cs="Times New Roman"/>
          <w:b/>
          <w:bCs/>
        </w:rPr>
        <w:t>richt zich nu</w:t>
      </w:r>
      <w:r w:rsidRPr="001B2DA8">
        <w:rPr>
          <w:rFonts w:ascii="Times New Roman" w:hAnsi="Times New Roman" w:cs="Times New Roman"/>
          <w:b/>
          <w:bCs/>
        </w:rPr>
        <w:t xml:space="preserve"> eerst op technische aanpassingen aan het EU-</w:t>
      </w:r>
      <w:proofErr w:type="spellStart"/>
      <w:r w:rsidRPr="001B2DA8">
        <w:rPr>
          <w:rFonts w:ascii="Times New Roman" w:hAnsi="Times New Roman" w:cs="Times New Roman"/>
          <w:b/>
          <w:bCs/>
        </w:rPr>
        <w:t>acquis</w:t>
      </w:r>
      <w:proofErr w:type="spellEnd"/>
      <w:r>
        <w:rPr>
          <w:rFonts w:ascii="Times New Roman" w:hAnsi="Times New Roman" w:cs="Times New Roman"/>
          <w:b/>
          <w:bCs/>
        </w:rPr>
        <w:t xml:space="preserve"> die nodig zijn bij </w:t>
      </w:r>
      <w:r w:rsidR="00F23C6A">
        <w:rPr>
          <w:rFonts w:ascii="Times New Roman" w:hAnsi="Times New Roman" w:cs="Times New Roman"/>
          <w:b/>
          <w:bCs/>
        </w:rPr>
        <w:t>toekomstige EU-</w:t>
      </w:r>
      <w:r>
        <w:rPr>
          <w:rFonts w:ascii="Times New Roman" w:hAnsi="Times New Roman" w:cs="Times New Roman"/>
          <w:b/>
          <w:bCs/>
        </w:rPr>
        <w:t xml:space="preserve">toetreding van Montenegro. In een latere fase start de groep met </w:t>
      </w:r>
      <w:r w:rsidRPr="001B2DA8">
        <w:rPr>
          <w:rFonts w:ascii="Times New Roman" w:hAnsi="Times New Roman" w:cs="Times New Roman"/>
          <w:b/>
          <w:bCs/>
        </w:rPr>
        <w:t>werk</w:t>
      </w:r>
      <w:r w:rsidR="00D9015F">
        <w:rPr>
          <w:rFonts w:ascii="Times New Roman" w:hAnsi="Times New Roman" w:cs="Times New Roman"/>
          <w:b/>
          <w:bCs/>
        </w:rPr>
        <w:t>en</w:t>
      </w:r>
      <w:r w:rsidRPr="001B2DA8">
        <w:rPr>
          <w:rFonts w:ascii="Times New Roman" w:hAnsi="Times New Roman" w:cs="Times New Roman"/>
          <w:b/>
          <w:bCs/>
        </w:rPr>
        <w:t xml:space="preserve"> aan het toetredingsverdrag</w:t>
      </w:r>
      <w:r>
        <w:rPr>
          <w:rFonts w:ascii="Times New Roman" w:hAnsi="Times New Roman" w:cs="Times New Roman"/>
          <w:b/>
          <w:bCs/>
        </w:rPr>
        <w:t xml:space="preserve">, en </w:t>
      </w:r>
      <w:r w:rsidR="008A311B">
        <w:rPr>
          <w:rFonts w:ascii="Times New Roman" w:hAnsi="Times New Roman" w:cs="Times New Roman"/>
          <w:b/>
          <w:bCs/>
        </w:rPr>
        <w:t xml:space="preserve">wordt </w:t>
      </w:r>
      <w:r w:rsidR="00D9015F">
        <w:rPr>
          <w:rFonts w:ascii="Times New Roman" w:hAnsi="Times New Roman" w:cs="Times New Roman"/>
          <w:b/>
          <w:bCs/>
        </w:rPr>
        <w:t xml:space="preserve">er </w:t>
      </w:r>
      <w:r>
        <w:rPr>
          <w:rFonts w:ascii="Times New Roman" w:hAnsi="Times New Roman" w:cs="Times New Roman"/>
          <w:b/>
          <w:bCs/>
        </w:rPr>
        <w:t>gesproken over aanvullende waarborgen en overgangsmaatregelen. Naar verwachting zal daar</w:t>
      </w:r>
      <w:r w:rsidR="002600EF">
        <w:rPr>
          <w:rFonts w:ascii="Times New Roman" w:hAnsi="Times New Roman" w:cs="Times New Roman"/>
          <w:b/>
          <w:bCs/>
        </w:rPr>
        <w:t>o</w:t>
      </w:r>
      <w:r>
        <w:rPr>
          <w:rFonts w:ascii="Times New Roman" w:hAnsi="Times New Roman" w:cs="Times New Roman"/>
          <w:b/>
          <w:bCs/>
        </w:rPr>
        <w:t>v</w:t>
      </w:r>
      <w:r w:rsidR="002600EF">
        <w:rPr>
          <w:rFonts w:ascii="Times New Roman" w:hAnsi="Times New Roman" w:cs="Times New Roman"/>
          <w:b/>
          <w:bCs/>
        </w:rPr>
        <w:t>e</w:t>
      </w:r>
      <w:r>
        <w:rPr>
          <w:rFonts w:ascii="Times New Roman" w:hAnsi="Times New Roman" w:cs="Times New Roman"/>
          <w:b/>
          <w:bCs/>
        </w:rPr>
        <w:t xml:space="preserve">r </w:t>
      </w:r>
      <w:r w:rsidR="008A311B">
        <w:rPr>
          <w:rFonts w:ascii="Times New Roman" w:hAnsi="Times New Roman" w:cs="Times New Roman"/>
          <w:b/>
          <w:bCs/>
        </w:rPr>
        <w:t xml:space="preserve">ook </w:t>
      </w:r>
      <w:r>
        <w:rPr>
          <w:rFonts w:ascii="Times New Roman" w:hAnsi="Times New Roman" w:cs="Times New Roman"/>
          <w:b/>
          <w:bCs/>
        </w:rPr>
        <w:t xml:space="preserve">discussie plaatsvinden in </w:t>
      </w:r>
      <w:r w:rsidRPr="002600EF" w:rsidR="002600EF">
        <w:rPr>
          <w:rFonts w:ascii="Times New Roman" w:hAnsi="Times New Roman" w:cs="Times New Roman"/>
          <w:b/>
          <w:bCs/>
        </w:rPr>
        <w:t xml:space="preserve">de Raadswerkgroep COELA en </w:t>
      </w:r>
      <w:r w:rsidR="002600EF">
        <w:rPr>
          <w:rFonts w:ascii="Times New Roman" w:hAnsi="Times New Roman" w:cs="Times New Roman"/>
          <w:b/>
          <w:bCs/>
        </w:rPr>
        <w:t xml:space="preserve">in </w:t>
      </w:r>
      <w:proofErr w:type="spellStart"/>
      <w:r>
        <w:rPr>
          <w:rFonts w:ascii="Times New Roman" w:hAnsi="Times New Roman" w:cs="Times New Roman"/>
          <w:b/>
          <w:bCs/>
        </w:rPr>
        <w:t>Coreper</w:t>
      </w:r>
      <w:proofErr w:type="spellEnd"/>
      <w:r>
        <w:rPr>
          <w:rFonts w:ascii="Times New Roman" w:hAnsi="Times New Roman" w:cs="Times New Roman"/>
          <w:b/>
          <w:bCs/>
        </w:rPr>
        <w:t xml:space="preserve"> over welke waarborgen </w:t>
      </w:r>
      <w:r w:rsidR="002600EF">
        <w:rPr>
          <w:rFonts w:ascii="Times New Roman" w:hAnsi="Times New Roman" w:cs="Times New Roman"/>
          <w:b/>
          <w:bCs/>
        </w:rPr>
        <w:t xml:space="preserve">en </w:t>
      </w:r>
      <w:r w:rsidR="002600EF">
        <w:rPr>
          <w:rFonts w:ascii="Times New Roman" w:hAnsi="Times New Roman" w:cs="Times New Roman"/>
          <w:b/>
          <w:bCs/>
        </w:rPr>
        <w:lastRenderedPageBreak/>
        <w:t xml:space="preserve">overgangsmaatregelen </w:t>
      </w:r>
      <w:r>
        <w:rPr>
          <w:rFonts w:ascii="Times New Roman" w:hAnsi="Times New Roman" w:cs="Times New Roman"/>
          <w:b/>
          <w:bCs/>
        </w:rPr>
        <w:t>lidstaten en</w:t>
      </w:r>
      <w:r w:rsidRPr="00803A72">
        <w:rPr>
          <w:rFonts w:ascii="Times New Roman" w:hAnsi="Times New Roman" w:cs="Times New Roman"/>
        </w:rPr>
        <w:t xml:space="preserve"> </w:t>
      </w:r>
      <w:r w:rsidRPr="001B2DA8">
        <w:rPr>
          <w:rFonts w:ascii="Times New Roman" w:hAnsi="Times New Roman" w:cs="Times New Roman"/>
          <w:b/>
          <w:bCs/>
        </w:rPr>
        <w:t>de Commissie wenselijk en noodzakelijk achten</w:t>
      </w:r>
      <w:r>
        <w:rPr>
          <w:rFonts w:ascii="Times New Roman" w:hAnsi="Times New Roman" w:cs="Times New Roman"/>
          <w:b/>
          <w:bCs/>
        </w:rPr>
        <w:t xml:space="preserve">. Uw Kamer heeft als bijlage bij de Kamerbrief </w:t>
      </w:r>
      <w:r w:rsidRPr="001B2DA8">
        <w:rPr>
          <w:rFonts w:ascii="Times New Roman" w:hAnsi="Times New Roman" w:cs="Times New Roman"/>
          <w:b/>
          <w:bCs/>
        </w:rPr>
        <w:t>EU-uitbreiding, waarborgen en de Toekomst van Europa</w:t>
      </w:r>
      <w:r w:rsidR="008D47B7">
        <w:rPr>
          <w:rStyle w:val="FootnoteReference"/>
          <w:rFonts w:ascii="Times New Roman" w:hAnsi="Times New Roman" w:cs="Times New Roman"/>
          <w:b/>
          <w:bCs/>
        </w:rPr>
        <w:footnoteReference w:id="6"/>
      </w:r>
      <w:r>
        <w:rPr>
          <w:rFonts w:ascii="Times New Roman" w:hAnsi="Times New Roman" w:cs="Times New Roman"/>
          <w:b/>
          <w:bCs/>
        </w:rPr>
        <w:t xml:space="preserve"> een non-paper ontvangen met daarin ideeën </w:t>
      </w:r>
      <w:r w:rsidRPr="001B2DA8">
        <w:rPr>
          <w:rFonts w:ascii="Times New Roman" w:hAnsi="Times New Roman" w:cs="Times New Roman"/>
          <w:b/>
          <w:bCs/>
        </w:rPr>
        <w:t>voor (gerichte) overgangsmaatregelen en waarborgen</w:t>
      </w:r>
      <w:r>
        <w:rPr>
          <w:rFonts w:ascii="Times New Roman" w:hAnsi="Times New Roman" w:cs="Times New Roman"/>
          <w:b/>
          <w:bCs/>
        </w:rPr>
        <w:t xml:space="preserve">. </w:t>
      </w:r>
      <w:r>
        <w:rPr>
          <w:rFonts w:ascii="Times New Roman" w:hAnsi="Times New Roman" w:cs="Times New Roman"/>
          <w:b/>
          <w:bCs/>
        </w:rPr>
        <w:br/>
      </w:r>
    </w:p>
    <w:p w:rsidRPr="00CF7821" w:rsidR="00821BED" w:rsidP="30E3A035" w:rsidRDefault="00821BED" w14:paraId="2F64D427" w14:textId="1A80F6E6">
      <w:pPr>
        <w:pStyle w:val="NoSpacing"/>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F73E25">
        <w:rPr>
          <w:rFonts w:ascii="Times New Roman" w:hAnsi="Times New Roman" w:cs="Times New Roman"/>
          <w:b/>
          <w:bCs/>
        </w:rPr>
        <w:t>PVV</w:t>
      </w:r>
      <w:r w:rsidRPr="30E3A035">
        <w:rPr>
          <w:rFonts w:ascii="Times New Roman" w:hAnsi="Times New Roman" w:cs="Times New Roman"/>
          <w:b/>
          <w:bCs/>
        </w:rPr>
        <w:t>-fractie</w:t>
      </w:r>
    </w:p>
    <w:p w:rsidR="00A131ED" w:rsidP="00A131ED" w:rsidRDefault="00A131ED" w14:paraId="6FC7A684" w14:textId="712D1E6C">
      <w:pPr>
        <w:pStyle w:val="NoSpacing"/>
        <w:rPr>
          <w:rFonts w:ascii="Times New Roman" w:hAnsi="Times New Roman" w:cs="Times New Roman"/>
        </w:rPr>
      </w:pPr>
      <w:r w:rsidRPr="00A131ED">
        <w:rPr>
          <w:rFonts w:ascii="Times New Roman" w:hAnsi="Times New Roman" w:cs="Times New Roman"/>
        </w:rPr>
        <w:t xml:space="preserve">De leden van de PVV-fractie hebben kennisgenomen van de geannoteerde agenda van de Raad Algemene Zaken van 16 </w:t>
      </w:r>
      <w:r>
        <w:rPr>
          <w:rFonts w:ascii="Times New Roman" w:hAnsi="Times New Roman" w:cs="Times New Roman"/>
        </w:rPr>
        <w:t>j</w:t>
      </w:r>
      <w:r w:rsidRPr="00A131ED">
        <w:rPr>
          <w:rFonts w:ascii="Times New Roman" w:hAnsi="Times New Roman" w:cs="Times New Roman"/>
        </w:rPr>
        <w:t>uni. Over deze agenda hebben de</w:t>
      </w:r>
      <w:r>
        <w:rPr>
          <w:rFonts w:ascii="Times New Roman" w:hAnsi="Times New Roman" w:cs="Times New Roman"/>
        </w:rPr>
        <w:t>ze</w:t>
      </w:r>
      <w:r w:rsidRPr="00A131ED">
        <w:rPr>
          <w:rFonts w:ascii="Times New Roman" w:hAnsi="Times New Roman" w:cs="Times New Roman"/>
        </w:rPr>
        <w:t xml:space="preserve"> leden de volgende vragen.</w:t>
      </w:r>
    </w:p>
    <w:p w:rsidRPr="00A131ED" w:rsidR="00A131ED" w:rsidP="00A131ED" w:rsidRDefault="00A131ED" w14:paraId="54479DD6" w14:textId="77777777">
      <w:pPr>
        <w:pStyle w:val="NoSpacing"/>
        <w:rPr>
          <w:rFonts w:ascii="Times New Roman" w:hAnsi="Times New Roman" w:cs="Times New Roman"/>
        </w:rPr>
      </w:pPr>
    </w:p>
    <w:p w:rsidR="00A131ED" w:rsidP="00A131ED" w:rsidRDefault="00A131ED" w14:paraId="594C1448" w14:textId="63EDF310">
      <w:pPr>
        <w:pStyle w:val="NoSpacing"/>
        <w:rPr>
          <w:rFonts w:ascii="Times New Roman" w:hAnsi="Times New Roman" w:cs="Times New Roman"/>
        </w:rPr>
      </w:pPr>
      <w:r w:rsidRPr="00A131ED">
        <w:rPr>
          <w:rFonts w:ascii="Times New Roman" w:hAnsi="Times New Roman" w:cs="Times New Roman"/>
        </w:rPr>
        <w:t xml:space="preserve">De leden van de PVV-fractie verzoeken het kabinet precies uiteen te zetten welke onderdelen van de voorgestelde gedeeltelijke algemene oriëntaties voor </w:t>
      </w:r>
      <w:r w:rsidR="00084DEE">
        <w:rPr>
          <w:rFonts w:ascii="Times New Roman" w:hAnsi="Times New Roman" w:cs="Times New Roman"/>
        </w:rPr>
        <w:t>de</w:t>
      </w:r>
      <w:r w:rsidRPr="00A131ED">
        <w:rPr>
          <w:rFonts w:ascii="Times New Roman" w:hAnsi="Times New Roman" w:cs="Times New Roman"/>
        </w:rPr>
        <w:t xml:space="preserve"> </w:t>
      </w:r>
      <w:r w:rsidRPr="00084DEE" w:rsidR="00084DEE">
        <w:rPr>
          <w:rFonts w:ascii="Times New Roman" w:hAnsi="Times New Roman" w:cs="Times New Roman"/>
        </w:rPr>
        <w:t>Nationale en Regionale Partnerschapsplannen</w:t>
      </w:r>
      <w:r w:rsidR="00084DEE">
        <w:rPr>
          <w:rFonts w:ascii="Times New Roman" w:hAnsi="Times New Roman" w:cs="Times New Roman"/>
        </w:rPr>
        <w:t xml:space="preserve"> (</w:t>
      </w:r>
      <w:r w:rsidRPr="00A131ED">
        <w:rPr>
          <w:rFonts w:ascii="Times New Roman" w:hAnsi="Times New Roman" w:cs="Times New Roman"/>
        </w:rPr>
        <w:t>NRPP</w:t>
      </w:r>
      <w:r w:rsidR="00084DEE">
        <w:rPr>
          <w:rFonts w:ascii="Times New Roman" w:hAnsi="Times New Roman" w:cs="Times New Roman"/>
        </w:rPr>
        <w:t>)</w:t>
      </w:r>
      <w:r w:rsidRPr="00A131ED">
        <w:rPr>
          <w:rFonts w:ascii="Times New Roman" w:hAnsi="Times New Roman" w:cs="Times New Roman"/>
        </w:rPr>
        <w:t>, het Europees Concurrentievermogen en “Europa in de wereld” onomkeerbare politieke of financiële gevolgen kunnen hebben, ondanks de stelling van het kabinet dat er nog geen besluitvorming plaatsvindt over de overkoepelende financiële elementen van het MFK.</w:t>
      </w:r>
    </w:p>
    <w:p w:rsidRPr="00A131ED" w:rsidR="00084DEE" w:rsidP="00A131ED" w:rsidRDefault="00084DEE" w14:paraId="0659CC68" w14:textId="77777777">
      <w:pPr>
        <w:pStyle w:val="NoSpacing"/>
        <w:rPr>
          <w:rFonts w:ascii="Times New Roman" w:hAnsi="Times New Roman" w:cs="Times New Roman"/>
        </w:rPr>
      </w:pPr>
    </w:p>
    <w:p w:rsidR="00A131ED" w:rsidP="00A131ED" w:rsidRDefault="00A131ED" w14:paraId="56B2F196" w14:textId="2BC6C7E5">
      <w:pPr>
        <w:pStyle w:val="NoSpacing"/>
        <w:rPr>
          <w:rFonts w:ascii="Times New Roman" w:hAnsi="Times New Roman" w:cs="Times New Roman"/>
        </w:rPr>
      </w:pPr>
      <w:r w:rsidRPr="00A131ED">
        <w:rPr>
          <w:rFonts w:ascii="Times New Roman" w:hAnsi="Times New Roman" w:cs="Times New Roman"/>
        </w:rPr>
        <w:t>De leden van de PVV-fractie verzoeken het kabinet per verordening aan te geven welke bevoegdheden, beleidsruimte of uitvoeringsmacht verschuiven van lidstaten naar de Europese Commissie.</w:t>
      </w:r>
    </w:p>
    <w:p w:rsidR="00C46C10" w:rsidP="00A131ED" w:rsidRDefault="00C46C10" w14:paraId="0AA903E2" w14:textId="77777777">
      <w:pPr>
        <w:pStyle w:val="NoSpacing"/>
        <w:rPr>
          <w:rFonts w:ascii="Times New Roman" w:hAnsi="Times New Roman" w:cs="Times New Roman"/>
        </w:rPr>
      </w:pPr>
    </w:p>
    <w:p w:rsidR="00A65B57" w:rsidP="00363E49" w:rsidRDefault="00C46C10" w14:paraId="6DD16B3C" w14:textId="7FCAAD2B">
      <w:pPr>
        <w:pStyle w:val="NoSpacing"/>
        <w:numPr>
          <w:ilvl w:val="0"/>
          <w:numId w:val="42"/>
        </w:numPr>
        <w:rPr>
          <w:rFonts w:ascii="Times New Roman" w:hAnsi="Times New Roman" w:cs="Times New Roman"/>
          <w:b/>
          <w:bCs/>
        </w:rPr>
      </w:pPr>
      <w:r w:rsidRPr="009A45E6">
        <w:rPr>
          <w:rFonts w:ascii="Times New Roman" w:hAnsi="Times New Roman" w:cs="Times New Roman"/>
          <w:b/>
          <w:bCs/>
          <w:u w:val="single"/>
        </w:rPr>
        <w:t>Antwoord van het kabinet</w:t>
      </w:r>
    </w:p>
    <w:p w:rsidR="00F94953" w:rsidP="00A131ED" w:rsidRDefault="00F94953" w14:paraId="5678DD8C" w14:textId="567551D6">
      <w:pPr>
        <w:pStyle w:val="NoSpacing"/>
        <w:rPr>
          <w:rFonts w:ascii="Times New Roman" w:hAnsi="Times New Roman" w:cs="Times New Roman"/>
          <w:b/>
          <w:bCs/>
        </w:rPr>
      </w:pPr>
      <w:bookmarkStart w:name="_Hlk231904544" w:id="5"/>
      <w:r>
        <w:rPr>
          <w:rFonts w:ascii="Times New Roman" w:hAnsi="Times New Roman" w:cs="Times New Roman"/>
          <w:b/>
          <w:bCs/>
        </w:rPr>
        <w:t xml:space="preserve">Met het vaststellen van de deelakkoorden (PGA’s) wordt tijdige sturing gegeven en de Raadsinzet voor het volgend MFK tijdelijk vastgezet om informele gesprekken over de verordeningen met het Europees Parlement te kunnen starten. Na consultaties met het Europees Parlement en definitief akkoord in de Europese Raad </w:t>
      </w:r>
      <w:r w:rsidR="0013327E">
        <w:rPr>
          <w:rFonts w:ascii="Times New Roman" w:hAnsi="Times New Roman" w:cs="Times New Roman"/>
          <w:b/>
          <w:bCs/>
        </w:rPr>
        <w:t>over de “</w:t>
      </w:r>
      <w:proofErr w:type="spellStart"/>
      <w:r w:rsidRPr="00B811B5" w:rsidR="0013327E">
        <w:rPr>
          <w:rFonts w:ascii="Times New Roman" w:hAnsi="Times New Roman" w:cs="Times New Roman"/>
          <w:b/>
          <w:i/>
        </w:rPr>
        <w:t>negotiating</w:t>
      </w:r>
      <w:proofErr w:type="spellEnd"/>
      <w:r w:rsidRPr="00B811B5" w:rsidR="0013327E">
        <w:rPr>
          <w:rFonts w:ascii="Times New Roman" w:hAnsi="Times New Roman" w:cs="Times New Roman"/>
          <w:b/>
          <w:i/>
        </w:rPr>
        <w:t xml:space="preserve"> box</w:t>
      </w:r>
      <w:r w:rsidR="0013327E">
        <w:rPr>
          <w:rFonts w:ascii="Times New Roman" w:hAnsi="Times New Roman" w:cs="Times New Roman"/>
          <w:b/>
          <w:bCs/>
        </w:rPr>
        <w:t>”</w:t>
      </w:r>
      <w:r>
        <w:rPr>
          <w:rFonts w:ascii="Times New Roman" w:hAnsi="Times New Roman" w:cs="Times New Roman"/>
          <w:b/>
          <w:bCs/>
        </w:rPr>
        <w:t xml:space="preserve"> worden de verordeningen nader uitgewerkt. </w:t>
      </w:r>
      <w:r w:rsidRPr="00141728">
        <w:rPr>
          <w:rFonts w:ascii="Times New Roman" w:hAnsi="Times New Roman" w:cs="Times New Roman"/>
          <w:b/>
          <w:bCs/>
        </w:rPr>
        <w:t>Er</w:t>
      </w:r>
      <w:r>
        <w:rPr>
          <w:rFonts w:ascii="Times New Roman" w:hAnsi="Times New Roman" w:cs="Times New Roman"/>
          <w:b/>
          <w:bCs/>
        </w:rPr>
        <w:t xml:space="preserve"> worden op dit moment dus geen onomkeerbare stappen gezet. </w:t>
      </w:r>
      <w:r w:rsidRPr="00E2138A">
        <w:rPr>
          <w:rFonts w:ascii="Times New Roman" w:hAnsi="Times New Roman" w:cs="Times New Roman"/>
          <w:b/>
          <w:bCs/>
        </w:rPr>
        <w:t xml:space="preserve">De gemoderniseerde structuur van het MFK, met meer resultaatgerichte financiering, heeft gevolgen voor de besluitvorming over de besteding van EU-middelen. Bij resultaatgerichte financiering vindt uitbetaling immers plaats op basis van vooraf afgesproken mijlpalen en doelstellingen. Het kabinet is hier voorstander van omdat het de effectiviteit van EU-middelen kan vergroten. Het kabinet heeft daarbij telkens scherp aandacht voor een passende rolverdeling tussen de lidstaten, de Raad en de Commissie. Zo heeft Nederland gepleit voor het garanderen van </w:t>
      </w:r>
      <w:r w:rsidR="00816083">
        <w:rPr>
          <w:rFonts w:ascii="Times New Roman" w:hAnsi="Times New Roman" w:cs="Times New Roman"/>
          <w:b/>
          <w:bCs/>
        </w:rPr>
        <w:t>betere</w:t>
      </w:r>
      <w:r w:rsidRPr="00E2138A">
        <w:rPr>
          <w:rFonts w:ascii="Times New Roman" w:hAnsi="Times New Roman" w:cs="Times New Roman"/>
          <w:b/>
          <w:bCs/>
        </w:rPr>
        <w:t xml:space="preserve"> betrokkenheid van de Raad en het inperken van zelfstandige uitvoeringsbevoegdheden</w:t>
      </w:r>
      <w:r w:rsidR="00370B34">
        <w:rPr>
          <w:rFonts w:ascii="Times New Roman" w:hAnsi="Times New Roman" w:cs="Times New Roman"/>
          <w:b/>
          <w:bCs/>
        </w:rPr>
        <w:t xml:space="preserve"> voor de Commissie</w:t>
      </w:r>
      <w:r w:rsidRPr="00E2138A">
        <w:rPr>
          <w:rFonts w:ascii="Times New Roman" w:hAnsi="Times New Roman" w:cs="Times New Roman"/>
          <w:b/>
          <w:bCs/>
        </w:rPr>
        <w:t>, in het bijzonder in het kader van het NRPP</w:t>
      </w:r>
      <w:r>
        <w:rPr>
          <w:rFonts w:ascii="Times New Roman" w:hAnsi="Times New Roman" w:cs="Times New Roman"/>
          <w:b/>
          <w:bCs/>
        </w:rPr>
        <w:t xml:space="preserve"> en Global Europe</w:t>
      </w:r>
      <w:r w:rsidRPr="00E2138A">
        <w:rPr>
          <w:rFonts w:ascii="Times New Roman" w:hAnsi="Times New Roman" w:cs="Times New Roman"/>
          <w:b/>
          <w:bCs/>
        </w:rPr>
        <w:t xml:space="preserve">. </w:t>
      </w:r>
      <w:bookmarkEnd w:id="5"/>
    </w:p>
    <w:p w:rsidRPr="00A131ED" w:rsidR="00084DEE" w:rsidP="00A131ED" w:rsidRDefault="00084DEE" w14:paraId="2367659E" w14:textId="77777777">
      <w:pPr>
        <w:pStyle w:val="NoSpacing"/>
        <w:rPr>
          <w:rFonts w:ascii="Times New Roman" w:hAnsi="Times New Roman" w:cs="Times New Roman"/>
        </w:rPr>
      </w:pPr>
    </w:p>
    <w:p w:rsidR="00A131ED" w:rsidP="00A131ED" w:rsidRDefault="00A131ED" w14:paraId="3309E918" w14:textId="60747DB2">
      <w:pPr>
        <w:pStyle w:val="NoSpacing"/>
        <w:rPr>
          <w:rFonts w:ascii="Times New Roman" w:hAnsi="Times New Roman" w:cs="Times New Roman"/>
        </w:rPr>
      </w:pPr>
      <w:r w:rsidRPr="00A131ED">
        <w:rPr>
          <w:rFonts w:ascii="Times New Roman" w:hAnsi="Times New Roman" w:cs="Times New Roman"/>
        </w:rPr>
        <w:t xml:space="preserve">De leden van de PVV-fractie verzoeken het kabinet aan te geven of het Europees Semester, en de landenspecifieke aanbevelingen, volgens het kabinet ook gebruikt </w:t>
      </w:r>
      <w:r w:rsidR="00084DEE">
        <w:rPr>
          <w:rFonts w:ascii="Times New Roman" w:hAnsi="Times New Roman" w:cs="Times New Roman"/>
        </w:rPr>
        <w:t>mogen</w:t>
      </w:r>
      <w:r w:rsidRPr="00A131ED">
        <w:rPr>
          <w:rFonts w:ascii="Times New Roman" w:hAnsi="Times New Roman" w:cs="Times New Roman"/>
        </w:rPr>
        <w:t xml:space="preserve"> worden om Nederland aan te spreken op nationale keuzes rond belastingen, hypotheekrenteaftrek, woningmarkt, pensioenstelsel, arbeidsmarkt en sociale zekerheid.</w:t>
      </w:r>
      <w:r w:rsidR="007F4C5C">
        <w:rPr>
          <w:rFonts w:ascii="Times New Roman" w:hAnsi="Times New Roman" w:cs="Times New Roman"/>
        </w:rPr>
        <w:t xml:space="preserve"> </w:t>
      </w:r>
      <w:r w:rsidRPr="00A131ED">
        <w:rPr>
          <w:rFonts w:ascii="Times New Roman" w:hAnsi="Times New Roman" w:cs="Times New Roman"/>
        </w:rPr>
        <w:t xml:space="preserve">Deze leden verzoeken het kabinet te bevestigen dat landenspecifieke aanbevelingen formeel niet bindend zijn, maar in </w:t>
      </w:r>
      <w:r w:rsidRPr="00A131ED">
        <w:rPr>
          <w:rFonts w:ascii="Times New Roman" w:hAnsi="Times New Roman" w:cs="Times New Roman"/>
        </w:rPr>
        <w:lastRenderedPageBreak/>
        <w:t>de praktijk steeds vaker kunnen worden gekoppeld aan EU-financiering, begrotingsregels en politieke druk vanuit Brussel.</w:t>
      </w:r>
    </w:p>
    <w:p w:rsidR="00720B88" w:rsidP="00A131ED" w:rsidRDefault="00720B88" w14:paraId="2368C4E1" w14:textId="77777777">
      <w:pPr>
        <w:pStyle w:val="NoSpacing"/>
        <w:rPr>
          <w:rFonts w:ascii="Times New Roman" w:hAnsi="Times New Roman" w:cs="Times New Roman"/>
        </w:rPr>
      </w:pPr>
    </w:p>
    <w:p w:rsidRPr="005B264F" w:rsidR="00720B88" w:rsidP="00CD0C26" w:rsidRDefault="00720B88" w14:paraId="06E2204A" w14:textId="75AED553">
      <w:pPr>
        <w:pStyle w:val="NoSpacing"/>
        <w:numPr>
          <w:ilvl w:val="0"/>
          <w:numId w:val="42"/>
        </w:numPr>
        <w:rPr>
          <w:rFonts w:ascii="Times New Roman" w:hAnsi="Times New Roman" w:cs="Times New Roman"/>
          <w:b/>
          <w:bCs/>
          <w:u w:val="single"/>
        </w:rPr>
      </w:pPr>
      <w:r w:rsidRPr="005B264F">
        <w:rPr>
          <w:rFonts w:ascii="Times New Roman" w:hAnsi="Times New Roman" w:cs="Times New Roman"/>
          <w:b/>
          <w:bCs/>
          <w:u w:val="single"/>
        </w:rPr>
        <w:t>Antwoord van het kabinet</w:t>
      </w:r>
    </w:p>
    <w:p w:rsidRPr="00141728" w:rsidR="00B917EF" w:rsidP="00B917EF" w:rsidRDefault="00486171" w14:paraId="5F668884" w14:textId="348FBD43">
      <w:pPr>
        <w:rPr>
          <w:rFonts w:ascii="Times New Roman" w:hAnsi="Times New Roman" w:cs="Times New Roman"/>
          <w:b/>
          <w:bCs/>
        </w:rPr>
      </w:pPr>
      <w:r>
        <w:rPr>
          <w:rFonts w:ascii="Times New Roman" w:hAnsi="Times New Roman" w:cs="Times New Roman"/>
          <w:b/>
          <w:bCs/>
        </w:rPr>
        <w:t>De</w:t>
      </w:r>
      <w:r w:rsidR="00910315">
        <w:rPr>
          <w:rFonts w:ascii="Times New Roman" w:hAnsi="Times New Roman" w:cs="Times New Roman"/>
          <w:b/>
          <w:bCs/>
        </w:rPr>
        <w:t xml:space="preserve"> </w:t>
      </w:r>
      <w:r w:rsidR="0066749F">
        <w:rPr>
          <w:rFonts w:ascii="Times New Roman" w:hAnsi="Times New Roman" w:cs="Times New Roman"/>
          <w:b/>
          <w:bCs/>
        </w:rPr>
        <w:t>landenspecifieke</w:t>
      </w:r>
      <w:r w:rsidRPr="00141728" w:rsidR="00B917EF">
        <w:rPr>
          <w:rFonts w:ascii="Times New Roman" w:hAnsi="Times New Roman" w:cs="Times New Roman"/>
          <w:b/>
          <w:bCs/>
        </w:rPr>
        <w:t xml:space="preserve"> aanbevelingen </w:t>
      </w:r>
      <w:r w:rsidR="00B917EF">
        <w:rPr>
          <w:rFonts w:ascii="Times New Roman" w:hAnsi="Times New Roman" w:cs="Times New Roman"/>
          <w:b/>
          <w:bCs/>
        </w:rPr>
        <w:t>zijn</w:t>
      </w:r>
      <w:r w:rsidRPr="00141728" w:rsidR="00B917EF">
        <w:rPr>
          <w:rFonts w:ascii="Times New Roman" w:hAnsi="Times New Roman" w:cs="Times New Roman"/>
          <w:b/>
          <w:bCs/>
        </w:rPr>
        <w:t xml:space="preserve"> </w:t>
      </w:r>
      <w:r>
        <w:rPr>
          <w:rFonts w:ascii="Times New Roman" w:hAnsi="Times New Roman" w:cs="Times New Roman"/>
          <w:b/>
          <w:bCs/>
        </w:rPr>
        <w:t xml:space="preserve">op zichzelf genomen </w:t>
      </w:r>
      <w:r w:rsidRPr="00141728" w:rsidR="00B917EF">
        <w:rPr>
          <w:rFonts w:ascii="Times New Roman" w:hAnsi="Times New Roman" w:cs="Times New Roman"/>
          <w:b/>
          <w:bCs/>
        </w:rPr>
        <w:t>niet bindend.</w:t>
      </w:r>
      <w:r w:rsidR="00B917EF">
        <w:rPr>
          <w:rFonts w:ascii="Times New Roman" w:hAnsi="Times New Roman" w:cs="Times New Roman"/>
          <w:b/>
          <w:bCs/>
        </w:rPr>
        <w:t xml:space="preserve"> </w:t>
      </w:r>
      <w:r w:rsidRPr="00141728" w:rsidR="00B917EF">
        <w:rPr>
          <w:rFonts w:ascii="Times New Roman" w:hAnsi="Times New Roman" w:cs="Times New Roman"/>
          <w:b/>
          <w:bCs/>
        </w:rPr>
        <w:t xml:space="preserve">De </w:t>
      </w:r>
      <w:r w:rsidR="0066749F">
        <w:rPr>
          <w:rFonts w:ascii="Times New Roman" w:hAnsi="Times New Roman" w:cs="Times New Roman"/>
          <w:b/>
          <w:bCs/>
        </w:rPr>
        <w:t>landenspecifieke</w:t>
      </w:r>
      <w:r w:rsidRPr="00141728" w:rsidR="00B917EF">
        <w:rPr>
          <w:rFonts w:ascii="Times New Roman" w:hAnsi="Times New Roman" w:cs="Times New Roman"/>
          <w:b/>
          <w:bCs/>
        </w:rPr>
        <w:t xml:space="preserve"> aanbevelingen die de Commissie voorstelt zijn in de ogen van het kabinet gebaseerd op een grondige analyse in de landenrapporten die de Commissie opstel</w:t>
      </w:r>
      <w:r>
        <w:rPr>
          <w:rFonts w:ascii="Times New Roman" w:hAnsi="Times New Roman" w:cs="Times New Roman"/>
          <w:b/>
          <w:bCs/>
        </w:rPr>
        <w:t>t</w:t>
      </w:r>
      <w:r w:rsidRPr="00141728" w:rsidR="00B917EF">
        <w:rPr>
          <w:rFonts w:ascii="Times New Roman" w:hAnsi="Times New Roman" w:cs="Times New Roman"/>
          <w:b/>
          <w:bCs/>
        </w:rPr>
        <w:t xml:space="preserve"> en aanbevelingen van de Raad voor het economische beleid van de eurozone. Hierbij </w:t>
      </w:r>
      <w:r w:rsidR="00910315">
        <w:rPr>
          <w:rFonts w:ascii="Times New Roman" w:hAnsi="Times New Roman" w:cs="Times New Roman"/>
          <w:b/>
          <w:bCs/>
        </w:rPr>
        <w:t>vindt</w:t>
      </w:r>
      <w:r w:rsidRPr="00141728" w:rsidR="00B917EF">
        <w:rPr>
          <w:rFonts w:ascii="Times New Roman" w:hAnsi="Times New Roman" w:cs="Times New Roman"/>
          <w:b/>
          <w:bCs/>
        </w:rPr>
        <w:t xml:space="preserve"> het kabinet </w:t>
      </w:r>
      <w:r w:rsidR="00910315">
        <w:rPr>
          <w:rFonts w:ascii="Times New Roman" w:hAnsi="Times New Roman" w:cs="Times New Roman"/>
          <w:b/>
          <w:bCs/>
        </w:rPr>
        <w:t>het belangrijk</w:t>
      </w:r>
      <w:r w:rsidRPr="00141728" w:rsidR="00B917EF">
        <w:rPr>
          <w:rFonts w:ascii="Times New Roman" w:hAnsi="Times New Roman" w:cs="Times New Roman"/>
          <w:b/>
          <w:bCs/>
        </w:rPr>
        <w:t xml:space="preserve"> dat de </w:t>
      </w:r>
      <w:r w:rsidR="0066749F">
        <w:rPr>
          <w:rFonts w:ascii="Times New Roman" w:hAnsi="Times New Roman" w:cs="Times New Roman"/>
          <w:b/>
          <w:bCs/>
        </w:rPr>
        <w:t>landenspecifieke</w:t>
      </w:r>
      <w:r w:rsidRPr="00141728" w:rsidR="00B917EF">
        <w:rPr>
          <w:rFonts w:ascii="Times New Roman" w:hAnsi="Times New Roman" w:cs="Times New Roman"/>
          <w:b/>
          <w:bCs/>
        </w:rPr>
        <w:t xml:space="preserve"> aanbevelingen de lidstaten een voldoende mate van beleidsvrijheid geven om deze te adresseren. Voldoende beleidsvrijheid is van belang voor nationaal draagvlak, eigenaarschap en uitvoerbaarheid.</w:t>
      </w:r>
    </w:p>
    <w:p w:rsidRPr="00141728" w:rsidR="00B917EF" w:rsidP="0079111B" w:rsidRDefault="00B917EF" w14:paraId="7B901421" w14:textId="1EC00154">
      <w:pPr>
        <w:spacing w:after="0"/>
        <w:rPr>
          <w:rFonts w:ascii="Times New Roman" w:hAnsi="Times New Roman" w:cs="Times New Roman"/>
          <w:i/>
          <w:iCs/>
        </w:rPr>
      </w:pPr>
      <w:r w:rsidRPr="00141728">
        <w:rPr>
          <w:rFonts w:ascii="Times New Roman" w:hAnsi="Times New Roman" w:cs="Times New Roman"/>
          <w:b/>
          <w:bCs/>
        </w:rPr>
        <w:t xml:space="preserve">In het voorstel van de Europese Commissie voor het nieuwe </w:t>
      </w:r>
      <w:r>
        <w:rPr>
          <w:rFonts w:ascii="Times New Roman" w:hAnsi="Times New Roman" w:cs="Times New Roman"/>
          <w:b/>
          <w:bCs/>
        </w:rPr>
        <w:t xml:space="preserve">MFK </w:t>
      </w:r>
      <w:r w:rsidRPr="00141728">
        <w:rPr>
          <w:rFonts w:ascii="Times New Roman" w:hAnsi="Times New Roman" w:cs="Times New Roman"/>
          <w:b/>
          <w:bCs/>
        </w:rPr>
        <w:t xml:space="preserve">worden de </w:t>
      </w:r>
      <w:r w:rsidR="0066749F">
        <w:rPr>
          <w:rFonts w:ascii="Times New Roman" w:hAnsi="Times New Roman" w:cs="Times New Roman"/>
          <w:b/>
          <w:bCs/>
        </w:rPr>
        <w:t>landenspecifieke</w:t>
      </w:r>
      <w:r w:rsidRPr="00141728">
        <w:rPr>
          <w:rFonts w:ascii="Times New Roman" w:hAnsi="Times New Roman" w:cs="Times New Roman"/>
          <w:b/>
          <w:bCs/>
        </w:rPr>
        <w:t xml:space="preserve"> aanbevelingen gekoppeld aan EU-financiering.</w:t>
      </w:r>
      <w:r w:rsidRPr="00141728">
        <w:rPr>
          <w:rStyle w:val="FootnoteReference"/>
          <w:rFonts w:ascii="Times New Roman" w:hAnsi="Times New Roman" w:cs="Times New Roman"/>
          <w:b/>
          <w:bCs/>
        </w:rPr>
        <w:footnoteReference w:id="7"/>
      </w:r>
      <w:r w:rsidRPr="00141728">
        <w:rPr>
          <w:rFonts w:ascii="Times New Roman" w:hAnsi="Times New Roman" w:cs="Times New Roman"/>
          <w:b/>
          <w:bCs/>
        </w:rPr>
        <w:t xml:space="preserve"> Een deel van de EU-middelen zal worden verstrekt via </w:t>
      </w:r>
      <w:r w:rsidR="004C4419">
        <w:rPr>
          <w:rFonts w:ascii="Times New Roman" w:hAnsi="Times New Roman" w:cs="Times New Roman"/>
          <w:b/>
          <w:bCs/>
        </w:rPr>
        <w:t>NRPP</w:t>
      </w:r>
      <w:r w:rsidR="00F61A96">
        <w:rPr>
          <w:rFonts w:ascii="Times New Roman" w:hAnsi="Times New Roman" w:cs="Times New Roman"/>
          <w:b/>
          <w:bCs/>
        </w:rPr>
        <w:t xml:space="preserve">, het nationale plan dat door de lidstaat zelf </w:t>
      </w:r>
      <w:r w:rsidR="00816083">
        <w:rPr>
          <w:rFonts w:ascii="Times New Roman" w:hAnsi="Times New Roman" w:cs="Times New Roman"/>
          <w:b/>
          <w:bCs/>
        </w:rPr>
        <w:t xml:space="preserve">zal </w:t>
      </w:r>
      <w:r w:rsidR="00F61A96">
        <w:rPr>
          <w:rFonts w:ascii="Times New Roman" w:hAnsi="Times New Roman" w:cs="Times New Roman"/>
          <w:b/>
          <w:bCs/>
        </w:rPr>
        <w:t>word</w:t>
      </w:r>
      <w:r w:rsidR="00816083">
        <w:rPr>
          <w:rFonts w:ascii="Times New Roman" w:hAnsi="Times New Roman" w:cs="Times New Roman"/>
          <w:b/>
          <w:bCs/>
        </w:rPr>
        <w:t>en</w:t>
      </w:r>
      <w:r w:rsidR="00F61A96">
        <w:rPr>
          <w:rFonts w:ascii="Times New Roman" w:hAnsi="Times New Roman" w:cs="Times New Roman"/>
          <w:b/>
          <w:bCs/>
        </w:rPr>
        <w:t xml:space="preserve"> opgesteld</w:t>
      </w:r>
      <w:r w:rsidRPr="00141728">
        <w:rPr>
          <w:rFonts w:ascii="Times New Roman" w:hAnsi="Times New Roman" w:cs="Times New Roman"/>
          <w:b/>
          <w:bCs/>
        </w:rPr>
        <w:t xml:space="preserve">. Deze plannen moeten volgens het Commissievoorstel een significant deel van de uitdagingen die zijn geïdentificeerd in het kader van het Europees Semester, in het bijzonder in de </w:t>
      </w:r>
      <w:r w:rsidR="0066749F">
        <w:rPr>
          <w:rFonts w:ascii="Times New Roman" w:hAnsi="Times New Roman" w:cs="Times New Roman"/>
          <w:b/>
          <w:bCs/>
        </w:rPr>
        <w:t>landenspecifieke</w:t>
      </w:r>
      <w:r w:rsidRPr="00141728">
        <w:rPr>
          <w:rFonts w:ascii="Times New Roman" w:hAnsi="Times New Roman" w:cs="Times New Roman"/>
          <w:b/>
          <w:bCs/>
        </w:rPr>
        <w:t xml:space="preserve"> aanbevelingen, adresseren.</w:t>
      </w:r>
    </w:p>
    <w:p w:rsidRPr="00A131ED" w:rsidR="007F4C5C" w:rsidP="00A131ED" w:rsidRDefault="007F4C5C" w14:paraId="59AB3C29" w14:textId="77777777">
      <w:pPr>
        <w:pStyle w:val="NoSpacing"/>
        <w:rPr>
          <w:rFonts w:ascii="Times New Roman" w:hAnsi="Times New Roman" w:cs="Times New Roman"/>
        </w:rPr>
      </w:pPr>
    </w:p>
    <w:p w:rsidR="00FE29B4" w:rsidP="002114FB" w:rsidRDefault="00A131ED" w14:paraId="00D8AFF6" w14:textId="6FE59E58">
      <w:pPr>
        <w:pStyle w:val="NoSpacing"/>
        <w:spacing w:line="276" w:lineRule="auto"/>
        <w:rPr>
          <w:rFonts w:ascii="Times New Roman" w:hAnsi="Times New Roman" w:cs="Times New Roman"/>
        </w:rPr>
      </w:pPr>
      <w:r w:rsidRPr="00A131ED">
        <w:rPr>
          <w:rFonts w:ascii="Times New Roman" w:hAnsi="Times New Roman" w:cs="Times New Roman"/>
        </w:rPr>
        <w:t xml:space="preserve">De leden van de PVV-fractie verzoeken het kabinet toe te lichten waarom de </w:t>
      </w:r>
      <w:r w:rsidR="007F4C5C">
        <w:rPr>
          <w:rFonts w:ascii="Times New Roman" w:hAnsi="Times New Roman" w:cs="Times New Roman"/>
        </w:rPr>
        <w:t>A</w:t>
      </w:r>
      <w:r w:rsidRPr="00A131ED">
        <w:rPr>
          <w:rFonts w:ascii="Times New Roman" w:hAnsi="Times New Roman" w:cs="Times New Roman"/>
        </w:rPr>
        <w:t>rtikel 7-procedure tegen Hongarije in de agenda expliciet wordt gekoppeld aan aansluiting bij het gemeenschappelijk buitenlands- en veiligheidsbeleid, waaronder steun aan Oekraïne en sancties tegen Rusland, en daarbij te bevestigen dat deze rechtsstaatprocedure en de beoordeling van EU-financiering uitsluitend mogen worden gebaseerd op objectieve juridische voorwaarden en niet mogen worden gebruikt als politiek drukmiddel om democratisch gekozen regeringen tot buitenlandpolitieke gehoorzaamheid aan Brussel te dwingen.</w:t>
      </w:r>
    </w:p>
    <w:p w:rsidR="000826A2" w:rsidP="002114FB" w:rsidRDefault="000826A2" w14:paraId="55D915B1" w14:textId="77777777">
      <w:pPr>
        <w:pStyle w:val="NoSpacing"/>
        <w:spacing w:line="276" w:lineRule="auto"/>
        <w:rPr>
          <w:rFonts w:ascii="Times New Roman" w:hAnsi="Times New Roman" w:cs="Times New Roman"/>
        </w:rPr>
      </w:pPr>
    </w:p>
    <w:p w:rsidRPr="0074330D" w:rsidR="000826A2" w:rsidP="00CD0C26" w:rsidRDefault="000826A2" w14:paraId="536840DA" w14:textId="1DAF6B1F">
      <w:pPr>
        <w:pStyle w:val="NoSpacing"/>
        <w:numPr>
          <w:ilvl w:val="0"/>
          <w:numId w:val="42"/>
        </w:numPr>
        <w:spacing w:line="276" w:lineRule="auto"/>
        <w:rPr>
          <w:rFonts w:ascii="Times New Roman" w:hAnsi="Times New Roman" w:cs="Times New Roman"/>
          <w:b/>
          <w:bCs/>
          <w:u w:val="single"/>
        </w:rPr>
      </w:pPr>
      <w:r w:rsidRPr="0074330D">
        <w:rPr>
          <w:rFonts w:ascii="Times New Roman" w:hAnsi="Times New Roman" w:cs="Times New Roman"/>
          <w:b/>
          <w:bCs/>
          <w:u w:val="single"/>
        </w:rPr>
        <w:t>Antwoord van het kabinet</w:t>
      </w:r>
    </w:p>
    <w:p w:rsidR="00CE6913" w:rsidP="00FE50FC" w:rsidRDefault="001D4B49" w14:paraId="133FA683" w14:textId="77777777">
      <w:pPr>
        <w:pStyle w:val="NormalWeb"/>
        <w:spacing w:before="0" w:beforeAutospacing="0" w:after="0" w:afterAutospacing="0" w:line="276" w:lineRule="auto"/>
        <w:rPr>
          <w:b/>
          <w:bCs/>
          <w:color w:val="000000"/>
        </w:rPr>
      </w:pPr>
      <w:r w:rsidRPr="001D4B49">
        <w:rPr>
          <w:b/>
          <w:bCs/>
          <w:color w:val="000000"/>
        </w:rPr>
        <w:t xml:space="preserve">Zoals in het antwoord op </w:t>
      </w:r>
      <w:r w:rsidR="00205D06">
        <w:rPr>
          <w:b/>
          <w:bCs/>
          <w:color w:val="000000"/>
        </w:rPr>
        <w:t>vraag 4</w:t>
      </w:r>
      <w:r w:rsidRPr="001D4B49">
        <w:rPr>
          <w:b/>
          <w:bCs/>
          <w:color w:val="000000"/>
        </w:rPr>
        <w:t xml:space="preserve"> is toegelicht zal het kabinet middels een Benelux-interventie optimisme uitdragen over de door de nieuwe Hongaarse regering ingezette koers en </w:t>
      </w:r>
      <w:r w:rsidR="003448D3">
        <w:rPr>
          <w:b/>
        </w:rPr>
        <w:t xml:space="preserve">de </w:t>
      </w:r>
      <w:r w:rsidRPr="002703B7" w:rsidR="003448D3">
        <w:rPr>
          <w:b/>
        </w:rPr>
        <w:t xml:space="preserve">verwachtingen uitspreken dat HON de benodigde duurzame hervormingen zal </w:t>
      </w:r>
      <w:r w:rsidRPr="002703B7" w:rsidR="003448D3">
        <w:rPr>
          <w:b/>
          <w:bCs/>
        </w:rPr>
        <w:t>doorvoeren</w:t>
      </w:r>
      <w:r w:rsidRPr="001D4B49">
        <w:rPr>
          <w:b/>
          <w:bCs/>
          <w:color w:val="000000"/>
        </w:rPr>
        <w:t xml:space="preserve">. Aansluiting bij het </w:t>
      </w:r>
      <w:r w:rsidR="003377A1">
        <w:rPr>
          <w:b/>
          <w:bCs/>
          <w:color w:val="000000"/>
        </w:rPr>
        <w:t>G</w:t>
      </w:r>
      <w:r w:rsidRPr="001D4B49">
        <w:rPr>
          <w:b/>
          <w:bCs/>
          <w:color w:val="000000"/>
        </w:rPr>
        <w:t xml:space="preserve">emeenschappelijk </w:t>
      </w:r>
      <w:r w:rsidR="003377A1">
        <w:rPr>
          <w:b/>
          <w:bCs/>
          <w:color w:val="000000"/>
        </w:rPr>
        <w:t>B</w:t>
      </w:r>
      <w:r w:rsidRPr="001D4B49">
        <w:rPr>
          <w:b/>
          <w:bCs/>
          <w:color w:val="000000"/>
        </w:rPr>
        <w:t xml:space="preserve">uitenland en </w:t>
      </w:r>
      <w:r w:rsidR="003377A1">
        <w:rPr>
          <w:b/>
          <w:bCs/>
          <w:color w:val="000000"/>
        </w:rPr>
        <w:t>V</w:t>
      </w:r>
      <w:r w:rsidRPr="001D4B49">
        <w:rPr>
          <w:b/>
          <w:bCs/>
          <w:color w:val="000000"/>
        </w:rPr>
        <w:t>eiligheidsbeleid</w:t>
      </w:r>
      <w:r w:rsidR="003377A1">
        <w:rPr>
          <w:b/>
          <w:bCs/>
          <w:color w:val="000000"/>
        </w:rPr>
        <w:t xml:space="preserve"> (GBVB)</w:t>
      </w:r>
      <w:r w:rsidRPr="001D4B49">
        <w:rPr>
          <w:b/>
          <w:bCs/>
          <w:color w:val="000000"/>
        </w:rPr>
        <w:t>, waaronder steun aan Oekraïne en sancties tegen Rusland vormen geen onderdeel van de artikel 7</w:t>
      </w:r>
      <w:r w:rsidR="004D2881">
        <w:rPr>
          <w:b/>
          <w:bCs/>
          <w:color w:val="000000"/>
        </w:rPr>
        <w:t>-</w:t>
      </w:r>
      <w:r w:rsidRPr="001D4B49">
        <w:rPr>
          <w:b/>
          <w:bCs/>
          <w:color w:val="000000"/>
        </w:rPr>
        <w:t>procedure tegen Hongarije.</w:t>
      </w:r>
      <w:r w:rsidR="004B663A">
        <w:rPr>
          <w:b/>
          <w:bCs/>
          <w:color w:val="000000"/>
        </w:rPr>
        <w:t xml:space="preserve"> </w:t>
      </w:r>
    </w:p>
    <w:p w:rsidR="00CE6913" w:rsidP="00FE50FC" w:rsidRDefault="00CE6913" w14:paraId="3BA4611D" w14:textId="77777777">
      <w:pPr>
        <w:pStyle w:val="NormalWeb"/>
        <w:spacing w:before="0" w:beforeAutospacing="0" w:after="0" w:afterAutospacing="0" w:line="276" w:lineRule="auto"/>
        <w:rPr>
          <w:b/>
          <w:bCs/>
          <w:color w:val="000000"/>
        </w:rPr>
      </w:pPr>
    </w:p>
    <w:p w:rsidRPr="001D4B49" w:rsidR="001D4B49" w:rsidP="00FE50FC" w:rsidRDefault="004B663A" w14:paraId="098CE3ED" w14:textId="5AA9B57D">
      <w:pPr>
        <w:pStyle w:val="NormalWeb"/>
        <w:spacing w:before="0" w:beforeAutospacing="0" w:after="0" w:afterAutospacing="0" w:line="276" w:lineRule="auto"/>
        <w:rPr>
          <w:b/>
          <w:bCs/>
          <w:color w:val="000000"/>
        </w:rPr>
      </w:pPr>
      <w:r>
        <w:rPr>
          <w:b/>
          <w:bCs/>
          <w:color w:val="000000"/>
        </w:rPr>
        <w:t>Tegelijkertijd zet het kabinet zich in conform d</w:t>
      </w:r>
      <w:r w:rsidRPr="001D4B49" w:rsidR="001D4B49">
        <w:rPr>
          <w:b/>
          <w:bCs/>
          <w:color w:val="000000"/>
        </w:rPr>
        <w:t>e motie Van Lanschot c.s.</w:t>
      </w:r>
      <w:r w:rsidR="00684769">
        <w:rPr>
          <w:rStyle w:val="FootnoteReference"/>
          <w:b/>
          <w:bCs/>
          <w:color w:val="000000"/>
        </w:rPr>
        <w:footnoteReference w:id="8"/>
      </w:r>
      <w:r>
        <w:rPr>
          <w:b/>
          <w:bCs/>
          <w:color w:val="000000"/>
        </w:rPr>
        <w:t>, die</w:t>
      </w:r>
      <w:r w:rsidRPr="001D4B49" w:rsidR="001D4B49">
        <w:rPr>
          <w:b/>
          <w:bCs/>
          <w:color w:val="000000"/>
        </w:rPr>
        <w:t xml:space="preserve"> </w:t>
      </w:r>
      <w:r w:rsidRPr="001D4B49">
        <w:rPr>
          <w:b/>
          <w:bCs/>
          <w:color w:val="000000"/>
        </w:rPr>
        <w:t>de regering</w:t>
      </w:r>
      <w:r w:rsidRPr="001D4B49" w:rsidR="001D4B49">
        <w:rPr>
          <w:b/>
          <w:bCs/>
          <w:color w:val="000000"/>
        </w:rPr>
        <w:t xml:space="preserve"> verzoekt om zich er in EU-verband bij de Europese Commissie voor in te zetten dat Hongarije de rechtsstaat herstelt, zich opnieuw in lijn brengt met gedeelde waarden en het gemeenschappelijk buitenlands en veiligheidsbeleid zoals steun aan Oekraïne en </w:t>
      </w:r>
      <w:r w:rsidRPr="001D4B49" w:rsidR="001D4B49">
        <w:rPr>
          <w:b/>
          <w:bCs/>
          <w:color w:val="000000"/>
        </w:rPr>
        <w:lastRenderedPageBreak/>
        <w:t>sancties tegen Rusland, en de hervormingen doorvoert om te voldoen aan de voorwaarden voor Europese financiering.</w:t>
      </w:r>
      <w:r w:rsidR="00876D08">
        <w:rPr>
          <w:b/>
          <w:bCs/>
          <w:color w:val="000000"/>
        </w:rPr>
        <w:t xml:space="preserve"> </w:t>
      </w:r>
    </w:p>
    <w:p w:rsidRPr="00A131ED" w:rsidR="00FE29B4" w:rsidP="002114FB" w:rsidRDefault="00FE29B4" w14:paraId="00DB8E71" w14:textId="77777777">
      <w:pPr>
        <w:pStyle w:val="NoSpacing"/>
        <w:spacing w:line="276" w:lineRule="auto"/>
        <w:rPr>
          <w:rFonts w:ascii="Times New Roman" w:hAnsi="Times New Roman" w:cs="Times New Roman"/>
        </w:rPr>
      </w:pPr>
    </w:p>
    <w:p w:rsidR="00A131ED" w:rsidP="00A131ED" w:rsidRDefault="00A131ED" w14:paraId="1B86FE1E" w14:textId="1C1BB1D3">
      <w:pPr>
        <w:pStyle w:val="NoSpacing"/>
        <w:rPr>
          <w:rFonts w:ascii="Times New Roman" w:hAnsi="Times New Roman" w:cs="Times New Roman"/>
        </w:rPr>
      </w:pPr>
      <w:r w:rsidRPr="00A131ED">
        <w:rPr>
          <w:rFonts w:ascii="Times New Roman" w:hAnsi="Times New Roman" w:cs="Times New Roman"/>
        </w:rPr>
        <w:t>De leden van de PVV-fractie verzoeken het kabinet uiteen te zetten welke concrete gevolgen het onder voorbehoud sluiten van hoofdstuk 28 met Montenegro heeft voor het verdere toetredingsproces. Deze leden verzoeken het kabinet daarnaast de mogelijke gevolgen voor het onder voorbehoud sluiten van hoofdstuk 2 over vrij verkeer van werknemers met Montenegro voor Nederland in kaart te brengen, waaronder druk op sociale voorzieningen en extra druk op de arbeids- en woningmarkt.</w:t>
      </w:r>
    </w:p>
    <w:p w:rsidR="005063A6" w:rsidP="00A131ED" w:rsidRDefault="005063A6" w14:paraId="1FF94FB7" w14:textId="77777777">
      <w:pPr>
        <w:pStyle w:val="NoSpacing"/>
        <w:rPr>
          <w:rFonts w:ascii="Times New Roman" w:hAnsi="Times New Roman" w:cs="Times New Roman"/>
        </w:rPr>
      </w:pPr>
    </w:p>
    <w:p w:rsidRPr="0074330D" w:rsidR="0079493D" w:rsidP="00CD0C26" w:rsidRDefault="0079493D" w14:paraId="334EACD5" w14:textId="7A7B5931">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Pr="002C1452" w:rsidR="00A131ED" w:rsidP="00A131ED" w:rsidRDefault="002C1452" w14:paraId="24CF741B" w14:textId="33855A77">
      <w:pPr>
        <w:pStyle w:val="NoSpacing"/>
        <w:rPr>
          <w:rFonts w:ascii="Times New Roman" w:hAnsi="Times New Roman" w:cs="Times New Roman"/>
          <w:b/>
        </w:rPr>
      </w:pPr>
      <w:r>
        <w:rPr>
          <w:rFonts w:ascii="Times New Roman" w:hAnsi="Times New Roman" w:cs="Times New Roman"/>
          <w:b/>
          <w:bCs/>
        </w:rPr>
        <w:t xml:space="preserve">Het onder voorbehoud sluiten van hoofdstuk 28 heeft geen gevolgen voor overige onderdelen van het toetredingsproces. Montenegro zal voor elk hoofdstuk aan de relevante </w:t>
      </w:r>
      <w:proofErr w:type="spellStart"/>
      <w:r>
        <w:rPr>
          <w:rFonts w:ascii="Times New Roman" w:hAnsi="Times New Roman" w:cs="Times New Roman"/>
          <w:b/>
          <w:bCs/>
          <w:i/>
          <w:iCs/>
        </w:rPr>
        <w:t>closing</w:t>
      </w:r>
      <w:proofErr w:type="spellEnd"/>
      <w:r>
        <w:rPr>
          <w:rFonts w:ascii="Times New Roman" w:hAnsi="Times New Roman" w:cs="Times New Roman"/>
          <w:b/>
          <w:bCs/>
          <w:i/>
          <w:iCs/>
        </w:rPr>
        <w:t xml:space="preserve"> benchmarks</w:t>
      </w:r>
      <w:r>
        <w:rPr>
          <w:rFonts w:ascii="Times New Roman" w:hAnsi="Times New Roman" w:cs="Times New Roman"/>
          <w:b/>
          <w:bCs/>
        </w:rPr>
        <w:t xml:space="preserve"> moeten voldoen.</w:t>
      </w:r>
      <w:r w:rsidR="001C36EF">
        <w:rPr>
          <w:rFonts w:ascii="Times New Roman" w:hAnsi="Times New Roman" w:cs="Times New Roman"/>
          <w:b/>
          <w:bCs/>
        </w:rPr>
        <w:t xml:space="preserve"> Na het onder voorbehoud sluiten van hoofdstuk 28 en van hoofdstuk 2 zullen 16 van de 33 hoofdstukken in de toetredingsonderhandelingen met Montenegro onder voorbehoud zijn gesloten. </w:t>
      </w:r>
      <w:r>
        <w:rPr>
          <w:rFonts w:ascii="Times New Roman" w:hAnsi="Times New Roman" w:cs="Times New Roman"/>
          <w:b/>
          <w:bCs/>
        </w:rPr>
        <w:br/>
      </w:r>
      <w:r>
        <w:rPr>
          <w:rFonts w:ascii="Times New Roman" w:hAnsi="Times New Roman" w:cs="Times New Roman"/>
          <w:b/>
          <w:bCs/>
        </w:rPr>
        <w:br/>
      </w:r>
      <w:r w:rsidR="00283021">
        <w:rPr>
          <w:rFonts w:ascii="Times New Roman" w:hAnsi="Times New Roman" w:cs="Times New Roman"/>
          <w:b/>
          <w:bCs/>
        </w:rPr>
        <w:t xml:space="preserve">Bij de behandeling van de </w:t>
      </w:r>
      <w:r w:rsidRPr="00A3697E" w:rsidR="00283021">
        <w:rPr>
          <w:rFonts w:ascii="Times New Roman" w:hAnsi="Times New Roman" w:cs="Times New Roman"/>
          <w:b/>
          <w:i/>
        </w:rPr>
        <w:t xml:space="preserve">Draft Common </w:t>
      </w:r>
      <w:proofErr w:type="spellStart"/>
      <w:r w:rsidRPr="00A3697E" w:rsidR="00283021">
        <w:rPr>
          <w:rFonts w:ascii="Times New Roman" w:hAnsi="Times New Roman" w:cs="Times New Roman"/>
          <w:b/>
          <w:i/>
        </w:rPr>
        <w:t>Position</w:t>
      </w:r>
      <w:proofErr w:type="spellEnd"/>
      <w:r w:rsidRPr="00A3697E" w:rsidR="00283021">
        <w:rPr>
          <w:rFonts w:ascii="Times New Roman" w:hAnsi="Times New Roman" w:cs="Times New Roman"/>
          <w:b/>
          <w:i/>
        </w:rPr>
        <w:t xml:space="preserve"> </w:t>
      </w:r>
      <w:r w:rsidR="00283021">
        <w:rPr>
          <w:rFonts w:ascii="Times New Roman" w:hAnsi="Times New Roman" w:cs="Times New Roman"/>
          <w:b/>
          <w:bCs/>
        </w:rPr>
        <w:t xml:space="preserve">voor </w:t>
      </w:r>
      <w:r>
        <w:rPr>
          <w:rFonts w:ascii="Times New Roman" w:hAnsi="Times New Roman" w:cs="Times New Roman"/>
          <w:b/>
          <w:bCs/>
        </w:rPr>
        <w:t xml:space="preserve">hoofdstuk 2 </w:t>
      </w:r>
      <w:r w:rsidR="00283021">
        <w:rPr>
          <w:rFonts w:ascii="Times New Roman" w:hAnsi="Times New Roman" w:cs="Times New Roman"/>
          <w:b/>
          <w:bCs/>
        </w:rPr>
        <w:t xml:space="preserve">heeft Nederland rekening gehouden met het </w:t>
      </w:r>
      <w:r w:rsidRPr="002C1452" w:rsidR="00283021">
        <w:rPr>
          <w:rFonts w:ascii="Times New Roman" w:hAnsi="Times New Roman" w:cs="Times New Roman"/>
          <w:b/>
          <w:bCs/>
        </w:rPr>
        <w:t>kwantitatief onderzo</w:t>
      </w:r>
      <w:r w:rsidR="00283021">
        <w:rPr>
          <w:rFonts w:ascii="Times New Roman" w:hAnsi="Times New Roman" w:cs="Times New Roman"/>
          <w:b/>
          <w:bCs/>
        </w:rPr>
        <w:t>ek</w:t>
      </w:r>
      <w:r w:rsidRPr="002C1452" w:rsidR="00283021">
        <w:rPr>
          <w:rFonts w:ascii="Times New Roman" w:hAnsi="Times New Roman" w:cs="Times New Roman"/>
          <w:b/>
          <w:bCs/>
        </w:rPr>
        <w:t xml:space="preserve"> door het Centraal Planbureau</w:t>
      </w:r>
      <w:r w:rsidR="00283021">
        <w:rPr>
          <w:rStyle w:val="FootnoteReference"/>
          <w:rFonts w:ascii="Times New Roman" w:hAnsi="Times New Roman" w:cs="Times New Roman"/>
          <w:b/>
          <w:bCs/>
        </w:rPr>
        <w:footnoteReference w:id="9"/>
      </w:r>
      <w:r w:rsidR="00283021">
        <w:rPr>
          <w:rFonts w:ascii="Times New Roman" w:hAnsi="Times New Roman" w:cs="Times New Roman"/>
          <w:b/>
          <w:bCs/>
        </w:rPr>
        <w:t>, waaruit</w:t>
      </w:r>
      <w:r w:rsidRPr="002C1452">
        <w:rPr>
          <w:rFonts w:ascii="Times New Roman" w:hAnsi="Times New Roman" w:cs="Times New Roman"/>
          <w:b/>
          <w:bCs/>
        </w:rPr>
        <w:t xml:space="preserve"> de verwachting </w:t>
      </w:r>
      <w:r w:rsidR="00283021">
        <w:rPr>
          <w:rFonts w:ascii="Times New Roman" w:hAnsi="Times New Roman" w:cs="Times New Roman"/>
          <w:b/>
          <w:bCs/>
        </w:rPr>
        <w:t xml:space="preserve">naar voren komt </w:t>
      </w:r>
      <w:r w:rsidRPr="002C1452">
        <w:rPr>
          <w:rFonts w:ascii="Times New Roman" w:hAnsi="Times New Roman" w:cs="Times New Roman"/>
          <w:b/>
          <w:bCs/>
        </w:rPr>
        <w:t xml:space="preserve">dat </w:t>
      </w:r>
      <w:r w:rsidR="00C25359">
        <w:rPr>
          <w:rFonts w:ascii="Times New Roman" w:hAnsi="Times New Roman" w:cs="Times New Roman"/>
          <w:b/>
          <w:bCs/>
        </w:rPr>
        <w:t xml:space="preserve">arbeidsmigratie relatief beperkt zal toenemen door </w:t>
      </w:r>
      <w:r w:rsidRPr="00123D4D" w:rsidR="00123D4D">
        <w:rPr>
          <w:rFonts w:ascii="Times New Roman" w:hAnsi="Times New Roman" w:cs="Times New Roman"/>
          <w:b/>
          <w:bCs/>
        </w:rPr>
        <w:t xml:space="preserve">de toekomstige </w:t>
      </w:r>
      <w:r w:rsidRPr="002C1452">
        <w:rPr>
          <w:rFonts w:ascii="Times New Roman" w:hAnsi="Times New Roman" w:cs="Times New Roman"/>
          <w:b/>
          <w:bCs/>
        </w:rPr>
        <w:t>toetreding van Montenegro</w:t>
      </w:r>
      <w:r w:rsidR="00C25359">
        <w:rPr>
          <w:rFonts w:ascii="Times New Roman" w:hAnsi="Times New Roman" w:cs="Times New Roman"/>
          <w:b/>
          <w:bCs/>
        </w:rPr>
        <w:t>.</w:t>
      </w:r>
      <w:r w:rsidR="00881DD5">
        <w:rPr>
          <w:rFonts w:ascii="Times New Roman" w:hAnsi="Times New Roman" w:cs="Times New Roman"/>
          <w:b/>
          <w:bCs/>
        </w:rPr>
        <w:t xml:space="preserve"> </w:t>
      </w:r>
      <w:r w:rsidRPr="002C1452">
        <w:rPr>
          <w:rFonts w:ascii="Times New Roman" w:hAnsi="Times New Roman" w:cs="Times New Roman"/>
          <w:b/>
          <w:bCs/>
        </w:rPr>
        <w:t xml:space="preserve">Toetreding van Montenegro </w:t>
      </w:r>
      <w:r w:rsidR="00283021">
        <w:rPr>
          <w:rFonts w:ascii="Times New Roman" w:hAnsi="Times New Roman" w:cs="Times New Roman"/>
          <w:b/>
          <w:bCs/>
        </w:rPr>
        <w:t xml:space="preserve">zonder </w:t>
      </w:r>
      <w:r w:rsidR="00162317">
        <w:rPr>
          <w:rFonts w:ascii="Times New Roman" w:hAnsi="Times New Roman" w:cs="Times New Roman"/>
          <w:b/>
          <w:bCs/>
        </w:rPr>
        <w:t>transitie</w:t>
      </w:r>
      <w:r w:rsidR="00283021">
        <w:rPr>
          <w:rFonts w:ascii="Times New Roman" w:hAnsi="Times New Roman" w:cs="Times New Roman"/>
          <w:b/>
          <w:bCs/>
        </w:rPr>
        <w:t>maatregelen</w:t>
      </w:r>
      <w:r w:rsidRPr="002C1452">
        <w:rPr>
          <w:rFonts w:ascii="Times New Roman" w:hAnsi="Times New Roman" w:cs="Times New Roman"/>
          <w:b/>
          <w:bCs/>
        </w:rPr>
        <w:t xml:space="preserve"> zorgt naar verwachting voor ca. 4.000 extra arbeidsmigranten in Nederland tien jaar na toetreding</w:t>
      </w:r>
      <w:r w:rsidR="00D50400">
        <w:rPr>
          <w:rFonts w:ascii="Times New Roman" w:hAnsi="Times New Roman" w:cs="Times New Roman"/>
          <w:b/>
          <w:bCs/>
        </w:rPr>
        <w:t xml:space="preserve"> volgens het </w:t>
      </w:r>
      <w:r w:rsidRPr="002C1452" w:rsidR="00BC28C3">
        <w:rPr>
          <w:rFonts w:ascii="Times New Roman" w:hAnsi="Times New Roman" w:cs="Times New Roman"/>
          <w:b/>
          <w:bCs/>
        </w:rPr>
        <w:t>Centraal Planbureau</w:t>
      </w:r>
      <w:r w:rsidRPr="002C1452">
        <w:rPr>
          <w:rFonts w:ascii="Times New Roman" w:hAnsi="Times New Roman" w:cs="Times New Roman"/>
          <w:b/>
          <w:bCs/>
        </w:rPr>
        <w:t xml:space="preserve">. </w:t>
      </w:r>
      <w:r>
        <w:rPr>
          <w:rFonts w:ascii="Times New Roman" w:hAnsi="Times New Roman" w:cs="Times New Roman"/>
          <w:b/>
          <w:bCs/>
        </w:rPr>
        <w:t>D</w:t>
      </w:r>
      <w:r w:rsidRPr="002C1452">
        <w:rPr>
          <w:rFonts w:ascii="Times New Roman" w:hAnsi="Times New Roman" w:cs="Times New Roman"/>
          <w:b/>
          <w:bCs/>
        </w:rPr>
        <w:t xml:space="preserve">it </w:t>
      </w:r>
      <w:r>
        <w:rPr>
          <w:rFonts w:ascii="Times New Roman" w:hAnsi="Times New Roman" w:cs="Times New Roman"/>
          <w:b/>
          <w:bCs/>
        </w:rPr>
        <w:t xml:space="preserve">zal </w:t>
      </w:r>
      <w:r w:rsidRPr="002C1452">
        <w:rPr>
          <w:rFonts w:ascii="Times New Roman" w:hAnsi="Times New Roman" w:cs="Times New Roman"/>
          <w:b/>
          <w:bCs/>
        </w:rPr>
        <w:t>waarschijnlijk beperkt druk</w:t>
      </w:r>
      <w:r w:rsidR="00FC4610">
        <w:rPr>
          <w:rFonts w:ascii="Times New Roman" w:hAnsi="Times New Roman" w:cs="Times New Roman"/>
          <w:b/>
          <w:bCs/>
        </w:rPr>
        <w:t>ken</w:t>
      </w:r>
      <w:r w:rsidRPr="002C1452">
        <w:rPr>
          <w:rFonts w:ascii="Times New Roman" w:hAnsi="Times New Roman" w:cs="Times New Roman"/>
          <w:b/>
          <w:bCs/>
        </w:rPr>
        <w:t xml:space="preserve"> op de sociale voorzieningen, arbeids- en woningmarkt</w:t>
      </w:r>
      <w:r w:rsidR="00283021">
        <w:rPr>
          <w:rFonts w:ascii="Times New Roman" w:hAnsi="Times New Roman" w:cs="Times New Roman"/>
          <w:b/>
          <w:bCs/>
        </w:rPr>
        <w:t xml:space="preserve">, maar </w:t>
      </w:r>
      <w:r>
        <w:rPr>
          <w:rFonts w:ascii="Times New Roman" w:hAnsi="Times New Roman" w:cs="Times New Roman"/>
          <w:b/>
          <w:bCs/>
        </w:rPr>
        <w:t xml:space="preserve">neemt niet weg dat we </w:t>
      </w:r>
      <w:r w:rsidR="00283021">
        <w:rPr>
          <w:rFonts w:ascii="Times New Roman" w:hAnsi="Times New Roman" w:cs="Times New Roman"/>
          <w:b/>
          <w:bCs/>
        </w:rPr>
        <w:t xml:space="preserve">hierop </w:t>
      </w:r>
      <w:r>
        <w:rPr>
          <w:rFonts w:ascii="Times New Roman" w:hAnsi="Times New Roman" w:cs="Times New Roman"/>
          <w:b/>
          <w:bCs/>
        </w:rPr>
        <w:t xml:space="preserve">goed voorbereid moeten zijn. </w:t>
      </w:r>
      <w:r w:rsidRPr="002C1452">
        <w:rPr>
          <w:rFonts w:ascii="Times New Roman" w:hAnsi="Times New Roman" w:cs="Times New Roman"/>
          <w:b/>
          <w:bCs/>
        </w:rPr>
        <w:t xml:space="preserve">Nederland </w:t>
      </w:r>
      <w:r>
        <w:rPr>
          <w:rFonts w:ascii="Times New Roman" w:hAnsi="Times New Roman" w:cs="Times New Roman"/>
          <w:b/>
          <w:bCs/>
        </w:rPr>
        <w:t xml:space="preserve">heeft </w:t>
      </w:r>
      <w:r w:rsidR="00283021">
        <w:rPr>
          <w:rFonts w:ascii="Times New Roman" w:hAnsi="Times New Roman" w:cs="Times New Roman"/>
          <w:b/>
          <w:bCs/>
        </w:rPr>
        <w:t xml:space="preserve">daarom </w:t>
      </w:r>
      <w:r>
        <w:rPr>
          <w:rFonts w:ascii="Times New Roman" w:hAnsi="Times New Roman" w:cs="Times New Roman"/>
          <w:b/>
          <w:bCs/>
        </w:rPr>
        <w:t xml:space="preserve">bij de behandeling van hoofdstuk 2 </w:t>
      </w:r>
      <w:r w:rsidR="00283021">
        <w:rPr>
          <w:rFonts w:ascii="Times New Roman" w:hAnsi="Times New Roman" w:cs="Times New Roman"/>
          <w:b/>
          <w:bCs/>
        </w:rPr>
        <w:t xml:space="preserve">stevig </w:t>
      </w:r>
      <w:r w:rsidRPr="002C1452">
        <w:rPr>
          <w:rFonts w:ascii="Times New Roman" w:hAnsi="Times New Roman" w:cs="Times New Roman"/>
          <w:b/>
          <w:bCs/>
        </w:rPr>
        <w:t xml:space="preserve">ingezet op een langere maximale duur van de transitiemaatregelen voor </w:t>
      </w:r>
      <w:r w:rsidR="00DC6B26">
        <w:rPr>
          <w:rFonts w:ascii="Times New Roman" w:hAnsi="Times New Roman" w:cs="Times New Roman"/>
          <w:b/>
          <w:bCs/>
        </w:rPr>
        <w:t>verkeer van werknemers</w:t>
      </w:r>
      <w:r>
        <w:rPr>
          <w:rFonts w:ascii="Times New Roman" w:hAnsi="Times New Roman" w:cs="Times New Roman"/>
          <w:b/>
          <w:bCs/>
        </w:rPr>
        <w:t xml:space="preserve"> en </w:t>
      </w:r>
      <w:r w:rsidRPr="002C1452">
        <w:rPr>
          <w:rFonts w:ascii="Times New Roman" w:hAnsi="Times New Roman" w:cs="Times New Roman"/>
          <w:b/>
          <w:bCs/>
        </w:rPr>
        <w:t>transitiemaatregelen voor arbeidsmobiliteit op grond van het vrij verkeer van diensten</w:t>
      </w:r>
      <w:r w:rsidRPr="00283021" w:rsidR="00283021">
        <w:rPr>
          <w:rFonts w:ascii="Times New Roman" w:hAnsi="Times New Roman" w:cs="Times New Roman"/>
          <w:b/>
          <w:bCs/>
        </w:rPr>
        <w:t xml:space="preserve"> </w:t>
      </w:r>
      <w:r w:rsidR="00283021">
        <w:rPr>
          <w:rFonts w:ascii="Times New Roman" w:hAnsi="Times New Roman" w:cs="Times New Roman"/>
          <w:b/>
          <w:bCs/>
        </w:rPr>
        <w:t>en hierbij resultaat behaald</w:t>
      </w:r>
      <w:r>
        <w:rPr>
          <w:rFonts w:ascii="Times New Roman" w:hAnsi="Times New Roman" w:cs="Times New Roman"/>
          <w:b/>
          <w:bCs/>
        </w:rPr>
        <w:t xml:space="preserve">. </w:t>
      </w:r>
      <w:r w:rsidRPr="00123D4D" w:rsidR="00123D4D">
        <w:rPr>
          <w:rFonts w:ascii="Times New Roman" w:hAnsi="Times New Roman" w:cs="Times New Roman"/>
          <w:b/>
          <w:bCs/>
        </w:rPr>
        <w:t xml:space="preserve">Bij </w:t>
      </w:r>
      <w:r w:rsidR="00283021">
        <w:rPr>
          <w:rFonts w:ascii="Times New Roman" w:hAnsi="Times New Roman" w:cs="Times New Roman"/>
          <w:b/>
          <w:bCs/>
        </w:rPr>
        <w:t>de eventuele</w:t>
      </w:r>
      <w:r w:rsidRPr="00123D4D" w:rsidR="00123D4D">
        <w:rPr>
          <w:rFonts w:ascii="Times New Roman" w:hAnsi="Times New Roman" w:cs="Times New Roman"/>
          <w:b/>
          <w:bCs/>
        </w:rPr>
        <w:t xml:space="preserve"> verlenging van transitiemaatregelen wordt voortaan </w:t>
      </w:r>
      <w:r w:rsidR="00283021">
        <w:rPr>
          <w:rFonts w:ascii="Times New Roman" w:hAnsi="Times New Roman" w:cs="Times New Roman"/>
          <w:b/>
          <w:bCs/>
        </w:rPr>
        <w:t xml:space="preserve">bovendien </w:t>
      </w:r>
      <w:r w:rsidRPr="00123D4D" w:rsidR="00123D4D">
        <w:rPr>
          <w:rFonts w:ascii="Times New Roman" w:hAnsi="Times New Roman" w:cs="Times New Roman"/>
          <w:b/>
          <w:bCs/>
        </w:rPr>
        <w:t>ook de impact op onder meer de woningmarkt meegewogen.</w:t>
      </w:r>
      <w:r w:rsidR="00EF0E80">
        <w:rPr>
          <w:rFonts w:ascii="Times New Roman" w:hAnsi="Times New Roman" w:cs="Times New Roman"/>
          <w:b/>
          <w:bCs/>
        </w:rPr>
        <w:t xml:space="preserve"> Zie hierover ook het antwoord op vraag 1. </w:t>
      </w:r>
      <w:r>
        <w:rPr>
          <w:rFonts w:ascii="Times New Roman" w:hAnsi="Times New Roman" w:cs="Times New Roman"/>
          <w:b/>
          <w:bCs/>
        </w:rPr>
        <w:br/>
      </w:r>
    </w:p>
    <w:p w:rsidR="00A131ED" w:rsidP="00A131ED" w:rsidRDefault="00A131ED" w14:paraId="0A8B5C7C" w14:textId="26F3C64A">
      <w:pPr>
        <w:pStyle w:val="NoSpacing"/>
        <w:rPr>
          <w:rFonts w:ascii="Times New Roman" w:hAnsi="Times New Roman" w:cs="Times New Roman"/>
        </w:rPr>
      </w:pPr>
      <w:r w:rsidRPr="00A131ED">
        <w:rPr>
          <w:rFonts w:ascii="Times New Roman" w:hAnsi="Times New Roman" w:cs="Times New Roman"/>
        </w:rPr>
        <w:t xml:space="preserve">De leden van de PVV-fractie hebben kennisgenomen van de kabinetsreactie op het </w:t>
      </w:r>
      <w:r w:rsidR="00DE4D47">
        <w:rPr>
          <w:rFonts w:ascii="Times New Roman" w:hAnsi="Times New Roman" w:cs="Times New Roman"/>
        </w:rPr>
        <w:t>advies van de Adviesraad Internationale Vraagstukken (AIV)</w:t>
      </w:r>
      <w:r w:rsidRPr="00A131ED">
        <w:rPr>
          <w:rFonts w:ascii="Times New Roman" w:hAnsi="Times New Roman" w:cs="Times New Roman"/>
        </w:rPr>
        <w:t xml:space="preserve"> en hebben daarover nog enkele vragen.</w:t>
      </w:r>
      <w:r w:rsidR="00DE4D47">
        <w:rPr>
          <w:rFonts w:ascii="Times New Roman" w:hAnsi="Times New Roman" w:cs="Times New Roman"/>
        </w:rPr>
        <w:t xml:space="preserve"> </w:t>
      </w:r>
      <w:r w:rsidRPr="00A131ED">
        <w:rPr>
          <w:rFonts w:ascii="Times New Roman" w:hAnsi="Times New Roman" w:cs="Times New Roman"/>
        </w:rPr>
        <w:t>Deze leden verzoeken het kabinet te bevestigen dat een tegenstem of het gebruik van een veto door een lidstaat volgens de AIV niet kan worden beschouwd als een schending van de plicht tot loyale samenwerking, en uiteen te zetten waarom het kabinet desondanks inzet op afschaffing van het vetorecht binnen het Gemeenschappelijk Buitenlands- en Veiligheidsbeleid en het Gemeenschappelijk Veiligheids- en Defensiebeleid.</w:t>
      </w:r>
    </w:p>
    <w:p w:rsidR="000C17D4" w:rsidP="00A131ED" w:rsidRDefault="000C17D4" w14:paraId="7C6652F9" w14:textId="77777777">
      <w:pPr>
        <w:pStyle w:val="NoSpacing"/>
        <w:rPr>
          <w:rFonts w:ascii="Times New Roman" w:hAnsi="Times New Roman" w:cs="Times New Roman"/>
        </w:rPr>
      </w:pPr>
    </w:p>
    <w:p w:rsidR="00CB7C1F" w:rsidP="00A131ED" w:rsidRDefault="00CB7C1F" w14:paraId="3608DF17" w14:textId="77777777">
      <w:pPr>
        <w:pStyle w:val="NoSpacing"/>
        <w:rPr>
          <w:rFonts w:ascii="Times New Roman" w:hAnsi="Times New Roman" w:cs="Times New Roman"/>
        </w:rPr>
      </w:pPr>
    </w:p>
    <w:p w:rsidRPr="00797A10" w:rsidR="00C93A39" w:rsidP="00CD0C26" w:rsidRDefault="00C93A39" w14:paraId="23E2AFEB" w14:textId="63A67CFC">
      <w:pPr>
        <w:pStyle w:val="NoSpacing"/>
        <w:numPr>
          <w:ilvl w:val="0"/>
          <w:numId w:val="42"/>
        </w:numPr>
        <w:rPr>
          <w:rFonts w:ascii="Times New Roman" w:hAnsi="Times New Roman" w:cs="Times New Roman"/>
          <w:b/>
          <w:u w:val="single"/>
        </w:rPr>
      </w:pPr>
      <w:r w:rsidRPr="0074330D">
        <w:rPr>
          <w:rFonts w:ascii="Times New Roman" w:hAnsi="Times New Roman" w:cs="Times New Roman"/>
          <w:b/>
          <w:bCs/>
          <w:u w:val="single"/>
        </w:rPr>
        <w:lastRenderedPageBreak/>
        <w:t>Antwoord van het kabinet</w:t>
      </w:r>
    </w:p>
    <w:p w:rsidR="006E77B6" w:rsidP="00A131ED" w:rsidRDefault="008A311B" w14:paraId="0B53ACF9" w14:textId="3EC48784">
      <w:pPr>
        <w:pStyle w:val="NoSpacing"/>
        <w:rPr>
          <w:rFonts w:ascii="Times New Roman" w:hAnsi="Times New Roman" w:cs="Times New Roman"/>
        </w:rPr>
      </w:pPr>
      <w:r>
        <w:rPr>
          <w:rFonts w:ascii="Times New Roman" w:hAnsi="Times New Roman" w:cs="Times New Roman"/>
          <w:b/>
          <w:bCs/>
        </w:rPr>
        <w:t>Elke</w:t>
      </w:r>
      <w:r w:rsidRPr="00C76B69">
        <w:rPr>
          <w:rFonts w:ascii="Times New Roman" w:hAnsi="Times New Roman" w:cs="Times New Roman"/>
          <w:b/>
          <w:bCs/>
        </w:rPr>
        <w:t xml:space="preserve"> </w:t>
      </w:r>
      <w:r w:rsidRPr="00C76B69" w:rsidR="006E77B6">
        <w:rPr>
          <w:rFonts w:ascii="Times New Roman" w:hAnsi="Times New Roman" w:cs="Times New Roman"/>
          <w:b/>
          <w:bCs/>
        </w:rPr>
        <w:t xml:space="preserve">lidstaat heeft het recht om </w:t>
      </w:r>
      <w:r w:rsidR="00E37809">
        <w:rPr>
          <w:rFonts w:ascii="Times New Roman" w:hAnsi="Times New Roman" w:cs="Times New Roman"/>
          <w:b/>
          <w:bCs/>
        </w:rPr>
        <w:t xml:space="preserve">bij besluitvorming in de Raad </w:t>
      </w:r>
      <w:r w:rsidRPr="00C76B69" w:rsidR="006E77B6">
        <w:rPr>
          <w:rFonts w:ascii="Times New Roman" w:hAnsi="Times New Roman" w:cs="Times New Roman"/>
          <w:b/>
          <w:bCs/>
        </w:rPr>
        <w:t>tegen te stemmen.</w:t>
      </w:r>
      <w:r w:rsidR="006E77B6">
        <w:rPr>
          <w:rFonts w:ascii="Times New Roman" w:hAnsi="Times New Roman" w:cs="Times New Roman"/>
          <w:b/>
          <w:bCs/>
        </w:rPr>
        <w:t xml:space="preserve"> De </w:t>
      </w:r>
      <w:r w:rsidRPr="00DF28D7" w:rsidR="0046221B">
        <w:rPr>
          <w:rFonts w:ascii="Times New Roman" w:hAnsi="Times New Roman" w:cs="Times New Roman"/>
          <w:b/>
        </w:rPr>
        <w:t>Adviesraad Internationale Vraagstukken (</w:t>
      </w:r>
      <w:r w:rsidR="006E77B6">
        <w:rPr>
          <w:rFonts w:ascii="Times New Roman" w:hAnsi="Times New Roman" w:cs="Times New Roman"/>
          <w:b/>
          <w:bCs/>
        </w:rPr>
        <w:t>AIV</w:t>
      </w:r>
      <w:r w:rsidRPr="0046221B" w:rsidR="0046221B">
        <w:rPr>
          <w:rFonts w:ascii="Times New Roman" w:hAnsi="Times New Roman" w:cs="Times New Roman"/>
          <w:b/>
          <w:bCs/>
        </w:rPr>
        <w:t>)</w:t>
      </w:r>
      <w:r w:rsidR="006E77B6">
        <w:rPr>
          <w:rFonts w:ascii="Times New Roman" w:hAnsi="Times New Roman" w:cs="Times New Roman"/>
          <w:b/>
          <w:bCs/>
        </w:rPr>
        <w:t xml:space="preserve"> is van mening dat het uitbrengen van een tegenstem geen schending </w:t>
      </w:r>
      <w:r w:rsidR="00314062">
        <w:rPr>
          <w:rFonts w:ascii="Times New Roman" w:hAnsi="Times New Roman" w:cs="Times New Roman"/>
          <w:b/>
          <w:bCs/>
        </w:rPr>
        <w:t xml:space="preserve">is </w:t>
      </w:r>
      <w:r w:rsidR="00D7196F">
        <w:rPr>
          <w:rFonts w:ascii="Times New Roman" w:hAnsi="Times New Roman" w:cs="Times New Roman"/>
          <w:b/>
          <w:bCs/>
        </w:rPr>
        <w:t xml:space="preserve">van </w:t>
      </w:r>
      <w:r w:rsidR="00A4021F">
        <w:rPr>
          <w:rFonts w:ascii="Times New Roman" w:hAnsi="Times New Roman" w:cs="Times New Roman"/>
          <w:b/>
          <w:bCs/>
        </w:rPr>
        <w:t xml:space="preserve">het beginsel van </w:t>
      </w:r>
      <w:r w:rsidR="006E77B6">
        <w:rPr>
          <w:rFonts w:ascii="Times New Roman" w:hAnsi="Times New Roman" w:cs="Times New Roman"/>
          <w:b/>
          <w:bCs/>
        </w:rPr>
        <w:t>loyale samenwerking</w:t>
      </w:r>
      <w:r w:rsidR="00A4021F">
        <w:rPr>
          <w:rFonts w:ascii="Times New Roman" w:hAnsi="Times New Roman" w:cs="Times New Roman"/>
          <w:b/>
          <w:bCs/>
        </w:rPr>
        <w:t xml:space="preserve"> in juridische zin. Er kan volgens de AIV</w:t>
      </w:r>
      <w:r w:rsidR="00314062">
        <w:rPr>
          <w:rFonts w:ascii="Times New Roman" w:hAnsi="Times New Roman" w:cs="Times New Roman"/>
          <w:b/>
          <w:bCs/>
        </w:rPr>
        <w:t xml:space="preserve"> in de context van besluitvorming</w:t>
      </w:r>
      <w:r w:rsidR="00A4021F">
        <w:rPr>
          <w:rFonts w:ascii="Times New Roman" w:hAnsi="Times New Roman" w:cs="Times New Roman"/>
          <w:b/>
          <w:bCs/>
        </w:rPr>
        <w:t xml:space="preserve"> wel sprake zijn van een schending van de politieke gedragsnorm die in dit beginsel besloten ligt. </w:t>
      </w:r>
      <w:r w:rsidR="006E77B6">
        <w:rPr>
          <w:rFonts w:ascii="Times New Roman" w:hAnsi="Times New Roman" w:cs="Times New Roman"/>
          <w:b/>
          <w:bCs/>
        </w:rPr>
        <w:t xml:space="preserve">Het kabinet zet in op uitbreiding van meerderheidsbesluitvorming in GBVB om </w:t>
      </w:r>
      <w:r w:rsidR="00A4021F">
        <w:rPr>
          <w:rFonts w:ascii="Times New Roman" w:hAnsi="Times New Roman" w:cs="Times New Roman"/>
          <w:b/>
          <w:bCs/>
        </w:rPr>
        <w:t>de effectiviteit van het GBVB te vergroten</w:t>
      </w:r>
      <w:r w:rsidR="004B663A">
        <w:rPr>
          <w:rFonts w:ascii="Times New Roman" w:hAnsi="Times New Roman" w:cs="Times New Roman"/>
          <w:b/>
          <w:bCs/>
        </w:rPr>
        <w:t xml:space="preserve">, </w:t>
      </w:r>
      <w:r w:rsidR="00AE76B8">
        <w:rPr>
          <w:rFonts w:ascii="Times New Roman" w:hAnsi="Times New Roman" w:cs="Times New Roman"/>
          <w:b/>
          <w:bCs/>
        </w:rPr>
        <w:t>in lijn met de motie Klos</w:t>
      </w:r>
      <w:r w:rsidR="00AE76B8">
        <w:rPr>
          <w:rStyle w:val="FootnoteReference"/>
          <w:rFonts w:ascii="Times New Roman" w:hAnsi="Times New Roman" w:cs="Times New Roman"/>
          <w:b/>
          <w:bCs/>
        </w:rPr>
        <w:footnoteReference w:id="10"/>
      </w:r>
      <w:r w:rsidR="00AE76B8">
        <w:rPr>
          <w:rFonts w:ascii="Times New Roman" w:hAnsi="Times New Roman" w:cs="Times New Roman"/>
          <w:b/>
          <w:bCs/>
        </w:rPr>
        <w:t xml:space="preserve"> en motie Klos en Van der Lee</w:t>
      </w:r>
      <w:r w:rsidR="00AE76B8">
        <w:rPr>
          <w:rStyle w:val="FootnoteReference"/>
          <w:rFonts w:ascii="Times New Roman" w:hAnsi="Times New Roman" w:cs="Times New Roman"/>
          <w:b/>
          <w:bCs/>
        </w:rPr>
        <w:footnoteReference w:id="11"/>
      </w:r>
      <w:r w:rsidR="00AE76B8">
        <w:rPr>
          <w:rFonts w:ascii="Times New Roman" w:hAnsi="Times New Roman" w:cs="Times New Roman"/>
          <w:b/>
          <w:bCs/>
        </w:rPr>
        <w:t xml:space="preserve">, </w:t>
      </w:r>
      <w:r w:rsidR="004B663A">
        <w:rPr>
          <w:rFonts w:ascii="Times New Roman" w:hAnsi="Times New Roman" w:cs="Times New Roman"/>
          <w:b/>
          <w:bCs/>
        </w:rPr>
        <w:t xml:space="preserve">waarmee </w:t>
      </w:r>
      <w:r w:rsidR="006E77B6">
        <w:rPr>
          <w:rFonts w:ascii="Times New Roman" w:hAnsi="Times New Roman" w:cs="Times New Roman"/>
          <w:b/>
          <w:bCs/>
        </w:rPr>
        <w:t xml:space="preserve">een breder doel </w:t>
      </w:r>
      <w:r w:rsidR="004B663A">
        <w:rPr>
          <w:rFonts w:ascii="Times New Roman" w:hAnsi="Times New Roman" w:cs="Times New Roman"/>
          <w:b/>
          <w:bCs/>
        </w:rPr>
        <w:t xml:space="preserve">wordt gediend </w:t>
      </w:r>
      <w:r w:rsidR="006E77B6">
        <w:rPr>
          <w:rFonts w:ascii="Times New Roman" w:hAnsi="Times New Roman" w:cs="Times New Roman"/>
          <w:b/>
          <w:bCs/>
        </w:rPr>
        <w:t xml:space="preserve">dan enkel omgaan met </w:t>
      </w:r>
      <w:r w:rsidR="00A4021F">
        <w:rPr>
          <w:rFonts w:ascii="Times New Roman" w:hAnsi="Times New Roman" w:cs="Times New Roman"/>
          <w:b/>
          <w:bCs/>
        </w:rPr>
        <w:t>(ge</w:t>
      </w:r>
      <w:r w:rsidR="006E77B6">
        <w:rPr>
          <w:rFonts w:ascii="Times New Roman" w:hAnsi="Times New Roman" w:cs="Times New Roman"/>
          <w:b/>
          <w:bCs/>
        </w:rPr>
        <w:t>percipieerd</w:t>
      </w:r>
      <w:r w:rsidR="00A4021F">
        <w:rPr>
          <w:rFonts w:ascii="Times New Roman" w:hAnsi="Times New Roman" w:cs="Times New Roman"/>
          <w:b/>
          <w:bCs/>
        </w:rPr>
        <w:t>)</w:t>
      </w:r>
      <w:r w:rsidR="006E77B6">
        <w:rPr>
          <w:rFonts w:ascii="Times New Roman" w:hAnsi="Times New Roman" w:cs="Times New Roman"/>
          <w:b/>
          <w:bCs/>
        </w:rPr>
        <w:t xml:space="preserve"> niet-loyaal stemgedrag.</w:t>
      </w:r>
    </w:p>
    <w:p w:rsidRPr="00A131ED" w:rsidR="006E77B6" w:rsidP="00A131ED" w:rsidRDefault="006E77B6" w14:paraId="66E08C7A" w14:textId="77777777">
      <w:pPr>
        <w:pStyle w:val="NoSpacing"/>
        <w:rPr>
          <w:rFonts w:ascii="Times New Roman" w:hAnsi="Times New Roman" w:cs="Times New Roman"/>
        </w:rPr>
      </w:pPr>
    </w:p>
    <w:p w:rsidR="00A131ED" w:rsidP="00A131ED" w:rsidRDefault="00A131ED" w14:paraId="1F67B9EB" w14:textId="77777777">
      <w:pPr>
        <w:pStyle w:val="NoSpacing"/>
        <w:rPr>
          <w:rFonts w:ascii="Times New Roman" w:hAnsi="Times New Roman" w:cs="Times New Roman"/>
        </w:rPr>
      </w:pPr>
      <w:r w:rsidRPr="00A131ED">
        <w:rPr>
          <w:rFonts w:ascii="Times New Roman" w:hAnsi="Times New Roman" w:cs="Times New Roman"/>
        </w:rPr>
        <w:t>De leden van de PVV-fractie verzoeken het kabinet daarnaast toe te lichten waar voor het kabinet de grens ligt tussen een legitiem nationaal belang van een lidstaat en zogenoemd “ondermijnend gedrag.”</w:t>
      </w:r>
    </w:p>
    <w:p w:rsidR="000C17D4" w:rsidP="00A131ED" w:rsidRDefault="000C17D4" w14:paraId="58FCB96A" w14:textId="77777777">
      <w:pPr>
        <w:pStyle w:val="NoSpacing"/>
        <w:rPr>
          <w:rFonts w:ascii="Times New Roman" w:hAnsi="Times New Roman" w:cs="Times New Roman"/>
        </w:rPr>
      </w:pPr>
    </w:p>
    <w:p w:rsidR="00C93A39" w:rsidP="00CD0C26" w:rsidRDefault="00C93A39" w14:paraId="16BEEDF0" w14:textId="2C074184">
      <w:pPr>
        <w:pStyle w:val="NoSpacing"/>
        <w:numPr>
          <w:ilvl w:val="0"/>
          <w:numId w:val="42"/>
        </w:numPr>
        <w:rPr>
          <w:rFonts w:ascii="Times New Roman" w:hAnsi="Times New Roman" w:cs="Times New Roman"/>
          <w:b/>
          <w:bCs/>
        </w:rPr>
      </w:pPr>
      <w:r w:rsidRPr="0074330D">
        <w:rPr>
          <w:rFonts w:ascii="Times New Roman" w:hAnsi="Times New Roman" w:cs="Times New Roman"/>
          <w:b/>
          <w:bCs/>
          <w:u w:val="single"/>
        </w:rPr>
        <w:t>Antwoord van het kabinet</w:t>
      </w:r>
    </w:p>
    <w:p w:rsidRPr="002E3C94" w:rsidR="006E77B6" w:rsidP="006E77B6" w:rsidRDefault="006E77B6" w14:paraId="5C36EE77" w14:textId="3773B88F">
      <w:pPr>
        <w:pStyle w:val="NoSpacing"/>
        <w:rPr>
          <w:rFonts w:ascii="Times New Roman" w:hAnsi="Times New Roman" w:cs="Times New Roman"/>
          <w:b/>
          <w:bCs/>
        </w:rPr>
      </w:pPr>
      <w:r w:rsidRPr="002E3C94">
        <w:rPr>
          <w:rFonts w:ascii="Times New Roman" w:hAnsi="Times New Roman" w:cs="Times New Roman"/>
          <w:b/>
          <w:bCs/>
        </w:rPr>
        <w:t>Elke lidstaat kan in onderhandelingen en bij stemming over een besluit</w:t>
      </w:r>
      <w:r w:rsidR="00A90E0A">
        <w:rPr>
          <w:rFonts w:ascii="Times New Roman" w:hAnsi="Times New Roman" w:cs="Times New Roman"/>
          <w:b/>
          <w:bCs/>
        </w:rPr>
        <w:t xml:space="preserve"> in EU</w:t>
      </w:r>
      <w:r w:rsidR="00175989">
        <w:rPr>
          <w:rFonts w:ascii="Times New Roman" w:hAnsi="Times New Roman" w:cs="Times New Roman"/>
          <w:b/>
          <w:bCs/>
        </w:rPr>
        <w:t>-</w:t>
      </w:r>
      <w:r w:rsidR="00A90E0A">
        <w:rPr>
          <w:rFonts w:ascii="Times New Roman" w:hAnsi="Times New Roman" w:cs="Times New Roman"/>
          <w:b/>
          <w:bCs/>
        </w:rPr>
        <w:t>verband</w:t>
      </w:r>
      <w:r w:rsidRPr="002E3C94">
        <w:rPr>
          <w:rFonts w:ascii="Times New Roman" w:hAnsi="Times New Roman" w:cs="Times New Roman"/>
          <w:b/>
          <w:bCs/>
        </w:rPr>
        <w:t xml:space="preserve"> opkomen voor nationale belangen</w:t>
      </w:r>
      <w:r w:rsidR="00314062">
        <w:rPr>
          <w:rFonts w:ascii="Times New Roman" w:hAnsi="Times New Roman" w:cs="Times New Roman"/>
          <w:b/>
          <w:bCs/>
        </w:rPr>
        <w:t xml:space="preserve">, zo ook Nederland. Door </w:t>
      </w:r>
      <w:r w:rsidR="00A90E0A">
        <w:rPr>
          <w:rFonts w:ascii="Times New Roman" w:hAnsi="Times New Roman" w:cs="Times New Roman"/>
          <w:b/>
          <w:bCs/>
        </w:rPr>
        <w:t xml:space="preserve">legitieme </w:t>
      </w:r>
      <w:r w:rsidR="00314062">
        <w:rPr>
          <w:rFonts w:ascii="Times New Roman" w:hAnsi="Times New Roman" w:cs="Times New Roman"/>
          <w:b/>
          <w:bCs/>
        </w:rPr>
        <w:t xml:space="preserve">nationale belangen </w:t>
      </w:r>
      <w:r w:rsidR="00A90E0A">
        <w:rPr>
          <w:rFonts w:ascii="Times New Roman" w:hAnsi="Times New Roman" w:cs="Times New Roman"/>
          <w:b/>
          <w:bCs/>
        </w:rPr>
        <w:t>kenbaar te maken</w:t>
      </w:r>
      <w:r w:rsidR="00314062">
        <w:rPr>
          <w:rFonts w:ascii="Times New Roman" w:hAnsi="Times New Roman" w:cs="Times New Roman"/>
          <w:b/>
          <w:bCs/>
        </w:rPr>
        <w:t xml:space="preserve"> </w:t>
      </w:r>
      <w:r w:rsidR="00A90E0A">
        <w:rPr>
          <w:rFonts w:ascii="Times New Roman" w:hAnsi="Times New Roman" w:cs="Times New Roman"/>
          <w:b/>
          <w:bCs/>
        </w:rPr>
        <w:t xml:space="preserve">is het vaak mogelijk om gezamenlijk tot een compromis te komen. In bepaalde </w:t>
      </w:r>
      <w:r>
        <w:rPr>
          <w:rFonts w:ascii="Times New Roman" w:hAnsi="Times New Roman" w:cs="Times New Roman"/>
          <w:b/>
          <w:bCs/>
        </w:rPr>
        <w:t>omstandigheden</w:t>
      </w:r>
      <w:r w:rsidR="00A90E0A">
        <w:rPr>
          <w:rFonts w:ascii="Times New Roman" w:hAnsi="Times New Roman" w:cs="Times New Roman"/>
          <w:b/>
          <w:bCs/>
        </w:rPr>
        <w:t xml:space="preserve"> kan een</w:t>
      </w:r>
      <w:r>
        <w:rPr>
          <w:rFonts w:ascii="Times New Roman" w:hAnsi="Times New Roman" w:cs="Times New Roman"/>
          <w:b/>
          <w:bCs/>
        </w:rPr>
        <w:t xml:space="preserve"> positie in onderhandelingen of stemgedrag </w:t>
      </w:r>
      <w:r w:rsidR="00A90E0A">
        <w:rPr>
          <w:rFonts w:ascii="Times New Roman" w:hAnsi="Times New Roman" w:cs="Times New Roman"/>
          <w:b/>
          <w:bCs/>
        </w:rPr>
        <w:t xml:space="preserve">als ondermijnend worden ervaren. </w:t>
      </w:r>
      <w:r w:rsidR="001743FD">
        <w:rPr>
          <w:rFonts w:ascii="Times New Roman" w:hAnsi="Times New Roman" w:cs="Times New Roman"/>
          <w:b/>
          <w:bCs/>
        </w:rPr>
        <w:t xml:space="preserve">Een indicatie </w:t>
      </w:r>
      <w:r w:rsidR="009D7E0F">
        <w:rPr>
          <w:rFonts w:ascii="Times New Roman" w:hAnsi="Times New Roman" w:cs="Times New Roman"/>
          <w:b/>
          <w:bCs/>
        </w:rPr>
        <w:t>daarvoor</w:t>
      </w:r>
      <w:r w:rsidR="001743FD">
        <w:rPr>
          <w:rFonts w:ascii="Times New Roman" w:hAnsi="Times New Roman" w:cs="Times New Roman"/>
          <w:b/>
          <w:bCs/>
        </w:rPr>
        <w:t xml:space="preserve"> kan </w:t>
      </w:r>
      <w:r w:rsidR="00CE5AE2">
        <w:rPr>
          <w:rFonts w:ascii="Times New Roman" w:hAnsi="Times New Roman" w:cs="Times New Roman"/>
          <w:b/>
          <w:bCs/>
        </w:rPr>
        <w:t xml:space="preserve">bijvoorbeeld </w:t>
      </w:r>
      <w:r w:rsidR="001743FD">
        <w:rPr>
          <w:rFonts w:ascii="Times New Roman" w:hAnsi="Times New Roman" w:cs="Times New Roman"/>
          <w:b/>
          <w:bCs/>
        </w:rPr>
        <w:t xml:space="preserve">zijn wanneer er geen rechtstreeks verband bestaat tussen het besluit dat op tafel ligt en het nationale belang </w:t>
      </w:r>
      <w:r w:rsidR="00FC79CA">
        <w:rPr>
          <w:rFonts w:ascii="Times New Roman" w:hAnsi="Times New Roman" w:cs="Times New Roman"/>
          <w:b/>
          <w:bCs/>
        </w:rPr>
        <w:t>waaraan</w:t>
      </w:r>
      <w:r w:rsidR="009D7E0F">
        <w:rPr>
          <w:rFonts w:ascii="Times New Roman" w:hAnsi="Times New Roman" w:cs="Times New Roman"/>
          <w:b/>
          <w:bCs/>
        </w:rPr>
        <w:t xml:space="preserve"> wordt gerefereerd. </w:t>
      </w:r>
    </w:p>
    <w:p w:rsidRPr="00A131ED" w:rsidR="006E77B6" w:rsidP="00A131ED" w:rsidRDefault="006E77B6" w14:paraId="6CBAD82E" w14:textId="77777777">
      <w:pPr>
        <w:pStyle w:val="NoSpacing"/>
        <w:rPr>
          <w:rFonts w:ascii="Times New Roman" w:hAnsi="Times New Roman" w:cs="Times New Roman"/>
        </w:rPr>
      </w:pPr>
    </w:p>
    <w:p w:rsidR="000C214B" w:rsidP="00A131ED" w:rsidRDefault="00A131ED" w14:paraId="6C0D4959" w14:textId="6954410A">
      <w:pPr>
        <w:pStyle w:val="NoSpacing"/>
        <w:rPr>
          <w:rFonts w:ascii="Times New Roman" w:hAnsi="Times New Roman" w:cs="Times New Roman"/>
        </w:rPr>
      </w:pPr>
      <w:r w:rsidRPr="00A131ED">
        <w:rPr>
          <w:rFonts w:ascii="Times New Roman" w:hAnsi="Times New Roman" w:cs="Times New Roman"/>
        </w:rPr>
        <w:t>De leden van de PVV-fractie verzoeken het kabinet uiteen te zetten hoe het begrip “loyale samenwerking” wordt afgebakend, zodat dit niet kan worden gebruikt als politiek drukmiddel tegen democratisch gekozen regeringen die een andere koers varen op migratie, klimaat, buitenlandbeleid of EU-uitbreiding.</w:t>
      </w:r>
    </w:p>
    <w:p w:rsidR="006E77B6" w:rsidP="00A131ED" w:rsidRDefault="006E77B6" w14:paraId="791513BE" w14:textId="77777777">
      <w:pPr>
        <w:pStyle w:val="NoSpacing"/>
        <w:rPr>
          <w:rFonts w:ascii="Times New Roman" w:hAnsi="Times New Roman" w:cs="Times New Roman"/>
        </w:rPr>
      </w:pPr>
    </w:p>
    <w:p w:rsidRPr="00BD7E9D" w:rsidR="009E44D3" w:rsidP="00CD0C26" w:rsidRDefault="009E44D3" w14:paraId="01FF07D7" w14:textId="382AD3F9">
      <w:pPr>
        <w:pStyle w:val="NoSpacing"/>
        <w:numPr>
          <w:ilvl w:val="0"/>
          <w:numId w:val="42"/>
        </w:numPr>
        <w:rPr>
          <w:rFonts w:ascii="Times New Roman" w:hAnsi="Times New Roman" w:cs="Times New Roman"/>
          <w:b/>
        </w:rPr>
      </w:pPr>
      <w:r w:rsidRPr="00687E81">
        <w:rPr>
          <w:rFonts w:ascii="Times New Roman" w:hAnsi="Times New Roman" w:cs="Times New Roman"/>
          <w:b/>
          <w:bCs/>
          <w:u w:val="single"/>
        </w:rPr>
        <w:t>Antwoord van het kabinet</w:t>
      </w:r>
    </w:p>
    <w:p w:rsidR="006E77B6" w:rsidP="00A131ED" w:rsidRDefault="006E77B6" w14:paraId="6CA9FA18" w14:textId="61D96280">
      <w:pPr>
        <w:pStyle w:val="NoSpacing"/>
        <w:rPr>
          <w:rFonts w:ascii="Times New Roman" w:hAnsi="Times New Roman" w:cs="Times New Roman"/>
        </w:rPr>
      </w:pPr>
      <w:r w:rsidRPr="00853453">
        <w:rPr>
          <w:rFonts w:ascii="Times New Roman" w:hAnsi="Times New Roman" w:cs="Times New Roman"/>
          <w:b/>
          <w:bCs/>
        </w:rPr>
        <w:t xml:space="preserve">Elke lidstaat heeft het recht om tegen te stemmen en op te komen voor nationale belangen. </w:t>
      </w:r>
      <w:r w:rsidR="0066409A">
        <w:rPr>
          <w:rFonts w:ascii="Times New Roman" w:hAnsi="Times New Roman" w:cs="Times New Roman"/>
          <w:b/>
          <w:bCs/>
        </w:rPr>
        <w:t xml:space="preserve">Het beginsel van loyale samenwerking omvat, zoals toegelicht door de AIV, </w:t>
      </w:r>
      <w:r w:rsidR="00AC1AB1">
        <w:rPr>
          <w:rFonts w:ascii="Times New Roman" w:hAnsi="Times New Roman" w:cs="Times New Roman"/>
          <w:b/>
          <w:bCs/>
        </w:rPr>
        <w:t xml:space="preserve">niet alleen </w:t>
      </w:r>
      <w:r w:rsidR="0020498C">
        <w:rPr>
          <w:rFonts w:ascii="Times New Roman" w:hAnsi="Times New Roman" w:cs="Times New Roman"/>
          <w:b/>
          <w:bCs/>
        </w:rPr>
        <w:t xml:space="preserve">een juridische </w:t>
      </w:r>
      <w:r w:rsidR="00AC1AB1">
        <w:rPr>
          <w:rFonts w:ascii="Times New Roman" w:hAnsi="Times New Roman" w:cs="Times New Roman"/>
          <w:b/>
          <w:bCs/>
        </w:rPr>
        <w:t xml:space="preserve">norm maar ook </w:t>
      </w:r>
      <w:r w:rsidR="0066409A">
        <w:rPr>
          <w:rFonts w:ascii="Times New Roman" w:hAnsi="Times New Roman" w:cs="Times New Roman"/>
          <w:b/>
          <w:bCs/>
        </w:rPr>
        <w:t>de politieke gedragsnorm om bereidheid te tonen om mee te werken aan compromissen t</w:t>
      </w:r>
      <w:r w:rsidR="007F54A7">
        <w:rPr>
          <w:rFonts w:ascii="Times New Roman" w:hAnsi="Times New Roman" w:cs="Times New Roman"/>
          <w:b/>
          <w:bCs/>
        </w:rPr>
        <w:t>e</w:t>
      </w:r>
      <w:r w:rsidR="0066409A">
        <w:rPr>
          <w:rFonts w:ascii="Times New Roman" w:hAnsi="Times New Roman" w:cs="Times New Roman"/>
          <w:b/>
          <w:bCs/>
        </w:rPr>
        <w:t>n behoeve van de besluitvorming.</w:t>
      </w:r>
      <w:r w:rsidR="00CE3718">
        <w:rPr>
          <w:rFonts w:ascii="Times New Roman" w:hAnsi="Times New Roman" w:cs="Times New Roman"/>
          <w:b/>
          <w:bCs/>
        </w:rPr>
        <w:t xml:space="preserve"> De praktijk toont aan dat </w:t>
      </w:r>
      <w:r w:rsidR="00DC2918">
        <w:rPr>
          <w:rFonts w:ascii="Times New Roman" w:hAnsi="Times New Roman" w:cs="Times New Roman"/>
          <w:b/>
          <w:bCs/>
        </w:rPr>
        <w:t>de overgrote meerderheid van besluiten</w:t>
      </w:r>
      <w:r w:rsidR="00CE3718">
        <w:rPr>
          <w:rFonts w:ascii="Times New Roman" w:hAnsi="Times New Roman" w:cs="Times New Roman"/>
          <w:b/>
          <w:bCs/>
        </w:rPr>
        <w:t xml:space="preserve"> in de Raad </w:t>
      </w:r>
      <w:r w:rsidR="00DC2918">
        <w:rPr>
          <w:rFonts w:ascii="Times New Roman" w:hAnsi="Times New Roman" w:cs="Times New Roman"/>
          <w:b/>
          <w:bCs/>
        </w:rPr>
        <w:t>worden vastgesteld met consensus,</w:t>
      </w:r>
      <w:r w:rsidR="00AC1AB1">
        <w:rPr>
          <w:rFonts w:ascii="Times New Roman" w:hAnsi="Times New Roman" w:cs="Times New Roman"/>
          <w:b/>
          <w:bCs/>
        </w:rPr>
        <w:t xml:space="preserve"> waarbij</w:t>
      </w:r>
      <w:r w:rsidR="00CE3718">
        <w:rPr>
          <w:rFonts w:ascii="Times New Roman" w:hAnsi="Times New Roman" w:cs="Times New Roman"/>
          <w:b/>
          <w:bCs/>
        </w:rPr>
        <w:t xml:space="preserve"> nationale belangen </w:t>
      </w:r>
      <w:r w:rsidR="00AC1AB1">
        <w:rPr>
          <w:rFonts w:ascii="Times New Roman" w:hAnsi="Times New Roman" w:cs="Times New Roman"/>
          <w:b/>
          <w:bCs/>
        </w:rPr>
        <w:t>zoveel mogelijk worden meegenomen</w:t>
      </w:r>
      <w:r w:rsidR="00CE3718">
        <w:rPr>
          <w:rFonts w:ascii="Times New Roman" w:hAnsi="Times New Roman" w:cs="Times New Roman"/>
          <w:b/>
          <w:bCs/>
        </w:rPr>
        <w:t xml:space="preserve">. </w:t>
      </w:r>
    </w:p>
    <w:p w:rsidR="00B703EF" w:rsidP="00A131ED" w:rsidRDefault="00B703EF" w14:paraId="0D100671" w14:textId="77777777">
      <w:pPr>
        <w:pStyle w:val="NoSpacing"/>
        <w:rPr>
          <w:rFonts w:ascii="Times New Roman" w:hAnsi="Times New Roman" w:cs="Times New Roman"/>
        </w:rPr>
      </w:pPr>
    </w:p>
    <w:p w:rsidR="00CB7C1F" w:rsidP="00A131ED" w:rsidRDefault="00CB7C1F" w14:paraId="1562E88D" w14:textId="77777777">
      <w:pPr>
        <w:pStyle w:val="NoSpacing"/>
        <w:rPr>
          <w:rFonts w:ascii="Times New Roman" w:hAnsi="Times New Roman" w:cs="Times New Roman"/>
        </w:rPr>
      </w:pPr>
    </w:p>
    <w:p w:rsidR="00CB7C1F" w:rsidP="00A131ED" w:rsidRDefault="00CB7C1F" w14:paraId="632A7896" w14:textId="77777777">
      <w:pPr>
        <w:pStyle w:val="NoSpacing"/>
        <w:rPr>
          <w:rFonts w:ascii="Times New Roman" w:hAnsi="Times New Roman" w:cs="Times New Roman"/>
        </w:rPr>
      </w:pPr>
    </w:p>
    <w:p w:rsidR="00CB7C1F" w:rsidP="00A131ED" w:rsidRDefault="00CB7C1F" w14:paraId="1358E960" w14:textId="77777777">
      <w:pPr>
        <w:pStyle w:val="NoSpacing"/>
        <w:rPr>
          <w:rFonts w:ascii="Times New Roman" w:hAnsi="Times New Roman" w:cs="Times New Roman"/>
        </w:rPr>
      </w:pPr>
    </w:p>
    <w:p w:rsidR="00B703EF" w:rsidP="00A131ED" w:rsidRDefault="00B703EF" w14:paraId="6BD3D2A0" w14:textId="562B7C0D">
      <w:pPr>
        <w:pStyle w:val="NoSpacing"/>
        <w:rPr>
          <w:rFonts w:ascii="Times New Roman" w:hAnsi="Times New Roman" w:cs="Times New Roman"/>
          <w:b/>
          <w:bCs/>
        </w:rPr>
      </w:pPr>
      <w:r>
        <w:rPr>
          <w:rFonts w:ascii="Times New Roman" w:hAnsi="Times New Roman" w:cs="Times New Roman"/>
          <w:b/>
          <w:bCs/>
        </w:rPr>
        <w:lastRenderedPageBreak/>
        <w:t>Vragen en opmerkingen van de leden van de CDA-fractie</w:t>
      </w:r>
    </w:p>
    <w:p w:rsidRPr="00B703EF" w:rsidR="00B703EF" w:rsidP="00A131ED" w:rsidRDefault="00B703EF" w14:paraId="74BEC8D5" w14:textId="77777777">
      <w:pPr>
        <w:pStyle w:val="NoSpacing"/>
        <w:rPr>
          <w:rFonts w:ascii="Times New Roman" w:hAnsi="Times New Roman" w:cs="Times New Roman"/>
          <w:b/>
          <w:bCs/>
        </w:rPr>
      </w:pPr>
    </w:p>
    <w:p w:rsidR="00EB69DE" w:rsidP="00EB69DE" w:rsidRDefault="00EB69DE" w14:paraId="5D018456" w14:textId="11EB3C07">
      <w:pPr>
        <w:pStyle w:val="NoSpacing"/>
        <w:rPr>
          <w:rFonts w:ascii="Times New Roman" w:hAnsi="Times New Roman" w:cs="Times New Roman"/>
        </w:rPr>
      </w:pPr>
      <w:r w:rsidRPr="00EB69DE">
        <w:rPr>
          <w:rFonts w:ascii="Times New Roman" w:hAnsi="Times New Roman" w:cs="Times New Roman"/>
        </w:rPr>
        <w:t xml:space="preserve">De leden van de CDA-fractie hebben met belangstelling kennisgenomen van de geannoteerde agenda voor de Raad Algemene Zaken van 16 juni 2026 en het AIV-advies </w:t>
      </w:r>
      <w:r w:rsidR="007619DC">
        <w:rPr>
          <w:rFonts w:ascii="Times New Roman" w:hAnsi="Times New Roman" w:cs="Times New Roman"/>
        </w:rPr>
        <w:t>‘</w:t>
      </w:r>
      <w:r w:rsidRPr="00EB69DE">
        <w:rPr>
          <w:rFonts w:ascii="Times New Roman" w:hAnsi="Times New Roman" w:cs="Times New Roman"/>
        </w:rPr>
        <w:t>De kracht van loyale samenwerking binnen de EU</w:t>
      </w:r>
      <w:r w:rsidR="007619DC">
        <w:rPr>
          <w:rFonts w:ascii="Times New Roman" w:hAnsi="Times New Roman" w:cs="Times New Roman"/>
        </w:rPr>
        <w:t>’,</w:t>
      </w:r>
      <w:r w:rsidRPr="00EB69DE">
        <w:rPr>
          <w:rFonts w:ascii="Times New Roman" w:hAnsi="Times New Roman" w:cs="Times New Roman"/>
        </w:rPr>
        <w:t xml:space="preserve"> en de kabinetsreactie daarop. Deze leden delen de kern</w:t>
      </w:r>
      <w:r w:rsidR="006002B2">
        <w:rPr>
          <w:rFonts w:ascii="Times New Roman" w:hAnsi="Times New Roman" w:cs="Times New Roman"/>
        </w:rPr>
        <w:t>boodschap</w:t>
      </w:r>
      <w:r w:rsidRPr="00EB69DE">
        <w:rPr>
          <w:rFonts w:ascii="Times New Roman" w:hAnsi="Times New Roman" w:cs="Times New Roman"/>
        </w:rPr>
        <w:t xml:space="preserve"> van het advies dat Europese samenwerking niet vrijblijvend is. Juist in een tijd van oorlog op </w:t>
      </w:r>
      <w:r w:rsidR="006002B2">
        <w:rPr>
          <w:rFonts w:ascii="Times New Roman" w:hAnsi="Times New Roman" w:cs="Times New Roman"/>
        </w:rPr>
        <w:t>het Europese</w:t>
      </w:r>
      <w:r w:rsidRPr="00EB69DE">
        <w:rPr>
          <w:rFonts w:ascii="Times New Roman" w:hAnsi="Times New Roman" w:cs="Times New Roman"/>
        </w:rPr>
        <w:t xml:space="preserve"> continent, geopolitieke druk en economische onzekerheid moet de Europese Unie slagvaardig zijn. Dat vraagt om lidstaten die elkaar ruimte geven, maar ook om lidstaten die gemaakte afspraken nakomen. Wie lid is van een rechtsgemeenschap, kan immers diezelfde rechtsgemeenschap niet van binnenuit ondermijnen. </w:t>
      </w:r>
      <w:r w:rsidR="00CA5F85">
        <w:rPr>
          <w:rFonts w:ascii="Times New Roman" w:hAnsi="Times New Roman" w:cs="Times New Roman"/>
        </w:rPr>
        <w:t>Deze leden</w:t>
      </w:r>
      <w:r w:rsidRPr="00EB69DE">
        <w:rPr>
          <w:rFonts w:ascii="Times New Roman" w:hAnsi="Times New Roman" w:cs="Times New Roman"/>
        </w:rPr>
        <w:t xml:space="preserve"> hebben enkele vragen bij het advies en de kabinetsreactie.</w:t>
      </w:r>
    </w:p>
    <w:p w:rsidRPr="00EB69DE" w:rsidR="005463B2" w:rsidP="00EB69DE" w:rsidRDefault="005463B2" w14:paraId="62415A85" w14:textId="77777777">
      <w:pPr>
        <w:pStyle w:val="NoSpacing"/>
        <w:rPr>
          <w:rFonts w:ascii="Times New Roman" w:hAnsi="Times New Roman" w:cs="Times New Roman"/>
        </w:rPr>
      </w:pPr>
    </w:p>
    <w:p w:rsidRPr="005463B2" w:rsidR="00EB69DE" w:rsidP="00EB69DE" w:rsidRDefault="00EB69DE" w14:paraId="1E3ECD7B" w14:textId="77777777">
      <w:pPr>
        <w:pStyle w:val="NoSpacing"/>
        <w:rPr>
          <w:rFonts w:ascii="Times New Roman" w:hAnsi="Times New Roman" w:cs="Times New Roman"/>
          <w:u w:val="single"/>
        </w:rPr>
      </w:pPr>
      <w:r w:rsidRPr="005463B2">
        <w:rPr>
          <w:rFonts w:ascii="Times New Roman" w:hAnsi="Times New Roman" w:cs="Times New Roman"/>
          <w:u w:val="single"/>
        </w:rPr>
        <w:t>Kabinetsreactie AIV-advies loyale samenwerking in de EU</w:t>
      </w:r>
    </w:p>
    <w:p w:rsidRPr="005463B2" w:rsidR="00EB69DE" w:rsidP="00EB69DE" w:rsidRDefault="00EB69DE" w14:paraId="6A5DB349" w14:textId="77777777">
      <w:pPr>
        <w:pStyle w:val="NoSpacing"/>
        <w:rPr>
          <w:rFonts w:ascii="Times New Roman" w:hAnsi="Times New Roman" w:cs="Times New Roman"/>
          <w:i/>
          <w:iCs/>
        </w:rPr>
      </w:pPr>
      <w:r w:rsidRPr="005463B2">
        <w:rPr>
          <w:rFonts w:ascii="Times New Roman" w:hAnsi="Times New Roman" w:cs="Times New Roman"/>
          <w:i/>
          <w:iCs/>
        </w:rPr>
        <w:t>Aanbeveling 1: Zorg dat ondermijnend gedrag niet loont</w:t>
      </w:r>
    </w:p>
    <w:p w:rsidR="006535A6" w:rsidP="00EB69DE" w:rsidRDefault="00EB69DE" w14:paraId="644A0465" w14:textId="59A87A4E">
      <w:pPr>
        <w:pStyle w:val="NoSpacing"/>
        <w:rPr>
          <w:rFonts w:ascii="Times New Roman" w:hAnsi="Times New Roman" w:cs="Times New Roman"/>
        </w:rPr>
      </w:pPr>
      <w:r w:rsidRPr="00EB69DE">
        <w:rPr>
          <w:rFonts w:ascii="Times New Roman" w:hAnsi="Times New Roman" w:cs="Times New Roman"/>
        </w:rPr>
        <w:t xml:space="preserve">De leden van de CDA-fractie steunen het uitgangspunt dat ondermijnend gedrag niet mag lonen. Kan het kabinet concreet maken waar voor Nederland de rode lijn ligt? Welke gedragingen kwalificeert het kabinet als “ondermijnend gedrag”? </w:t>
      </w:r>
    </w:p>
    <w:p w:rsidR="006535A6" w:rsidP="00EB69DE" w:rsidRDefault="006535A6" w14:paraId="7DA1E219" w14:textId="058042B2">
      <w:pPr>
        <w:pStyle w:val="NoSpacing"/>
        <w:rPr>
          <w:rFonts w:ascii="Times New Roman" w:hAnsi="Times New Roman" w:cs="Times New Roman"/>
        </w:rPr>
      </w:pPr>
    </w:p>
    <w:p w:rsidRPr="00607739" w:rsidR="00607739" w:rsidP="00CD0C26" w:rsidRDefault="00607739" w14:paraId="259D66D7" w14:textId="6C6E7083">
      <w:pPr>
        <w:pStyle w:val="NoSpacing"/>
        <w:numPr>
          <w:ilvl w:val="0"/>
          <w:numId w:val="42"/>
        </w:numPr>
        <w:rPr>
          <w:rFonts w:ascii="Times New Roman" w:hAnsi="Times New Roman" w:cs="Times New Roman"/>
          <w:b/>
          <w:bCs/>
          <w:u w:val="single"/>
        </w:rPr>
      </w:pPr>
      <w:r w:rsidRPr="00607739">
        <w:rPr>
          <w:rFonts w:ascii="Times New Roman" w:hAnsi="Times New Roman" w:cs="Times New Roman"/>
          <w:b/>
          <w:bCs/>
          <w:u w:val="single"/>
        </w:rPr>
        <w:t>Antwoord van het kabine</w:t>
      </w:r>
      <w:r w:rsidR="002C5A87">
        <w:rPr>
          <w:rFonts w:ascii="Times New Roman" w:hAnsi="Times New Roman" w:cs="Times New Roman"/>
          <w:b/>
          <w:bCs/>
          <w:u w:val="single"/>
        </w:rPr>
        <w:t>t</w:t>
      </w:r>
    </w:p>
    <w:p w:rsidR="00705B7E" w:rsidP="00EB69DE" w:rsidRDefault="00705B7E" w14:paraId="2921EAF0" w14:textId="3739206A">
      <w:pPr>
        <w:pStyle w:val="NoSpacing"/>
        <w:rPr>
          <w:rFonts w:ascii="Times New Roman" w:hAnsi="Times New Roman" w:cs="Times New Roman"/>
          <w:b/>
          <w:bCs/>
        </w:rPr>
      </w:pPr>
      <w:r>
        <w:rPr>
          <w:rFonts w:ascii="Times New Roman" w:hAnsi="Times New Roman" w:cs="Times New Roman"/>
          <w:b/>
          <w:bCs/>
        </w:rPr>
        <w:t xml:space="preserve">Zoals aangegeven in antwoord op vraag 11, kan bepaald gedrag van lidstaten tijdens het besluitvormingsproces als ondermijnend worden ervaren. </w:t>
      </w:r>
      <w:r w:rsidR="00412A87">
        <w:rPr>
          <w:rFonts w:ascii="Times New Roman" w:hAnsi="Times New Roman" w:cs="Times New Roman"/>
          <w:b/>
          <w:bCs/>
        </w:rPr>
        <w:t>Daarnaast wijst</w:t>
      </w:r>
      <w:r>
        <w:rPr>
          <w:rFonts w:ascii="Times New Roman" w:hAnsi="Times New Roman" w:cs="Times New Roman"/>
          <w:b/>
          <w:bCs/>
        </w:rPr>
        <w:t xml:space="preserve"> de AIV</w:t>
      </w:r>
      <w:r w:rsidR="00412A87">
        <w:rPr>
          <w:rFonts w:ascii="Times New Roman" w:hAnsi="Times New Roman" w:cs="Times New Roman"/>
          <w:b/>
          <w:bCs/>
        </w:rPr>
        <w:t xml:space="preserve"> op ondermijnend gedrag </w:t>
      </w:r>
      <w:r>
        <w:rPr>
          <w:rFonts w:ascii="Times New Roman" w:hAnsi="Times New Roman" w:cs="Times New Roman"/>
          <w:b/>
          <w:bCs/>
        </w:rPr>
        <w:t xml:space="preserve">na </w:t>
      </w:r>
      <w:r w:rsidR="00412A87">
        <w:rPr>
          <w:rFonts w:ascii="Times New Roman" w:hAnsi="Times New Roman" w:cs="Times New Roman"/>
          <w:b/>
          <w:bCs/>
        </w:rPr>
        <w:t xml:space="preserve">de fase van </w:t>
      </w:r>
      <w:r>
        <w:rPr>
          <w:rFonts w:ascii="Times New Roman" w:hAnsi="Times New Roman" w:cs="Times New Roman"/>
          <w:b/>
          <w:bCs/>
        </w:rPr>
        <w:t>besluitvorming</w:t>
      </w:r>
      <w:r w:rsidR="00412A87">
        <w:rPr>
          <w:rFonts w:ascii="Times New Roman" w:hAnsi="Times New Roman" w:cs="Times New Roman"/>
          <w:b/>
          <w:bCs/>
        </w:rPr>
        <w:t>.</w:t>
      </w:r>
      <w:r>
        <w:rPr>
          <w:rFonts w:ascii="Times New Roman" w:hAnsi="Times New Roman" w:cs="Times New Roman"/>
          <w:b/>
          <w:bCs/>
        </w:rPr>
        <w:t xml:space="preserve"> Bijvoorbeeld als een lidstaat zich niet houdt aan de gemaakte afspraken. </w:t>
      </w:r>
    </w:p>
    <w:p w:rsidRPr="00705B7E" w:rsidR="006535A6" w:rsidP="00EB69DE" w:rsidRDefault="006535A6" w14:paraId="774127F3" w14:textId="77777777">
      <w:pPr>
        <w:pStyle w:val="NoSpacing"/>
        <w:rPr>
          <w:rFonts w:ascii="Times New Roman" w:hAnsi="Times New Roman" w:cs="Times New Roman"/>
          <w:b/>
        </w:rPr>
      </w:pPr>
    </w:p>
    <w:p w:rsidR="009F1A45" w:rsidP="00EB69DE" w:rsidRDefault="00EB69DE" w14:paraId="09C7CA20" w14:textId="1775D709">
      <w:pPr>
        <w:pStyle w:val="NoSpacing"/>
        <w:rPr>
          <w:rFonts w:ascii="Times New Roman" w:hAnsi="Times New Roman" w:cs="Times New Roman"/>
        </w:rPr>
      </w:pPr>
      <w:r w:rsidRPr="00EB69DE">
        <w:rPr>
          <w:rFonts w:ascii="Times New Roman" w:hAnsi="Times New Roman" w:cs="Times New Roman"/>
        </w:rPr>
        <w:t xml:space="preserve">De AIV adviseert om ondermijnend gedrag in het buitenlandbeleid waar mogelijk te omzeilen, onder meer door vaker gebruik te maken van gekwalificeerde meerderheid, constructieve onthouding of nauwere samenwerking. </w:t>
      </w:r>
      <w:r w:rsidR="00227332">
        <w:rPr>
          <w:rFonts w:ascii="Times New Roman" w:hAnsi="Times New Roman" w:cs="Times New Roman"/>
        </w:rPr>
        <w:t>Deze leden</w:t>
      </w:r>
      <w:r w:rsidRPr="00EB69DE">
        <w:rPr>
          <w:rFonts w:ascii="Times New Roman" w:hAnsi="Times New Roman" w:cs="Times New Roman"/>
        </w:rPr>
        <w:t xml:space="preserve"> zijn positief over </w:t>
      </w:r>
      <w:r w:rsidR="008042E7">
        <w:rPr>
          <w:rFonts w:ascii="Times New Roman" w:hAnsi="Times New Roman" w:cs="Times New Roman"/>
        </w:rPr>
        <w:t>‘</w:t>
      </w:r>
      <w:r w:rsidRPr="00EB69DE">
        <w:rPr>
          <w:rFonts w:ascii="Times New Roman" w:hAnsi="Times New Roman" w:cs="Times New Roman"/>
        </w:rPr>
        <w:t>constructieve onthouding</w:t>
      </w:r>
      <w:r w:rsidR="008042E7">
        <w:rPr>
          <w:rFonts w:ascii="Times New Roman" w:hAnsi="Times New Roman" w:cs="Times New Roman"/>
        </w:rPr>
        <w:t>’</w:t>
      </w:r>
      <w:r w:rsidRPr="00EB69DE">
        <w:rPr>
          <w:rFonts w:ascii="Times New Roman" w:hAnsi="Times New Roman" w:cs="Times New Roman"/>
        </w:rPr>
        <w:t>. Dat kan voorkomen dat één lidstaat de hele EU blokkeert. Is het kabinet bereid in EU-verband te pleiten voor een politieke afspraak dat lidstaten een veto of constructieve onthouding altijd schriftelijk en openbaar motiveren? Zou dat volgens het kabinet helpen om misbruik van het veto tegen te gaan?</w:t>
      </w:r>
    </w:p>
    <w:p w:rsidR="006535A6" w:rsidP="00EB69DE" w:rsidRDefault="006535A6" w14:paraId="0BA9B35F" w14:textId="77777777">
      <w:pPr>
        <w:pStyle w:val="NoSpacing"/>
        <w:rPr>
          <w:rFonts w:ascii="Times New Roman" w:hAnsi="Times New Roman" w:cs="Times New Roman"/>
        </w:rPr>
      </w:pPr>
    </w:p>
    <w:p w:rsidRPr="00687E81" w:rsidR="009F1A45" w:rsidP="00CD0C26" w:rsidRDefault="009F1A45" w14:paraId="51BE6BA1" w14:textId="082F57A2">
      <w:pPr>
        <w:pStyle w:val="NoSpacing"/>
        <w:numPr>
          <w:ilvl w:val="0"/>
          <w:numId w:val="42"/>
        </w:numPr>
        <w:rPr>
          <w:rFonts w:ascii="Times New Roman" w:hAnsi="Times New Roman" w:cs="Times New Roman"/>
          <w:b/>
          <w:bCs/>
        </w:rPr>
      </w:pPr>
      <w:r w:rsidRPr="00687E81">
        <w:rPr>
          <w:rFonts w:ascii="Times New Roman" w:hAnsi="Times New Roman" w:cs="Times New Roman"/>
          <w:b/>
          <w:bCs/>
          <w:u w:val="single"/>
        </w:rPr>
        <w:t>Antwoord van het kabinet</w:t>
      </w:r>
    </w:p>
    <w:p w:rsidRPr="006535A6" w:rsidR="00577A51" w:rsidP="00577A51" w:rsidRDefault="00577A51" w14:paraId="3A91FED9" w14:textId="1686F114">
      <w:pPr>
        <w:pStyle w:val="NoSpacing"/>
        <w:rPr>
          <w:rFonts w:ascii="Times New Roman" w:hAnsi="Times New Roman" w:cs="Times New Roman"/>
          <w:b/>
          <w:bCs/>
        </w:rPr>
      </w:pPr>
      <w:r>
        <w:rPr>
          <w:rFonts w:ascii="Times New Roman" w:hAnsi="Times New Roman" w:cs="Times New Roman"/>
          <w:b/>
          <w:bCs/>
        </w:rPr>
        <w:t>Een politieke afspraak om een veto of constructieve onthouding schriftelijk of openbaar te motiveren, kan bijdragen aan samenwerking</w:t>
      </w:r>
      <w:r w:rsidR="00077ED7">
        <w:rPr>
          <w:rFonts w:ascii="Times New Roman" w:hAnsi="Times New Roman" w:cs="Times New Roman"/>
          <w:b/>
          <w:bCs/>
        </w:rPr>
        <w:t xml:space="preserve"> tussen lidstaten</w:t>
      </w:r>
      <w:r>
        <w:rPr>
          <w:rFonts w:ascii="Times New Roman" w:hAnsi="Times New Roman" w:cs="Times New Roman"/>
          <w:b/>
          <w:bCs/>
        </w:rPr>
        <w:t xml:space="preserve"> en </w:t>
      </w:r>
      <w:r w:rsidR="00A1450F">
        <w:rPr>
          <w:rFonts w:ascii="Times New Roman" w:hAnsi="Times New Roman" w:cs="Times New Roman"/>
          <w:b/>
          <w:bCs/>
        </w:rPr>
        <w:t xml:space="preserve">daarmee </w:t>
      </w:r>
      <w:r>
        <w:rPr>
          <w:rFonts w:ascii="Times New Roman" w:hAnsi="Times New Roman" w:cs="Times New Roman"/>
          <w:b/>
          <w:bCs/>
        </w:rPr>
        <w:t xml:space="preserve">aan de effectiviteit van </w:t>
      </w:r>
      <w:r w:rsidR="0051688A">
        <w:rPr>
          <w:rFonts w:ascii="Times New Roman" w:hAnsi="Times New Roman" w:cs="Times New Roman"/>
          <w:b/>
          <w:bCs/>
        </w:rPr>
        <w:t>beleid</w:t>
      </w:r>
      <w:r w:rsidR="000D46A4">
        <w:rPr>
          <w:rFonts w:ascii="Times New Roman" w:hAnsi="Times New Roman" w:cs="Times New Roman"/>
          <w:b/>
          <w:bCs/>
        </w:rPr>
        <w:t>sterreinen</w:t>
      </w:r>
      <w:r w:rsidR="0051688A">
        <w:rPr>
          <w:rFonts w:ascii="Times New Roman" w:hAnsi="Times New Roman" w:cs="Times New Roman"/>
          <w:b/>
          <w:bCs/>
        </w:rPr>
        <w:t xml:space="preserve"> waarvoor unanimiteit geldt, zoals </w:t>
      </w:r>
      <w:r>
        <w:rPr>
          <w:rFonts w:ascii="Times New Roman" w:hAnsi="Times New Roman" w:cs="Times New Roman"/>
          <w:b/>
          <w:bCs/>
        </w:rPr>
        <w:t xml:space="preserve">het GBVB. </w:t>
      </w:r>
      <w:r w:rsidR="00077ED7">
        <w:rPr>
          <w:rFonts w:ascii="Times New Roman" w:hAnsi="Times New Roman" w:cs="Times New Roman"/>
          <w:b/>
          <w:bCs/>
        </w:rPr>
        <w:t>Het kabinet zet zich in voor een effectiever GBVB</w:t>
      </w:r>
      <w:r w:rsidR="00A1450F">
        <w:rPr>
          <w:rFonts w:ascii="Times New Roman" w:hAnsi="Times New Roman" w:cs="Times New Roman"/>
          <w:b/>
          <w:bCs/>
        </w:rPr>
        <w:t xml:space="preserve"> </w:t>
      </w:r>
      <w:r w:rsidR="00077ED7">
        <w:rPr>
          <w:rFonts w:ascii="Times New Roman" w:hAnsi="Times New Roman" w:cs="Times New Roman"/>
          <w:b/>
          <w:bCs/>
        </w:rPr>
        <w:t>onder meer door uitbreiding van meerderheidsbesluitvorming in lijn met de motie</w:t>
      </w:r>
      <w:r w:rsidR="00F11296">
        <w:rPr>
          <w:rFonts w:ascii="Times New Roman" w:hAnsi="Times New Roman" w:cs="Times New Roman"/>
          <w:b/>
          <w:bCs/>
        </w:rPr>
        <w:t xml:space="preserve"> </w:t>
      </w:r>
      <w:r w:rsidR="00077ED7">
        <w:rPr>
          <w:rFonts w:ascii="Times New Roman" w:hAnsi="Times New Roman" w:cs="Times New Roman"/>
          <w:b/>
          <w:bCs/>
        </w:rPr>
        <w:t>Klos</w:t>
      </w:r>
      <w:r w:rsidR="00A1450F">
        <w:rPr>
          <w:rStyle w:val="FootnoteReference"/>
          <w:rFonts w:ascii="Times New Roman" w:hAnsi="Times New Roman" w:cs="Times New Roman"/>
          <w:b/>
          <w:bCs/>
        </w:rPr>
        <w:footnoteReference w:id="12"/>
      </w:r>
      <w:r w:rsidR="00F11296">
        <w:rPr>
          <w:rFonts w:ascii="Times New Roman" w:hAnsi="Times New Roman" w:cs="Times New Roman"/>
          <w:b/>
          <w:bCs/>
        </w:rPr>
        <w:t xml:space="preserve"> en motie Klos en Van der Lee</w:t>
      </w:r>
      <w:r w:rsidR="00353DF7">
        <w:rPr>
          <w:rFonts w:ascii="Times New Roman" w:hAnsi="Times New Roman" w:cs="Times New Roman"/>
          <w:b/>
          <w:bCs/>
        </w:rPr>
        <w:t>.</w:t>
      </w:r>
      <w:r w:rsidR="00F11296">
        <w:rPr>
          <w:rStyle w:val="FootnoteReference"/>
          <w:rFonts w:ascii="Times New Roman" w:hAnsi="Times New Roman" w:cs="Times New Roman"/>
          <w:b/>
          <w:bCs/>
        </w:rPr>
        <w:footnoteReference w:id="13"/>
      </w:r>
      <w:r w:rsidR="00077ED7">
        <w:rPr>
          <w:rFonts w:ascii="Times New Roman" w:hAnsi="Times New Roman" w:cs="Times New Roman"/>
          <w:b/>
          <w:bCs/>
        </w:rPr>
        <w:t xml:space="preserve"> Het kabinet </w:t>
      </w:r>
      <w:r w:rsidR="00A1450F">
        <w:rPr>
          <w:rFonts w:ascii="Times New Roman" w:hAnsi="Times New Roman" w:cs="Times New Roman"/>
          <w:b/>
          <w:bCs/>
        </w:rPr>
        <w:t>staat ervoor open de politieke verklaring als optie mee te nemen in verdere verkenning van mogelijkheden om de effectiviteit van het GBVB</w:t>
      </w:r>
      <w:r w:rsidR="0051688A">
        <w:rPr>
          <w:rFonts w:ascii="Times New Roman" w:hAnsi="Times New Roman" w:cs="Times New Roman"/>
          <w:b/>
          <w:bCs/>
        </w:rPr>
        <w:t>, of andere beleidsterreinen waarvoor unanimiteit geldt,</w:t>
      </w:r>
      <w:r w:rsidR="00A1450F">
        <w:rPr>
          <w:rFonts w:ascii="Times New Roman" w:hAnsi="Times New Roman" w:cs="Times New Roman"/>
          <w:b/>
          <w:bCs/>
        </w:rPr>
        <w:t xml:space="preserve"> te vergroten. </w:t>
      </w:r>
    </w:p>
    <w:p w:rsidR="00EB69DE" w:rsidP="00EB69DE" w:rsidRDefault="00EB69DE" w14:paraId="00012CB2" w14:textId="7E038618">
      <w:pPr>
        <w:pStyle w:val="NoSpacing"/>
        <w:rPr>
          <w:rFonts w:ascii="Times New Roman" w:hAnsi="Times New Roman" w:cs="Times New Roman"/>
        </w:rPr>
      </w:pPr>
      <w:r w:rsidRPr="00EB69DE">
        <w:rPr>
          <w:rFonts w:ascii="Times New Roman" w:hAnsi="Times New Roman" w:cs="Times New Roman"/>
        </w:rPr>
        <w:lastRenderedPageBreak/>
        <w:t>De leden van de CDA-fractie vinden het zorgelijk als nationale leiders tijdens een EU-voorzitterschap de indruk wekken namens de EU te spreken, terwijl zij afwijken van de gezamenlijke EU-lijn. Deelt het kabinet dat dit de geloofwaardigheid van de EU kan schaden, bijvoorbeeld richting Rusland? Welke maatregelen zijn genomen om te voorkomen dat een roulerend EU-voorzitterschap wordt gebruikt voor nationale buitenlandpolitiek die haaks staat op de EU-lijn?</w:t>
      </w:r>
    </w:p>
    <w:p w:rsidR="00605A28" w:rsidP="00EB69DE" w:rsidRDefault="00605A28" w14:paraId="1E781AB1" w14:textId="77777777">
      <w:pPr>
        <w:pStyle w:val="NoSpacing"/>
        <w:rPr>
          <w:rFonts w:ascii="Times New Roman" w:hAnsi="Times New Roman" w:cs="Times New Roman"/>
        </w:rPr>
      </w:pPr>
    </w:p>
    <w:p w:rsidRPr="009B4D34" w:rsidR="00605A28" w:rsidP="00CD0C26" w:rsidRDefault="00605A28" w14:paraId="5510EF12" w14:textId="3F329BDE">
      <w:pPr>
        <w:pStyle w:val="NoSpacing"/>
        <w:numPr>
          <w:ilvl w:val="0"/>
          <w:numId w:val="42"/>
        </w:numPr>
        <w:rPr>
          <w:rFonts w:ascii="Times New Roman" w:hAnsi="Times New Roman" w:cs="Times New Roman"/>
          <w:b/>
          <w:bCs/>
        </w:rPr>
      </w:pPr>
      <w:r w:rsidRPr="00687E81">
        <w:rPr>
          <w:rFonts w:ascii="Times New Roman" w:hAnsi="Times New Roman" w:cs="Times New Roman"/>
          <w:b/>
          <w:bCs/>
          <w:u w:val="single"/>
        </w:rPr>
        <w:t>Antwoord van het kabinet</w:t>
      </w:r>
    </w:p>
    <w:p w:rsidRPr="00F4313A" w:rsidR="00702067" w:rsidP="00EB69DE" w:rsidRDefault="00702067" w14:paraId="6D850CD9" w14:textId="5F2850E8">
      <w:pPr>
        <w:pStyle w:val="NoSpacing"/>
        <w:rPr>
          <w:rFonts w:ascii="Times New Roman" w:hAnsi="Times New Roman" w:cs="Times New Roman"/>
          <w:b/>
        </w:rPr>
      </w:pPr>
      <w:r w:rsidRPr="00F4313A">
        <w:rPr>
          <w:rFonts w:ascii="Times New Roman" w:hAnsi="Times New Roman" w:cs="Times New Roman"/>
          <w:b/>
        </w:rPr>
        <w:t xml:space="preserve">Het </w:t>
      </w:r>
      <w:r w:rsidRPr="00F4313A" w:rsidR="005545FA">
        <w:rPr>
          <w:rFonts w:ascii="Times New Roman" w:hAnsi="Times New Roman" w:cs="Times New Roman"/>
          <w:b/>
        </w:rPr>
        <w:t xml:space="preserve">roulerend </w:t>
      </w:r>
      <w:r w:rsidRPr="00F4313A">
        <w:rPr>
          <w:rFonts w:ascii="Times New Roman" w:hAnsi="Times New Roman" w:cs="Times New Roman"/>
          <w:b/>
        </w:rPr>
        <w:t>voorzitterschap van de Raad</w:t>
      </w:r>
      <w:r w:rsidRPr="00F4313A" w:rsidR="005545FA">
        <w:rPr>
          <w:rFonts w:ascii="Times New Roman" w:hAnsi="Times New Roman" w:cs="Times New Roman"/>
          <w:b/>
        </w:rPr>
        <w:t xml:space="preserve"> heeft geen bevoegdheden op het terrein van </w:t>
      </w:r>
      <w:r w:rsidR="00412A87">
        <w:rPr>
          <w:rFonts w:ascii="Times New Roman" w:hAnsi="Times New Roman" w:cs="Times New Roman"/>
          <w:b/>
          <w:bCs/>
        </w:rPr>
        <w:t>EU-</w:t>
      </w:r>
      <w:r w:rsidRPr="00F4313A" w:rsidR="005545FA">
        <w:rPr>
          <w:rFonts w:ascii="Times New Roman" w:hAnsi="Times New Roman" w:cs="Times New Roman"/>
          <w:b/>
        </w:rPr>
        <w:t xml:space="preserve">externe </w:t>
      </w:r>
      <w:r w:rsidR="00A84063">
        <w:rPr>
          <w:rFonts w:ascii="Times New Roman" w:hAnsi="Times New Roman" w:cs="Times New Roman"/>
          <w:b/>
        </w:rPr>
        <w:t>vertegenwoordiging</w:t>
      </w:r>
      <w:r w:rsidRPr="00F4313A" w:rsidR="005545FA">
        <w:rPr>
          <w:rFonts w:ascii="Times New Roman" w:hAnsi="Times New Roman" w:cs="Times New Roman"/>
          <w:b/>
        </w:rPr>
        <w:t>. Het kabinet hecht groot belang aan eenheid in het optreden van de EU</w:t>
      </w:r>
      <w:r w:rsidR="00412A87">
        <w:rPr>
          <w:rFonts w:ascii="Times New Roman" w:hAnsi="Times New Roman" w:cs="Times New Roman"/>
          <w:b/>
          <w:bCs/>
        </w:rPr>
        <w:t xml:space="preserve">, en veroordeelt handelingen die deze eenheid ondermijnen. </w:t>
      </w:r>
      <w:r w:rsidR="001608D3">
        <w:rPr>
          <w:rFonts w:ascii="Times New Roman" w:hAnsi="Times New Roman" w:cs="Times New Roman"/>
          <w:b/>
          <w:bCs/>
        </w:rPr>
        <w:t xml:space="preserve">Indien nodig en passend </w:t>
      </w:r>
      <w:r w:rsidR="00412A87">
        <w:rPr>
          <w:rFonts w:ascii="Times New Roman" w:hAnsi="Times New Roman" w:cs="Times New Roman"/>
          <w:b/>
          <w:bCs/>
        </w:rPr>
        <w:t>zal Nederland,</w:t>
      </w:r>
      <w:r w:rsidR="001406B3">
        <w:rPr>
          <w:rFonts w:ascii="Times New Roman" w:hAnsi="Times New Roman" w:cs="Times New Roman"/>
          <w:b/>
        </w:rPr>
        <w:t xml:space="preserve"> </w:t>
      </w:r>
      <w:r w:rsidRPr="00F4313A" w:rsidR="001406B3">
        <w:rPr>
          <w:rFonts w:ascii="Times New Roman" w:hAnsi="Times New Roman" w:cs="Times New Roman"/>
          <w:b/>
        </w:rPr>
        <w:t>samen met EU-instellingen en andere lidstaten</w:t>
      </w:r>
      <w:r w:rsidR="001608D3">
        <w:rPr>
          <w:rFonts w:ascii="Times New Roman" w:hAnsi="Times New Roman" w:cs="Times New Roman"/>
          <w:b/>
        </w:rPr>
        <w:t xml:space="preserve"> en van geval tot geval</w:t>
      </w:r>
      <w:r w:rsidR="00412A87">
        <w:rPr>
          <w:rFonts w:ascii="Times New Roman" w:hAnsi="Times New Roman" w:cs="Times New Roman"/>
          <w:b/>
          <w:bCs/>
        </w:rPr>
        <w:t>,</w:t>
      </w:r>
      <w:r w:rsidRPr="00F4313A" w:rsidR="001406B3">
        <w:rPr>
          <w:rFonts w:ascii="Times New Roman" w:hAnsi="Times New Roman" w:cs="Times New Roman"/>
          <w:b/>
        </w:rPr>
        <w:t xml:space="preserve"> </w:t>
      </w:r>
      <w:r w:rsidR="001608D3">
        <w:rPr>
          <w:rFonts w:ascii="Times New Roman" w:hAnsi="Times New Roman" w:cs="Times New Roman"/>
          <w:b/>
        </w:rPr>
        <w:t>bespreken welke gevolgen verbonden zouden moeten worden aan eventueel ondermijnend gedrag.</w:t>
      </w:r>
      <w:r w:rsidRPr="00F4313A" w:rsidR="001406B3">
        <w:rPr>
          <w:rFonts w:ascii="Times New Roman" w:hAnsi="Times New Roman" w:cs="Times New Roman"/>
          <w:b/>
        </w:rPr>
        <w:t xml:space="preserve"> </w:t>
      </w:r>
    </w:p>
    <w:p w:rsidRPr="00EB69DE" w:rsidR="00702067" w:rsidP="00EB69DE" w:rsidRDefault="00702067" w14:paraId="0C8302E9" w14:textId="77777777">
      <w:pPr>
        <w:pStyle w:val="NoSpacing"/>
        <w:rPr>
          <w:rFonts w:ascii="Times New Roman" w:hAnsi="Times New Roman" w:cs="Times New Roman"/>
        </w:rPr>
      </w:pPr>
    </w:p>
    <w:p w:rsidRPr="000A7FC3" w:rsidR="00EB69DE" w:rsidP="00EB69DE" w:rsidRDefault="00EB69DE" w14:paraId="481C5EFD" w14:textId="591E386E">
      <w:pPr>
        <w:pStyle w:val="NoSpacing"/>
        <w:rPr>
          <w:rFonts w:ascii="Times New Roman" w:hAnsi="Times New Roman" w:cs="Times New Roman"/>
          <w:i/>
          <w:iCs/>
        </w:rPr>
      </w:pPr>
      <w:r w:rsidRPr="000A7FC3">
        <w:rPr>
          <w:rFonts w:ascii="Times New Roman" w:hAnsi="Times New Roman" w:cs="Times New Roman"/>
          <w:i/>
          <w:iCs/>
        </w:rPr>
        <w:t>Aanbeveling 2: Benut de politieke gereedschapskist om de cultuur van loyale samenwerking en onderling vertrouwen te versterken</w:t>
      </w:r>
    </w:p>
    <w:p w:rsidR="00766FE5" w:rsidP="00EB69DE" w:rsidRDefault="000A7FC3" w14:paraId="3DF05FEA" w14:textId="77777777">
      <w:pPr>
        <w:pStyle w:val="NoSpacing"/>
        <w:rPr>
          <w:rFonts w:ascii="Times New Roman" w:hAnsi="Times New Roman" w:cs="Times New Roman"/>
        </w:rPr>
      </w:pPr>
      <w:r>
        <w:rPr>
          <w:rFonts w:ascii="Times New Roman" w:hAnsi="Times New Roman" w:cs="Times New Roman"/>
        </w:rPr>
        <w:t>De leden van de CDA-fractie constateren dat d</w:t>
      </w:r>
      <w:r w:rsidRPr="00EB69DE" w:rsidR="00EB69DE">
        <w:rPr>
          <w:rFonts w:ascii="Times New Roman" w:hAnsi="Times New Roman" w:cs="Times New Roman"/>
        </w:rPr>
        <w:t xml:space="preserve">e AIV het belang </w:t>
      </w:r>
      <w:r w:rsidRPr="00EB69DE">
        <w:rPr>
          <w:rFonts w:ascii="Times New Roman" w:hAnsi="Times New Roman" w:cs="Times New Roman"/>
        </w:rPr>
        <w:t xml:space="preserve">benadrukt </w:t>
      </w:r>
      <w:r w:rsidRPr="00EB69DE" w:rsidR="00EB69DE">
        <w:rPr>
          <w:rFonts w:ascii="Times New Roman" w:hAnsi="Times New Roman" w:cs="Times New Roman"/>
        </w:rPr>
        <w:t>van politieke dialoog, onderling vertrouwen en het bespreekbaar maken van loyale samenwerking. Is het kabinet bereid loyale samenwerking actief te agenderen in de Raad Algemene Zaken, zoals de AIV adviseert? Zo ja, op welke termijn? Zo nee, waarom niet?</w:t>
      </w:r>
    </w:p>
    <w:p w:rsidR="00766FE5" w:rsidP="00EB69DE" w:rsidRDefault="00766FE5" w14:paraId="20EFA635" w14:textId="77777777">
      <w:pPr>
        <w:pStyle w:val="NoSpacing"/>
        <w:rPr>
          <w:rFonts w:ascii="Times New Roman" w:hAnsi="Times New Roman" w:cs="Times New Roman"/>
        </w:rPr>
      </w:pPr>
    </w:p>
    <w:p w:rsidRPr="00687E81" w:rsidR="00766FE5" w:rsidP="00CD0C26" w:rsidRDefault="00766FE5" w14:paraId="60329B05" w14:textId="730F0B1F">
      <w:pPr>
        <w:pStyle w:val="NoSpacing"/>
        <w:numPr>
          <w:ilvl w:val="0"/>
          <w:numId w:val="42"/>
        </w:numPr>
        <w:rPr>
          <w:rFonts w:ascii="Times New Roman" w:hAnsi="Times New Roman" w:cs="Times New Roman"/>
          <w:b/>
          <w:bCs/>
        </w:rPr>
      </w:pPr>
      <w:r w:rsidRPr="00687E81">
        <w:rPr>
          <w:rFonts w:ascii="Times New Roman" w:hAnsi="Times New Roman" w:cs="Times New Roman"/>
          <w:b/>
          <w:bCs/>
          <w:u w:val="single"/>
        </w:rPr>
        <w:t>Antwoord van het kabinet</w:t>
      </w:r>
    </w:p>
    <w:p w:rsidRPr="00A73884" w:rsidR="00577A51" w:rsidP="00766FE5" w:rsidRDefault="00577A51" w14:paraId="2A672B18" w14:textId="66370A84">
      <w:pPr>
        <w:pStyle w:val="NoSpacing"/>
        <w:rPr>
          <w:rFonts w:ascii="Times New Roman" w:hAnsi="Times New Roman" w:cs="Times New Roman"/>
          <w:b/>
          <w:bCs/>
        </w:rPr>
      </w:pPr>
      <w:r>
        <w:rPr>
          <w:rFonts w:ascii="Times New Roman" w:hAnsi="Times New Roman" w:cs="Times New Roman"/>
          <w:b/>
          <w:bCs/>
        </w:rPr>
        <w:t>Het kabinet onderschrijft het belang van loyale samenwerking, en benadrukt dit ook in EU</w:t>
      </w:r>
      <w:r w:rsidR="0061192E">
        <w:rPr>
          <w:rFonts w:ascii="Times New Roman" w:hAnsi="Times New Roman" w:cs="Times New Roman"/>
          <w:b/>
          <w:bCs/>
        </w:rPr>
        <w:t>-</w:t>
      </w:r>
      <w:r>
        <w:rPr>
          <w:rFonts w:ascii="Times New Roman" w:hAnsi="Times New Roman" w:cs="Times New Roman"/>
          <w:b/>
          <w:bCs/>
        </w:rPr>
        <w:t>verband</w:t>
      </w:r>
      <w:r w:rsidR="008E6277">
        <w:rPr>
          <w:rFonts w:ascii="Times New Roman" w:hAnsi="Times New Roman" w:cs="Times New Roman"/>
          <w:b/>
          <w:bCs/>
        </w:rPr>
        <w:t>, b</w:t>
      </w:r>
      <w:r>
        <w:rPr>
          <w:rFonts w:ascii="Times New Roman" w:hAnsi="Times New Roman" w:cs="Times New Roman"/>
          <w:b/>
          <w:bCs/>
        </w:rPr>
        <w:t xml:space="preserve">ijvoorbeeld in de context van waarborgen in nieuwe toetredingsverdragen. Het kabinet zet zich ervoor in dat toetredingsverdragen het </w:t>
      </w:r>
      <w:r w:rsidR="00C4647A">
        <w:rPr>
          <w:rFonts w:ascii="Times New Roman" w:hAnsi="Times New Roman" w:cs="Times New Roman"/>
          <w:b/>
          <w:bCs/>
        </w:rPr>
        <w:t xml:space="preserve">beginsel </w:t>
      </w:r>
      <w:r>
        <w:rPr>
          <w:rFonts w:ascii="Times New Roman" w:hAnsi="Times New Roman" w:cs="Times New Roman"/>
          <w:b/>
          <w:bCs/>
        </w:rPr>
        <w:t xml:space="preserve">van loyale samenwerking stevig verankeren, zoals uitgelegd in de </w:t>
      </w:r>
      <w:r w:rsidR="00F45A24">
        <w:rPr>
          <w:rFonts w:ascii="Times New Roman" w:hAnsi="Times New Roman" w:cs="Times New Roman"/>
          <w:b/>
          <w:bCs/>
        </w:rPr>
        <w:t>K</w:t>
      </w:r>
      <w:r>
        <w:rPr>
          <w:rFonts w:ascii="Times New Roman" w:hAnsi="Times New Roman" w:cs="Times New Roman"/>
          <w:b/>
          <w:bCs/>
        </w:rPr>
        <w:t xml:space="preserve">amerbrief </w:t>
      </w:r>
      <w:r w:rsidRPr="001B2DA8">
        <w:rPr>
          <w:rFonts w:ascii="Times New Roman" w:hAnsi="Times New Roman" w:cs="Times New Roman"/>
          <w:b/>
          <w:bCs/>
        </w:rPr>
        <w:t>EU-uitbreiding, waarborgen en de Toekomst van Europa</w:t>
      </w:r>
      <w:r>
        <w:rPr>
          <w:rFonts w:ascii="Times New Roman" w:hAnsi="Times New Roman" w:cs="Times New Roman"/>
          <w:b/>
          <w:bCs/>
        </w:rPr>
        <w:t xml:space="preserve"> en </w:t>
      </w:r>
      <w:r w:rsidR="00925377">
        <w:rPr>
          <w:rFonts w:ascii="Times New Roman" w:hAnsi="Times New Roman" w:cs="Times New Roman"/>
          <w:b/>
          <w:bCs/>
        </w:rPr>
        <w:t>de bijgaande non-paper</w:t>
      </w:r>
      <w:r>
        <w:rPr>
          <w:rFonts w:ascii="Times New Roman" w:hAnsi="Times New Roman" w:cs="Times New Roman"/>
          <w:b/>
          <w:bCs/>
        </w:rPr>
        <w:t xml:space="preserve"> met ideeën </w:t>
      </w:r>
      <w:r w:rsidRPr="001B2DA8">
        <w:rPr>
          <w:rFonts w:ascii="Times New Roman" w:hAnsi="Times New Roman" w:cs="Times New Roman"/>
          <w:b/>
          <w:bCs/>
        </w:rPr>
        <w:t>voor (gerichte) overgangsmaatregelen en waarborgen</w:t>
      </w:r>
      <w:r w:rsidR="00353DF7">
        <w:rPr>
          <w:rFonts w:ascii="Times New Roman" w:hAnsi="Times New Roman" w:cs="Times New Roman"/>
          <w:b/>
          <w:bCs/>
        </w:rPr>
        <w:t>.</w:t>
      </w:r>
      <w:r w:rsidR="0064036B">
        <w:rPr>
          <w:rStyle w:val="FootnoteReference"/>
          <w:rFonts w:ascii="Times New Roman" w:hAnsi="Times New Roman" w:cs="Times New Roman"/>
          <w:b/>
          <w:bCs/>
        </w:rPr>
        <w:footnoteReference w:id="14"/>
      </w:r>
      <w:r>
        <w:rPr>
          <w:rFonts w:ascii="Times New Roman" w:hAnsi="Times New Roman" w:cs="Times New Roman"/>
          <w:b/>
          <w:bCs/>
        </w:rPr>
        <w:t xml:space="preserve"> </w:t>
      </w:r>
      <w:r w:rsidR="00612A4C">
        <w:rPr>
          <w:rFonts w:ascii="Times New Roman" w:hAnsi="Times New Roman" w:cs="Times New Roman"/>
          <w:b/>
          <w:bCs/>
        </w:rPr>
        <w:t xml:space="preserve">In </w:t>
      </w:r>
      <w:r w:rsidR="00876D08">
        <w:rPr>
          <w:rFonts w:ascii="Times New Roman" w:hAnsi="Times New Roman" w:cs="Times New Roman"/>
          <w:b/>
          <w:bCs/>
        </w:rPr>
        <w:t>discussie</w:t>
      </w:r>
      <w:r w:rsidR="008E6277">
        <w:rPr>
          <w:rFonts w:ascii="Times New Roman" w:hAnsi="Times New Roman" w:cs="Times New Roman"/>
          <w:b/>
          <w:bCs/>
        </w:rPr>
        <w:t>s</w:t>
      </w:r>
      <w:r w:rsidR="00876D08">
        <w:rPr>
          <w:rFonts w:ascii="Times New Roman" w:hAnsi="Times New Roman" w:cs="Times New Roman"/>
          <w:b/>
          <w:bCs/>
        </w:rPr>
        <w:t xml:space="preserve"> over</w:t>
      </w:r>
      <w:r w:rsidR="005B55AF">
        <w:rPr>
          <w:rFonts w:ascii="Times New Roman" w:hAnsi="Times New Roman" w:cs="Times New Roman"/>
          <w:b/>
          <w:bCs/>
        </w:rPr>
        <w:t xml:space="preserve"> nieuwe toetredingsverdragen</w:t>
      </w:r>
      <w:r w:rsidR="00612A4C">
        <w:rPr>
          <w:rFonts w:ascii="Times New Roman" w:hAnsi="Times New Roman" w:cs="Times New Roman"/>
          <w:b/>
          <w:bCs/>
        </w:rPr>
        <w:t xml:space="preserve"> </w:t>
      </w:r>
      <w:r w:rsidR="0036618D">
        <w:rPr>
          <w:rFonts w:ascii="Times New Roman" w:hAnsi="Times New Roman" w:cs="Times New Roman"/>
          <w:b/>
          <w:bCs/>
        </w:rPr>
        <w:t xml:space="preserve">en </w:t>
      </w:r>
      <w:r w:rsidR="00925377">
        <w:rPr>
          <w:rFonts w:ascii="Times New Roman" w:hAnsi="Times New Roman" w:cs="Times New Roman"/>
          <w:b/>
          <w:bCs/>
        </w:rPr>
        <w:t>EU-hervormingen</w:t>
      </w:r>
      <w:r w:rsidR="00876D08">
        <w:rPr>
          <w:rFonts w:ascii="Times New Roman" w:hAnsi="Times New Roman" w:cs="Times New Roman"/>
          <w:b/>
          <w:bCs/>
        </w:rPr>
        <w:t xml:space="preserve">, </w:t>
      </w:r>
      <w:r w:rsidR="008E6277">
        <w:rPr>
          <w:rFonts w:ascii="Times New Roman" w:hAnsi="Times New Roman" w:cs="Times New Roman"/>
          <w:b/>
          <w:bCs/>
        </w:rPr>
        <w:t xml:space="preserve">zal het kabinet </w:t>
      </w:r>
      <w:r w:rsidR="000E2139">
        <w:rPr>
          <w:rFonts w:ascii="Times New Roman" w:hAnsi="Times New Roman" w:cs="Times New Roman"/>
          <w:b/>
          <w:bCs/>
        </w:rPr>
        <w:t>hier stevig op inzetten</w:t>
      </w:r>
      <w:r>
        <w:rPr>
          <w:rFonts w:ascii="Times New Roman" w:hAnsi="Times New Roman" w:cs="Times New Roman"/>
          <w:b/>
          <w:bCs/>
        </w:rPr>
        <w:t xml:space="preserve">. </w:t>
      </w:r>
    </w:p>
    <w:p w:rsidR="00766FE5" w:rsidP="00EB69DE" w:rsidRDefault="00766FE5" w14:paraId="0E187E89" w14:textId="77777777">
      <w:pPr>
        <w:pStyle w:val="NoSpacing"/>
        <w:rPr>
          <w:rFonts w:ascii="Times New Roman" w:hAnsi="Times New Roman" w:cs="Times New Roman"/>
        </w:rPr>
      </w:pPr>
    </w:p>
    <w:p w:rsidR="00EB69DE" w:rsidP="00EB69DE" w:rsidRDefault="00EB69DE" w14:paraId="356F3ED9" w14:textId="499C593E">
      <w:pPr>
        <w:pStyle w:val="NoSpacing"/>
        <w:rPr>
          <w:rFonts w:ascii="Times New Roman" w:hAnsi="Times New Roman" w:cs="Times New Roman"/>
        </w:rPr>
      </w:pPr>
      <w:bookmarkStart w:name="_Hlk231908014" w:id="6"/>
      <w:r w:rsidRPr="00EB69DE">
        <w:rPr>
          <w:rFonts w:ascii="Times New Roman" w:hAnsi="Times New Roman" w:cs="Times New Roman"/>
        </w:rPr>
        <w:t xml:space="preserve">De AIV stelt verder dat vertrouwen vraagt om diplomatieke investering en kennis van het Europese krachtenveld. Het kabinet erkent dat het postennet hierbij belangrijk is om goed zicht te krijgen op het krachtenveld. </w:t>
      </w:r>
      <w:r w:rsidR="00F678F3">
        <w:rPr>
          <w:rFonts w:ascii="Times New Roman" w:hAnsi="Times New Roman" w:cs="Times New Roman"/>
        </w:rPr>
        <w:t>Deze leden</w:t>
      </w:r>
      <w:r w:rsidRPr="00EB69DE">
        <w:rPr>
          <w:rFonts w:ascii="Times New Roman" w:hAnsi="Times New Roman" w:cs="Times New Roman"/>
        </w:rPr>
        <w:t xml:space="preserve"> vragen of het kabinet concreet kan maken wat dit betekent voor de Nederlandse posten in EU-lidstaten en voor de Permanente Vertegenwoordiging</w:t>
      </w:r>
      <w:r w:rsidR="00F678F3">
        <w:rPr>
          <w:rFonts w:ascii="Times New Roman" w:hAnsi="Times New Roman" w:cs="Times New Roman"/>
        </w:rPr>
        <w:t>.</w:t>
      </w:r>
      <w:r w:rsidRPr="00EB69DE">
        <w:rPr>
          <w:rFonts w:ascii="Times New Roman" w:hAnsi="Times New Roman" w:cs="Times New Roman"/>
        </w:rPr>
        <w:t xml:space="preserve"> Komt er extra capaciteit voor rechtsstaat, EU-besluitvorming en coalitievorming? Hoe wordt geborgd dat Nederlandse diplomaten voldoende Europese ervaring opbouwen?</w:t>
      </w:r>
    </w:p>
    <w:p w:rsidR="00F40839" w:rsidRDefault="00F40839" w14:paraId="2C628589" w14:textId="294C3106">
      <w:pPr>
        <w:rPr>
          <w:rFonts w:ascii="Times New Roman" w:hAnsi="Times New Roman" w:cs="Times New Roman"/>
          <w:kern w:val="0"/>
          <w14:ligatures w14:val="none"/>
        </w:rPr>
      </w:pPr>
      <w:r>
        <w:rPr>
          <w:rFonts w:ascii="Times New Roman" w:hAnsi="Times New Roman" w:cs="Times New Roman"/>
        </w:rPr>
        <w:br w:type="page"/>
      </w:r>
    </w:p>
    <w:p w:rsidRPr="00687E81" w:rsidR="00496055" w:rsidP="00CD0C26" w:rsidRDefault="00496055" w14:paraId="09E25014" w14:textId="0141C029">
      <w:pPr>
        <w:pStyle w:val="NoSpacing"/>
        <w:numPr>
          <w:ilvl w:val="0"/>
          <w:numId w:val="42"/>
        </w:numPr>
        <w:rPr>
          <w:rFonts w:ascii="Times New Roman" w:hAnsi="Times New Roman" w:cs="Times New Roman"/>
          <w:b/>
          <w:bCs/>
        </w:rPr>
      </w:pPr>
      <w:r w:rsidRPr="00687E81">
        <w:rPr>
          <w:rFonts w:ascii="Times New Roman" w:hAnsi="Times New Roman" w:cs="Times New Roman"/>
          <w:b/>
          <w:bCs/>
          <w:u w:val="single"/>
        </w:rPr>
        <w:lastRenderedPageBreak/>
        <w:t>Antwoord van het kabinet</w:t>
      </w:r>
    </w:p>
    <w:p w:rsidRPr="00AD17CD" w:rsidR="00C91FD6" w:rsidP="00EB69DE" w:rsidRDefault="00C91FD6" w14:paraId="224BD25E" w14:textId="26A2A408">
      <w:pPr>
        <w:pStyle w:val="NoSpacing"/>
        <w:rPr>
          <w:rFonts w:ascii="Times New Roman" w:hAnsi="Times New Roman" w:cs="Times New Roman"/>
          <w:b/>
        </w:rPr>
      </w:pPr>
      <w:bookmarkStart w:name="_Hlk231908835" w:id="7"/>
      <w:bookmarkStart w:name="_Hlk231908714" w:id="8"/>
      <w:r w:rsidRPr="00AD17CD">
        <w:rPr>
          <w:rFonts w:ascii="Times New Roman" w:hAnsi="Times New Roman" w:cs="Times New Roman"/>
          <w:b/>
        </w:rPr>
        <w:t xml:space="preserve">In het kader van </w:t>
      </w:r>
      <w:r w:rsidR="00B52257">
        <w:rPr>
          <w:rFonts w:ascii="Times New Roman" w:hAnsi="Times New Roman" w:cs="Times New Roman"/>
          <w:b/>
        </w:rPr>
        <w:t xml:space="preserve">de </w:t>
      </w:r>
      <w:r w:rsidRPr="00860F49" w:rsidR="00860F49">
        <w:rPr>
          <w:rFonts w:ascii="Times New Roman" w:hAnsi="Times New Roman" w:cs="Times New Roman"/>
          <w:b/>
        </w:rPr>
        <w:t>Internationaal Onderzoek en Beleidsevaluatie</w:t>
      </w:r>
      <w:r w:rsidR="00860F49">
        <w:rPr>
          <w:rFonts w:ascii="Times New Roman" w:hAnsi="Times New Roman" w:cs="Times New Roman"/>
          <w:b/>
        </w:rPr>
        <w:t xml:space="preserve"> (</w:t>
      </w:r>
      <w:r w:rsidR="00B52257">
        <w:rPr>
          <w:rFonts w:ascii="Times New Roman" w:hAnsi="Times New Roman" w:cs="Times New Roman"/>
          <w:b/>
        </w:rPr>
        <w:t>IOB</w:t>
      </w:r>
      <w:r w:rsidR="00860F49">
        <w:rPr>
          <w:rFonts w:ascii="Times New Roman" w:hAnsi="Times New Roman" w:cs="Times New Roman"/>
          <w:b/>
        </w:rPr>
        <w:t xml:space="preserve">) </w:t>
      </w:r>
      <w:r w:rsidRPr="00AD17CD">
        <w:rPr>
          <w:rFonts w:ascii="Times New Roman" w:hAnsi="Times New Roman" w:cs="Times New Roman"/>
          <w:b/>
        </w:rPr>
        <w:t xml:space="preserve">adviezen </w:t>
      </w:r>
      <w:r w:rsidRPr="00AD17CD" w:rsidR="00D94DDC">
        <w:rPr>
          <w:rFonts w:ascii="Times New Roman" w:hAnsi="Times New Roman" w:cs="Times New Roman"/>
          <w:b/>
        </w:rPr>
        <w:t>‘</w:t>
      </w:r>
      <w:r w:rsidRPr="00A90E4F">
        <w:rPr>
          <w:rFonts w:ascii="Times New Roman" w:hAnsi="Times New Roman" w:cs="Times New Roman"/>
          <w:b/>
        </w:rPr>
        <w:t>Grip door begrip</w:t>
      </w:r>
      <w:r w:rsidRPr="00AD17CD" w:rsidR="00D94DDC">
        <w:rPr>
          <w:rFonts w:ascii="Times New Roman" w:hAnsi="Times New Roman" w:cs="Times New Roman"/>
          <w:b/>
        </w:rPr>
        <w:t>’</w:t>
      </w:r>
      <w:r w:rsidR="001F35D7">
        <w:rPr>
          <w:rStyle w:val="FootnoteReference"/>
          <w:rFonts w:ascii="Times New Roman" w:hAnsi="Times New Roman" w:cs="Times New Roman"/>
          <w:b/>
        </w:rPr>
        <w:footnoteReference w:id="15"/>
      </w:r>
      <w:r w:rsidRPr="00AD17CD">
        <w:rPr>
          <w:rFonts w:ascii="Times New Roman" w:hAnsi="Times New Roman" w:cs="Times New Roman"/>
          <w:b/>
        </w:rPr>
        <w:t xml:space="preserve"> en </w:t>
      </w:r>
      <w:r w:rsidRPr="00AD17CD" w:rsidR="00D94DDC">
        <w:rPr>
          <w:rFonts w:ascii="Times New Roman" w:hAnsi="Times New Roman" w:cs="Times New Roman"/>
          <w:b/>
        </w:rPr>
        <w:t>‘</w:t>
      </w:r>
      <w:r w:rsidRPr="00A90E4F">
        <w:rPr>
          <w:rFonts w:ascii="Times New Roman" w:hAnsi="Times New Roman" w:cs="Times New Roman"/>
          <w:b/>
        </w:rPr>
        <w:t>Tactisch en praktisch</w:t>
      </w:r>
      <w:r w:rsidRPr="00AD17CD" w:rsidR="00D94DDC">
        <w:rPr>
          <w:rFonts w:ascii="Times New Roman" w:hAnsi="Times New Roman" w:cs="Times New Roman"/>
          <w:b/>
        </w:rPr>
        <w:t>’</w:t>
      </w:r>
      <w:r w:rsidRPr="00AD17CD" w:rsidR="001F35D7">
        <w:rPr>
          <w:rStyle w:val="FootnoteReference"/>
          <w:rFonts w:ascii="Times New Roman" w:hAnsi="Times New Roman" w:cs="Times New Roman"/>
          <w:b/>
        </w:rPr>
        <w:footnoteReference w:id="16"/>
      </w:r>
      <w:r w:rsidRPr="00AD17CD">
        <w:rPr>
          <w:rFonts w:ascii="Times New Roman" w:hAnsi="Times New Roman" w:cs="Times New Roman"/>
          <w:b/>
        </w:rPr>
        <w:t xml:space="preserve"> heeft het kabinet eerder </w:t>
      </w:r>
      <w:r w:rsidR="00D94DDC">
        <w:rPr>
          <w:rFonts w:ascii="Times New Roman" w:hAnsi="Times New Roman" w:cs="Times New Roman"/>
          <w:b/>
        </w:rPr>
        <w:t xml:space="preserve">al </w:t>
      </w:r>
      <w:r w:rsidRPr="00AD17CD">
        <w:rPr>
          <w:rFonts w:ascii="Times New Roman" w:hAnsi="Times New Roman" w:cs="Times New Roman"/>
          <w:b/>
        </w:rPr>
        <w:t>geïnvesteerd in de basiskennis van de EU onder ambtenaren, waaronder ook Nederlandse diplomaten.</w:t>
      </w:r>
      <w:bookmarkEnd w:id="7"/>
      <w:r w:rsidRPr="00AD17CD">
        <w:rPr>
          <w:rFonts w:ascii="Times New Roman" w:hAnsi="Times New Roman" w:cs="Times New Roman"/>
          <w:b/>
        </w:rPr>
        <w:t xml:space="preserve"> Het kabinet vindt het belangrijk dat ambtenaren over voldoende EU-kennis beschikken. </w:t>
      </w:r>
    </w:p>
    <w:p w:rsidRPr="004D1FD6" w:rsidR="00C91FD6" w:rsidP="00EB69DE" w:rsidRDefault="00C91FD6" w14:paraId="101485A9" w14:textId="6336227F">
      <w:pPr>
        <w:pStyle w:val="NoSpacing"/>
        <w:rPr>
          <w:rFonts w:ascii="Times New Roman" w:hAnsi="Times New Roman" w:cs="Times New Roman"/>
          <w:b/>
        </w:rPr>
      </w:pPr>
      <w:r w:rsidRPr="00AD17CD">
        <w:rPr>
          <w:rFonts w:ascii="Times New Roman" w:hAnsi="Times New Roman" w:cs="Times New Roman"/>
          <w:b/>
        </w:rPr>
        <w:t xml:space="preserve">Ook wordt ingezet om het aantal Nederlanders bij de EU-instellingen te vergroten, zodat ambtenaren meer EU-ervaring op kunnen doen en deze kennis over kunnen brengen binnen het Rijk. </w:t>
      </w:r>
    </w:p>
    <w:p w:rsidR="002B06AC" w:rsidP="00EB69DE" w:rsidRDefault="002B06AC" w14:paraId="0CAF09A9" w14:textId="77777777">
      <w:pPr>
        <w:pStyle w:val="NoSpacing"/>
        <w:rPr>
          <w:rFonts w:ascii="Times New Roman" w:hAnsi="Times New Roman" w:cs="Times New Roman"/>
          <w:b/>
        </w:rPr>
      </w:pPr>
    </w:p>
    <w:p w:rsidR="00B52257" w:rsidP="00EB69DE" w:rsidRDefault="00B52257" w14:paraId="50C719B2" w14:textId="286A8CEF">
      <w:pPr>
        <w:pStyle w:val="NoSpacing"/>
        <w:rPr>
          <w:rFonts w:ascii="Times New Roman" w:hAnsi="Times New Roman" w:cs="Times New Roman"/>
          <w:b/>
        </w:rPr>
      </w:pPr>
      <w:r>
        <w:rPr>
          <w:rFonts w:ascii="Times New Roman" w:hAnsi="Times New Roman" w:cs="Times New Roman"/>
          <w:b/>
        </w:rPr>
        <w:t>I</w:t>
      </w:r>
      <w:r w:rsidRPr="004D1FD6" w:rsidR="00C91FD6">
        <w:rPr>
          <w:rFonts w:ascii="Times New Roman" w:hAnsi="Times New Roman" w:cs="Times New Roman"/>
          <w:b/>
        </w:rPr>
        <w:t>n het kader van het Nederlandse voorzitterschap van de Raad</w:t>
      </w:r>
      <w:r>
        <w:rPr>
          <w:rFonts w:ascii="Times New Roman" w:hAnsi="Times New Roman" w:cs="Times New Roman"/>
          <w:b/>
        </w:rPr>
        <w:t xml:space="preserve">, </w:t>
      </w:r>
      <w:r w:rsidRPr="004D1FD6" w:rsidR="00C91FD6">
        <w:rPr>
          <w:rFonts w:ascii="Times New Roman" w:hAnsi="Times New Roman" w:cs="Times New Roman"/>
          <w:b/>
        </w:rPr>
        <w:t xml:space="preserve">in de tweede helft </w:t>
      </w:r>
      <w:r>
        <w:rPr>
          <w:rFonts w:ascii="Times New Roman" w:hAnsi="Times New Roman" w:cs="Times New Roman"/>
          <w:b/>
        </w:rPr>
        <w:t xml:space="preserve">van </w:t>
      </w:r>
      <w:r w:rsidRPr="004D1FD6" w:rsidR="00C91FD6">
        <w:rPr>
          <w:rFonts w:ascii="Times New Roman" w:hAnsi="Times New Roman" w:cs="Times New Roman"/>
          <w:b/>
        </w:rPr>
        <w:t>2029</w:t>
      </w:r>
      <w:r w:rsidR="00526C85">
        <w:rPr>
          <w:rFonts w:ascii="Times New Roman" w:hAnsi="Times New Roman" w:cs="Times New Roman"/>
          <w:b/>
        </w:rPr>
        <w:t xml:space="preserve"> zal moeten worden</w:t>
      </w:r>
      <w:r w:rsidRPr="004D1FD6" w:rsidR="00C91FD6">
        <w:rPr>
          <w:rFonts w:ascii="Times New Roman" w:hAnsi="Times New Roman" w:cs="Times New Roman"/>
          <w:b/>
        </w:rPr>
        <w:t xml:space="preserve"> geïnvesteerd in extra formatieplekken bij het ministerie van Buitenlandse Zaken, de </w:t>
      </w:r>
      <w:r w:rsidR="00526C85">
        <w:rPr>
          <w:rFonts w:ascii="Times New Roman" w:hAnsi="Times New Roman" w:cs="Times New Roman"/>
          <w:b/>
        </w:rPr>
        <w:t xml:space="preserve">andere </w:t>
      </w:r>
      <w:r w:rsidRPr="004D1FD6" w:rsidR="00C91FD6">
        <w:rPr>
          <w:rFonts w:ascii="Times New Roman" w:hAnsi="Times New Roman" w:cs="Times New Roman"/>
          <w:b/>
          <w:bCs/>
        </w:rPr>
        <w:t>departementen</w:t>
      </w:r>
      <w:r w:rsidRPr="004D1FD6" w:rsidR="00C91FD6">
        <w:rPr>
          <w:rFonts w:ascii="Times New Roman" w:hAnsi="Times New Roman" w:cs="Times New Roman"/>
          <w:b/>
        </w:rPr>
        <w:t xml:space="preserve"> in Den Haag, plaatsen bij de </w:t>
      </w:r>
      <w:r w:rsidR="00526C85">
        <w:rPr>
          <w:rFonts w:ascii="Times New Roman" w:hAnsi="Times New Roman" w:cs="Times New Roman"/>
          <w:b/>
        </w:rPr>
        <w:t xml:space="preserve">Europese </w:t>
      </w:r>
      <w:r w:rsidRPr="004D1FD6" w:rsidR="00C91FD6">
        <w:rPr>
          <w:rFonts w:ascii="Times New Roman" w:hAnsi="Times New Roman" w:cs="Times New Roman"/>
          <w:b/>
        </w:rPr>
        <w:t xml:space="preserve">posten en bij de </w:t>
      </w:r>
      <w:r w:rsidR="001E32BD">
        <w:rPr>
          <w:rFonts w:ascii="Times New Roman" w:hAnsi="Times New Roman" w:cs="Times New Roman"/>
          <w:b/>
        </w:rPr>
        <w:t>Permanente Vertegenwoordiging van Nederland bij de EU</w:t>
      </w:r>
      <w:r w:rsidRPr="004D1FD6" w:rsidR="00C91FD6">
        <w:rPr>
          <w:rFonts w:ascii="Times New Roman" w:hAnsi="Times New Roman" w:cs="Times New Roman"/>
          <w:b/>
        </w:rPr>
        <w:t xml:space="preserve"> in Brussel. Dit geldt ook voor de EU-kennis en EU-ervaring. </w:t>
      </w:r>
    </w:p>
    <w:p w:rsidR="002B06AC" w:rsidP="00EB69DE" w:rsidRDefault="002B06AC" w14:paraId="01772CE3" w14:textId="77777777">
      <w:pPr>
        <w:pStyle w:val="NoSpacing"/>
        <w:rPr>
          <w:rFonts w:ascii="Times New Roman" w:hAnsi="Times New Roman" w:cs="Times New Roman"/>
          <w:b/>
        </w:rPr>
      </w:pPr>
    </w:p>
    <w:p w:rsidRPr="004D1FD6" w:rsidR="00C91FD6" w:rsidP="00EB69DE" w:rsidRDefault="00E922E5" w14:paraId="7D9877DE" w14:textId="290F8C99">
      <w:pPr>
        <w:pStyle w:val="NoSpacing"/>
        <w:rPr>
          <w:rFonts w:ascii="Times New Roman" w:hAnsi="Times New Roman" w:cs="Times New Roman"/>
          <w:b/>
        </w:rPr>
      </w:pPr>
      <w:r>
        <w:rPr>
          <w:rFonts w:ascii="Times New Roman" w:hAnsi="Times New Roman" w:cs="Times New Roman"/>
          <w:b/>
        </w:rPr>
        <w:t xml:space="preserve">Tot slot is van belang dat in het </w:t>
      </w:r>
      <w:r w:rsidR="00ED5D3B">
        <w:rPr>
          <w:rFonts w:ascii="Times New Roman" w:hAnsi="Times New Roman" w:cs="Times New Roman"/>
          <w:b/>
        </w:rPr>
        <w:t>coalitieakkoord</w:t>
      </w:r>
      <w:r>
        <w:rPr>
          <w:rFonts w:ascii="Times New Roman" w:hAnsi="Times New Roman" w:cs="Times New Roman"/>
          <w:b/>
        </w:rPr>
        <w:t xml:space="preserve"> is afgesproken om ter </w:t>
      </w:r>
      <w:r w:rsidRPr="00E922E5">
        <w:rPr>
          <w:rFonts w:ascii="Times New Roman" w:hAnsi="Times New Roman" w:cs="Times New Roman"/>
          <w:b/>
        </w:rPr>
        <w:t>versterking van de positie van Nederland in het buitenland</w:t>
      </w:r>
      <w:r>
        <w:rPr>
          <w:rFonts w:ascii="Times New Roman" w:hAnsi="Times New Roman" w:cs="Times New Roman"/>
          <w:b/>
        </w:rPr>
        <w:t xml:space="preserve"> </w:t>
      </w:r>
      <w:r w:rsidRPr="00E922E5">
        <w:rPr>
          <w:rFonts w:ascii="Times New Roman" w:hAnsi="Times New Roman" w:cs="Times New Roman"/>
          <w:b/>
        </w:rPr>
        <w:t xml:space="preserve">vanaf 2027 </w:t>
      </w:r>
      <w:r>
        <w:rPr>
          <w:rFonts w:ascii="Times New Roman" w:hAnsi="Times New Roman" w:cs="Times New Roman"/>
          <w:b/>
        </w:rPr>
        <w:t xml:space="preserve">te intensiveren </w:t>
      </w:r>
      <w:r w:rsidRPr="00E922E5">
        <w:rPr>
          <w:rFonts w:ascii="Times New Roman" w:hAnsi="Times New Roman" w:cs="Times New Roman"/>
          <w:b/>
        </w:rPr>
        <w:t>op het postennetwerk van ambassades, consulaten-generaal en permanente vertegenwoordigingen.</w:t>
      </w:r>
      <w:r>
        <w:rPr>
          <w:rFonts w:ascii="Times New Roman" w:hAnsi="Times New Roman" w:cs="Times New Roman"/>
          <w:b/>
        </w:rPr>
        <w:t xml:space="preserve"> Zoals in de Beleidsbrief Buitenlandse </w:t>
      </w:r>
      <w:r w:rsidR="00826BD8">
        <w:rPr>
          <w:rFonts w:ascii="Times New Roman" w:hAnsi="Times New Roman" w:cs="Times New Roman"/>
          <w:b/>
        </w:rPr>
        <w:t>Z</w:t>
      </w:r>
      <w:r>
        <w:rPr>
          <w:rFonts w:ascii="Times New Roman" w:hAnsi="Times New Roman" w:cs="Times New Roman"/>
          <w:b/>
        </w:rPr>
        <w:t>aken 2026</w:t>
      </w:r>
      <w:r w:rsidR="001F35D7">
        <w:rPr>
          <w:rStyle w:val="FootnoteReference"/>
          <w:rFonts w:ascii="Times New Roman" w:hAnsi="Times New Roman" w:cs="Times New Roman"/>
          <w:b/>
        </w:rPr>
        <w:footnoteReference w:id="17"/>
      </w:r>
      <w:r>
        <w:rPr>
          <w:rFonts w:ascii="Times New Roman" w:hAnsi="Times New Roman" w:cs="Times New Roman"/>
          <w:b/>
        </w:rPr>
        <w:t xml:space="preserve"> is </w:t>
      </w:r>
      <w:r w:rsidR="00826BD8">
        <w:rPr>
          <w:rFonts w:ascii="Times New Roman" w:hAnsi="Times New Roman" w:cs="Times New Roman"/>
          <w:b/>
        </w:rPr>
        <w:t xml:space="preserve">opgenomen volgt de nadere uitwerking van de invulling van de intensivering in het postennet in de ontwerpbegroting 2027 van het ministerie van Buitenlandse Zaken. </w:t>
      </w:r>
      <w:bookmarkEnd w:id="8"/>
    </w:p>
    <w:bookmarkEnd w:id="6"/>
    <w:p w:rsidRPr="00EB69DE" w:rsidR="00F678F3" w:rsidP="00EB69DE" w:rsidRDefault="00F678F3" w14:paraId="2F9CAA35" w14:textId="4514390F">
      <w:pPr>
        <w:pStyle w:val="NoSpacing"/>
        <w:rPr>
          <w:rFonts w:ascii="Times New Roman" w:hAnsi="Times New Roman" w:cs="Times New Roman"/>
        </w:rPr>
      </w:pPr>
    </w:p>
    <w:p w:rsidRPr="00F678F3" w:rsidR="00EB69DE" w:rsidP="00EB69DE" w:rsidRDefault="00EB69DE" w14:paraId="07CAD816" w14:textId="77777777">
      <w:pPr>
        <w:pStyle w:val="NoSpacing"/>
        <w:rPr>
          <w:rFonts w:ascii="Times New Roman" w:hAnsi="Times New Roman" w:cs="Times New Roman"/>
          <w:i/>
          <w:iCs/>
        </w:rPr>
      </w:pPr>
      <w:r w:rsidRPr="00F678F3">
        <w:rPr>
          <w:rFonts w:ascii="Times New Roman" w:hAnsi="Times New Roman" w:cs="Times New Roman"/>
          <w:i/>
          <w:iCs/>
        </w:rPr>
        <w:t>Aanbeveling 3: Benut de juridische gereedschapskist om niet-loyale samenwerking tegen te gaan ten volle</w:t>
      </w:r>
    </w:p>
    <w:p w:rsidR="00D01448" w:rsidP="00EB69DE" w:rsidRDefault="00EB69DE" w14:paraId="1D965589" w14:textId="77777777">
      <w:pPr>
        <w:pStyle w:val="NoSpacing"/>
        <w:rPr>
          <w:rFonts w:ascii="Times New Roman" w:hAnsi="Times New Roman" w:cs="Times New Roman"/>
        </w:rPr>
      </w:pPr>
      <w:r w:rsidRPr="00EB69DE">
        <w:rPr>
          <w:rFonts w:ascii="Times New Roman" w:hAnsi="Times New Roman" w:cs="Times New Roman"/>
        </w:rPr>
        <w:t xml:space="preserve">De leden van de CDA-fractie steunen een strenge koppeling tussen EU-geld en respect voor rechtsstaat en fundamentele rechten. Nederlands belastinggeld mag niet bijdragen aan regeringen die de rechtsstaat afbreken of de Unie ondermijnen. De AIV wijst op </w:t>
      </w:r>
      <w:r w:rsidR="00F57B8A">
        <w:rPr>
          <w:rFonts w:ascii="Times New Roman" w:hAnsi="Times New Roman" w:cs="Times New Roman"/>
        </w:rPr>
        <w:t>A</w:t>
      </w:r>
      <w:r w:rsidRPr="00EB69DE">
        <w:rPr>
          <w:rFonts w:ascii="Times New Roman" w:hAnsi="Times New Roman" w:cs="Times New Roman"/>
        </w:rPr>
        <w:t xml:space="preserve">rtikel 7 en op mogelijkheden om EU-subsidies stil te leggen bij schending van fundamentele waarden. </w:t>
      </w:r>
      <w:r w:rsidR="00F57B8A">
        <w:rPr>
          <w:rFonts w:ascii="Times New Roman" w:hAnsi="Times New Roman" w:cs="Times New Roman"/>
        </w:rPr>
        <w:t>Deze leden</w:t>
      </w:r>
      <w:r w:rsidRPr="00EB69DE">
        <w:rPr>
          <w:rFonts w:ascii="Times New Roman" w:hAnsi="Times New Roman" w:cs="Times New Roman"/>
        </w:rPr>
        <w:t xml:space="preserve"> vragen of het kabinet kan toelichten welke concrete voorstellen Nederland hiervoor op tafel legt</w:t>
      </w:r>
      <w:r w:rsidR="00F57B8A">
        <w:rPr>
          <w:rFonts w:ascii="Times New Roman" w:hAnsi="Times New Roman" w:cs="Times New Roman"/>
        </w:rPr>
        <w:t>.</w:t>
      </w:r>
      <w:r w:rsidRPr="00EB69DE">
        <w:rPr>
          <w:rFonts w:ascii="Times New Roman" w:hAnsi="Times New Roman" w:cs="Times New Roman"/>
        </w:rPr>
        <w:t xml:space="preserve"> Gaat het kabinet bijvoorbeeld pleiten voor automatische opschorting van fondsen bij ernstige rechtsstaatschendingen? Hoe denkt het kabinet te kunnen voorkomen dat lidstaten elkaar blijven beschermen en </w:t>
      </w:r>
      <w:r w:rsidR="00F57B8A">
        <w:rPr>
          <w:rFonts w:ascii="Times New Roman" w:hAnsi="Times New Roman" w:cs="Times New Roman"/>
        </w:rPr>
        <w:t>A</w:t>
      </w:r>
      <w:r w:rsidRPr="00EB69DE">
        <w:rPr>
          <w:rFonts w:ascii="Times New Roman" w:hAnsi="Times New Roman" w:cs="Times New Roman"/>
        </w:rPr>
        <w:t>rtikel 7 daardoor tandeloos blijft?</w:t>
      </w:r>
    </w:p>
    <w:p w:rsidR="00EA4574" w:rsidP="00EA4574" w:rsidRDefault="00EA4574" w14:paraId="2D5EE163" w14:textId="77777777">
      <w:pPr>
        <w:pStyle w:val="NoSpacing"/>
        <w:rPr>
          <w:rFonts w:ascii="Times New Roman" w:hAnsi="Times New Roman" w:cs="Times New Roman"/>
        </w:rPr>
      </w:pPr>
    </w:p>
    <w:p w:rsidRPr="0074330D" w:rsidR="00EA4574" w:rsidP="00CD0C26" w:rsidRDefault="00EA4574" w14:paraId="2BF9580D" w14:textId="30708FC1">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r>
        <w:rPr>
          <w:rFonts w:ascii="Times New Roman" w:hAnsi="Times New Roman" w:cs="Times New Roman"/>
          <w:b/>
          <w:bCs/>
        </w:rPr>
        <w:t xml:space="preserve"> </w:t>
      </w:r>
    </w:p>
    <w:p w:rsidR="000A06D9" w:rsidP="00313207" w:rsidRDefault="00274D1D" w14:paraId="441934A0" w14:textId="25F09675">
      <w:pPr>
        <w:pStyle w:val="NoSpacing"/>
        <w:rPr>
          <w:rFonts w:ascii="Times New Roman" w:hAnsi="Times New Roman" w:cs="Times New Roman"/>
          <w:b/>
          <w:bCs/>
        </w:rPr>
      </w:pPr>
      <w:r>
        <w:rPr>
          <w:rFonts w:ascii="Times New Roman" w:hAnsi="Times New Roman" w:cs="Times New Roman"/>
          <w:b/>
          <w:bCs/>
        </w:rPr>
        <w:t>Het kabinet zet zich met gelijkgestemde lidstaten onverminderd in om het rechtsstaatinstrumentarium verder te versterken</w:t>
      </w:r>
      <w:r w:rsidR="00CE048E">
        <w:rPr>
          <w:rFonts w:ascii="Times New Roman" w:hAnsi="Times New Roman" w:cs="Times New Roman"/>
          <w:b/>
          <w:bCs/>
        </w:rPr>
        <w:t xml:space="preserve">. </w:t>
      </w:r>
      <w:r w:rsidR="005D17E6">
        <w:rPr>
          <w:rFonts w:ascii="Times New Roman" w:hAnsi="Times New Roman" w:cs="Times New Roman"/>
          <w:b/>
          <w:bCs/>
        </w:rPr>
        <w:t>Het</w:t>
      </w:r>
      <w:r w:rsidRPr="00313207" w:rsidR="007B0CD2">
        <w:rPr>
          <w:rFonts w:ascii="Times New Roman" w:hAnsi="Times New Roman" w:cs="Times New Roman"/>
          <w:b/>
          <w:bCs/>
        </w:rPr>
        <w:t xml:space="preserve"> </w:t>
      </w:r>
      <w:r w:rsidRPr="00313207" w:rsidR="00313207">
        <w:rPr>
          <w:rFonts w:ascii="Times New Roman" w:hAnsi="Times New Roman" w:cs="Times New Roman"/>
          <w:b/>
          <w:bCs/>
        </w:rPr>
        <w:t>kabinet</w:t>
      </w:r>
      <w:r w:rsidR="005D17E6">
        <w:rPr>
          <w:rFonts w:ascii="Times New Roman" w:hAnsi="Times New Roman" w:cs="Times New Roman"/>
          <w:b/>
          <w:bCs/>
        </w:rPr>
        <w:t xml:space="preserve"> zet</w:t>
      </w:r>
      <w:r w:rsidRPr="00313207" w:rsidR="00313207">
        <w:rPr>
          <w:rFonts w:ascii="Times New Roman" w:hAnsi="Times New Roman" w:cs="Times New Roman"/>
          <w:b/>
          <w:bCs/>
        </w:rPr>
        <w:t xml:space="preserve"> </w:t>
      </w:r>
      <w:r>
        <w:rPr>
          <w:rFonts w:ascii="Times New Roman" w:hAnsi="Times New Roman" w:cs="Times New Roman"/>
          <w:b/>
          <w:bCs/>
        </w:rPr>
        <w:t xml:space="preserve">allereerst </w:t>
      </w:r>
      <w:r w:rsidRPr="00313207" w:rsidR="00313207">
        <w:rPr>
          <w:rFonts w:ascii="Times New Roman" w:hAnsi="Times New Roman" w:cs="Times New Roman"/>
          <w:b/>
          <w:bCs/>
        </w:rPr>
        <w:t>in op aanvullende</w:t>
      </w:r>
      <w:r w:rsidR="00C177FA">
        <w:rPr>
          <w:rFonts w:ascii="Times New Roman" w:hAnsi="Times New Roman" w:cs="Times New Roman"/>
          <w:b/>
          <w:bCs/>
        </w:rPr>
        <w:t xml:space="preserve"> </w:t>
      </w:r>
      <w:r w:rsidRPr="00313207" w:rsidR="00313207">
        <w:rPr>
          <w:rFonts w:ascii="Times New Roman" w:hAnsi="Times New Roman" w:cs="Times New Roman"/>
          <w:b/>
          <w:bCs/>
        </w:rPr>
        <w:t>waarborgen ter bescherming van de waarden van de EU, waaronder de rechtsstaat, in</w:t>
      </w:r>
      <w:r w:rsidR="00C177FA">
        <w:rPr>
          <w:rFonts w:ascii="Times New Roman" w:hAnsi="Times New Roman" w:cs="Times New Roman"/>
          <w:b/>
          <w:bCs/>
        </w:rPr>
        <w:t xml:space="preserve"> de </w:t>
      </w:r>
      <w:r w:rsidRPr="00313207" w:rsidR="00313207">
        <w:rPr>
          <w:rFonts w:ascii="Times New Roman" w:hAnsi="Times New Roman" w:cs="Times New Roman"/>
          <w:b/>
          <w:bCs/>
        </w:rPr>
        <w:t>nieuwe generatie toetredingsverdragen en bij interne hervormingen in het licht van</w:t>
      </w:r>
      <w:r w:rsidR="00992C52">
        <w:rPr>
          <w:rFonts w:ascii="Times New Roman" w:hAnsi="Times New Roman" w:cs="Times New Roman"/>
          <w:b/>
          <w:bCs/>
        </w:rPr>
        <w:t xml:space="preserve"> </w:t>
      </w:r>
      <w:r w:rsidRPr="00313207" w:rsidR="00313207">
        <w:rPr>
          <w:rFonts w:ascii="Times New Roman" w:hAnsi="Times New Roman" w:cs="Times New Roman"/>
          <w:b/>
          <w:bCs/>
        </w:rPr>
        <w:t>toekomstige EU-uitbreiding.</w:t>
      </w:r>
      <w:r w:rsidR="00826910">
        <w:rPr>
          <w:rFonts w:ascii="Times New Roman" w:hAnsi="Times New Roman" w:cs="Times New Roman"/>
          <w:b/>
          <w:bCs/>
        </w:rPr>
        <w:t xml:space="preserve"> </w:t>
      </w:r>
      <w:r w:rsidR="005D17E6">
        <w:rPr>
          <w:rFonts w:ascii="Times New Roman" w:hAnsi="Times New Roman" w:cs="Times New Roman"/>
          <w:b/>
          <w:bCs/>
        </w:rPr>
        <w:t>Zo stelt het kabinet</w:t>
      </w:r>
      <w:r w:rsidR="00313207">
        <w:rPr>
          <w:rFonts w:ascii="Times New Roman" w:hAnsi="Times New Roman" w:cs="Times New Roman"/>
          <w:b/>
          <w:bCs/>
        </w:rPr>
        <w:t xml:space="preserve"> i</w:t>
      </w:r>
      <w:r w:rsidRPr="00573977" w:rsidR="000A06D9">
        <w:rPr>
          <w:rFonts w:ascii="Times New Roman" w:hAnsi="Times New Roman" w:cs="Times New Roman"/>
          <w:b/>
          <w:bCs/>
        </w:rPr>
        <w:t>n</w:t>
      </w:r>
      <w:r w:rsidR="00CE048E">
        <w:rPr>
          <w:rFonts w:ascii="Times New Roman" w:hAnsi="Times New Roman" w:cs="Times New Roman"/>
          <w:b/>
          <w:bCs/>
        </w:rPr>
        <w:t xml:space="preserve"> het kader van nieuwe toetredingsverdragen </w:t>
      </w:r>
      <w:r w:rsidRPr="00CE048E" w:rsidR="00CE048E">
        <w:rPr>
          <w:rFonts w:ascii="Times New Roman" w:hAnsi="Times New Roman" w:cs="Times New Roman"/>
          <w:b/>
          <w:bCs/>
        </w:rPr>
        <w:t>een non-regressiebepaling voor</w:t>
      </w:r>
      <w:r w:rsidR="00CE048E">
        <w:rPr>
          <w:rFonts w:ascii="Times New Roman" w:hAnsi="Times New Roman" w:cs="Times New Roman"/>
          <w:b/>
          <w:bCs/>
        </w:rPr>
        <w:t xml:space="preserve"> </w:t>
      </w:r>
      <w:r w:rsidRPr="00CE048E" w:rsidR="00CE048E">
        <w:rPr>
          <w:rFonts w:ascii="Times New Roman" w:hAnsi="Times New Roman" w:cs="Times New Roman"/>
          <w:b/>
          <w:bCs/>
        </w:rPr>
        <w:t xml:space="preserve">die </w:t>
      </w:r>
      <w:r w:rsidR="00C177FA">
        <w:rPr>
          <w:rFonts w:ascii="Times New Roman" w:hAnsi="Times New Roman" w:cs="Times New Roman"/>
          <w:b/>
          <w:bCs/>
        </w:rPr>
        <w:t>terugval</w:t>
      </w:r>
      <w:r w:rsidRPr="00CE048E" w:rsidR="00C177FA">
        <w:rPr>
          <w:rFonts w:ascii="Times New Roman" w:hAnsi="Times New Roman" w:cs="Times New Roman"/>
          <w:b/>
          <w:bCs/>
        </w:rPr>
        <w:t xml:space="preserve"> </w:t>
      </w:r>
      <w:r w:rsidRPr="00CE048E" w:rsidR="00CE048E">
        <w:rPr>
          <w:rFonts w:ascii="Times New Roman" w:hAnsi="Times New Roman" w:cs="Times New Roman"/>
          <w:b/>
          <w:bCs/>
        </w:rPr>
        <w:t xml:space="preserve">op eerbiediging van </w:t>
      </w:r>
      <w:r w:rsidRPr="00CE048E" w:rsidR="00CE048E">
        <w:rPr>
          <w:rFonts w:ascii="Times New Roman" w:hAnsi="Times New Roman" w:cs="Times New Roman"/>
          <w:b/>
          <w:bCs/>
        </w:rPr>
        <w:lastRenderedPageBreak/>
        <w:t>EU-waarden na toetreding verbiedt</w:t>
      </w:r>
      <w:r w:rsidR="005D17E6">
        <w:rPr>
          <w:rFonts w:ascii="Times New Roman" w:hAnsi="Times New Roman" w:cs="Times New Roman"/>
          <w:b/>
          <w:bCs/>
        </w:rPr>
        <w:t xml:space="preserve">, zet het kabinet in op </w:t>
      </w:r>
      <w:r w:rsidRPr="00CE048E" w:rsidR="00CE048E">
        <w:rPr>
          <w:rFonts w:ascii="Times New Roman" w:hAnsi="Times New Roman" w:cs="Times New Roman"/>
          <w:b/>
          <w:bCs/>
        </w:rPr>
        <w:t>een verplichting tot (onderzoek naar de) inzet van financiële rechtsstaatinstrumenten, een vernieuwde vrijwaringsclausule of regulier handhavend instrumentarium zoals de inbreukprocedure</w:t>
      </w:r>
      <w:r w:rsidR="00353DF7">
        <w:rPr>
          <w:rFonts w:ascii="Times New Roman" w:hAnsi="Times New Roman" w:cs="Times New Roman"/>
          <w:b/>
          <w:bCs/>
        </w:rPr>
        <w:t>,</w:t>
      </w:r>
      <w:r w:rsidR="005C5EB3">
        <w:rPr>
          <w:rStyle w:val="FootnoteReference"/>
          <w:rFonts w:ascii="Times New Roman" w:hAnsi="Times New Roman" w:cs="Times New Roman"/>
          <w:b/>
          <w:bCs/>
        </w:rPr>
        <w:footnoteReference w:id="18"/>
      </w:r>
      <w:r w:rsidR="005D17E6">
        <w:rPr>
          <w:rFonts w:ascii="Times New Roman" w:hAnsi="Times New Roman" w:cs="Times New Roman"/>
          <w:b/>
          <w:bCs/>
        </w:rPr>
        <w:t xml:space="preserve"> en roept </w:t>
      </w:r>
      <w:r w:rsidR="00C177FA">
        <w:rPr>
          <w:rFonts w:ascii="Times New Roman" w:hAnsi="Times New Roman" w:cs="Times New Roman"/>
          <w:b/>
          <w:bCs/>
        </w:rPr>
        <w:t>het kabinet</w:t>
      </w:r>
      <w:r w:rsidRPr="00CE048E" w:rsidR="00C177FA">
        <w:rPr>
          <w:rFonts w:ascii="Times New Roman" w:hAnsi="Times New Roman" w:cs="Times New Roman"/>
          <w:b/>
          <w:bCs/>
        </w:rPr>
        <w:t xml:space="preserve"> </w:t>
      </w:r>
      <w:r w:rsidRPr="00CE048E" w:rsidR="00CE048E">
        <w:rPr>
          <w:rFonts w:ascii="Times New Roman" w:hAnsi="Times New Roman" w:cs="Times New Roman"/>
          <w:b/>
          <w:bCs/>
        </w:rPr>
        <w:t>op tot discussie over het tijdelijk afwijken van de procedurele regels van artikel 7 van het EU-Verdrag om de effectiviteit van deze procedure te versterken.</w:t>
      </w:r>
      <w:r w:rsidR="005C5EB3">
        <w:rPr>
          <w:rFonts w:ascii="Times New Roman" w:hAnsi="Times New Roman" w:cs="Times New Roman"/>
          <w:b/>
          <w:bCs/>
        </w:rPr>
        <w:t xml:space="preserve"> </w:t>
      </w:r>
      <w:r>
        <w:rPr>
          <w:rFonts w:ascii="Times New Roman" w:hAnsi="Times New Roman" w:cs="Times New Roman"/>
          <w:b/>
          <w:bCs/>
        </w:rPr>
        <w:t>Daarnaast zet het kabinet zich, i</w:t>
      </w:r>
      <w:r w:rsidRPr="00313207" w:rsidR="00826910">
        <w:rPr>
          <w:rFonts w:ascii="Times New Roman" w:hAnsi="Times New Roman" w:cs="Times New Roman"/>
          <w:b/>
          <w:bCs/>
        </w:rPr>
        <w:t xml:space="preserve">n het kader van de onderhandelingen over het </w:t>
      </w:r>
      <w:r w:rsidR="00826910">
        <w:rPr>
          <w:rFonts w:ascii="Times New Roman" w:hAnsi="Times New Roman" w:cs="Times New Roman"/>
          <w:b/>
          <w:bCs/>
        </w:rPr>
        <w:t>volgende</w:t>
      </w:r>
      <w:r w:rsidRPr="00313207" w:rsidR="00826910">
        <w:rPr>
          <w:rFonts w:ascii="Times New Roman" w:hAnsi="Times New Roman" w:cs="Times New Roman"/>
          <w:b/>
          <w:bCs/>
        </w:rPr>
        <w:t xml:space="preserve"> MFK</w:t>
      </w:r>
      <w:r>
        <w:rPr>
          <w:rFonts w:ascii="Times New Roman" w:hAnsi="Times New Roman" w:cs="Times New Roman"/>
          <w:b/>
          <w:bCs/>
        </w:rPr>
        <w:t xml:space="preserve"> en </w:t>
      </w:r>
      <w:r w:rsidRPr="00313207" w:rsidR="00313207">
        <w:rPr>
          <w:rFonts w:ascii="Times New Roman" w:hAnsi="Times New Roman" w:cs="Times New Roman"/>
          <w:b/>
          <w:bCs/>
        </w:rPr>
        <w:t>in lijn met de motie Olger van</w:t>
      </w:r>
      <w:r w:rsidR="00313207">
        <w:rPr>
          <w:rFonts w:ascii="Times New Roman" w:hAnsi="Times New Roman" w:cs="Times New Roman"/>
          <w:b/>
          <w:bCs/>
        </w:rPr>
        <w:t xml:space="preserve"> </w:t>
      </w:r>
      <w:r w:rsidRPr="00313207" w:rsidR="00313207">
        <w:rPr>
          <w:rFonts w:ascii="Times New Roman" w:hAnsi="Times New Roman" w:cs="Times New Roman"/>
          <w:b/>
          <w:bCs/>
        </w:rPr>
        <w:t>Dijk</w:t>
      </w:r>
      <w:r w:rsidR="00AA6273">
        <w:rPr>
          <w:rFonts w:ascii="Times New Roman" w:hAnsi="Times New Roman" w:cs="Times New Roman"/>
          <w:b/>
          <w:bCs/>
        </w:rPr>
        <w:t xml:space="preserve"> c.s.</w:t>
      </w:r>
      <w:r w:rsidR="00353DF7">
        <w:rPr>
          <w:rFonts w:ascii="Times New Roman" w:hAnsi="Times New Roman" w:cs="Times New Roman"/>
          <w:b/>
          <w:bCs/>
        </w:rPr>
        <w:t>,</w:t>
      </w:r>
      <w:r w:rsidR="00C177FA">
        <w:rPr>
          <w:rStyle w:val="FootnoteReference"/>
          <w:rFonts w:ascii="Times New Roman" w:hAnsi="Times New Roman" w:cs="Times New Roman"/>
          <w:b/>
          <w:bCs/>
        </w:rPr>
        <w:footnoteReference w:id="19"/>
      </w:r>
      <w:r w:rsidR="00313207">
        <w:rPr>
          <w:rFonts w:ascii="Times New Roman" w:hAnsi="Times New Roman" w:cs="Times New Roman"/>
          <w:b/>
          <w:bCs/>
        </w:rPr>
        <w:t xml:space="preserve"> </w:t>
      </w:r>
      <w:r w:rsidRPr="00313207" w:rsidR="00313207">
        <w:rPr>
          <w:rFonts w:ascii="Times New Roman" w:hAnsi="Times New Roman" w:cs="Times New Roman"/>
          <w:b/>
          <w:bCs/>
        </w:rPr>
        <w:t>in voor een sterke en effectieve koppeling tussen het respecteren van de</w:t>
      </w:r>
      <w:r w:rsidR="00313207">
        <w:rPr>
          <w:rFonts w:ascii="Times New Roman" w:hAnsi="Times New Roman" w:cs="Times New Roman"/>
          <w:b/>
          <w:bCs/>
        </w:rPr>
        <w:t xml:space="preserve"> </w:t>
      </w:r>
      <w:r w:rsidRPr="00313207" w:rsidR="00313207">
        <w:rPr>
          <w:rFonts w:ascii="Times New Roman" w:hAnsi="Times New Roman" w:cs="Times New Roman"/>
          <w:b/>
          <w:bCs/>
        </w:rPr>
        <w:t>rechtsstaat en fundamentele rechten en het ontvangen van fondsen uit de EU-begroting</w:t>
      </w:r>
      <w:r w:rsidR="00826910">
        <w:rPr>
          <w:rFonts w:ascii="Times New Roman" w:hAnsi="Times New Roman" w:cs="Times New Roman"/>
          <w:b/>
          <w:bCs/>
        </w:rPr>
        <w:t>.</w:t>
      </w:r>
      <w:r w:rsidR="00F20157">
        <w:rPr>
          <w:rFonts w:ascii="Times New Roman" w:hAnsi="Times New Roman" w:cs="Times New Roman"/>
          <w:b/>
          <w:bCs/>
        </w:rPr>
        <w:t xml:space="preserve"> Zie hiervoor ook het antwoord </w:t>
      </w:r>
      <w:r w:rsidR="00550578">
        <w:rPr>
          <w:rFonts w:ascii="Times New Roman" w:hAnsi="Times New Roman" w:cs="Times New Roman"/>
          <w:b/>
          <w:bCs/>
        </w:rPr>
        <w:t xml:space="preserve">op vraag </w:t>
      </w:r>
      <w:r w:rsidR="00F20157">
        <w:rPr>
          <w:rFonts w:ascii="Times New Roman" w:hAnsi="Times New Roman" w:cs="Times New Roman"/>
          <w:b/>
          <w:bCs/>
        </w:rPr>
        <w:t>2</w:t>
      </w:r>
      <w:r w:rsidR="00550578">
        <w:rPr>
          <w:rFonts w:ascii="Times New Roman" w:hAnsi="Times New Roman" w:cs="Times New Roman"/>
          <w:b/>
          <w:bCs/>
        </w:rPr>
        <w:t>.</w:t>
      </w:r>
      <w:r w:rsidR="00313207">
        <w:rPr>
          <w:rFonts w:ascii="Times New Roman" w:hAnsi="Times New Roman" w:cs="Times New Roman"/>
          <w:b/>
          <w:bCs/>
        </w:rPr>
        <w:t xml:space="preserve"> </w:t>
      </w:r>
    </w:p>
    <w:p w:rsidR="00D01448" w:rsidP="00EB69DE" w:rsidRDefault="00D01448" w14:paraId="46935EAB" w14:textId="77777777">
      <w:pPr>
        <w:pStyle w:val="NoSpacing"/>
        <w:rPr>
          <w:rFonts w:ascii="Times New Roman" w:hAnsi="Times New Roman" w:cs="Times New Roman"/>
        </w:rPr>
      </w:pPr>
    </w:p>
    <w:p w:rsidR="00EB69DE" w:rsidP="00EB69DE" w:rsidRDefault="00EB69DE" w14:paraId="5913964A" w14:textId="2B5C34F9">
      <w:pPr>
        <w:pStyle w:val="NoSpacing"/>
        <w:rPr>
          <w:rFonts w:ascii="Times New Roman" w:hAnsi="Times New Roman" w:cs="Times New Roman"/>
        </w:rPr>
      </w:pPr>
      <w:r w:rsidRPr="00EB69DE">
        <w:rPr>
          <w:rFonts w:ascii="Times New Roman" w:hAnsi="Times New Roman" w:cs="Times New Roman"/>
        </w:rPr>
        <w:t xml:space="preserve">De AIV adviseert om de juridische gereedschapskist volledig te benutten, waaronder inbreukprocedures en procedures bij het Hof van Justitie van de EU. Het kabinet stelt dat het primaat voor inbreukprocedures bij de Europese Commissie ligt. </w:t>
      </w:r>
      <w:r w:rsidR="00227332">
        <w:rPr>
          <w:rFonts w:ascii="Times New Roman" w:hAnsi="Times New Roman" w:cs="Times New Roman"/>
        </w:rPr>
        <w:t xml:space="preserve">Deze leden </w:t>
      </w:r>
      <w:r w:rsidRPr="00EB69DE">
        <w:rPr>
          <w:rFonts w:ascii="Times New Roman" w:hAnsi="Times New Roman" w:cs="Times New Roman"/>
        </w:rPr>
        <w:t>begrijpen dat uitgangspunt, maar vragen wel onder welke voorwaarden het kabinet bereid is zelf, samen met gelijkgezinde lidstaten, juridische stappen te zetten</w:t>
      </w:r>
      <w:r w:rsidR="00863C3E">
        <w:rPr>
          <w:rFonts w:ascii="Times New Roman" w:hAnsi="Times New Roman" w:cs="Times New Roman"/>
        </w:rPr>
        <w:t>.</w:t>
      </w:r>
      <w:r w:rsidRPr="00EB69DE">
        <w:rPr>
          <w:rFonts w:ascii="Times New Roman" w:hAnsi="Times New Roman" w:cs="Times New Roman"/>
        </w:rPr>
        <w:t xml:space="preserve"> Welke lessen trekt het kabinet uit zaken waarin Nederland samen met andere lidstaten aan de zijde van de Commissie optreedt bij schending van fundamentele EU-waarden?</w:t>
      </w:r>
    </w:p>
    <w:p w:rsidR="00EA7176" w:rsidP="00EB69DE" w:rsidRDefault="00EA7176" w14:paraId="276EF53B" w14:textId="75B601D0">
      <w:pPr>
        <w:pStyle w:val="NoSpacing"/>
        <w:rPr>
          <w:rFonts w:ascii="Times New Roman" w:hAnsi="Times New Roman" w:cs="Times New Roman"/>
        </w:rPr>
      </w:pPr>
    </w:p>
    <w:p w:rsidRPr="0041672E" w:rsidR="0041672E" w:rsidP="00CD0C26" w:rsidRDefault="0041672E" w14:paraId="6AAE493A" w14:textId="4D985FAC">
      <w:pPr>
        <w:pStyle w:val="NoSpacing"/>
        <w:numPr>
          <w:ilvl w:val="0"/>
          <w:numId w:val="42"/>
        </w:numPr>
        <w:rPr>
          <w:rFonts w:ascii="Times New Roman" w:hAnsi="Times New Roman" w:cs="Times New Roman"/>
          <w:b/>
          <w:bCs/>
          <w:u w:val="single"/>
        </w:rPr>
      </w:pPr>
      <w:r w:rsidRPr="0041672E">
        <w:rPr>
          <w:rFonts w:ascii="Times New Roman" w:hAnsi="Times New Roman" w:cs="Times New Roman"/>
          <w:b/>
          <w:bCs/>
          <w:u w:val="single"/>
        </w:rPr>
        <w:t>Antwoord van het kabinet</w:t>
      </w:r>
    </w:p>
    <w:p w:rsidR="00863C3E" w:rsidP="00373E04" w:rsidRDefault="00B2312E" w14:paraId="42A45191" w14:textId="54CCBB09">
      <w:pPr>
        <w:pStyle w:val="NoSpacing"/>
        <w:rPr>
          <w:rFonts w:ascii="Times New Roman" w:hAnsi="Times New Roman" w:cs="Times New Roman"/>
          <w:b/>
          <w:bCs/>
        </w:rPr>
      </w:pPr>
      <w:r>
        <w:rPr>
          <w:rFonts w:ascii="Times New Roman" w:hAnsi="Times New Roman" w:cs="Times New Roman"/>
          <w:b/>
          <w:bCs/>
        </w:rPr>
        <w:t>H</w:t>
      </w:r>
      <w:r w:rsidRPr="00B2312E" w:rsidR="00707C99">
        <w:rPr>
          <w:rFonts w:ascii="Times New Roman" w:hAnsi="Times New Roman" w:cs="Times New Roman"/>
          <w:b/>
          <w:bCs/>
        </w:rPr>
        <w:t xml:space="preserve">et </w:t>
      </w:r>
      <w:r>
        <w:rPr>
          <w:rFonts w:ascii="Times New Roman" w:hAnsi="Times New Roman" w:cs="Times New Roman"/>
          <w:b/>
          <w:bCs/>
        </w:rPr>
        <w:t xml:space="preserve">is </w:t>
      </w:r>
      <w:r w:rsidRPr="00B2312E" w:rsidR="00707C99">
        <w:rPr>
          <w:rFonts w:ascii="Times New Roman" w:hAnsi="Times New Roman" w:cs="Times New Roman"/>
          <w:b/>
          <w:bCs/>
        </w:rPr>
        <w:t>primair aan de Commissie om een inbreukprocedure te starten tegen gevallen van (gepercipieerde) niet</w:t>
      </w:r>
      <w:r w:rsidR="0066749F">
        <w:rPr>
          <w:rFonts w:ascii="Times New Roman" w:hAnsi="Times New Roman" w:cs="Times New Roman"/>
          <w:b/>
          <w:bCs/>
        </w:rPr>
        <w:t>-</w:t>
      </w:r>
      <w:r w:rsidRPr="00B2312E" w:rsidR="00707C99">
        <w:rPr>
          <w:rFonts w:ascii="Times New Roman" w:hAnsi="Times New Roman" w:cs="Times New Roman"/>
          <w:b/>
          <w:bCs/>
        </w:rPr>
        <w:t xml:space="preserve">loyale samenwerking. </w:t>
      </w:r>
      <w:r w:rsidRPr="00B2312E">
        <w:rPr>
          <w:rFonts w:ascii="Times New Roman" w:hAnsi="Times New Roman" w:cs="Times New Roman"/>
          <w:b/>
          <w:bCs/>
        </w:rPr>
        <w:t xml:space="preserve">Het kabinet </w:t>
      </w:r>
      <w:r w:rsidR="00247A26">
        <w:rPr>
          <w:rFonts w:ascii="Times New Roman" w:hAnsi="Times New Roman" w:cs="Times New Roman"/>
          <w:b/>
          <w:bCs/>
        </w:rPr>
        <w:t>weegt per geval</w:t>
      </w:r>
      <w:r w:rsidRPr="00B2312E">
        <w:rPr>
          <w:rFonts w:ascii="Times New Roman" w:hAnsi="Times New Roman" w:cs="Times New Roman"/>
          <w:b/>
          <w:bCs/>
        </w:rPr>
        <w:t xml:space="preserve"> of Nederland de Commissie</w:t>
      </w:r>
      <w:r w:rsidR="0025763E">
        <w:rPr>
          <w:rFonts w:ascii="Times New Roman" w:hAnsi="Times New Roman" w:cs="Times New Roman"/>
          <w:b/>
          <w:bCs/>
        </w:rPr>
        <w:t xml:space="preserve"> wil</w:t>
      </w:r>
      <w:r w:rsidRPr="00B2312E" w:rsidR="00664B77">
        <w:rPr>
          <w:rFonts w:ascii="Times New Roman" w:hAnsi="Times New Roman" w:cs="Times New Roman"/>
          <w:b/>
          <w:bCs/>
        </w:rPr>
        <w:t xml:space="preserve"> </w:t>
      </w:r>
      <w:r w:rsidRPr="00B2312E">
        <w:rPr>
          <w:rFonts w:ascii="Times New Roman" w:hAnsi="Times New Roman" w:cs="Times New Roman"/>
          <w:b/>
          <w:bCs/>
        </w:rPr>
        <w:t xml:space="preserve">steunen </w:t>
      </w:r>
      <w:r w:rsidRPr="00B2312E" w:rsidDel="00664B77">
        <w:rPr>
          <w:rFonts w:ascii="Times New Roman" w:hAnsi="Times New Roman" w:cs="Times New Roman"/>
          <w:b/>
          <w:bCs/>
        </w:rPr>
        <w:t xml:space="preserve">in </w:t>
      </w:r>
      <w:r w:rsidR="00664B77">
        <w:rPr>
          <w:rFonts w:ascii="Times New Roman" w:hAnsi="Times New Roman" w:cs="Times New Roman"/>
          <w:b/>
          <w:bCs/>
        </w:rPr>
        <w:t>EU-Hofzaken</w:t>
      </w:r>
      <w:r w:rsidRPr="00B2312E">
        <w:rPr>
          <w:rFonts w:ascii="Times New Roman" w:hAnsi="Times New Roman" w:cs="Times New Roman"/>
          <w:b/>
          <w:bCs/>
        </w:rPr>
        <w:t>.</w:t>
      </w:r>
      <w:r w:rsidR="00373E04">
        <w:rPr>
          <w:rFonts w:ascii="Times New Roman" w:hAnsi="Times New Roman" w:cs="Times New Roman"/>
          <w:b/>
          <w:bCs/>
        </w:rPr>
        <w:t xml:space="preserve"> </w:t>
      </w:r>
      <w:r w:rsidRPr="00B2312E">
        <w:rPr>
          <w:rFonts w:ascii="Times New Roman" w:hAnsi="Times New Roman" w:cs="Times New Roman"/>
          <w:b/>
          <w:bCs/>
        </w:rPr>
        <w:t xml:space="preserve">Het kabinet wil niet speculeren over gevallen waarin </w:t>
      </w:r>
      <w:r>
        <w:rPr>
          <w:rFonts w:ascii="Times New Roman" w:hAnsi="Times New Roman" w:cs="Times New Roman"/>
          <w:b/>
          <w:bCs/>
        </w:rPr>
        <w:t xml:space="preserve">Nederland, zelf of met andere lidstaten, </w:t>
      </w:r>
      <w:r w:rsidRPr="00B2312E">
        <w:rPr>
          <w:rFonts w:ascii="Times New Roman" w:hAnsi="Times New Roman" w:cs="Times New Roman"/>
          <w:b/>
          <w:bCs/>
        </w:rPr>
        <w:t>daartoe het initiatief neemt.</w:t>
      </w:r>
      <w:r w:rsidR="004D5CC0">
        <w:rPr>
          <w:rFonts w:ascii="Times New Roman" w:hAnsi="Times New Roman" w:cs="Times New Roman"/>
          <w:b/>
          <w:bCs/>
        </w:rPr>
        <w:t xml:space="preserve"> </w:t>
      </w:r>
      <w:r w:rsidRPr="00B2312E">
        <w:rPr>
          <w:rFonts w:ascii="Times New Roman" w:hAnsi="Times New Roman" w:cs="Times New Roman"/>
          <w:b/>
          <w:bCs/>
        </w:rPr>
        <w:t>Nederland is een actieve speler voor het EU</w:t>
      </w:r>
      <w:r w:rsidR="00C75342">
        <w:rPr>
          <w:rFonts w:ascii="Times New Roman" w:hAnsi="Times New Roman" w:cs="Times New Roman"/>
          <w:b/>
          <w:bCs/>
        </w:rPr>
        <w:t xml:space="preserve"> </w:t>
      </w:r>
      <w:r w:rsidRPr="00B2312E">
        <w:rPr>
          <w:rFonts w:ascii="Times New Roman" w:hAnsi="Times New Roman" w:cs="Times New Roman"/>
          <w:b/>
          <w:bCs/>
        </w:rPr>
        <w:t>Hof</w:t>
      </w:r>
      <w:r w:rsidR="00C75342">
        <w:rPr>
          <w:rFonts w:ascii="Times New Roman" w:hAnsi="Times New Roman" w:cs="Times New Roman"/>
          <w:b/>
          <w:bCs/>
        </w:rPr>
        <w:t xml:space="preserve"> van Justitie</w:t>
      </w:r>
      <w:r w:rsidRPr="00B2312E">
        <w:rPr>
          <w:rFonts w:ascii="Times New Roman" w:hAnsi="Times New Roman" w:cs="Times New Roman"/>
          <w:b/>
          <w:bCs/>
        </w:rPr>
        <w:t xml:space="preserve">, onder andere </w:t>
      </w:r>
      <w:r>
        <w:rPr>
          <w:rFonts w:ascii="Times New Roman" w:hAnsi="Times New Roman" w:cs="Times New Roman"/>
          <w:b/>
          <w:bCs/>
        </w:rPr>
        <w:t xml:space="preserve">in </w:t>
      </w:r>
      <w:r w:rsidR="00664B77">
        <w:rPr>
          <w:rFonts w:ascii="Times New Roman" w:hAnsi="Times New Roman" w:cs="Times New Roman"/>
          <w:b/>
          <w:bCs/>
        </w:rPr>
        <w:t>EU-Hofzaken</w:t>
      </w:r>
      <w:r>
        <w:rPr>
          <w:rFonts w:ascii="Times New Roman" w:hAnsi="Times New Roman" w:cs="Times New Roman"/>
          <w:b/>
          <w:bCs/>
        </w:rPr>
        <w:t xml:space="preserve"> over EU-waarden. Ervaring leert dat</w:t>
      </w:r>
      <w:r w:rsidR="0025763E">
        <w:rPr>
          <w:rFonts w:ascii="Times New Roman" w:hAnsi="Times New Roman" w:cs="Times New Roman"/>
          <w:b/>
          <w:bCs/>
        </w:rPr>
        <w:t xml:space="preserve"> Nederland door</w:t>
      </w:r>
      <w:r>
        <w:rPr>
          <w:rFonts w:ascii="Times New Roman" w:hAnsi="Times New Roman" w:cs="Times New Roman"/>
          <w:b/>
          <w:bCs/>
        </w:rPr>
        <w:t xml:space="preserve"> deelname aan een EU-Hofzaak </w:t>
      </w:r>
      <w:r w:rsidR="008005CB">
        <w:rPr>
          <w:rFonts w:ascii="Times New Roman" w:hAnsi="Times New Roman" w:cs="Times New Roman"/>
          <w:b/>
          <w:bCs/>
        </w:rPr>
        <w:t>samen met andere lidstaten</w:t>
      </w:r>
      <w:r>
        <w:rPr>
          <w:rFonts w:ascii="Times New Roman" w:hAnsi="Times New Roman" w:cs="Times New Roman"/>
          <w:b/>
          <w:bCs/>
        </w:rPr>
        <w:t xml:space="preserve"> een effectieve bijdrage kan leveren aan de rechtsontwikkeling en de gewenste uitkomst in een </w:t>
      </w:r>
      <w:r w:rsidR="0025763E">
        <w:rPr>
          <w:rFonts w:ascii="Times New Roman" w:hAnsi="Times New Roman" w:cs="Times New Roman"/>
          <w:b/>
          <w:bCs/>
        </w:rPr>
        <w:t>EU</w:t>
      </w:r>
      <w:r w:rsidR="0066749F">
        <w:rPr>
          <w:rFonts w:ascii="Times New Roman" w:hAnsi="Times New Roman" w:cs="Times New Roman"/>
          <w:b/>
          <w:bCs/>
        </w:rPr>
        <w:t>-</w:t>
      </w:r>
      <w:r w:rsidR="0025763E">
        <w:rPr>
          <w:rFonts w:ascii="Times New Roman" w:hAnsi="Times New Roman" w:cs="Times New Roman"/>
          <w:b/>
          <w:bCs/>
        </w:rPr>
        <w:t>Hof</w:t>
      </w:r>
      <w:r>
        <w:rPr>
          <w:rFonts w:ascii="Times New Roman" w:hAnsi="Times New Roman" w:cs="Times New Roman"/>
          <w:b/>
          <w:bCs/>
        </w:rPr>
        <w:t xml:space="preserve">zaak. </w:t>
      </w:r>
    </w:p>
    <w:p w:rsidRPr="00EB69DE" w:rsidR="00B2312E" w:rsidP="00EB69DE" w:rsidRDefault="00B2312E" w14:paraId="2C04AD06" w14:textId="77777777">
      <w:pPr>
        <w:pStyle w:val="NoSpacing"/>
        <w:rPr>
          <w:rFonts w:ascii="Times New Roman" w:hAnsi="Times New Roman" w:cs="Times New Roman"/>
        </w:rPr>
      </w:pPr>
    </w:p>
    <w:p w:rsidR="00EB69DE" w:rsidP="00EB69DE" w:rsidRDefault="00EB69DE" w14:paraId="5F7970E5" w14:textId="77777777">
      <w:pPr>
        <w:pStyle w:val="NoSpacing"/>
        <w:rPr>
          <w:rFonts w:ascii="Times New Roman" w:hAnsi="Times New Roman" w:cs="Times New Roman"/>
        </w:rPr>
      </w:pPr>
      <w:r w:rsidRPr="00EB69DE">
        <w:rPr>
          <w:rFonts w:ascii="Times New Roman" w:hAnsi="Times New Roman" w:cs="Times New Roman"/>
        </w:rPr>
        <w:t>Tot slot vragen de leden van de CDA-fractie of het kabinet bereid is jaarlijks, bijvoorbeeld bij de Staat van de Europese Unie, te rapporteren over gevallen van ondermijnend gedrag, de Nederlandse inzet daarop, het gebruik van rechtsstaatinstrumenten, blokkades in het Gemeenschappelijk Buitenlands en Veiligheidsbeleid en de voortgang op meer meerderheidsbesluitvorming.</w:t>
      </w:r>
    </w:p>
    <w:p w:rsidR="00A02C54" w:rsidP="00EB69DE" w:rsidRDefault="00A02C54" w14:paraId="7071695D" w14:textId="77777777">
      <w:pPr>
        <w:pStyle w:val="NoSpacing"/>
        <w:rPr>
          <w:rFonts w:ascii="Times New Roman" w:hAnsi="Times New Roman" w:cs="Times New Roman"/>
        </w:rPr>
      </w:pPr>
    </w:p>
    <w:p w:rsidRPr="0074330D" w:rsidR="00A02C54" w:rsidP="00CD0C26" w:rsidRDefault="00A02C54" w14:paraId="7E3AE679" w14:textId="7E2ACA58">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0010218C" w:rsidP="00A02C54" w:rsidRDefault="0010218C" w14:paraId="1F6EE43D" w14:textId="7106B316">
      <w:pPr>
        <w:pStyle w:val="NoSpacing"/>
        <w:rPr>
          <w:rFonts w:ascii="Times New Roman" w:hAnsi="Times New Roman" w:cs="Times New Roman"/>
          <w:b/>
          <w:bCs/>
        </w:rPr>
      </w:pPr>
      <w:r>
        <w:rPr>
          <w:rFonts w:ascii="Times New Roman" w:hAnsi="Times New Roman" w:cs="Times New Roman"/>
          <w:b/>
          <w:bCs/>
        </w:rPr>
        <w:t xml:space="preserve">Het kabinet heeft aandacht voor de genoemde thema’s en zal de </w:t>
      </w:r>
      <w:r w:rsidR="003A6E5F">
        <w:rPr>
          <w:rFonts w:ascii="Times New Roman" w:hAnsi="Times New Roman" w:cs="Times New Roman"/>
          <w:b/>
          <w:bCs/>
        </w:rPr>
        <w:t>K</w:t>
      </w:r>
      <w:r>
        <w:rPr>
          <w:rFonts w:ascii="Times New Roman" w:hAnsi="Times New Roman" w:cs="Times New Roman"/>
          <w:b/>
          <w:bCs/>
        </w:rPr>
        <w:t>amer</w:t>
      </w:r>
      <w:r w:rsidR="003A6E5F">
        <w:rPr>
          <w:rFonts w:ascii="Times New Roman" w:hAnsi="Times New Roman" w:cs="Times New Roman"/>
          <w:b/>
          <w:bCs/>
        </w:rPr>
        <w:t xml:space="preserve"> wanneer relevant</w:t>
      </w:r>
      <w:r>
        <w:rPr>
          <w:rFonts w:ascii="Times New Roman" w:hAnsi="Times New Roman" w:cs="Times New Roman"/>
          <w:b/>
          <w:bCs/>
        </w:rPr>
        <w:t xml:space="preserve"> informeren over </w:t>
      </w:r>
      <w:r w:rsidR="003A6E5F">
        <w:rPr>
          <w:rFonts w:ascii="Times New Roman" w:hAnsi="Times New Roman" w:cs="Times New Roman"/>
          <w:b/>
          <w:bCs/>
        </w:rPr>
        <w:t>de laatste</w:t>
      </w:r>
      <w:r>
        <w:rPr>
          <w:rFonts w:ascii="Times New Roman" w:hAnsi="Times New Roman" w:cs="Times New Roman"/>
          <w:b/>
          <w:bCs/>
        </w:rPr>
        <w:t xml:space="preserve"> ontwikkelingen en Nederlandse positie</w:t>
      </w:r>
      <w:r w:rsidR="003A6E5F">
        <w:rPr>
          <w:rFonts w:ascii="Times New Roman" w:hAnsi="Times New Roman" w:cs="Times New Roman"/>
          <w:b/>
          <w:bCs/>
        </w:rPr>
        <w:t>, via geannoteerde agenda’s, verslagen</w:t>
      </w:r>
      <w:r>
        <w:rPr>
          <w:rFonts w:ascii="Times New Roman" w:hAnsi="Times New Roman" w:cs="Times New Roman"/>
          <w:b/>
          <w:bCs/>
        </w:rPr>
        <w:t xml:space="preserve"> en </w:t>
      </w:r>
      <w:r w:rsidR="00895028">
        <w:rPr>
          <w:rFonts w:ascii="Times New Roman" w:hAnsi="Times New Roman" w:cs="Times New Roman"/>
          <w:b/>
          <w:bCs/>
        </w:rPr>
        <w:t>debatten</w:t>
      </w:r>
      <w:r w:rsidR="003A6E5F">
        <w:rPr>
          <w:rFonts w:ascii="Times New Roman" w:hAnsi="Times New Roman" w:cs="Times New Roman"/>
          <w:b/>
          <w:bCs/>
        </w:rPr>
        <w:t xml:space="preserve"> van (Europese) Raden. </w:t>
      </w:r>
    </w:p>
    <w:p w:rsidRPr="00026E58" w:rsidR="00353DF7" w:rsidP="00A02C54" w:rsidRDefault="00353DF7" w14:paraId="473FC513" w14:textId="77777777">
      <w:pPr>
        <w:pStyle w:val="NoSpacing"/>
        <w:rPr>
          <w:rFonts w:ascii="Times New Roman" w:hAnsi="Times New Roman" w:cs="Times New Roman"/>
          <w:b/>
          <w:bCs/>
        </w:rPr>
      </w:pPr>
    </w:p>
    <w:p w:rsidRPr="00EB69DE" w:rsidR="004918C2" w:rsidP="00EB69DE" w:rsidRDefault="004918C2" w14:paraId="1D01F8A7" w14:textId="77777777">
      <w:pPr>
        <w:pStyle w:val="NoSpacing"/>
        <w:rPr>
          <w:rFonts w:ascii="Times New Roman" w:hAnsi="Times New Roman" w:cs="Times New Roman"/>
        </w:rPr>
      </w:pPr>
    </w:p>
    <w:p w:rsidRPr="004918C2" w:rsidR="00EB69DE" w:rsidP="00EB69DE" w:rsidRDefault="00EB69DE" w14:paraId="50ECDD21" w14:textId="77777777">
      <w:pPr>
        <w:pStyle w:val="NoSpacing"/>
        <w:rPr>
          <w:rFonts w:ascii="Times New Roman" w:hAnsi="Times New Roman" w:cs="Times New Roman"/>
          <w:u w:val="single"/>
        </w:rPr>
      </w:pPr>
      <w:r w:rsidRPr="004918C2">
        <w:rPr>
          <w:rFonts w:ascii="Times New Roman" w:hAnsi="Times New Roman" w:cs="Times New Roman"/>
          <w:u w:val="single"/>
        </w:rPr>
        <w:lastRenderedPageBreak/>
        <w:t>Geannoteerde agenda voor de Raad Algemene Zaken van 16 juni 2026</w:t>
      </w:r>
    </w:p>
    <w:p w:rsidR="00EB69DE" w:rsidP="00EB69DE" w:rsidRDefault="00EB69DE" w14:paraId="29EC0FF5" w14:textId="06154B5A">
      <w:pPr>
        <w:pStyle w:val="NoSpacing"/>
        <w:rPr>
          <w:rFonts w:ascii="Times New Roman" w:hAnsi="Times New Roman" w:cs="Times New Roman"/>
        </w:rPr>
      </w:pPr>
      <w:r w:rsidRPr="00EB69DE">
        <w:rPr>
          <w:rFonts w:ascii="Times New Roman" w:hAnsi="Times New Roman" w:cs="Times New Roman"/>
        </w:rPr>
        <w:t>De leden van de CDA-fractie lezen dat de Raad een eerste bespreking voert over het lentepakket en de landenspecifieke aanbevelingen. Deze leden hechten aan gezonde overheidsfinanciën en een stabiele eurozone. Lidstaten moeten hervormen waar dat nodig is en hun begroting op orde houden. Kan het kabinet aangeven welke hoofdlijn het verwacht in de aanbevelingen voor Nederland? Op welke punten verwacht het kabinet aanbevelingen over woningbouw, arbeidsmarkt, productiviteit, investeringsklimaat, energie-infrastructuur en defensie-uitgaven?</w:t>
      </w:r>
    </w:p>
    <w:p w:rsidR="00E20EDC" w:rsidP="00EB69DE" w:rsidRDefault="00E20EDC" w14:paraId="53BA7EBA" w14:textId="77777777">
      <w:pPr>
        <w:pStyle w:val="NoSpacing"/>
        <w:rPr>
          <w:rFonts w:ascii="Times New Roman" w:hAnsi="Times New Roman" w:cs="Times New Roman"/>
        </w:rPr>
      </w:pPr>
    </w:p>
    <w:p w:rsidRPr="005B264F" w:rsidR="00E20EDC" w:rsidP="00CD0C26" w:rsidRDefault="00E20EDC" w14:paraId="29135EBC" w14:textId="35379F4C">
      <w:pPr>
        <w:pStyle w:val="NoSpacing"/>
        <w:numPr>
          <w:ilvl w:val="0"/>
          <w:numId w:val="42"/>
        </w:numPr>
        <w:rPr>
          <w:rFonts w:ascii="Times New Roman" w:hAnsi="Times New Roman" w:cs="Times New Roman"/>
          <w:b/>
          <w:bCs/>
          <w:u w:val="single"/>
        </w:rPr>
      </w:pPr>
      <w:r w:rsidRPr="005B264F">
        <w:rPr>
          <w:rFonts w:ascii="Times New Roman" w:hAnsi="Times New Roman" w:cs="Times New Roman"/>
          <w:b/>
          <w:bCs/>
          <w:u w:val="single"/>
        </w:rPr>
        <w:t>Antwoord van het kabinet</w:t>
      </w:r>
    </w:p>
    <w:p w:rsidRPr="00E20EDC" w:rsidR="00643E4F" w:rsidP="008E7D80" w:rsidRDefault="00643E4F" w14:paraId="36FEF709" w14:textId="2BC4DC9C">
      <w:pPr>
        <w:spacing w:after="0"/>
        <w:rPr>
          <w:rFonts w:ascii="Times New Roman" w:hAnsi="Times New Roman" w:cs="Times New Roman"/>
          <w:b/>
          <w:bCs/>
        </w:rPr>
      </w:pPr>
      <w:r w:rsidRPr="008E532A">
        <w:rPr>
          <w:rFonts w:ascii="Times New Roman" w:hAnsi="Times New Roman" w:cs="Times New Roman"/>
          <w:b/>
          <w:bCs/>
        </w:rPr>
        <w:t>De kabinetsappreciatie van de door de Commissie voorgestelde land</w:t>
      </w:r>
      <w:r w:rsidR="0066749F">
        <w:rPr>
          <w:rFonts w:ascii="Times New Roman" w:hAnsi="Times New Roman" w:cs="Times New Roman"/>
          <w:b/>
          <w:bCs/>
        </w:rPr>
        <w:t>en</w:t>
      </w:r>
      <w:r w:rsidRPr="008E532A">
        <w:rPr>
          <w:rFonts w:ascii="Times New Roman" w:hAnsi="Times New Roman" w:cs="Times New Roman"/>
          <w:b/>
          <w:bCs/>
        </w:rPr>
        <w:t xml:space="preserve">specifieke aanbevelingen voor Nederland is te vinden in de nazending van de geannoteerde agenda van de Eurogroep en </w:t>
      </w:r>
      <w:proofErr w:type="spellStart"/>
      <w:r w:rsidRPr="008E532A">
        <w:rPr>
          <w:rFonts w:ascii="Times New Roman" w:hAnsi="Times New Roman" w:cs="Times New Roman"/>
          <w:b/>
          <w:bCs/>
        </w:rPr>
        <w:t>Ecofinraad</w:t>
      </w:r>
      <w:proofErr w:type="spellEnd"/>
      <w:r w:rsidRPr="008E532A">
        <w:rPr>
          <w:rFonts w:ascii="Times New Roman" w:hAnsi="Times New Roman" w:cs="Times New Roman"/>
          <w:b/>
          <w:bCs/>
        </w:rPr>
        <w:t>.</w:t>
      </w:r>
      <w:r w:rsidRPr="008E532A">
        <w:rPr>
          <w:rStyle w:val="FootnoteReference"/>
          <w:rFonts w:ascii="Times New Roman" w:hAnsi="Times New Roman" w:cs="Times New Roman"/>
          <w:b/>
          <w:bCs/>
        </w:rPr>
        <w:footnoteReference w:id="20"/>
      </w:r>
      <w:r w:rsidRPr="008E532A">
        <w:rPr>
          <w:rFonts w:ascii="Times New Roman" w:hAnsi="Times New Roman" w:cs="Times New Roman"/>
          <w:b/>
          <w:bCs/>
        </w:rPr>
        <w:t xml:space="preserve"> De aanbevelingen raken</w:t>
      </w:r>
      <w:r w:rsidR="008005CB">
        <w:rPr>
          <w:rFonts w:ascii="Times New Roman" w:hAnsi="Times New Roman" w:cs="Times New Roman"/>
          <w:b/>
          <w:bCs/>
        </w:rPr>
        <w:t xml:space="preserve">, </w:t>
      </w:r>
      <w:r w:rsidRPr="008E532A">
        <w:rPr>
          <w:rFonts w:ascii="Times New Roman" w:hAnsi="Times New Roman" w:cs="Times New Roman"/>
          <w:b/>
          <w:bCs/>
        </w:rPr>
        <w:t>net als vorig jaar</w:t>
      </w:r>
      <w:r w:rsidR="008005CB">
        <w:rPr>
          <w:rFonts w:ascii="Times New Roman" w:hAnsi="Times New Roman" w:cs="Times New Roman"/>
          <w:b/>
          <w:bCs/>
        </w:rPr>
        <w:t>,</w:t>
      </w:r>
      <w:r w:rsidRPr="008E532A">
        <w:rPr>
          <w:rFonts w:ascii="Times New Roman" w:hAnsi="Times New Roman" w:cs="Times New Roman"/>
          <w:b/>
          <w:bCs/>
        </w:rPr>
        <w:t xml:space="preserve"> aan alle in de vraag genoemde beleidsterreinen. </w:t>
      </w:r>
    </w:p>
    <w:p w:rsidRPr="00EB69DE" w:rsidR="00E67875" w:rsidP="00EB69DE" w:rsidRDefault="00E67875" w14:paraId="3CC68C05" w14:textId="77777777">
      <w:pPr>
        <w:pStyle w:val="NoSpacing"/>
        <w:rPr>
          <w:rFonts w:ascii="Times New Roman" w:hAnsi="Times New Roman" w:cs="Times New Roman"/>
        </w:rPr>
      </w:pPr>
    </w:p>
    <w:p w:rsidR="00EB69DE" w:rsidP="00EB69DE" w:rsidRDefault="00EB69DE" w14:paraId="602D0318" w14:textId="77777777">
      <w:pPr>
        <w:pStyle w:val="NoSpacing"/>
        <w:rPr>
          <w:rFonts w:ascii="Times New Roman" w:hAnsi="Times New Roman" w:cs="Times New Roman"/>
        </w:rPr>
      </w:pPr>
      <w:r w:rsidRPr="00EB69DE">
        <w:rPr>
          <w:rFonts w:ascii="Times New Roman" w:hAnsi="Times New Roman" w:cs="Times New Roman"/>
        </w:rPr>
        <w:t>De leden van de CDA-fractie lezen dat het wetgevingsprogramma voor 2026 zich richt op onder meer defensie en veiligheid, simplificatie en bescherming van democratie en waarden. Kan het kabinet een overzicht geven van de wetgevingsvoorstellen die Nederland in 2026 het meest belangrijk vindt? Welke voorstellen wil Nederland versnellen, welke wil Nederland aanpassen en welke wil Nederland tegenhouden?</w:t>
      </w:r>
    </w:p>
    <w:p w:rsidR="00F6067F" w:rsidP="00EB69DE" w:rsidRDefault="00F6067F" w14:paraId="2A78DDFD" w14:textId="77777777">
      <w:pPr>
        <w:pStyle w:val="NoSpacing"/>
        <w:rPr>
          <w:rFonts w:ascii="Times New Roman" w:hAnsi="Times New Roman" w:cs="Times New Roman"/>
        </w:rPr>
      </w:pPr>
    </w:p>
    <w:p w:rsidRPr="005B264F" w:rsidR="00C246F8" w:rsidP="00CD0C26" w:rsidRDefault="00C246F8" w14:paraId="6B7A038D" w14:textId="072B6064">
      <w:pPr>
        <w:pStyle w:val="NoSpacing"/>
        <w:numPr>
          <w:ilvl w:val="0"/>
          <w:numId w:val="42"/>
        </w:numPr>
        <w:rPr>
          <w:rFonts w:ascii="Times New Roman" w:hAnsi="Times New Roman" w:cs="Times New Roman"/>
          <w:b/>
          <w:bCs/>
          <w:u w:val="single"/>
        </w:rPr>
      </w:pPr>
      <w:r w:rsidRPr="005B264F">
        <w:rPr>
          <w:rFonts w:ascii="Times New Roman" w:hAnsi="Times New Roman" w:cs="Times New Roman"/>
          <w:b/>
          <w:bCs/>
          <w:u w:val="single"/>
        </w:rPr>
        <w:t>Antwoord van het kabinet</w:t>
      </w:r>
    </w:p>
    <w:p w:rsidRPr="001409D3" w:rsidR="00F6067F" w:rsidP="00861FB0" w:rsidRDefault="00F306B2" w14:paraId="798D1698" w14:textId="039A24D6">
      <w:pPr>
        <w:spacing w:after="0"/>
        <w:rPr>
          <w:rFonts w:ascii="Times New Roman" w:hAnsi="Times New Roman" w:cs="Times New Roman"/>
          <w:b/>
          <w:bCs/>
        </w:rPr>
      </w:pPr>
      <w:r w:rsidRPr="00F306B2">
        <w:rPr>
          <w:rFonts w:ascii="Times New Roman" w:hAnsi="Times New Roman" w:cs="Times New Roman"/>
          <w:b/>
          <w:bCs/>
        </w:rPr>
        <w:t xml:space="preserve">In een tijd van geopolitieke instabiliteit moet de EU slagvaardig, welvarend en veilig blijven. </w:t>
      </w:r>
      <w:r w:rsidR="006318BC">
        <w:rPr>
          <w:rFonts w:ascii="Times New Roman" w:hAnsi="Times New Roman" w:cs="Times New Roman"/>
          <w:b/>
          <w:bCs/>
        </w:rPr>
        <w:t>Zoa</w:t>
      </w:r>
      <w:r>
        <w:rPr>
          <w:rFonts w:ascii="Times New Roman" w:hAnsi="Times New Roman" w:cs="Times New Roman"/>
          <w:b/>
          <w:bCs/>
        </w:rPr>
        <w:t>ls in de Staat van de Unie</w:t>
      </w:r>
      <w:r w:rsidR="006318BC">
        <w:rPr>
          <w:rFonts w:ascii="Times New Roman" w:hAnsi="Times New Roman" w:cs="Times New Roman"/>
          <w:b/>
          <w:bCs/>
        </w:rPr>
        <w:t>-</w:t>
      </w:r>
      <w:r>
        <w:rPr>
          <w:rFonts w:ascii="Times New Roman" w:hAnsi="Times New Roman" w:cs="Times New Roman"/>
          <w:b/>
          <w:bCs/>
        </w:rPr>
        <w:t>brief</w:t>
      </w:r>
      <w:r w:rsidR="006318BC">
        <w:rPr>
          <w:rStyle w:val="FootnoteReference"/>
          <w:rFonts w:ascii="Times New Roman" w:hAnsi="Times New Roman" w:cs="Times New Roman"/>
          <w:b/>
          <w:bCs/>
        </w:rPr>
        <w:footnoteReference w:id="21"/>
      </w:r>
      <w:r>
        <w:rPr>
          <w:rFonts w:ascii="Times New Roman" w:hAnsi="Times New Roman" w:cs="Times New Roman"/>
          <w:b/>
          <w:bCs/>
        </w:rPr>
        <w:t xml:space="preserve"> uiteengezet</w:t>
      </w:r>
      <w:r w:rsidR="007E66C2">
        <w:rPr>
          <w:rFonts w:ascii="Times New Roman" w:hAnsi="Times New Roman" w:cs="Times New Roman"/>
          <w:b/>
          <w:bCs/>
        </w:rPr>
        <w:t xml:space="preserve"> ziet</w:t>
      </w:r>
      <w:r w:rsidRPr="007E66C2">
        <w:rPr>
          <w:rFonts w:ascii="Times New Roman" w:hAnsi="Times New Roman" w:cs="Times New Roman"/>
          <w:b/>
          <w:bCs/>
        </w:rPr>
        <w:t xml:space="preserve"> </w:t>
      </w:r>
      <w:r w:rsidR="007E66C2">
        <w:rPr>
          <w:rFonts w:ascii="Times New Roman" w:hAnsi="Times New Roman" w:cs="Times New Roman"/>
          <w:b/>
          <w:bCs/>
        </w:rPr>
        <w:t xml:space="preserve">het </w:t>
      </w:r>
      <w:r w:rsidR="006318BC">
        <w:rPr>
          <w:rFonts w:ascii="Times New Roman" w:hAnsi="Times New Roman" w:cs="Times New Roman"/>
          <w:b/>
          <w:bCs/>
        </w:rPr>
        <w:t>k</w:t>
      </w:r>
      <w:r w:rsidR="007E66C2">
        <w:rPr>
          <w:rFonts w:ascii="Times New Roman" w:hAnsi="Times New Roman" w:cs="Times New Roman"/>
          <w:b/>
          <w:bCs/>
        </w:rPr>
        <w:t>abinet</w:t>
      </w:r>
      <w:r w:rsidRPr="00F306B2">
        <w:rPr>
          <w:rFonts w:ascii="Times New Roman" w:hAnsi="Times New Roman" w:cs="Times New Roman"/>
          <w:b/>
          <w:bCs/>
        </w:rPr>
        <w:t xml:space="preserve"> daarbij prioriteiten zoals het versterken van de concurrentiekracht; een modern, betaalbaar en eerlijk MFK; investeringen in defensie en veiligheid; het verminderen van migratiedruk en stimulatie van terugkeer. Ook zal</w:t>
      </w:r>
      <w:r w:rsidRPr="00F306B2" w:rsidDel="009639C2">
        <w:rPr>
          <w:rFonts w:ascii="Times New Roman" w:hAnsi="Times New Roman" w:cs="Times New Roman"/>
          <w:b/>
          <w:bCs/>
        </w:rPr>
        <w:t xml:space="preserve"> </w:t>
      </w:r>
      <w:r w:rsidR="009639C2">
        <w:rPr>
          <w:rFonts w:ascii="Times New Roman" w:hAnsi="Times New Roman" w:cs="Times New Roman"/>
          <w:b/>
          <w:bCs/>
        </w:rPr>
        <w:t>het kabinet</w:t>
      </w:r>
      <w:r w:rsidRPr="00F306B2">
        <w:rPr>
          <w:rFonts w:ascii="Times New Roman" w:hAnsi="Times New Roman" w:cs="Times New Roman"/>
          <w:b/>
          <w:bCs/>
        </w:rPr>
        <w:t xml:space="preserve"> aandacht </w:t>
      </w:r>
      <w:r w:rsidR="007E66C2">
        <w:rPr>
          <w:rFonts w:ascii="Times New Roman" w:hAnsi="Times New Roman" w:cs="Times New Roman"/>
          <w:b/>
          <w:bCs/>
        </w:rPr>
        <w:t>houden</w:t>
      </w:r>
      <w:r w:rsidRPr="00F306B2">
        <w:rPr>
          <w:rFonts w:ascii="Times New Roman" w:hAnsi="Times New Roman" w:cs="Times New Roman"/>
          <w:b/>
          <w:bCs/>
        </w:rPr>
        <w:t xml:space="preserve"> voor de problematiek van ruimtelijke ordening en versimpeling van regelgeving.</w:t>
      </w:r>
      <w:r w:rsidRPr="00FC1742" w:rsidR="00FC1742">
        <w:rPr>
          <w:rFonts w:ascii="Times New Roman" w:hAnsi="Times New Roman" w:cs="Times New Roman"/>
          <w:b/>
          <w:bCs/>
        </w:rPr>
        <w:t xml:space="preserve"> </w:t>
      </w:r>
      <w:r w:rsidRPr="00DE0D3C" w:rsidR="00DE0D3C">
        <w:rPr>
          <w:rFonts w:ascii="Times New Roman" w:hAnsi="Times New Roman" w:cs="Times New Roman"/>
          <w:b/>
          <w:bCs/>
        </w:rPr>
        <w:t>Het kabinet verwelkomt veel voorstellen vanuit de Commissie voor dit jaar.</w:t>
      </w:r>
      <w:r w:rsidR="00DE0D3C">
        <w:rPr>
          <w:rFonts w:ascii="Times New Roman" w:hAnsi="Times New Roman" w:cs="Times New Roman"/>
          <w:b/>
          <w:bCs/>
        </w:rPr>
        <w:t xml:space="preserve"> </w:t>
      </w:r>
      <w:r w:rsidR="00FC1742">
        <w:rPr>
          <w:rFonts w:ascii="Times New Roman" w:hAnsi="Times New Roman" w:cs="Times New Roman"/>
          <w:b/>
          <w:bCs/>
        </w:rPr>
        <w:t xml:space="preserve">Voor </w:t>
      </w:r>
      <w:r w:rsidRPr="00FC1742" w:rsidR="00FC1742">
        <w:rPr>
          <w:rFonts w:ascii="Times New Roman" w:hAnsi="Times New Roman" w:cs="Times New Roman"/>
          <w:b/>
          <w:bCs/>
        </w:rPr>
        <w:t xml:space="preserve">een appreciatie per </w:t>
      </w:r>
      <w:r w:rsidR="00FC1742">
        <w:rPr>
          <w:rFonts w:ascii="Times New Roman" w:hAnsi="Times New Roman" w:cs="Times New Roman"/>
          <w:b/>
          <w:bCs/>
        </w:rPr>
        <w:t>commissie</w:t>
      </w:r>
      <w:r w:rsidRPr="00FC1742" w:rsidR="00FC1742">
        <w:rPr>
          <w:rFonts w:ascii="Times New Roman" w:hAnsi="Times New Roman" w:cs="Times New Roman"/>
          <w:b/>
          <w:bCs/>
        </w:rPr>
        <w:t>voorstel</w:t>
      </w:r>
      <w:r w:rsidR="00FC1742">
        <w:rPr>
          <w:rFonts w:ascii="Times New Roman" w:hAnsi="Times New Roman" w:cs="Times New Roman"/>
          <w:b/>
          <w:bCs/>
        </w:rPr>
        <w:t xml:space="preserve">, </w:t>
      </w:r>
      <w:r w:rsidRPr="00FC1742" w:rsidR="00FC1742">
        <w:rPr>
          <w:rFonts w:ascii="Times New Roman" w:hAnsi="Times New Roman" w:cs="Times New Roman"/>
          <w:b/>
          <w:bCs/>
        </w:rPr>
        <w:t>verwij</w:t>
      </w:r>
      <w:r w:rsidR="00FC1742">
        <w:rPr>
          <w:rFonts w:ascii="Times New Roman" w:hAnsi="Times New Roman" w:cs="Times New Roman"/>
          <w:b/>
          <w:bCs/>
        </w:rPr>
        <w:t xml:space="preserve">st het kabinet graag </w:t>
      </w:r>
      <w:r w:rsidRPr="00FC1742" w:rsidR="00FC1742">
        <w:rPr>
          <w:rFonts w:ascii="Times New Roman" w:hAnsi="Times New Roman" w:cs="Times New Roman"/>
          <w:b/>
          <w:bCs/>
        </w:rPr>
        <w:t>naar de kabinetsappreciatie van het C</w:t>
      </w:r>
      <w:r w:rsidR="00FC1742">
        <w:rPr>
          <w:rFonts w:ascii="Times New Roman" w:hAnsi="Times New Roman" w:cs="Times New Roman"/>
          <w:b/>
          <w:bCs/>
        </w:rPr>
        <w:t>ommissiewerkprogramma (C</w:t>
      </w:r>
      <w:r w:rsidRPr="00FC1742" w:rsidR="00FC1742">
        <w:rPr>
          <w:rFonts w:ascii="Times New Roman" w:hAnsi="Times New Roman" w:cs="Times New Roman"/>
          <w:b/>
          <w:bCs/>
        </w:rPr>
        <w:t>WP</w:t>
      </w:r>
      <w:r w:rsidR="00FC1742">
        <w:rPr>
          <w:rFonts w:ascii="Times New Roman" w:hAnsi="Times New Roman" w:cs="Times New Roman"/>
          <w:b/>
          <w:bCs/>
        </w:rPr>
        <w:t>)</w:t>
      </w:r>
      <w:r w:rsidRPr="00FC1742" w:rsidR="00FC1742">
        <w:rPr>
          <w:rFonts w:ascii="Times New Roman" w:hAnsi="Times New Roman" w:cs="Times New Roman"/>
          <w:b/>
          <w:bCs/>
        </w:rPr>
        <w:t xml:space="preserve"> 2026.</w:t>
      </w:r>
      <w:r w:rsidR="005448A4">
        <w:rPr>
          <w:rStyle w:val="FootnoteReference"/>
          <w:rFonts w:ascii="Times New Roman" w:hAnsi="Times New Roman" w:cs="Times New Roman"/>
          <w:b/>
          <w:bCs/>
        </w:rPr>
        <w:footnoteReference w:id="22"/>
      </w:r>
    </w:p>
    <w:p w:rsidRPr="00EB69DE" w:rsidR="00E67875" w:rsidP="00EB69DE" w:rsidRDefault="00E67875" w14:paraId="3332350B" w14:textId="77777777">
      <w:pPr>
        <w:pStyle w:val="NoSpacing"/>
        <w:rPr>
          <w:rFonts w:ascii="Times New Roman" w:hAnsi="Times New Roman" w:cs="Times New Roman"/>
        </w:rPr>
      </w:pPr>
    </w:p>
    <w:p w:rsidR="00EB69DE" w:rsidP="00EB69DE" w:rsidRDefault="00EB69DE" w14:paraId="39DC886F" w14:textId="523037C5">
      <w:pPr>
        <w:pStyle w:val="NoSpacing"/>
        <w:rPr>
          <w:rFonts w:ascii="Times New Roman" w:hAnsi="Times New Roman" w:cs="Times New Roman"/>
        </w:rPr>
      </w:pPr>
      <w:r w:rsidRPr="00EB69DE">
        <w:rPr>
          <w:rFonts w:ascii="Times New Roman" w:hAnsi="Times New Roman" w:cs="Times New Roman"/>
        </w:rPr>
        <w:t xml:space="preserve">De leden van de CDA-fractie lezen dat de </w:t>
      </w:r>
      <w:r w:rsidR="00E67875">
        <w:rPr>
          <w:rFonts w:ascii="Times New Roman" w:hAnsi="Times New Roman" w:cs="Times New Roman"/>
        </w:rPr>
        <w:t>A</w:t>
      </w:r>
      <w:r w:rsidRPr="00EB69DE">
        <w:rPr>
          <w:rFonts w:ascii="Times New Roman" w:hAnsi="Times New Roman" w:cs="Times New Roman"/>
        </w:rPr>
        <w:t>rtikel 7-procedure tegen Hongarije opnieuw wordt besproken. Zij zien dat de verkiezingsuitslag in Hongarije hoopvol kan zijn, maar delen de lijn dat de procedure pas kan worden afgerond als de rechtsstaat duurzaam is hersteld, zoals ook vervat in de aangenomen motie</w:t>
      </w:r>
      <w:r w:rsidR="00E67875">
        <w:rPr>
          <w:rFonts w:ascii="Times New Roman" w:hAnsi="Times New Roman" w:cs="Times New Roman"/>
        </w:rPr>
        <w:t>-</w:t>
      </w:r>
      <w:r w:rsidRPr="00EB69DE">
        <w:rPr>
          <w:rFonts w:ascii="Times New Roman" w:hAnsi="Times New Roman" w:cs="Times New Roman"/>
        </w:rPr>
        <w:t>Van Lanschot c.s. (</w:t>
      </w:r>
      <w:r w:rsidR="00E67875">
        <w:rPr>
          <w:rFonts w:ascii="Times New Roman" w:hAnsi="Times New Roman" w:cs="Times New Roman"/>
        </w:rPr>
        <w:t xml:space="preserve">Kamerstuk </w:t>
      </w:r>
      <w:r w:rsidRPr="00EB69DE">
        <w:rPr>
          <w:rFonts w:ascii="Times New Roman" w:hAnsi="Times New Roman" w:cs="Times New Roman"/>
        </w:rPr>
        <w:t xml:space="preserve">21 501-02, nr. 3383). Kan het kabinet aangeven welke concrete hervormingen Hongarije wat het kabinet betreft moet doorvoeren voordat beëindiging van de </w:t>
      </w:r>
      <w:r w:rsidR="00024202">
        <w:rPr>
          <w:rFonts w:ascii="Times New Roman" w:hAnsi="Times New Roman" w:cs="Times New Roman"/>
        </w:rPr>
        <w:t>A</w:t>
      </w:r>
      <w:r w:rsidRPr="00EB69DE">
        <w:rPr>
          <w:rFonts w:ascii="Times New Roman" w:hAnsi="Times New Roman" w:cs="Times New Roman"/>
        </w:rPr>
        <w:t xml:space="preserve">rtikel 7-procedure aan de orde kan zijn? </w:t>
      </w:r>
    </w:p>
    <w:p w:rsidR="00EB69DE" w:rsidP="00EB69DE" w:rsidRDefault="00EB69DE" w14:paraId="5C6AE68F" w14:textId="6DBEB06D">
      <w:pPr>
        <w:pStyle w:val="NoSpacing"/>
        <w:rPr>
          <w:rFonts w:ascii="Times New Roman" w:hAnsi="Times New Roman" w:cs="Times New Roman"/>
        </w:rPr>
      </w:pPr>
      <w:r w:rsidRPr="00EB69DE">
        <w:rPr>
          <w:rFonts w:ascii="Times New Roman" w:hAnsi="Times New Roman" w:cs="Times New Roman"/>
        </w:rPr>
        <w:lastRenderedPageBreak/>
        <w:t>De leden van de CDA-fractie vragen daarnaast of het kabinet concreet kan aangeven onder welke voorwaarden Hongarije weer aanspraak kan maken op 16,4 miljard euro aan geblokkeerde EU-subsidies. Welke hervormingen moeten hiervoor ge</w:t>
      </w:r>
      <w:r w:rsidR="00024202">
        <w:rPr>
          <w:rFonts w:ascii="Times New Roman" w:hAnsi="Times New Roman" w:cs="Times New Roman"/>
        </w:rPr>
        <w:t>re</w:t>
      </w:r>
      <w:r w:rsidRPr="00EB69DE">
        <w:rPr>
          <w:rFonts w:ascii="Times New Roman" w:hAnsi="Times New Roman" w:cs="Times New Roman"/>
        </w:rPr>
        <w:t>aliseerd worden?</w:t>
      </w:r>
    </w:p>
    <w:p w:rsidR="00024202" w:rsidP="00EB69DE" w:rsidRDefault="00024202" w14:paraId="0D98EF28" w14:textId="77777777">
      <w:pPr>
        <w:pStyle w:val="NoSpacing"/>
        <w:rPr>
          <w:rFonts w:ascii="Times New Roman" w:hAnsi="Times New Roman" w:cs="Times New Roman"/>
        </w:rPr>
      </w:pPr>
    </w:p>
    <w:p w:rsidRPr="0074330D" w:rsidR="0005571C" w:rsidP="00CD0C26" w:rsidRDefault="0005571C" w14:paraId="592A7C7E" w14:textId="10329020">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Pr="002E0824" w:rsidR="002E0824" w:rsidP="00030E82" w:rsidRDefault="002E0824" w14:paraId="0103C8C0" w14:textId="3FBF8F99">
      <w:pPr>
        <w:pStyle w:val="NoSpacing"/>
        <w:rPr>
          <w:rFonts w:ascii="Times New Roman" w:hAnsi="Times New Roman" w:cs="Times New Roman"/>
          <w:b/>
          <w:bCs/>
        </w:rPr>
      </w:pPr>
      <w:r w:rsidRPr="002E0824">
        <w:rPr>
          <w:rFonts w:ascii="Times New Roman" w:hAnsi="Times New Roman" w:cs="Times New Roman"/>
          <w:b/>
          <w:bCs/>
        </w:rPr>
        <w:t>De voorwaarden waaraan Hongarije moet voldoen om weer in aanmerking te komen voor de geblokkeerde EU-middelen liggen op het terrein van anti-corruptie, belangenverstrengeling en rechterlijke onafhankelijkheid</w:t>
      </w:r>
      <w:r w:rsidR="00FD19E0">
        <w:rPr>
          <w:rFonts w:ascii="Times New Roman" w:hAnsi="Times New Roman" w:cs="Times New Roman"/>
          <w:b/>
          <w:bCs/>
        </w:rPr>
        <w:t>.</w:t>
      </w:r>
      <w:r w:rsidRPr="002E0824">
        <w:rPr>
          <w:rFonts w:ascii="Times New Roman" w:hAnsi="Times New Roman" w:cs="Times New Roman"/>
          <w:b/>
          <w:bCs/>
        </w:rPr>
        <w:t xml:space="preserve"> </w:t>
      </w:r>
      <w:r w:rsidR="00FD19E0">
        <w:rPr>
          <w:rFonts w:ascii="Times New Roman" w:hAnsi="Times New Roman" w:cs="Times New Roman"/>
          <w:b/>
          <w:bCs/>
        </w:rPr>
        <w:t>Deze</w:t>
      </w:r>
      <w:r w:rsidRPr="002E0824">
        <w:rPr>
          <w:rFonts w:ascii="Times New Roman" w:hAnsi="Times New Roman" w:cs="Times New Roman"/>
          <w:b/>
          <w:bCs/>
        </w:rPr>
        <w:t xml:space="preserve"> zijn opgenomen als supermijlpalen in het uitvoeringsbesluit</w:t>
      </w:r>
      <w:r w:rsidR="00F322E7">
        <w:rPr>
          <w:rFonts w:ascii="Times New Roman" w:hAnsi="Times New Roman" w:cs="Times New Roman"/>
          <w:b/>
          <w:bCs/>
        </w:rPr>
        <w:t xml:space="preserve"> ter goedkeuring van het Hongaarse herstelplan,</w:t>
      </w:r>
      <w:r w:rsidR="004759B8">
        <w:rPr>
          <w:rFonts w:ascii="Times New Roman" w:hAnsi="Times New Roman" w:cs="Times New Roman"/>
          <w:b/>
          <w:bCs/>
        </w:rPr>
        <w:t xml:space="preserve"> </w:t>
      </w:r>
      <w:r w:rsidRPr="002E0824">
        <w:rPr>
          <w:rFonts w:ascii="Times New Roman" w:hAnsi="Times New Roman" w:cs="Times New Roman"/>
          <w:b/>
          <w:bCs/>
        </w:rPr>
        <w:t xml:space="preserve">als corrigerende maatregelen in het uitvoeringsbesluit voor maatregelen tegen Hongarije op grond van de MFK-rechtsstaatsverordening en als horizontale en thematische randvoorwaarden in de Common </w:t>
      </w:r>
      <w:proofErr w:type="spellStart"/>
      <w:r w:rsidRPr="002E0824">
        <w:rPr>
          <w:rFonts w:ascii="Times New Roman" w:hAnsi="Times New Roman" w:cs="Times New Roman"/>
          <w:b/>
          <w:bCs/>
        </w:rPr>
        <w:t>Provisions</w:t>
      </w:r>
      <w:proofErr w:type="spellEnd"/>
      <w:r w:rsidRPr="002E0824">
        <w:rPr>
          <w:rFonts w:ascii="Times New Roman" w:hAnsi="Times New Roman" w:cs="Times New Roman"/>
          <w:b/>
          <w:bCs/>
        </w:rPr>
        <w:t xml:space="preserve"> </w:t>
      </w:r>
      <w:proofErr w:type="spellStart"/>
      <w:r w:rsidRPr="002E0824">
        <w:rPr>
          <w:rFonts w:ascii="Times New Roman" w:hAnsi="Times New Roman" w:cs="Times New Roman"/>
          <w:b/>
          <w:bCs/>
        </w:rPr>
        <w:t>Regulation</w:t>
      </w:r>
      <w:proofErr w:type="spellEnd"/>
      <w:r w:rsidR="00F322E7">
        <w:rPr>
          <w:rFonts w:ascii="Times New Roman" w:hAnsi="Times New Roman" w:cs="Times New Roman"/>
          <w:b/>
          <w:bCs/>
        </w:rPr>
        <w:t xml:space="preserve"> (CPR)</w:t>
      </w:r>
      <w:r w:rsidRPr="002E0824">
        <w:rPr>
          <w:rFonts w:ascii="Times New Roman" w:hAnsi="Times New Roman" w:cs="Times New Roman"/>
          <w:b/>
          <w:bCs/>
        </w:rPr>
        <w:t xml:space="preserve">. </w:t>
      </w:r>
      <w:r w:rsidRPr="00030E82" w:rsidR="00030E82">
        <w:rPr>
          <w:rFonts w:ascii="Times New Roman" w:hAnsi="Times New Roman" w:cs="Times New Roman"/>
          <w:b/>
          <w:bCs/>
        </w:rPr>
        <w:t>In lijn met de</w:t>
      </w:r>
      <w:r w:rsidR="00030E82">
        <w:rPr>
          <w:rFonts w:ascii="Times New Roman" w:hAnsi="Times New Roman" w:cs="Times New Roman"/>
          <w:b/>
          <w:bCs/>
        </w:rPr>
        <w:t xml:space="preserve"> </w:t>
      </w:r>
      <w:r w:rsidRPr="00030E82" w:rsidR="00030E82">
        <w:rPr>
          <w:rFonts w:ascii="Times New Roman" w:hAnsi="Times New Roman" w:cs="Times New Roman"/>
          <w:b/>
          <w:bCs/>
        </w:rPr>
        <w:t>moties van Lanschot c.s.</w:t>
      </w:r>
      <w:r w:rsidR="00DB721C">
        <w:rPr>
          <w:rStyle w:val="FootnoteReference"/>
          <w:rFonts w:ascii="Times New Roman" w:hAnsi="Times New Roman" w:cs="Times New Roman"/>
          <w:b/>
          <w:bCs/>
        </w:rPr>
        <w:footnoteReference w:id="23"/>
      </w:r>
      <w:r w:rsidRPr="00030E82" w:rsidR="00030E82">
        <w:rPr>
          <w:rFonts w:ascii="Times New Roman" w:hAnsi="Times New Roman" w:cs="Times New Roman"/>
          <w:b/>
          <w:bCs/>
        </w:rPr>
        <w:t xml:space="preserve"> en Sjoerdsma c.s.</w:t>
      </w:r>
      <w:r w:rsidR="00DB721C">
        <w:rPr>
          <w:rStyle w:val="FootnoteReference"/>
          <w:rFonts w:ascii="Times New Roman" w:hAnsi="Times New Roman" w:cs="Times New Roman"/>
          <w:b/>
          <w:bCs/>
        </w:rPr>
        <w:footnoteReference w:id="24"/>
      </w:r>
      <w:r w:rsidRPr="00030E82" w:rsidR="00030E82">
        <w:rPr>
          <w:rFonts w:ascii="Times New Roman" w:hAnsi="Times New Roman" w:cs="Times New Roman"/>
          <w:b/>
          <w:bCs/>
        </w:rPr>
        <w:t xml:space="preserve"> pleit het kabinet ervoor dat</w:t>
      </w:r>
      <w:r w:rsidR="00B9703B">
        <w:rPr>
          <w:rFonts w:ascii="Times New Roman" w:hAnsi="Times New Roman" w:cs="Times New Roman"/>
          <w:b/>
          <w:bCs/>
        </w:rPr>
        <w:t xml:space="preserve"> </w:t>
      </w:r>
      <w:r w:rsidRPr="00030E82" w:rsidR="00030E82">
        <w:rPr>
          <w:rFonts w:ascii="Times New Roman" w:hAnsi="Times New Roman" w:cs="Times New Roman"/>
          <w:b/>
          <w:bCs/>
        </w:rPr>
        <w:t xml:space="preserve">Hongarije de </w:t>
      </w:r>
      <w:r w:rsidR="00030E82">
        <w:rPr>
          <w:rFonts w:ascii="Times New Roman" w:hAnsi="Times New Roman" w:cs="Times New Roman"/>
          <w:b/>
          <w:bCs/>
        </w:rPr>
        <w:t>rechtsstaat</w:t>
      </w:r>
      <w:r w:rsidRPr="00030E82" w:rsidR="00030E82">
        <w:rPr>
          <w:rFonts w:ascii="Times New Roman" w:hAnsi="Times New Roman" w:cs="Times New Roman"/>
          <w:b/>
          <w:bCs/>
        </w:rPr>
        <w:t>hervormingen doorvoert voordat de geblokkeerde</w:t>
      </w:r>
      <w:r w:rsidR="00030E82">
        <w:rPr>
          <w:rFonts w:ascii="Times New Roman" w:hAnsi="Times New Roman" w:cs="Times New Roman"/>
          <w:b/>
          <w:bCs/>
        </w:rPr>
        <w:t xml:space="preserve"> </w:t>
      </w:r>
      <w:r w:rsidRPr="00030E82" w:rsidR="00030E82">
        <w:rPr>
          <w:rFonts w:ascii="Times New Roman" w:hAnsi="Times New Roman" w:cs="Times New Roman"/>
          <w:b/>
          <w:bCs/>
        </w:rPr>
        <w:t>EU-middelen worden vrijgegeven</w:t>
      </w:r>
      <w:r w:rsidR="00030E82">
        <w:rPr>
          <w:rFonts w:ascii="Times New Roman" w:hAnsi="Times New Roman" w:cs="Times New Roman"/>
          <w:b/>
          <w:bCs/>
        </w:rPr>
        <w:t>.</w:t>
      </w:r>
    </w:p>
    <w:p w:rsidRPr="00EB69DE" w:rsidR="002E0824" w:rsidP="00EB69DE" w:rsidRDefault="002E0824" w14:paraId="2654A17F" w14:textId="77777777">
      <w:pPr>
        <w:pStyle w:val="NoSpacing"/>
        <w:rPr>
          <w:rFonts w:ascii="Times New Roman" w:hAnsi="Times New Roman" w:cs="Times New Roman"/>
        </w:rPr>
      </w:pPr>
    </w:p>
    <w:p w:rsidR="00EB69DE" w:rsidP="00EB69DE" w:rsidRDefault="00EB69DE" w14:paraId="0C1BECCB" w14:textId="77777777">
      <w:pPr>
        <w:pStyle w:val="NoSpacing"/>
        <w:rPr>
          <w:rFonts w:ascii="Times New Roman" w:hAnsi="Times New Roman" w:cs="Times New Roman"/>
        </w:rPr>
      </w:pPr>
      <w:r w:rsidRPr="00EB69DE">
        <w:rPr>
          <w:rFonts w:ascii="Times New Roman" w:hAnsi="Times New Roman" w:cs="Times New Roman"/>
        </w:rPr>
        <w:t xml:space="preserve">De leden van de CDA-fractie lezen dat hoofdstuk 28 over consumenten- en gezondheidsbescherming onder voorbehoud kan worden gesloten met Montenegro. Kan het kabinet toelichten welke </w:t>
      </w:r>
      <w:r w:rsidRPr="00414EC9">
        <w:rPr>
          <w:rFonts w:ascii="Times New Roman" w:hAnsi="Times New Roman" w:cs="Times New Roman"/>
        </w:rPr>
        <w:t>benchmarks</w:t>
      </w:r>
      <w:r w:rsidRPr="00EB69DE">
        <w:rPr>
          <w:rFonts w:ascii="Times New Roman" w:hAnsi="Times New Roman" w:cs="Times New Roman"/>
        </w:rPr>
        <w:t xml:space="preserve"> volledig zijn gehaald en welke stappen nog openstaan? Hoe wordt na sluiting onder voorbehoud gecontroleerd dat hervormingen ook echt worden uitgevoerd?</w:t>
      </w:r>
    </w:p>
    <w:p w:rsidR="00B51F0F" w:rsidP="00EB69DE" w:rsidRDefault="00B51F0F" w14:paraId="67EC849F" w14:textId="77777777">
      <w:pPr>
        <w:pStyle w:val="NoSpacing"/>
        <w:rPr>
          <w:rFonts w:ascii="Times New Roman" w:hAnsi="Times New Roman" w:cs="Times New Roman"/>
        </w:rPr>
      </w:pPr>
    </w:p>
    <w:p w:rsidRPr="0074330D" w:rsidR="00B51F0F" w:rsidP="00CD0C26" w:rsidRDefault="00B51F0F" w14:paraId="34FA68EB" w14:textId="069C1ADC">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t>Antwoord van het kabinet</w:t>
      </w:r>
    </w:p>
    <w:p w:rsidR="00024202" w:rsidP="00EB69DE" w:rsidRDefault="00C00E26" w14:paraId="203FF314" w14:textId="02A62622">
      <w:pPr>
        <w:pStyle w:val="NoSpacing"/>
        <w:rPr>
          <w:rFonts w:ascii="Times New Roman" w:hAnsi="Times New Roman" w:cs="Times New Roman"/>
          <w:b/>
        </w:rPr>
      </w:pPr>
      <w:r w:rsidRPr="00C00E26">
        <w:rPr>
          <w:rFonts w:ascii="Times New Roman" w:hAnsi="Times New Roman" w:cs="Times New Roman"/>
          <w:b/>
          <w:bCs/>
        </w:rPr>
        <w:t xml:space="preserve">De </w:t>
      </w:r>
      <w:proofErr w:type="spellStart"/>
      <w:r w:rsidR="00083057">
        <w:rPr>
          <w:rFonts w:ascii="Times New Roman" w:hAnsi="Times New Roman" w:cs="Times New Roman"/>
          <w:b/>
          <w:bCs/>
          <w:i/>
          <w:iCs/>
        </w:rPr>
        <w:t>closing</w:t>
      </w:r>
      <w:proofErr w:type="spellEnd"/>
      <w:r>
        <w:rPr>
          <w:rFonts w:ascii="Times New Roman" w:hAnsi="Times New Roman" w:cs="Times New Roman"/>
          <w:b/>
          <w:i/>
        </w:rPr>
        <w:t xml:space="preserve"> </w:t>
      </w:r>
      <w:r w:rsidRPr="00F37ADF">
        <w:rPr>
          <w:rFonts w:ascii="Times New Roman" w:hAnsi="Times New Roman" w:cs="Times New Roman"/>
          <w:b/>
          <w:i/>
        </w:rPr>
        <w:t>benchmarks</w:t>
      </w:r>
      <w:r w:rsidRPr="00C00E26">
        <w:rPr>
          <w:rFonts w:ascii="Times New Roman" w:hAnsi="Times New Roman" w:cs="Times New Roman"/>
          <w:b/>
          <w:bCs/>
        </w:rPr>
        <w:t xml:space="preserve"> voor hoofdstuk 28 zien op het omzetten van regels over consumentenrechten, overdraagbare ziekten en lichaamsmateriaal in wetgeving en het realiseren van voldoende capaciteit voor de uitvoering en handhaving van het </w:t>
      </w:r>
      <w:proofErr w:type="spellStart"/>
      <w:r w:rsidRPr="00C00E26">
        <w:rPr>
          <w:rFonts w:ascii="Times New Roman" w:hAnsi="Times New Roman" w:cs="Times New Roman"/>
          <w:b/>
          <w:bCs/>
        </w:rPr>
        <w:t>acquis</w:t>
      </w:r>
      <w:proofErr w:type="spellEnd"/>
      <w:r>
        <w:rPr>
          <w:rFonts w:ascii="Times New Roman" w:hAnsi="Times New Roman" w:cs="Times New Roman"/>
          <w:b/>
          <w:bCs/>
        </w:rPr>
        <w:t>. D</w:t>
      </w:r>
      <w:r w:rsidRPr="00C00E26">
        <w:rPr>
          <w:rFonts w:ascii="Times New Roman" w:hAnsi="Times New Roman" w:cs="Times New Roman"/>
          <w:b/>
          <w:bCs/>
        </w:rPr>
        <w:t xml:space="preserve">e Commissie </w:t>
      </w:r>
      <w:r>
        <w:rPr>
          <w:rFonts w:ascii="Times New Roman" w:hAnsi="Times New Roman" w:cs="Times New Roman"/>
          <w:b/>
          <w:bCs/>
        </w:rPr>
        <w:t xml:space="preserve">monitort </w:t>
      </w:r>
      <w:r w:rsidR="001B1BF3">
        <w:rPr>
          <w:rFonts w:ascii="Times New Roman" w:hAnsi="Times New Roman" w:cs="Times New Roman"/>
          <w:b/>
          <w:bCs/>
        </w:rPr>
        <w:t>ook</w:t>
      </w:r>
      <w:r>
        <w:rPr>
          <w:rFonts w:ascii="Times New Roman" w:hAnsi="Times New Roman" w:cs="Times New Roman"/>
          <w:b/>
          <w:bCs/>
        </w:rPr>
        <w:t xml:space="preserve"> na het onder voorbehoud sluiten van een hoofdstuk onder andere of Montenegro administratieve en personele capaciteit verder versterkt. </w:t>
      </w:r>
      <w:r w:rsidR="001B1BF3">
        <w:rPr>
          <w:rFonts w:ascii="Times New Roman" w:hAnsi="Times New Roman" w:cs="Times New Roman"/>
          <w:b/>
          <w:bCs/>
        </w:rPr>
        <w:t xml:space="preserve">Nederland benadrukt in de behandeling van de </w:t>
      </w:r>
      <w:r w:rsidR="001B1BF3">
        <w:rPr>
          <w:rFonts w:ascii="Times New Roman" w:hAnsi="Times New Roman" w:cs="Times New Roman"/>
          <w:b/>
          <w:bCs/>
          <w:i/>
          <w:iCs/>
        </w:rPr>
        <w:t xml:space="preserve">Draft Common </w:t>
      </w:r>
      <w:proofErr w:type="spellStart"/>
      <w:r w:rsidRPr="001B1BF3" w:rsidR="001B1BF3">
        <w:rPr>
          <w:rFonts w:ascii="Times New Roman" w:hAnsi="Times New Roman" w:cs="Times New Roman"/>
          <w:b/>
          <w:bCs/>
          <w:i/>
          <w:iCs/>
        </w:rPr>
        <w:t>Position</w:t>
      </w:r>
      <w:proofErr w:type="spellEnd"/>
      <w:r w:rsidR="001B1BF3">
        <w:rPr>
          <w:rFonts w:ascii="Times New Roman" w:hAnsi="Times New Roman" w:cs="Times New Roman"/>
          <w:b/>
          <w:bCs/>
          <w:i/>
          <w:iCs/>
        </w:rPr>
        <w:t xml:space="preserve"> </w:t>
      </w:r>
      <w:r w:rsidR="001B1BF3">
        <w:rPr>
          <w:rFonts w:ascii="Times New Roman" w:hAnsi="Times New Roman" w:cs="Times New Roman"/>
          <w:b/>
          <w:bCs/>
        </w:rPr>
        <w:t xml:space="preserve">voor het onder voorbehoud sluiten van hoofdstukken </w:t>
      </w:r>
      <w:r w:rsidRPr="001B1BF3" w:rsidR="001B1BF3">
        <w:rPr>
          <w:rFonts w:ascii="Times New Roman" w:hAnsi="Times New Roman" w:cs="Times New Roman"/>
          <w:b/>
          <w:bCs/>
        </w:rPr>
        <w:t xml:space="preserve">altijd </w:t>
      </w:r>
      <w:r w:rsidR="001B1BF3">
        <w:rPr>
          <w:rFonts w:ascii="Times New Roman" w:hAnsi="Times New Roman" w:cs="Times New Roman"/>
          <w:b/>
          <w:bCs/>
        </w:rPr>
        <w:t xml:space="preserve">het belang van dergelijke monitoring. </w:t>
      </w:r>
      <w:r>
        <w:rPr>
          <w:rFonts w:ascii="Times New Roman" w:hAnsi="Times New Roman" w:cs="Times New Roman"/>
          <w:b/>
          <w:bCs/>
        </w:rPr>
        <w:t xml:space="preserve">Bij dit hoofdstuk geldt dat bijvoorbeeld voor een </w:t>
      </w:r>
      <w:r w:rsidRPr="00C00E26">
        <w:rPr>
          <w:rFonts w:ascii="Times New Roman" w:hAnsi="Times New Roman" w:cs="Times New Roman"/>
          <w:b/>
          <w:bCs/>
        </w:rPr>
        <w:t>actieplan voor consumentenbescherming en productveiligheid</w:t>
      </w:r>
      <w:r>
        <w:rPr>
          <w:rFonts w:ascii="Times New Roman" w:hAnsi="Times New Roman" w:cs="Times New Roman"/>
          <w:b/>
          <w:bCs/>
        </w:rPr>
        <w:t>. De Raad wordt hier periodiek over geïnformeerd.</w:t>
      </w:r>
    </w:p>
    <w:p w:rsidRPr="00EB69DE" w:rsidR="00827D46" w:rsidP="00EB69DE" w:rsidRDefault="00827D46" w14:paraId="60F24F1F" w14:textId="77777777">
      <w:pPr>
        <w:pStyle w:val="NoSpacing"/>
        <w:rPr>
          <w:rFonts w:ascii="Times New Roman" w:hAnsi="Times New Roman" w:cs="Times New Roman"/>
        </w:rPr>
      </w:pPr>
    </w:p>
    <w:p w:rsidR="00EB69DE" w:rsidP="00EB69DE" w:rsidRDefault="00EB69DE" w14:paraId="2657F05A" w14:textId="74805ADD">
      <w:pPr>
        <w:pStyle w:val="NoSpacing"/>
        <w:rPr>
          <w:rFonts w:ascii="Times New Roman" w:hAnsi="Times New Roman" w:cs="Times New Roman"/>
        </w:rPr>
      </w:pPr>
      <w:r w:rsidRPr="00EB69DE">
        <w:rPr>
          <w:rFonts w:ascii="Times New Roman" w:hAnsi="Times New Roman" w:cs="Times New Roman"/>
        </w:rPr>
        <w:t>De leden van de CDA-fractie constateren ten slotte dat Griekenland in aanloop naar de Europese Raad van 18</w:t>
      </w:r>
      <w:r w:rsidR="00024202">
        <w:rPr>
          <w:rFonts w:ascii="Times New Roman" w:hAnsi="Times New Roman" w:cs="Times New Roman"/>
        </w:rPr>
        <w:t>-</w:t>
      </w:r>
      <w:r w:rsidRPr="00EB69DE">
        <w:rPr>
          <w:rFonts w:ascii="Times New Roman" w:hAnsi="Times New Roman" w:cs="Times New Roman"/>
        </w:rPr>
        <w:t xml:space="preserve">19 juni </w:t>
      </w:r>
      <w:r w:rsidR="00024202">
        <w:rPr>
          <w:rFonts w:ascii="Times New Roman" w:hAnsi="Times New Roman" w:cs="Times New Roman"/>
        </w:rPr>
        <w:t xml:space="preserve">2026 </w:t>
      </w:r>
      <w:r w:rsidRPr="00EB69DE">
        <w:rPr>
          <w:rFonts w:ascii="Times New Roman" w:hAnsi="Times New Roman" w:cs="Times New Roman"/>
        </w:rPr>
        <w:t xml:space="preserve">officieel een amendement heeft ingediend op de </w:t>
      </w:r>
      <w:r w:rsidR="00024202">
        <w:rPr>
          <w:rFonts w:ascii="Times New Roman" w:hAnsi="Times New Roman" w:cs="Times New Roman"/>
        </w:rPr>
        <w:t>concept-Raads</w:t>
      </w:r>
      <w:r w:rsidRPr="00EB69DE">
        <w:rPr>
          <w:rFonts w:ascii="Times New Roman" w:hAnsi="Times New Roman" w:cs="Times New Roman"/>
        </w:rPr>
        <w:t xml:space="preserve">conclusies, waarmee aan de Commissie gevraagd wordt een stresstest uit te voeren op de binnenlandse productiecapaciteit van brandstoffen in vredes- en crisistijden om de potentiële risico's voor de defensieparaatheid, de leveringszekerheid en de strategische autonomie te beoordelen. </w:t>
      </w:r>
      <w:r w:rsidR="00024202">
        <w:rPr>
          <w:rFonts w:ascii="Times New Roman" w:hAnsi="Times New Roman" w:cs="Times New Roman"/>
        </w:rPr>
        <w:t xml:space="preserve">Deze </w:t>
      </w:r>
      <w:r w:rsidR="005D1B45">
        <w:rPr>
          <w:rFonts w:ascii="Times New Roman" w:hAnsi="Times New Roman" w:cs="Times New Roman"/>
        </w:rPr>
        <w:t>leden</w:t>
      </w:r>
      <w:r w:rsidRPr="00EB69DE">
        <w:rPr>
          <w:rFonts w:ascii="Times New Roman" w:hAnsi="Times New Roman" w:cs="Times New Roman"/>
        </w:rPr>
        <w:t xml:space="preserve"> vragen hoe het kabinet tegen dit amendement aankijkt.</w:t>
      </w:r>
    </w:p>
    <w:p w:rsidRPr="00EB69DE" w:rsidR="00353DF7" w:rsidP="00EB69DE" w:rsidRDefault="00353DF7" w14:paraId="473885C3" w14:textId="77777777">
      <w:pPr>
        <w:pStyle w:val="NoSpacing"/>
        <w:rPr>
          <w:rFonts w:ascii="Times New Roman" w:hAnsi="Times New Roman" w:cs="Times New Roman"/>
        </w:rPr>
      </w:pPr>
    </w:p>
    <w:p w:rsidR="00583001" w:rsidP="00583001" w:rsidRDefault="00583001" w14:paraId="1C95241B" w14:textId="77777777">
      <w:pPr>
        <w:pStyle w:val="NoSpacing"/>
        <w:rPr>
          <w:rFonts w:ascii="Times New Roman" w:hAnsi="Times New Roman" w:cs="Times New Roman"/>
        </w:rPr>
      </w:pPr>
    </w:p>
    <w:p w:rsidRPr="0074330D" w:rsidR="00583001" w:rsidP="00CD0C26" w:rsidRDefault="00583001" w14:paraId="2096E665" w14:textId="177669DA">
      <w:pPr>
        <w:pStyle w:val="NoSpacing"/>
        <w:numPr>
          <w:ilvl w:val="0"/>
          <w:numId w:val="42"/>
        </w:numPr>
        <w:rPr>
          <w:rFonts w:ascii="Times New Roman" w:hAnsi="Times New Roman" w:cs="Times New Roman"/>
          <w:b/>
          <w:bCs/>
          <w:u w:val="single"/>
        </w:rPr>
      </w:pPr>
      <w:r w:rsidRPr="0074330D">
        <w:rPr>
          <w:rFonts w:ascii="Times New Roman" w:hAnsi="Times New Roman" w:cs="Times New Roman"/>
          <w:b/>
          <w:bCs/>
          <w:u w:val="single"/>
        </w:rPr>
        <w:lastRenderedPageBreak/>
        <w:t>Antwoord van het kabinet</w:t>
      </w:r>
    </w:p>
    <w:p w:rsidRPr="005C6B2E" w:rsidR="005C6B2E" w:rsidP="005C6B2E" w:rsidRDefault="005C6B2E" w14:paraId="24BCF473" w14:textId="717160D8">
      <w:pPr>
        <w:rPr>
          <w:rFonts w:ascii="Times New Roman" w:hAnsi="Times New Roman" w:cs="Times New Roman"/>
          <w:b/>
          <w:bCs/>
          <w:color w:val="000000"/>
        </w:rPr>
      </w:pPr>
      <w:r w:rsidRPr="005C6B2E">
        <w:rPr>
          <w:rFonts w:ascii="Times New Roman" w:hAnsi="Times New Roman" w:cs="Times New Roman"/>
          <w:b/>
          <w:bCs/>
          <w:color w:val="000000"/>
        </w:rPr>
        <w:t xml:space="preserve">De onderhandelingen en gesprekken over de Raadsconclusies van de ER zijn in volle gang. Wat er wordt gewisseld in </w:t>
      </w:r>
      <w:proofErr w:type="spellStart"/>
      <w:r w:rsidRPr="005C6B2E">
        <w:rPr>
          <w:rFonts w:ascii="Times New Roman" w:hAnsi="Times New Roman" w:cs="Times New Roman"/>
          <w:b/>
          <w:bCs/>
          <w:color w:val="000000"/>
        </w:rPr>
        <w:t>Coreper</w:t>
      </w:r>
      <w:proofErr w:type="spellEnd"/>
      <w:r w:rsidRPr="005C6B2E">
        <w:rPr>
          <w:rFonts w:ascii="Times New Roman" w:hAnsi="Times New Roman" w:cs="Times New Roman"/>
          <w:b/>
          <w:bCs/>
          <w:color w:val="000000"/>
        </w:rPr>
        <w:t xml:space="preserve"> en voorstellen die door andere lidstaten in </w:t>
      </w:r>
      <w:proofErr w:type="spellStart"/>
      <w:r w:rsidRPr="005C6B2E">
        <w:rPr>
          <w:rFonts w:ascii="Times New Roman" w:hAnsi="Times New Roman" w:cs="Times New Roman"/>
          <w:b/>
          <w:bCs/>
          <w:color w:val="000000"/>
        </w:rPr>
        <w:t>Coreper</w:t>
      </w:r>
      <w:proofErr w:type="spellEnd"/>
      <w:r w:rsidRPr="005C6B2E">
        <w:rPr>
          <w:rFonts w:ascii="Times New Roman" w:hAnsi="Times New Roman" w:cs="Times New Roman"/>
          <w:b/>
          <w:bCs/>
          <w:color w:val="000000"/>
        </w:rPr>
        <w:t xml:space="preserve"> worden gedaan, valt onder het diplomatieke verkeer en onder de vertrouwelijkheid van de beraadslaging (artikel 6 RvO van de Raad). </w:t>
      </w:r>
    </w:p>
    <w:p w:rsidRPr="00733336" w:rsidR="001A4E92" w:rsidP="00AA430B" w:rsidRDefault="001A4E92" w14:paraId="1BE5CA8F" w14:textId="77777777">
      <w:pPr>
        <w:pStyle w:val="NoSpacing"/>
        <w:rPr>
          <w:rFonts w:ascii="Times New Roman" w:hAnsi="Times New Roman" w:cs="Times New Roman"/>
        </w:rPr>
      </w:pPr>
    </w:p>
    <w:bookmarkEnd w:id="1"/>
    <w:p w:rsidRPr="00733336" w:rsidR="0071556B" w:rsidP="001871D1" w:rsidRDefault="0071556B" w14:paraId="2A83D6BA" w14:textId="7EA1F114">
      <w:pPr>
        <w:pStyle w:val="ListParagraph"/>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rsidSect="005A5975">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BFA7" w14:textId="77777777" w:rsidR="001F4A6F" w:rsidRDefault="001F4A6F" w:rsidP="00063FD1">
      <w:pPr>
        <w:spacing w:after="0" w:line="240" w:lineRule="auto"/>
      </w:pPr>
      <w:r>
        <w:separator/>
      </w:r>
    </w:p>
  </w:endnote>
  <w:endnote w:type="continuationSeparator" w:id="0">
    <w:p w14:paraId="200585E6" w14:textId="77777777" w:rsidR="001F4A6F" w:rsidRDefault="001F4A6F" w:rsidP="00063FD1">
      <w:pPr>
        <w:spacing w:after="0" w:line="240" w:lineRule="auto"/>
      </w:pPr>
      <w:r>
        <w:continuationSeparator/>
      </w:r>
    </w:p>
  </w:endnote>
  <w:endnote w:type="continuationNotice" w:id="1">
    <w:p w14:paraId="6E7ACC2E" w14:textId="77777777" w:rsidR="001F4A6F" w:rsidRDefault="001F4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409A" w14:textId="77777777" w:rsidR="001F4A6F" w:rsidRDefault="001F4A6F" w:rsidP="00063FD1">
      <w:pPr>
        <w:spacing w:after="0" w:line="240" w:lineRule="auto"/>
      </w:pPr>
      <w:r>
        <w:separator/>
      </w:r>
    </w:p>
  </w:footnote>
  <w:footnote w:type="continuationSeparator" w:id="0">
    <w:p w14:paraId="42F50654" w14:textId="77777777" w:rsidR="001F4A6F" w:rsidRDefault="001F4A6F" w:rsidP="00063FD1">
      <w:pPr>
        <w:spacing w:after="0" w:line="240" w:lineRule="auto"/>
      </w:pPr>
      <w:r>
        <w:continuationSeparator/>
      </w:r>
    </w:p>
  </w:footnote>
  <w:footnote w:type="continuationNotice" w:id="1">
    <w:p w14:paraId="2CE74DCD" w14:textId="77777777" w:rsidR="001F4A6F" w:rsidRDefault="001F4A6F">
      <w:pPr>
        <w:spacing w:after="0" w:line="240" w:lineRule="auto"/>
      </w:pPr>
    </w:p>
  </w:footnote>
  <w:footnote w:id="2">
    <w:p w14:paraId="0FB41A59" w14:textId="633606B2" w:rsidR="006427E3" w:rsidRPr="00F45A24" w:rsidRDefault="006427E3">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 23987, nr. 398</w:t>
      </w:r>
    </w:p>
  </w:footnote>
  <w:footnote w:id="3">
    <w:p w14:paraId="68EF5D82" w14:textId="2CD046B0" w:rsidR="00B05D65" w:rsidRPr="00F45A24" w:rsidRDefault="00B05D65">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BC3056" w:rsidRPr="00F45A24">
        <w:rPr>
          <w:rFonts w:ascii="Times New Roman" w:hAnsi="Times New Roman" w:cs="Times New Roman"/>
        </w:rPr>
        <w:t>‘Geen tweederangsburgers. Aanbevelingen om misstanden bij arbeidsmigranten in Nederland tegen te gaan,’ Aanjaagteam Bescherming Arbeidsmigranten, oktober 2020.</w:t>
      </w:r>
    </w:p>
  </w:footnote>
  <w:footnote w:id="4">
    <w:p w14:paraId="099ED066" w14:textId="1100A6B8" w:rsidR="00643E4F" w:rsidRPr="00F45A24" w:rsidRDefault="00643E4F" w:rsidP="00643E4F">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514217" w:rsidRPr="00F45A24">
        <w:rPr>
          <w:rFonts w:ascii="Times New Roman" w:hAnsi="Times New Roman" w:cs="Times New Roman"/>
        </w:rPr>
        <w:t>Kamerbrief d.d. 22 mei 2026 inzake update van de inzet van het kabinet ten aanzien van de onderhandelingen over het Meerjarig Financieel Kader en het eigenmiddelenbesluit van de EU voor de periode 2028-203</w:t>
      </w:r>
      <w:r w:rsidR="00795D74" w:rsidRPr="00F45A24">
        <w:rPr>
          <w:rFonts w:ascii="Times New Roman" w:hAnsi="Times New Roman" w:cs="Times New Roman"/>
        </w:rPr>
        <w:t xml:space="preserve">4, </w:t>
      </w:r>
      <w:r w:rsidR="00F45A24">
        <w:rPr>
          <w:rFonts w:ascii="Times New Roman" w:hAnsi="Times New Roman" w:cs="Times New Roman"/>
        </w:rPr>
        <w:t>K</w:t>
      </w:r>
      <w:r w:rsidR="00795D74" w:rsidRPr="00F45A24">
        <w:rPr>
          <w:rFonts w:ascii="Times New Roman" w:hAnsi="Times New Roman" w:cs="Times New Roman"/>
        </w:rPr>
        <w:t xml:space="preserve">amerstuk </w:t>
      </w:r>
      <w:r w:rsidR="00D8755E" w:rsidRPr="00F45A24">
        <w:rPr>
          <w:rFonts w:ascii="Times New Roman" w:hAnsi="Times New Roman" w:cs="Times New Roman"/>
        </w:rPr>
        <w:t>22112, nr. 4357.</w:t>
      </w:r>
    </w:p>
  </w:footnote>
  <w:footnote w:id="5">
    <w:p w14:paraId="601EB0FA" w14:textId="6A0B0B1A" w:rsidR="00253350" w:rsidRPr="00F45A24" w:rsidRDefault="00253350" w:rsidP="00253350">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Kamerstuknr. </w:t>
      </w:r>
      <w:r w:rsidR="00F45A24" w:rsidRPr="00F45A24">
        <w:rPr>
          <w:rFonts w:ascii="Times New Roman" w:hAnsi="Times New Roman" w:cs="Times New Roman"/>
        </w:rPr>
        <w:t>22112</w:t>
      </w:r>
      <w:r w:rsidR="00353DF7">
        <w:rPr>
          <w:rFonts w:ascii="Times New Roman" w:hAnsi="Times New Roman" w:cs="Times New Roman"/>
        </w:rPr>
        <w:t xml:space="preserve">, nr. </w:t>
      </w:r>
      <w:r w:rsidR="00F45A24" w:rsidRPr="00F45A24">
        <w:rPr>
          <w:rFonts w:ascii="Times New Roman" w:hAnsi="Times New Roman" w:cs="Times New Roman"/>
        </w:rPr>
        <w:t>4361</w:t>
      </w:r>
    </w:p>
  </w:footnote>
  <w:footnote w:id="6">
    <w:p w14:paraId="0CFD05E1" w14:textId="74E45F39" w:rsidR="008D47B7" w:rsidRPr="00F45A24" w:rsidRDefault="008D47B7">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CB7C1F">
        <w:rPr>
          <w:rFonts w:ascii="Times New Roman" w:hAnsi="Times New Roman" w:cs="Times New Roman"/>
        </w:rPr>
        <w:t xml:space="preserve">Kamerbrief inzake </w:t>
      </w:r>
      <w:r w:rsidR="00CB7C1F" w:rsidRPr="00CB7C1F">
        <w:rPr>
          <w:rFonts w:ascii="Times New Roman" w:hAnsi="Times New Roman" w:cs="Times New Roman"/>
        </w:rPr>
        <w:t>EU-uitbreiding, waarborgen en de Toekomst van Europa</w:t>
      </w:r>
      <w:r w:rsidR="00CB7C1F">
        <w:rPr>
          <w:rFonts w:ascii="Times New Roman" w:hAnsi="Times New Roman" w:cs="Times New Roman"/>
        </w:rPr>
        <w:t xml:space="preserve">, </w:t>
      </w:r>
      <w:r w:rsidR="00CB7C1F" w:rsidRPr="00CB7C1F">
        <w:rPr>
          <w:rFonts w:ascii="Times New Roman" w:hAnsi="Times New Roman" w:cs="Times New Roman"/>
        </w:rPr>
        <w:t>2026Z12529</w:t>
      </w:r>
    </w:p>
  </w:footnote>
  <w:footnote w:id="7">
    <w:p w14:paraId="61613092" w14:textId="520063F4" w:rsidR="00B917EF" w:rsidRPr="00F45A24" w:rsidRDefault="00B917EF" w:rsidP="00B917EF">
      <w:pPr>
        <w:pStyle w:val="FootnoteText"/>
        <w:rPr>
          <w:rFonts w:ascii="Times New Roman" w:hAnsi="Times New Roman" w:cs="Times New Roman"/>
        </w:rPr>
      </w:pPr>
      <w:r w:rsidRPr="00545CBA">
        <w:rPr>
          <w:rStyle w:val="FootnoteReference"/>
          <w:rFonts w:ascii="Times New Roman" w:hAnsi="Times New Roman" w:cs="Times New Roman"/>
        </w:rPr>
        <w:footnoteRef/>
      </w:r>
      <w:r w:rsidRPr="00545CBA">
        <w:rPr>
          <w:rFonts w:ascii="Times New Roman" w:hAnsi="Times New Roman" w:cs="Times New Roman"/>
        </w:rPr>
        <w:t xml:space="preserve"> </w:t>
      </w:r>
      <w:r w:rsidR="004C0D46" w:rsidRPr="00545CBA">
        <w:rPr>
          <w:rFonts w:ascii="Times New Roman" w:hAnsi="Times New Roman" w:cs="Times New Roman"/>
        </w:rPr>
        <w:t>Kamerstuk</w:t>
      </w:r>
      <w:r w:rsidR="004C0D46">
        <w:rPr>
          <w:rFonts w:ascii="Times New Roman" w:hAnsi="Times New Roman" w:cs="Times New Roman"/>
        </w:rPr>
        <w:t xml:space="preserve"> </w:t>
      </w:r>
      <w:r w:rsidR="004C0D46" w:rsidRPr="004C0D46">
        <w:rPr>
          <w:rFonts w:ascii="Times New Roman" w:hAnsi="Times New Roman" w:cs="Times New Roman"/>
        </w:rPr>
        <w:t>22112</w:t>
      </w:r>
      <w:r w:rsidR="004C0D46">
        <w:rPr>
          <w:rFonts w:ascii="Times New Roman" w:hAnsi="Times New Roman" w:cs="Times New Roman"/>
        </w:rPr>
        <w:t xml:space="preserve"> nr. </w:t>
      </w:r>
      <w:r w:rsidR="004C0D46" w:rsidRPr="004C0D46">
        <w:rPr>
          <w:rFonts w:ascii="Times New Roman" w:hAnsi="Times New Roman" w:cs="Times New Roman"/>
        </w:rPr>
        <w:t>4144</w:t>
      </w:r>
    </w:p>
  </w:footnote>
  <w:footnote w:id="8">
    <w:p w14:paraId="536D717B" w14:textId="77777777" w:rsidR="00684769" w:rsidRPr="00F45A24" w:rsidRDefault="00684769">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w:t>
      </w:r>
      <w:r w:rsidR="004132B0" w:rsidRPr="00F45A24">
        <w:rPr>
          <w:rFonts w:ascii="Times New Roman" w:hAnsi="Times New Roman" w:cs="Times New Roman"/>
        </w:rPr>
        <w:t xml:space="preserve"> 21 501-02, nr. 3383</w:t>
      </w:r>
    </w:p>
  </w:footnote>
  <w:footnote w:id="9">
    <w:p w14:paraId="5A94B72D" w14:textId="7DF67415" w:rsidR="00283021" w:rsidRPr="00F45A24" w:rsidRDefault="00283021" w:rsidP="00966015">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Zie </w:t>
      </w:r>
      <w:hyperlink r:id="rId1" w:history="1">
        <w:r w:rsidRPr="00F45A24">
          <w:rPr>
            <w:rStyle w:val="Hyperlink"/>
            <w:rFonts w:ascii="Times New Roman" w:hAnsi="Times New Roman" w:cs="Times New Roman"/>
          </w:rPr>
          <w:t>https://www.cpb.nl/persbericht/eu-uitbreiding-leidt-naar-verwachting-tot-beperkte-extra-migratie-naar-nederland</w:t>
        </w:r>
      </w:hyperlink>
      <w:r w:rsidRPr="00F45A24">
        <w:rPr>
          <w:rFonts w:ascii="Times New Roman" w:hAnsi="Times New Roman" w:cs="Times New Roman"/>
        </w:rPr>
        <w:t xml:space="preserve"> en </w:t>
      </w:r>
      <w:r w:rsidR="006201C5">
        <w:rPr>
          <w:rFonts w:ascii="Times New Roman" w:hAnsi="Times New Roman" w:cs="Times New Roman"/>
        </w:rPr>
        <w:t>de a</w:t>
      </w:r>
      <w:r w:rsidRPr="00B44E36">
        <w:rPr>
          <w:rFonts w:ascii="Times New Roman" w:hAnsi="Times New Roman" w:cs="Times New Roman"/>
        </w:rPr>
        <w:t xml:space="preserve">anbiedingsbrief bij </w:t>
      </w:r>
      <w:r w:rsidR="00966015">
        <w:rPr>
          <w:rFonts w:ascii="Times New Roman" w:hAnsi="Times New Roman" w:cs="Times New Roman"/>
        </w:rPr>
        <w:t xml:space="preserve">Kamerstuk </w:t>
      </w:r>
      <w:r w:rsidR="00966015" w:rsidRPr="00966015">
        <w:rPr>
          <w:rFonts w:ascii="Times New Roman" w:hAnsi="Times New Roman" w:cs="Times New Roman"/>
        </w:rPr>
        <w:t>21</w:t>
      </w:r>
      <w:r w:rsidR="009B6885">
        <w:rPr>
          <w:rFonts w:ascii="Times New Roman" w:hAnsi="Times New Roman" w:cs="Times New Roman"/>
        </w:rPr>
        <w:t xml:space="preserve"> </w:t>
      </w:r>
      <w:r w:rsidR="00966015" w:rsidRPr="00966015">
        <w:rPr>
          <w:rFonts w:ascii="Times New Roman" w:hAnsi="Times New Roman" w:cs="Times New Roman"/>
        </w:rPr>
        <w:t>501-31</w:t>
      </w:r>
      <w:r w:rsidR="00B44E36">
        <w:rPr>
          <w:rFonts w:ascii="Times New Roman" w:hAnsi="Times New Roman" w:cs="Times New Roman"/>
        </w:rPr>
        <w:t xml:space="preserve"> nr. </w:t>
      </w:r>
      <w:r w:rsidR="00966015" w:rsidRPr="00966015">
        <w:rPr>
          <w:rFonts w:ascii="Times New Roman" w:hAnsi="Times New Roman" w:cs="Times New Roman"/>
        </w:rPr>
        <w:t>809</w:t>
      </w:r>
    </w:p>
  </w:footnote>
  <w:footnote w:id="10">
    <w:p w14:paraId="3E654312" w14:textId="77777777" w:rsidR="00AE76B8" w:rsidRPr="00F45A24" w:rsidRDefault="00AE76B8" w:rsidP="00AE76B8">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 21 501-20, nr. 2338</w:t>
      </w:r>
    </w:p>
  </w:footnote>
  <w:footnote w:id="11">
    <w:p w14:paraId="4DCAEFBE" w14:textId="77777777" w:rsidR="00AE76B8" w:rsidRPr="00F45A24" w:rsidRDefault="00AE76B8" w:rsidP="00AE76B8">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 21 501-02, nr. 3400</w:t>
      </w:r>
    </w:p>
  </w:footnote>
  <w:footnote w:id="12">
    <w:p w14:paraId="284060F6" w14:textId="6FEA1B93" w:rsidR="00A1450F" w:rsidRPr="00F45A24" w:rsidRDefault="00A1450F">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F11296" w:rsidRPr="00F45A24">
        <w:rPr>
          <w:rFonts w:ascii="Times New Roman" w:hAnsi="Times New Roman" w:cs="Times New Roman"/>
        </w:rPr>
        <w:t>Kamerstuk 21 501-20, nr. 2338</w:t>
      </w:r>
    </w:p>
  </w:footnote>
  <w:footnote w:id="13">
    <w:p w14:paraId="0F944D68" w14:textId="08598656" w:rsidR="00F11296" w:rsidRPr="00F45A24" w:rsidRDefault="00F11296">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AA38D4" w:rsidRPr="00F45A24">
        <w:rPr>
          <w:rFonts w:ascii="Times New Roman" w:hAnsi="Times New Roman" w:cs="Times New Roman"/>
        </w:rPr>
        <w:t>Kamerstuk 21 501-02, nr. 3400</w:t>
      </w:r>
    </w:p>
  </w:footnote>
  <w:footnote w:id="14">
    <w:p w14:paraId="4AF61D8F" w14:textId="565870D3" w:rsidR="0064036B" w:rsidRPr="00F45A24" w:rsidRDefault="0064036B">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CB7C1F">
        <w:rPr>
          <w:rFonts w:ascii="Times New Roman" w:hAnsi="Times New Roman" w:cs="Times New Roman"/>
        </w:rPr>
        <w:t xml:space="preserve">Kamerbrief inzake </w:t>
      </w:r>
      <w:r w:rsidR="00CB7C1F" w:rsidRPr="00CB7C1F">
        <w:rPr>
          <w:rFonts w:ascii="Times New Roman" w:hAnsi="Times New Roman" w:cs="Times New Roman"/>
        </w:rPr>
        <w:t>EU-uitbreiding, waarborgen en de Toekomst van Europa</w:t>
      </w:r>
      <w:r w:rsidR="00CB7C1F">
        <w:rPr>
          <w:rFonts w:ascii="Times New Roman" w:hAnsi="Times New Roman" w:cs="Times New Roman"/>
        </w:rPr>
        <w:t xml:space="preserve">, </w:t>
      </w:r>
      <w:r w:rsidR="00CB7C1F" w:rsidRPr="00CB7C1F">
        <w:rPr>
          <w:rFonts w:ascii="Times New Roman" w:hAnsi="Times New Roman" w:cs="Times New Roman"/>
        </w:rPr>
        <w:t>2026Z12529</w:t>
      </w:r>
    </w:p>
  </w:footnote>
  <w:footnote w:id="15">
    <w:p w14:paraId="4F5E673E" w14:textId="7E8DD568" w:rsidR="001F35D7" w:rsidRPr="00F45A24" w:rsidRDefault="001F35D7">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AD17CD" w:rsidRPr="00F45A24">
        <w:rPr>
          <w:rFonts w:ascii="Times New Roman" w:hAnsi="Times New Roman" w:cs="Times New Roman"/>
        </w:rPr>
        <w:t xml:space="preserve">IOB-rapport </w:t>
      </w:r>
      <w:hyperlink r:id="rId2" w:history="1">
        <w:r w:rsidR="00AD17CD" w:rsidRPr="00F45A24">
          <w:rPr>
            <w:rStyle w:val="Hyperlink"/>
            <w:rFonts w:ascii="Times New Roman" w:hAnsi="Times New Roman" w:cs="Times New Roman"/>
            <w:b/>
          </w:rPr>
          <w:t>Grip door begrip</w:t>
        </w:r>
      </w:hyperlink>
    </w:p>
  </w:footnote>
  <w:footnote w:id="16">
    <w:p w14:paraId="623BE75A" w14:textId="0D5202AD" w:rsidR="001F35D7" w:rsidRPr="00F45A24" w:rsidRDefault="001F35D7">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AD17CD" w:rsidRPr="00F45A24">
        <w:rPr>
          <w:rFonts w:ascii="Times New Roman" w:hAnsi="Times New Roman" w:cs="Times New Roman"/>
        </w:rPr>
        <w:t xml:space="preserve">IOB-rapport </w:t>
      </w:r>
      <w:hyperlink r:id="rId3" w:history="1">
        <w:r w:rsidR="00AD17CD" w:rsidRPr="00F45A24">
          <w:rPr>
            <w:rStyle w:val="Hyperlink"/>
            <w:rFonts w:ascii="Times New Roman" w:hAnsi="Times New Roman" w:cs="Times New Roman"/>
            <w:b/>
          </w:rPr>
          <w:t>Tactisch en praktisch</w:t>
        </w:r>
      </w:hyperlink>
    </w:p>
  </w:footnote>
  <w:footnote w:id="17">
    <w:p w14:paraId="623EA0C8" w14:textId="725FCE96" w:rsidR="001F35D7" w:rsidRPr="00F45A24" w:rsidRDefault="001F35D7">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 36800-V-103</w:t>
      </w:r>
    </w:p>
  </w:footnote>
  <w:footnote w:id="18">
    <w:p w14:paraId="151FECDB" w14:textId="326D9FA5" w:rsidR="005C5EB3" w:rsidRPr="00F45A24" w:rsidRDefault="005C5EB3">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CB7C1F">
        <w:rPr>
          <w:rFonts w:ascii="Times New Roman" w:hAnsi="Times New Roman" w:cs="Times New Roman"/>
        </w:rPr>
        <w:t xml:space="preserve">Kamerbrief inzake </w:t>
      </w:r>
      <w:r w:rsidR="00CB7C1F" w:rsidRPr="00CB7C1F">
        <w:rPr>
          <w:rFonts w:ascii="Times New Roman" w:hAnsi="Times New Roman" w:cs="Times New Roman"/>
        </w:rPr>
        <w:t>EU-uitbreiding, waarborgen en de Toekomst van Europa</w:t>
      </w:r>
      <w:r w:rsidR="00CB7C1F">
        <w:rPr>
          <w:rFonts w:ascii="Times New Roman" w:hAnsi="Times New Roman" w:cs="Times New Roman"/>
        </w:rPr>
        <w:t xml:space="preserve">, </w:t>
      </w:r>
      <w:r w:rsidR="00CB7C1F" w:rsidRPr="00CB7C1F">
        <w:rPr>
          <w:rFonts w:ascii="Times New Roman" w:hAnsi="Times New Roman" w:cs="Times New Roman"/>
        </w:rPr>
        <w:t>2026Z12529</w:t>
      </w:r>
    </w:p>
  </w:footnote>
  <w:footnote w:id="19">
    <w:p w14:paraId="4E074B92" w14:textId="00327E75" w:rsidR="00C177FA" w:rsidRPr="00F45A24" w:rsidRDefault="00C177FA">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4132B0" w:rsidRPr="00F45A24">
        <w:rPr>
          <w:rFonts w:ascii="Times New Roman" w:hAnsi="Times New Roman" w:cs="Times New Roman"/>
        </w:rPr>
        <w:t>Kamerstuk 36 715, nr. 9</w:t>
      </w:r>
    </w:p>
  </w:footnote>
  <w:footnote w:id="20">
    <w:p w14:paraId="6670B615" w14:textId="74E7528A" w:rsidR="00643E4F" w:rsidRPr="00F45A24" w:rsidRDefault="00643E4F" w:rsidP="00643E4F">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Kamerstuk</w:t>
      </w:r>
      <w:r w:rsidR="00DD717C">
        <w:rPr>
          <w:rFonts w:ascii="Times New Roman" w:hAnsi="Times New Roman" w:cs="Times New Roman"/>
        </w:rPr>
        <w:t xml:space="preserve"> </w:t>
      </w:r>
      <w:r w:rsidR="00DD717C" w:rsidRPr="00DD717C">
        <w:rPr>
          <w:rFonts w:ascii="Times New Roman" w:hAnsi="Times New Roman" w:cs="Times New Roman"/>
        </w:rPr>
        <w:t>21</w:t>
      </w:r>
      <w:r w:rsidR="00DD717C">
        <w:rPr>
          <w:rFonts w:ascii="Times New Roman" w:hAnsi="Times New Roman" w:cs="Times New Roman"/>
        </w:rPr>
        <w:t xml:space="preserve"> </w:t>
      </w:r>
      <w:r w:rsidR="00DD717C" w:rsidRPr="00DD717C">
        <w:rPr>
          <w:rFonts w:ascii="Times New Roman" w:hAnsi="Times New Roman" w:cs="Times New Roman"/>
        </w:rPr>
        <w:t>501-07</w:t>
      </w:r>
      <w:r w:rsidR="00DD717C">
        <w:rPr>
          <w:rFonts w:ascii="Times New Roman" w:hAnsi="Times New Roman" w:cs="Times New Roman"/>
        </w:rPr>
        <w:t xml:space="preserve"> nr. </w:t>
      </w:r>
      <w:r w:rsidR="00DD717C" w:rsidRPr="00DD717C">
        <w:rPr>
          <w:rFonts w:ascii="Times New Roman" w:hAnsi="Times New Roman" w:cs="Times New Roman"/>
        </w:rPr>
        <w:t>2124</w:t>
      </w:r>
    </w:p>
  </w:footnote>
  <w:footnote w:id="21">
    <w:p w14:paraId="1F2082B9" w14:textId="5242D93F" w:rsidR="006318BC" w:rsidRPr="00F45A24" w:rsidRDefault="006318BC">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3857AB" w:rsidRPr="00F45A24">
        <w:rPr>
          <w:rFonts w:ascii="Times New Roman" w:hAnsi="Times New Roman" w:cs="Times New Roman"/>
        </w:rPr>
        <w:t>Kamerstuk 36 866, nr. 1</w:t>
      </w:r>
    </w:p>
  </w:footnote>
  <w:footnote w:id="22">
    <w:p w14:paraId="77DB73E2" w14:textId="595DD3A0" w:rsidR="005448A4" w:rsidRPr="00F45A24" w:rsidRDefault="005448A4">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D95AED" w:rsidRPr="00F45A24">
        <w:rPr>
          <w:rFonts w:ascii="Times New Roman" w:hAnsi="Times New Roman" w:cs="Times New Roman"/>
        </w:rPr>
        <w:t>Kamerstuk Vergaderjaar 2025–2026, 22 112, nr. 4217</w:t>
      </w:r>
    </w:p>
  </w:footnote>
  <w:footnote w:id="23">
    <w:p w14:paraId="28B0B8FF" w14:textId="0BE7F6B4" w:rsidR="00DB721C" w:rsidRPr="00F45A24" w:rsidRDefault="00DB721C">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E93294" w:rsidRPr="00F45A24">
        <w:rPr>
          <w:rFonts w:ascii="Times New Roman" w:hAnsi="Times New Roman" w:cs="Times New Roman"/>
        </w:rPr>
        <w:t>Kamerstuk</w:t>
      </w:r>
      <w:r w:rsidR="00B25FFC" w:rsidRPr="00F45A24">
        <w:rPr>
          <w:rFonts w:ascii="Times New Roman" w:hAnsi="Times New Roman" w:cs="Times New Roman"/>
        </w:rPr>
        <w:t xml:space="preserve"> 21 501-02, nr. 3383</w:t>
      </w:r>
    </w:p>
  </w:footnote>
  <w:footnote w:id="24">
    <w:p w14:paraId="5B9E1186" w14:textId="78707BCD" w:rsidR="00DB721C" w:rsidRPr="00F45A24" w:rsidRDefault="00DB721C">
      <w:pPr>
        <w:pStyle w:val="FootnoteText"/>
        <w:rPr>
          <w:rFonts w:ascii="Times New Roman" w:hAnsi="Times New Roman" w:cs="Times New Roman"/>
        </w:rPr>
      </w:pPr>
      <w:r w:rsidRPr="00F45A24">
        <w:rPr>
          <w:rStyle w:val="FootnoteReference"/>
          <w:rFonts w:ascii="Times New Roman" w:hAnsi="Times New Roman" w:cs="Times New Roman"/>
        </w:rPr>
        <w:footnoteRef/>
      </w:r>
      <w:r w:rsidRPr="00F45A24">
        <w:rPr>
          <w:rFonts w:ascii="Times New Roman" w:hAnsi="Times New Roman" w:cs="Times New Roman"/>
        </w:rPr>
        <w:t xml:space="preserve"> </w:t>
      </w:r>
      <w:r w:rsidR="006158C3" w:rsidRPr="00F45A24">
        <w:rPr>
          <w:rFonts w:ascii="Times New Roman" w:hAnsi="Times New Roman" w:cs="Times New Roman"/>
        </w:rPr>
        <w:t>Kamerstuk 21 501-</w:t>
      </w:r>
      <w:r w:rsidR="003E3C0F" w:rsidRPr="00F45A24">
        <w:rPr>
          <w:rFonts w:ascii="Times New Roman" w:hAnsi="Times New Roman" w:cs="Times New Roman"/>
        </w:rPr>
        <w:t>02</w:t>
      </w:r>
      <w:r w:rsidR="006158C3" w:rsidRPr="00F45A24">
        <w:rPr>
          <w:rFonts w:ascii="Times New Roman" w:hAnsi="Times New Roman" w:cs="Times New Roman"/>
        </w:rPr>
        <w:t xml:space="preserve">, nr. </w:t>
      </w:r>
      <w:r w:rsidR="003E3C0F" w:rsidRPr="00F45A24">
        <w:rPr>
          <w:rFonts w:ascii="Times New Roman" w:hAnsi="Times New Roman" w:cs="Times New Roman"/>
        </w:rPr>
        <w:t>2543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18D"/>
    <w:multiLevelType w:val="hybridMultilevel"/>
    <w:tmpl w:val="75DA8770"/>
    <w:lvl w:ilvl="0" w:tplc="3CD883AC">
      <w:start w:val="1"/>
      <w:numFmt w:val="decimal"/>
      <w:lvlText w:val="%1."/>
      <w:lvlJc w:val="left"/>
      <w:pPr>
        <w:ind w:left="720" w:hanging="360"/>
      </w:pPr>
      <w:rPr>
        <w:rFonts w:hint="default"/>
        <w:b/>
        <w:bCs/>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85A90"/>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483A23"/>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D19B4"/>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3B4690"/>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74C39"/>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266D03"/>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F128B"/>
    <w:multiLevelType w:val="multilevel"/>
    <w:tmpl w:val="3780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CB7C4D"/>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95608C"/>
    <w:multiLevelType w:val="hybridMultilevel"/>
    <w:tmpl w:val="80BE9DB0"/>
    <w:lvl w:ilvl="0" w:tplc="9F0062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764E9"/>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D96A33"/>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196AD0"/>
    <w:multiLevelType w:val="hybridMultilevel"/>
    <w:tmpl w:val="7100770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AF268B"/>
    <w:multiLevelType w:val="hybridMultilevel"/>
    <w:tmpl w:val="B95CB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F25C4E"/>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8" w15:restartNumberingAfterBreak="0">
    <w:nsid w:val="3D3269C8"/>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4496D"/>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1"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22" w15:restartNumberingAfterBreak="0">
    <w:nsid w:val="4A415D93"/>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40E51"/>
    <w:multiLevelType w:val="hybridMultilevel"/>
    <w:tmpl w:val="CAD265FA"/>
    <w:lvl w:ilvl="0" w:tplc="B07E66E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A850F4"/>
    <w:multiLevelType w:val="hybridMultilevel"/>
    <w:tmpl w:val="F64C678C"/>
    <w:lvl w:ilvl="0" w:tplc="EE6EBACE">
      <w:start w:val="115"/>
      <w:numFmt w:val="decimal"/>
      <w:lvlText w:val="%1."/>
      <w:lvlJc w:val="left"/>
      <w:pPr>
        <w:ind w:left="780" w:hanging="42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E730EA"/>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27" w15:restartNumberingAfterBreak="0">
    <w:nsid w:val="5900226A"/>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FD0FA9"/>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B73C2C"/>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34" w15:restartNumberingAfterBreak="0">
    <w:nsid w:val="6E394C5D"/>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81D7B"/>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BA522F"/>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1F03B0"/>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43449B"/>
    <w:multiLevelType w:val="hybridMultilevel"/>
    <w:tmpl w:val="BC489552"/>
    <w:lvl w:ilvl="0" w:tplc="6846AA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753EC6"/>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D77A72"/>
    <w:multiLevelType w:val="hybridMultilevel"/>
    <w:tmpl w:val="B95CB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48711D"/>
    <w:multiLevelType w:val="hybridMultilevel"/>
    <w:tmpl w:val="7124D68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28"/>
  </w:num>
  <w:num w:numId="2" w16cid:durableId="156191582">
    <w:abstractNumId w:val="20"/>
  </w:num>
  <w:num w:numId="3" w16cid:durableId="1475440527">
    <w:abstractNumId w:val="2"/>
  </w:num>
  <w:num w:numId="4" w16cid:durableId="397485683">
    <w:abstractNumId w:val="26"/>
  </w:num>
  <w:num w:numId="5" w16cid:durableId="1170683584">
    <w:abstractNumId w:val="33"/>
  </w:num>
  <w:num w:numId="6" w16cid:durableId="1243762555">
    <w:abstractNumId w:val="17"/>
  </w:num>
  <w:num w:numId="7" w16cid:durableId="1148860221">
    <w:abstractNumId w:val="21"/>
  </w:num>
  <w:num w:numId="8" w16cid:durableId="397242370">
    <w:abstractNumId w:val="30"/>
  </w:num>
  <w:num w:numId="9" w16cid:durableId="333916603">
    <w:abstractNumId w:val="31"/>
  </w:num>
  <w:num w:numId="10" w16cid:durableId="1371345400">
    <w:abstractNumId w:val="3"/>
  </w:num>
  <w:num w:numId="11" w16cid:durableId="2091124128">
    <w:abstractNumId w:val="9"/>
  </w:num>
  <w:num w:numId="12" w16cid:durableId="975453286">
    <w:abstractNumId w:val="15"/>
  </w:num>
  <w:num w:numId="13" w16cid:durableId="250311071">
    <w:abstractNumId w:val="12"/>
  </w:num>
  <w:num w:numId="14" w16cid:durableId="1900700061">
    <w:abstractNumId w:val="13"/>
  </w:num>
  <w:num w:numId="15" w16cid:durableId="1371608481">
    <w:abstractNumId w:val="34"/>
  </w:num>
  <w:num w:numId="16" w16cid:durableId="610820970">
    <w:abstractNumId w:val="37"/>
  </w:num>
  <w:num w:numId="17" w16cid:durableId="356470521">
    <w:abstractNumId w:val="22"/>
  </w:num>
  <w:num w:numId="18" w16cid:durableId="20742008">
    <w:abstractNumId w:val="1"/>
  </w:num>
  <w:num w:numId="19" w16cid:durableId="190000744">
    <w:abstractNumId w:val="4"/>
  </w:num>
  <w:num w:numId="20" w16cid:durableId="989138028">
    <w:abstractNumId w:val="41"/>
  </w:num>
  <w:num w:numId="21" w16cid:durableId="1574464551">
    <w:abstractNumId w:val="10"/>
  </w:num>
  <w:num w:numId="22" w16cid:durableId="646935746">
    <w:abstractNumId w:val="36"/>
  </w:num>
  <w:num w:numId="23" w16cid:durableId="907963214">
    <w:abstractNumId w:val="32"/>
  </w:num>
  <w:num w:numId="24" w16cid:durableId="1953052202">
    <w:abstractNumId w:val="29"/>
  </w:num>
  <w:num w:numId="25" w16cid:durableId="1250845428">
    <w:abstractNumId w:val="5"/>
  </w:num>
  <w:num w:numId="26" w16cid:durableId="677150174">
    <w:abstractNumId w:val="24"/>
  </w:num>
  <w:num w:numId="27" w16cid:durableId="781801109">
    <w:abstractNumId w:val="19"/>
  </w:num>
  <w:num w:numId="28" w16cid:durableId="1018775063">
    <w:abstractNumId w:val="25"/>
  </w:num>
  <w:num w:numId="29" w16cid:durableId="1122919818">
    <w:abstractNumId w:val="40"/>
  </w:num>
  <w:num w:numId="30" w16cid:durableId="1688630408">
    <w:abstractNumId w:val="7"/>
  </w:num>
  <w:num w:numId="31" w16cid:durableId="599918032">
    <w:abstractNumId w:val="14"/>
  </w:num>
  <w:num w:numId="32" w16cid:durableId="1047874846">
    <w:abstractNumId w:val="6"/>
  </w:num>
  <w:num w:numId="33" w16cid:durableId="95097491">
    <w:abstractNumId w:val="39"/>
  </w:num>
  <w:num w:numId="34" w16cid:durableId="1592473797">
    <w:abstractNumId w:val="16"/>
  </w:num>
  <w:num w:numId="35" w16cid:durableId="2099475641">
    <w:abstractNumId w:val="18"/>
  </w:num>
  <w:num w:numId="36" w16cid:durableId="814877222">
    <w:abstractNumId w:val="35"/>
  </w:num>
  <w:num w:numId="37" w16cid:durableId="11420067">
    <w:abstractNumId w:val="27"/>
  </w:num>
  <w:num w:numId="38" w16cid:durableId="1238782308">
    <w:abstractNumId w:val="8"/>
  </w:num>
  <w:num w:numId="39" w16cid:durableId="1609654169">
    <w:abstractNumId w:val="38"/>
  </w:num>
  <w:num w:numId="40" w16cid:durableId="1507939895">
    <w:abstractNumId w:val="11"/>
  </w:num>
  <w:num w:numId="41" w16cid:durableId="1841499819">
    <w:abstractNumId w:val="23"/>
  </w:num>
  <w:num w:numId="42" w16cid:durableId="25547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E23"/>
    <w:rsid w:val="00002487"/>
    <w:rsid w:val="00005895"/>
    <w:rsid w:val="00007746"/>
    <w:rsid w:val="00007A24"/>
    <w:rsid w:val="0001246B"/>
    <w:rsid w:val="000129C4"/>
    <w:rsid w:val="00017740"/>
    <w:rsid w:val="00022874"/>
    <w:rsid w:val="00024202"/>
    <w:rsid w:val="00024A1A"/>
    <w:rsid w:val="00025F45"/>
    <w:rsid w:val="00026E58"/>
    <w:rsid w:val="00030E82"/>
    <w:rsid w:val="00030E91"/>
    <w:rsid w:val="00031973"/>
    <w:rsid w:val="00032EC5"/>
    <w:rsid w:val="00034799"/>
    <w:rsid w:val="00036411"/>
    <w:rsid w:val="00041807"/>
    <w:rsid w:val="0004425B"/>
    <w:rsid w:val="000448B4"/>
    <w:rsid w:val="00044E3D"/>
    <w:rsid w:val="0004692E"/>
    <w:rsid w:val="00047329"/>
    <w:rsid w:val="000479D4"/>
    <w:rsid w:val="000511BC"/>
    <w:rsid w:val="000511F8"/>
    <w:rsid w:val="00053F21"/>
    <w:rsid w:val="000552A9"/>
    <w:rsid w:val="0005571C"/>
    <w:rsid w:val="00061B81"/>
    <w:rsid w:val="00063FD1"/>
    <w:rsid w:val="00071CAA"/>
    <w:rsid w:val="000735D8"/>
    <w:rsid w:val="00074E41"/>
    <w:rsid w:val="00077ED7"/>
    <w:rsid w:val="00077FB2"/>
    <w:rsid w:val="0008153B"/>
    <w:rsid w:val="00081683"/>
    <w:rsid w:val="000826A2"/>
    <w:rsid w:val="000829DA"/>
    <w:rsid w:val="00083057"/>
    <w:rsid w:val="00084BD3"/>
    <w:rsid w:val="00084DEE"/>
    <w:rsid w:val="000866B6"/>
    <w:rsid w:val="000908D8"/>
    <w:rsid w:val="00091067"/>
    <w:rsid w:val="0009150D"/>
    <w:rsid w:val="00091E36"/>
    <w:rsid w:val="00092C2F"/>
    <w:rsid w:val="00095B60"/>
    <w:rsid w:val="00095C94"/>
    <w:rsid w:val="000A06D9"/>
    <w:rsid w:val="000A3952"/>
    <w:rsid w:val="000A3FA2"/>
    <w:rsid w:val="000A6A9A"/>
    <w:rsid w:val="000A77BD"/>
    <w:rsid w:val="000A7FC3"/>
    <w:rsid w:val="000B3363"/>
    <w:rsid w:val="000B3F5F"/>
    <w:rsid w:val="000C17D4"/>
    <w:rsid w:val="000C214B"/>
    <w:rsid w:val="000C2DB2"/>
    <w:rsid w:val="000C3D48"/>
    <w:rsid w:val="000C5078"/>
    <w:rsid w:val="000C61DC"/>
    <w:rsid w:val="000C6F39"/>
    <w:rsid w:val="000C7266"/>
    <w:rsid w:val="000C7CE8"/>
    <w:rsid w:val="000D132B"/>
    <w:rsid w:val="000D20EC"/>
    <w:rsid w:val="000D23AC"/>
    <w:rsid w:val="000D25CA"/>
    <w:rsid w:val="000D46A4"/>
    <w:rsid w:val="000E0A1A"/>
    <w:rsid w:val="000E135D"/>
    <w:rsid w:val="000E2139"/>
    <w:rsid w:val="000E6E1E"/>
    <w:rsid w:val="000E6F2E"/>
    <w:rsid w:val="000E6F83"/>
    <w:rsid w:val="000E7F0D"/>
    <w:rsid w:val="000F259B"/>
    <w:rsid w:val="000F61D3"/>
    <w:rsid w:val="000F61D7"/>
    <w:rsid w:val="0010017A"/>
    <w:rsid w:val="001016EF"/>
    <w:rsid w:val="00101A72"/>
    <w:rsid w:val="0010218C"/>
    <w:rsid w:val="00102AD0"/>
    <w:rsid w:val="00104F17"/>
    <w:rsid w:val="00111348"/>
    <w:rsid w:val="001113DD"/>
    <w:rsid w:val="001113FE"/>
    <w:rsid w:val="00111B10"/>
    <w:rsid w:val="001128E6"/>
    <w:rsid w:val="001146A8"/>
    <w:rsid w:val="00115215"/>
    <w:rsid w:val="00115C58"/>
    <w:rsid w:val="0011681E"/>
    <w:rsid w:val="0012165B"/>
    <w:rsid w:val="001230A2"/>
    <w:rsid w:val="00123D4D"/>
    <w:rsid w:val="001274CE"/>
    <w:rsid w:val="00131A6D"/>
    <w:rsid w:val="0013327E"/>
    <w:rsid w:val="00133E1B"/>
    <w:rsid w:val="0013443C"/>
    <w:rsid w:val="0013745F"/>
    <w:rsid w:val="001406B3"/>
    <w:rsid w:val="001409D3"/>
    <w:rsid w:val="00140DF1"/>
    <w:rsid w:val="00142295"/>
    <w:rsid w:val="00146C4A"/>
    <w:rsid w:val="00150274"/>
    <w:rsid w:val="00151782"/>
    <w:rsid w:val="00151F16"/>
    <w:rsid w:val="0015366E"/>
    <w:rsid w:val="00155819"/>
    <w:rsid w:val="0016050A"/>
    <w:rsid w:val="001608D3"/>
    <w:rsid w:val="00162317"/>
    <w:rsid w:val="00167C23"/>
    <w:rsid w:val="001706DF"/>
    <w:rsid w:val="00170966"/>
    <w:rsid w:val="0017098B"/>
    <w:rsid w:val="00173641"/>
    <w:rsid w:val="00173987"/>
    <w:rsid w:val="00173AA6"/>
    <w:rsid w:val="00174024"/>
    <w:rsid w:val="001743FD"/>
    <w:rsid w:val="0017541C"/>
    <w:rsid w:val="00175989"/>
    <w:rsid w:val="00177011"/>
    <w:rsid w:val="0017771A"/>
    <w:rsid w:val="00184D96"/>
    <w:rsid w:val="00185380"/>
    <w:rsid w:val="00185DF0"/>
    <w:rsid w:val="0018655F"/>
    <w:rsid w:val="001871D1"/>
    <w:rsid w:val="00187FA7"/>
    <w:rsid w:val="001909BF"/>
    <w:rsid w:val="001911AC"/>
    <w:rsid w:val="00192031"/>
    <w:rsid w:val="001931B3"/>
    <w:rsid w:val="00195D7E"/>
    <w:rsid w:val="00196955"/>
    <w:rsid w:val="001A1807"/>
    <w:rsid w:val="001A2E47"/>
    <w:rsid w:val="001A3E0F"/>
    <w:rsid w:val="001A4E92"/>
    <w:rsid w:val="001A51A3"/>
    <w:rsid w:val="001A5C03"/>
    <w:rsid w:val="001A72F3"/>
    <w:rsid w:val="001A731D"/>
    <w:rsid w:val="001B00D6"/>
    <w:rsid w:val="001B1487"/>
    <w:rsid w:val="001B1BF3"/>
    <w:rsid w:val="001B2DA8"/>
    <w:rsid w:val="001B3259"/>
    <w:rsid w:val="001B5422"/>
    <w:rsid w:val="001B594B"/>
    <w:rsid w:val="001B6A95"/>
    <w:rsid w:val="001B7799"/>
    <w:rsid w:val="001B789B"/>
    <w:rsid w:val="001B7B42"/>
    <w:rsid w:val="001C15CF"/>
    <w:rsid w:val="001C2B21"/>
    <w:rsid w:val="001C36EF"/>
    <w:rsid w:val="001C67E0"/>
    <w:rsid w:val="001C7121"/>
    <w:rsid w:val="001D43DD"/>
    <w:rsid w:val="001D4B49"/>
    <w:rsid w:val="001E32BD"/>
    <w:rsid w:val="001E45BC"/>
    <w:rsid w:val="001E50DF"/>
    <w:rsid w:val="001E67D3"/>
    <w:rsid w:val="001E76F6"/>
    <w:rsid w:val="001F0347"/>
    <w:rsid w:val="001F1443"/>
    <w:rsid w:val="001F1B6D"/>
    <w:rsid w:val="001F35D7"/>
    <w:rsid w:val="001F4A6F"/>
    <w:rsid w:val="001F64DF"/>
    <w:rsid w:val="0020020C"/>
    <w:rsid w:val="002010B8"/>
    <w:rsid w:val="00202DFA"/>
    <w:rsid w:val="00203C52"/>
    <w:rsid w:val="00203C91"/>
    <w:rsid w:val="0020498C"/>
    <w:rsid w:val="00205287"/>
    <w:rsid w:val="00205D06"/>
    <w:rsid w:val="00207E19"/>
    <w:rsid w:val="002107D4"/>
    <w:rsid w:val="00210B2B"/>
    <w:rsid w:val="002114FB"/>
    <w:rsid w:val="00212B19"/>
    <w:rsid w:val="00216D43"/>
    <w:rsid w:val="0022274B"/>
    <w:rsid w:val="00224340"/>
    <w:rsid w:val="002258BC"/>
    <w:rsid w:val="00225DFA"/>
    <w:rsid w:val="00226714"/>
    <w:rsid w:val="00226FE2"/>
    <w:rsid w:val="00227332"/>
    <w:rsid w:val="002277ED"/>
    <w:rsid w:val="0023284A"/>
    <w:rsid w:val="00235BC3"/>
    <w:rsid w:val="00235D38"/>
    <w:rsid w:val="00241994"/>
    <w:rsid w:val="00241CDB"/>
    <w:rsid w:val="002424A3"/>
    <w:rsid w:val="00243299"/>
    <w:rsid w:val="002443B6"/>
    <w:rsid w:val="002471A7"/>
    <w:rsid w:val="00247A26"/>
    <w:rsid w:val="00251140"/>
    <w:rsid w:val="00252989"/>
    <w:rsid w:val="002532E8"/>
    <w:rsid w:val="00253350"/>
    <w:rsid w:val="00254B44"/>
    <w:rsid w:val="00256800"/>
    <w:rsid w:val="0025763E"/>
    <w:rsid w:val="00257E5B"/>
    <w:rsid w:val="002600EF"/>
    <w:rsid w:val="00260458"/>
    <w:rsid w:val="00261511"/>
    <w:rsid w:val="00261FD2"/>
    <w:rsid w:val="00266B87"/>
    <w:rsid w:val="002703B7"/>
    <w:rsid w:val="002715C3"/>
    <w:rsid w:val="002736B9"/>
    <w:rsid w:val="0027469B"/>
    <w:rsid w:val="00274D1D"/>
    <w:rsid w:val="00275321"/>
    <w:rsid w:val="0027596F"/>
    <w:rsid w:val="00277AFB"/>
    <w:rsid w:val="002803F4"/>
    <w:rsid w:val="00280D04"/>
    <w:rsid w:val="00281169"/>
    <w:rsid w:val="00281646"/>
    <w:rsid w:val="00283021"/>
    <w:rsid w:val="002845FA"/>
    <w:rsid w:val="002860E1"/>
    <w:rsid w:val="0028617B"/>
    <w:rsid w:val="00287F0F"/>
    <w:rsid w:val="0029076F"/>
    <w:rsid w:val="002935E5"/>
    <w:rsid w:val="00294076"/>
    <w:rsid w:val="00295642"/>
    <w:rsid w:val="002A0814"/>
    <w:rsid w:val="002A1C00"/>
    <w:rsid w:val="002A1F95"/>
    <w:rsid w:val="002A664C"/>
    <w:rsid w:val="002B06AC"/>
    <w:rsid w:val="002B0747"/>
    <w:rsid w:val="002B0F21"/>
    <w:rsid w:val="002B1229"/>
    <w:rsid w:val="002B1730"/>
    <w:rsid w:val="002B283C"/>
    <w:rsid w:val="002B2BE2"/>
    <w:rsid w:val="002C055C"/>
    <w:rsid w:val="002C0D18"/>
    <w:rsid w:val="002C1452"/>
    <w:rsid w:val="002C2D02"/>
    <w:rsid w:val="002C3862"/>
    <w:rsid w:val="002C5773"/>
    <w:rsid w:val="002C5A87"/>
    <w:rsid w:val="002C7F8E"/>
    <w:rsid w:val="002D0156"/>
    <w:rsid w:val="002D115C"/>
    <w:rsid w:val="002D1DC1"/>
    <w:rsid w:val="002D4F05"/>
    <w:rsid w:val="002E02E7"/>
    <w:rsid w:val="002E0824"/>
    <w:rsid w:val="002E1422"/>
    <w:rsid w:val="002E2625"/>
    <w:rsid w:val="002E2AB3"/>
    <w:rsid w:val="002E3656"/>
    <w:rsid w:val="002E401A"/>
    <w:rsid w:val="002E5E32"/>
    <w:rsid w:val="002F145F"/>
    <w:rsid w:val="002F195C"/>
    <w:rsid w:val="002F1A10"/>
    <w:rsid w:val="002F22D7"/>
    <w:rsid w:val="002F2623"/>
    <w:rsid w:val="002F4349"/>
    <w:rsid w:val="002F5705"/>
    <w:rsid w:val="002F5EB3"/>
    <w:rsid w:val="002F7DF1"/>
    <w:rsid w:val="0030028B"/>
    <w:rsid w:val="00301944"/>
    <w:rsid w:val="0030608E"/>
    <w:rsid w:val="00310BF0"/>
    <w:rsid w:val="00313207"/>
    <w:rsid w:val="00314062"/>
    <w:rsid w:val="00314235"/>
    <w:rsid w:val="003168BF"/>
    <w:rsid w:val="00316BAC"/>
    <w:rsid w:val="00317EE7"/>
    <w:rsid w:val="003201AC"/>
    <w:rsid w:val="00324143"/>
    <w:rsid w:val="00326C69"/>
    <w:rsid w:val="00326CAC"/>
    <w:rsid w:val="003328B2"/>
    <w:rsid w:val="00332E82"/>
    <w:rsid w:val="00336FC2"/>
    <w:rsid w:val="003377A1"/>
    <w:rsid w:val="003448D3"/>
    <w:rsid w:val="00345931"/>
    <w:rsid w:val="00351951"/>
    <w:rsid w:val="00353DF7"/>
    <w:rsid w:val="00354BAF"/>
    <w:rsid w:val="00354DA0"/>
    <w:rsid w:val="00361E2E"/>
    <w:rsid w:val="00362331"/>
    <w:rsid w:val="00363A5B"/>
    <w:rsid w:val="0036618D"/>
    <w:rsid w:val="0037078E"/>
    <w:rsid w:val="003707A4"/>
    <w:rsid w:val="00370B34"/>
    <w:rsid w:val="00373E04"/>
    <w:rsid w:val="00377D1D"/>
    <w:rsid w:val="003803B9"/>
    <w:rsid w:val="00381DE3"/>
    <w:rsid w:val="00383211"/>
    <w:rsid w:val="003838EA"/>
    <w:rsid w:val="003857AB"/>
    <w:rsid w:val="00391825"/>
    <w:rsid w:val="00392E74"/>
    <w:rsid w:val="00394FB8"/>
    <w:rsid w:val="00397830"/>
    <w:rsid w:val="003A221D"/>
    <w:rsid w:val="003A349E"/>
    <w:rsid w:val="003A4FCF"/>
    <w:rsid w:val="003A6E5F"/>
    <w:rsid w:val="003A7B26"/>
    <w:rsid w:val="003B3A4A"/>
    <w:rsid w:val="003B4CE6"/>
    <w:rsid w:val="003B6201"/>
    <w:rsid w:val="003B7445"/>
    <w:rsid w:val="003C126A"/>
    <w:rsid w:val="003C296F"/>
    <w:rsid w:val="003C46DF"/>
    <w:rsid w:val="003C500C"/>
    <w:rsid w:val="003D334D"/>
    <w:rsid w:val="003D4C0E"/>
    <w:rsid w:val="003D583A"/>
    <w:rsid w:val="003D6DBC"/>
    <w:rsid w:val="003D6E27"/>
    <w:rsid w:val="003E0157"/>
    <w:rsid w:val="003E0523"/>
    <w:rsid w:val="003E26FA"/>
    <w:rsid w:val="003E2901"/>
    <w:rsid w:val="003E3C0F"/>
    <w:rsid w:val="003E4447"/>
    <w:rsid w:val="003E69E3"/>
    <w:rsid w:val="003E7575"/>
    <w:rsid w:val="003E7EF0"/>
    <w:rsid w:val="003F0C0D"/>
    <w:rsid w:val="003F4B51"/>
    <w:rsid w:val="003F7229"/>
    <w:rsid w:val="0040109D"/>
    <w:rsid w:val="00402207"/>
    <w:rsid w:val="00405BD8"/>
    <w:rsid w:val="00410EF0"/>
    <w:rsid w:val="004114E5"/>
    <w:rsid w:val="00412A87"/>
    <w:rsid w:val="004132B0"/>
    <w:rsid w:val="00414EC9"/>
    <w:rsid w:val="0041672E"/>
    <w:rsid w:val="00416778"/>
    <w:rsid w:val="00420B01"/>
    <w:rsid w:val="00420CD6"/>
    <w:rsid w:val="00420FC4"/>
    <w:rsid w:val="004212BC"/>
    <w:rsid w:val="00421D0E"/>
    <w:rsid w:val="00422512"/>
    <w:rsid w:val="00422741"/>
    <w:rsid w:val="00422891"/>
    <w:rsid w:val="0042386D"/>
    <w:rsid w:val="004265DE"/>
    <w:rsid w:val="00430D41"/>
    <w:rsid w:val="0043130E"/>
    <w:rsid w:val="00431478"/>
    <w:rsid w:val="0043283E"/>
    <w:rsid w:val="00432AF6"/>
    <w:rsid w:val="00432B5F"/>
    <w:rsid w:val="00432F9B"/>
    <w:rsid w:val="00433F16"/>
    <w:rsid w:val="004346E8"/>
    <w:rsid w:val="004349A3"/>
    <w:rsid w:val="004362AE"/>
    <w:rsid w:val="0043659F"/>
    <w:rsid w:val="00440B51"/>
    <w:rsid w:val="004421C9"/>
    <w:rsid w:val="00443B6F"/>
    <w:rsid w:val="004440B5"/>
    <w:rsid w:val="00446017"/>
    <w:rsid w:val="004463CF"/>
    <w:rsid w:val="004472D8"/>
    <w:rsid w:val="00447B06"/>
    <w:rsid w:val="004500A4"/>
    <w:rsid w:val="0045160F"/>
    <w:rsid w:val="00453DD4"/>
    <w:rsid w:val="00454B79"/>
    <w:rsid w:val="00454FA0"/>
    <w:rsid w:val="00461114"/>
    <w:rsid w:val="0046221B"/>
    <w:rsid w:val="0046258D"/>
    <w:rsid w:val="0046718E"/>
    <w:rsid w:val="00467526"/>
    <w:rsid w:val="00467C76"/>
    <w:rsid w:val="00471602"/>
    <w:rsid w:val="00471DEB"/>
    <w:rsid w:val="004738F6"/>
    <w:rsid w:val="00473A69"/>
    <w:rsid w:val="004759B8"/>
    <w:rsid w:val="00475AEB"/>
    <w:rsid w:val="00476F4A"/>
    <w:rsid w:val="004821F8"/>
    <w:rsid w:val="0048277B"/>
    <w:rsid w:val="00483A8F"/>
    <w:rsid w:val="00483CC0"/>
    <w:rsid w:val="00485856"/>
    <w:rsid w:val="00485960"/>
    <w:rsid w:val="00486171"/>
    <w:rsid w:val="0048633E"/>
    <w:rsid w:val="0048679F"/>
    <w:rsid w:val="0049016B"/>
    <w:rsid w:val="004918C2"/>
    <w:rsid w:val="0049273B"/>
    <w:rsid w:val="0049431B"/>
    <w:rsid w:val="00495392"/>
    <w:rsid w:val="00495680"/>
    <w:rsid w:val="00496055"/>
    <w:rsid w:val="004966D6"/>
    <w:rsid w:val="004A1DFF"/>
    <w:rsid w:val="004A4417"/>
    <w:rsid w:val="004A4938"/>
    <w:rsid w:val="004A4D55"/>
    <w:rsid w:val="004A4E1E"/>
    <w:rsid w:val="004A6495"/>
    <w:rsid w:val="004A7E73"/>
    <w:rsid w:val="004B0EF4"/>
    <w:rsid w:val="004B1B42"/>
    <w:rsid w:val="004B2796"/>
    <w:rsid w:val="004B2F2A"/>
    <w:rsid w:val="004B5336"/>
    <w:rsid w:val="004B5396"/>
    <w:rsid w:val="004B5D2F"/>
    <w:rsid w:val="004B5F9B"/>
    <w:rsid w:val="004B663A"/>
    <w:rsid w:val="004B79FE"/>
    <w:rsid w:val="004C0D46"/>
    <w:rsid w:val="004C156B"/>
    <w:rsid w:val="004C4419"/>
    <w:rsid w:val="004C6956"/>
    <w:rsid w:val="004D1910"/>
    <w:rsid w:val="004D1D51"/>
    <w:rsid w:val="004D1FD6"/>
    <w:rsid w:val="004D2881"/>
    <w:rsid w:val="004D4904"/>
    <w:rsid w:val="004D56AE"/>
    <w:rsid w:val="004D5CC0"/>
    <w:rsid w:val="004E012A"/>
    <w:rsid w:val="004E12CE"/>
    <w:rsid w:val="004E1F21"/>
    <w:rsid w:val="004E204D"/>
    <w:rsid w:val="004E40DA"/>
    <w:rsid w:val="004E57AE"/>
    <w:rsid w:val="004E6085"/>
    <w:rsid w:val="004F08E0"/>
    <w:rsid w:val="004F09B6"/>
    <w:rsid w:val="004F0FE2"/>
    <w:rsid w:val="004F1AC6"/>
    <w:rsid w:val="004F2E57"/>
    <w:rsid w:val="004F4693"/>
    <w:rsid w:val="004F488E"/>
    <w:rsid w:val="004F4951"/>
    <w:rsid w:val="004F4C4C"/>
    <w:rsid w:val="00502ADD"/>
    <w:rsid w:val="00503C85"/>
    <w:rsid w:val="00504201"/>
    <w:rsid w:val="00505240"/>
    <w:rsid w:val="005063A6"/>
    <w:rsid w:val="005110C0"/>
    <w:rsid w:val="00512523"/>
    <w:rsid w:val="00513D72"/>
    <w:rsid w:val="00514217"/>
    <w:rsid w:val="00514DCF"/>
    <w:rsid w:val="0051656A"/>
    <w:rsid w:val="0051688A"/>
    <w:rsid w:val="005200CB"/>
    <w:rsid w:val="0052098C"/>
    <w:rsid w:val="00526C85"/>
    <w:rsid w:val="0053001B"/>
    <w:rsid w:val="005319CF"/>
    <w:rsid w:val="005364A1"/>
    <w:rsid w:val="0054163B"/>
    <w:rsid w:val="005448A4"/>
    <w:rsid w:val="00545CBA"/>
    <w:rsid w:val="005463B2"/>
    <w:rsid w:val="00546DBA"/>
    <w:rsid w:val="005476EE"/>
    <w:rsid w:val="00550578"/>
    <w:rsid w:val="00551294"/>
    <w:rsid w:val="00551A82"/>
    <w:rsid w:val="0055263C"/>
    <w:rsid w:val="00552B4C"/>
    <w:rsid w:val="00553CC6"/>
    <w:rsid w:val="005545FA"/>
    <w:rsid w:val="0055669B"/>
    <w:rsid w:val="005620D4"/>
    <w:rsid w:val="00562BD1"/>
    <w:rsid w:val="005716A2"/>
    <w:rsid w:val="0057215B"/>
    <w:rsid w:val="00573977"/>
    <w:rsid w:val="00575863"/>
    <w:rsid w:val="005760F9"/>
    <w:rsid w:val="005766DB"/>
    <w:rsid w:val="00577A51"/>
    <w:rsid w:val="005812E7"/>
    <w:rsid w:val="00581B0E"/>
    <w:rsid w:val="00581F29"/>
    <w:rsid w:val="00583001"/>
    <w:rsid w:val="00583ED0"/>
    <w:rsid w:val="0058434E"/>
    <w:rsid w:val="00585207"/>
    <w:rsid w:val="0058723C"/>
    <w:rsid w:val="00587B21"/>
    <w:rsid w:val="00590447"/>
    <w:rsid w:val="00591FC4"/>
    <w:rsid w:val="00592F14"/>
    <w:rsid w:val="00593327"/>
    <w:rsid w:val="00593BAF"/>
    <w:rsid w:val="005948A6"/>
    <w:rsid w:val="00594C2E"/>
    <w:rsid w:val="005A09C7"/>
    <w:rsid w:val="005A1FD3"/>
    <w:rsid w:val="005A4BB7"/>
    <w:rsid w:val="005A54AB"/>
    <w:rsid w:val="005A5975"/>
    <w:rsid w:val="005A618F"/>
    <w:rsid w:val="005B1276"/>
    <w:rsid w:val="005B264F"/>
    <w:rsid w:val="005B2D59"/>
    <w:rsid w:val="005B5101"/>
    <w:rsid w:val="005B55AF"/>
    <w:rsid w:val="005B71B6"/>
    <w:rsid w:val="005B7389"/>
    <w:rsid w:val="005B74AE"/>
    <w:rsid w:val="005C0B60"/>
    <w:rsid w:val="005C3018"/>
    <w:rsid w:val="005C5225"/>
    <w:rsid w:val="005C5CA9"/>
    <w:rsid w:val="005C5EB3"/>
    <w:rsid w:val="005C6B2E"/>
    <w:rsid w:val="005D1106"/>
    <w:rsid w:val="005D11B0"/>
    <w:rsid w:val="005D17E6"/>
    <w:rsid w:val="005D1B45"/>
    <w:rsid w:val="005D2BBB"/>
    <w:rsid w:val="005D3E5E"/>
    <w:rsid w:val="005D65CB"/>
    <w:rsid w:val="005E1249"/>
    <w:rsid w:val="005E20EA"/>
    <w:rsid w:val="005E214D"/>
    <w:rsid w:val="005E373C"/>
    <w:rsid w:val="005F4652"/>
    <w:rsid w:val="005F589B"/>
    <w:rsid w:val="005F62EA"/>
    <w:rsid w:val="005F657C"/>
    <w:rsid w:val="005F7BA7"/>
    <w:rsid w:val="006002B2"/>
    <w:rsid w:val="00604898"/>
    <w:rsid w:val="00604F66"/>
    <w:rsid w:val="00605A28"/>
    <w:rsid w:val="0060631E"/>
    <w:rsid w:val="006066EA"/>
    <w:rsid w:val="006075E5"/>
    <w:rsid w:val="00607739"/>
    <w:rsid w:val="00607A45"/>
    <w:rsid w:val="00607B6D"/>
    <w:rsid w:val="00607E7A"/>
    <w:rsid w:val="0061031B"/>
    <w:rsid w:val="006105C6"/>
    <w:rsid w:val="00611281"/>
    <w:rsid w:val="00611748"/>
    <w:rsid w:val="0061192E"/>
    <w:rsid w:val="00611AF5"/>
    <w:rsid w:val="00612A4C"/>
    <w:rsid w:val="00613F7C"/>
    <w:rsid w:val="006141F8"/>
    <w:rsid w:val="006158C3"/>
    <w:rsid w:val="006158EC"/>
    <w:rsid w:val="00615C48"/>
    <w:rsid w:val="006201C5"/>
    <w:rsid w:val="006235AE"/>
    <w:rsid w:val="00624325"/>
    <w:rsid w:val="0062522C"/>
    <w:rsid w:val="00627102"/>
    <w:rsid w:val="00627474"/>
    <w:rsid w:val="0063100C"/>
    <w:rsid w:val="00631684"/>
    <w:rsid w:val="006318BC"/>
    <w:rsid w:val="00635481"/>
    <w:rsid w:val="0064036B"/>
    <w:rsid w:val="00640549"/>
    <w:rsid w:val="00640E95"/>
    <w:rsid w:val="00641B64"/>
    <w:rsid w:val="006427E3"/>
    <w:rsid w:val="00643E4F"/>
    <w:rsid w:val="00650CA7"/>
    <w:rsid w:val="0065122F"/>
    <w:rsid w:val="00651396"/>
    <w:rsid w:val="0065327A"/>
    <w:rsid w:val="006535A6"/>
    <w:rsid w:val="00653F93"/>
    <w:rsid w:val="00656080"/>
    <w:rsid w:val="006568F6"/>
    <w:rsid w:val="0066116A"/>
    <w:rsid w:val="00661E9E"/>
    <w:rsid w:val="0066212C"/>
    <w:rsid w:val="0066409A"/>
    <w:rsid w:val="00664B77"/>
    <w:rsid w:val="00665AEB"/>
    <w:rsid w:val="00665D29"/>
    <w:rsid w:val="0066749F"/>
    <w:rsid w:val="00671F38"/>
    <w:rsid w:val="00672B13"/>
    <w:rsid w:val="006822CE"/>
    <w:rsid w:val="0068367D"/>
    <w:rsid w:val="00684769"/>
    <w:rsid w:val="006856AC"/>
    <w:rsid w:val="00686983"/>
    <w:rsid w:val="00687E81"/>
    <w:rsid w:val="00693971"/>
    <w:rsid w:val="006939FF"/>
    <w:rsid w:val="00693A12"/>
    <w:rsid w:val="00694857"/>
    <w:rsid w:val="0069495B"/>
    <w:rsid w:val="0069778F"/>
    <w:rsid w:val="006A3AC8"/>
    <w:rsid w:val="006A4C36"/>
    <w:rsid w:val="006A5E70"/>
    <w:rsid w:val="006A64E5"/>
    <w:rsid w:val="006B15ED"/>
    <w:rsid w:val="006B2C47"/>
    <w:rsid w:val="006B391B"/>
    <w:rsid w:val="006B3EF2"/>
    <w:rsid w:val="006C21A2"/>
    <w:rsid w:val="006C53F0"/>
    <w:rsid w:val="006C6088"/>
    <w:rsid w:val="006C658F"/>
    <w:rsid w:val="006C70C0"/>
    <w:rsid w:val="006D1946"/>
    <w:rsid w:val="006D42B3"/>
    <w:rsid w:val="006E260E"/>
    <w:rsid w:val="006E2DCD"/>
    <w:rsid w:val="006E77B6"/>
    <w:rsid w:val="006E79D8"/>
    <w:rsid w:val="006E7C93"/>
    <w:rsid w:val="006F1617"/>
    <w:rsid w:val="006F1DA1"/>
    <w:rsid w:val="006F23A8"/>
    <w:rsid w:val="006F2EE5"/>
    <w:rsid w:val="00702067"/>
    <w:rsid w:val="00703A26"/>
    <w:rsid w:val="00705B7E"/>
    <w:rsid w:val="00706896"/>
    <w:rsid w:val="007068F3"/>
    <w:rsid w:val="00706AC6"/>
    <w:rsid w:val="00707C99"/>
    <w:rsid w:val="00713EF9"/>
    <w:rsid w:val="00714587"/>
    <w:rsid w:val="0071556B"/>
    <w:rsid w:val="00715BB6"/>
    <w:rsid w:val="00715F12"/>
    <w:rsid w:val="00720B88"/>
    <w:rsid w:val="007221A2"/>
    <w:rsid w:val="00722FB2"/>
    <w:rsid w:val="00724811"/>
    <w:rsid w:val="00727660"/>
    <w:rsid w:val="00727C4F"/>
    <w:rsid w:val="00730404"/>
    <w:rsid w:val="00731DEC"/>
    <w:rsid w:val="007320C7"/>
    <w:rsid w:val="00733336"/>
    <w:rsid w:val="00735F92"/>
    <w:rsid w:val="007368E8"/>
    <w:rsid w:val="00737131"/>
    <w:rsid w:val="00737487"/>
    <w:rsid w:val="00741332"/>
    <w:rsid w:val="007419E2"/>
    <w:rsid w:val="00742E06"/>
    <w:rsid w:val="0074330D"/>
    <w:rsid w:val="0074341A"/>
    <w:rsid w:val="00743F25"/>
    <w:rsid w:val="00744AF8"/>
    <w:rsid w:val="00747AFD"/>
    <w:rsid w:val="00750145"/>
    <w:rsid w:val="00750C6A"/>
    <w:rsid w:val="00754F08"/>
    <w:rsid w:val="007552E5"/>
    <w:rsid w:val="00756E7E"/>
    <w:rsid w:val="00757D23"/>
    <w:rsid w:val="007619DC"/>
    <w:rsid w:val="00762FFE"/>
    <w:rsid w:val="00764A33"/>
    <w:rsid w:val="00765FBB"/>
    <w:rsid w:val="00766FE5"/>
    <w:rsid w:val="00767D8A"/>
    <w:rsid w:val="00771FD5"/>
    <w:rsid w:val="007748C1"/>
    <w:rsid w:val="00776491"/>
    <w:rsid w:val="00776C43"/>
    <w:rsid w:val="00781237"/>
    <w:rsid w:val="007819DD"/>
    <w:rsid w:val="007820A0"/>
    <w:rsid w:val="0078278F"/>
    <w:rsid w:val="00784804"/>
    <w:rsid w:val="00785680"/>
    <w:rsid w:val="0078629A"/>
    <w:rsid w:val="007862AF"/>
    <w:rsid w:val="00790248"/>
    <w:rsid w:val="0079111B"/>
    <w:rsid w:val="00791583"/>
    <w:rsid w:val="0079254F"/>
    <w:rsid w:val="007940D4"/>
    <w:rsid w:val="0079493D"/>
    <w:rsid w:val="00795BC9"/>
    <w:rsid w:val="00795D74"/>
    <w:rsid w:val="00796673"/>
    <w:rsid w:val="00797A10"/>
    <w:rsid w:val="007A1107"/>
    <w:rsid w:val="007A1628"/>
    <w:rsid w:val="007A2F68"/>
    <w:rsid w:val="007A3F05"/>
    <w:rsid w:val="007A4C55"/>
    <w:rsid w:val="007A4FF4"/>
    <w:rsid w:val="007A51D9"/>
    <w:rsid w:val="007A60ED"/>
    <w:rsid w:val="007A6A11"/>
    <w:rsid w:val="007A6E04"/>
    <w:rsid w:val="007A7BA2"/>
    <w:rsid w:val="007B0CD2"/>
    <w:rsid w:val="007B1D55"/>
    <w:rsid w:val="007B2918"/>
    <w:rsid w:val="007B2E58"/>
    <w:rsid w:val="007B596D"/>
    <w:rsid w:val="007B6594"/>
    <w:rsid w:val="007B7DB2"/>
    <w:rsid w:val="007C4727"/>
    <w:rsid w:val="007C4EB1"/>
    <w:rsid w:val="007D04E7"/>
    <w:rsid w:val="007D093F"/>
    <w:rsid w:val="007D12A4"/>
    <w:rsid w:val="007D1C9A"/>
    <w:rsid w:val="007D2887"/>
    <w:rsid w:val="007D6ABD"/>
    <w:rsid w:val="007E0D29"/>
    <w:rsid w:val="007E35D4"/>
    <w:rsid w:val="007E5841"/>
    <w:rsid w:val="007E66C2"/>
    <w:rsid w:val="007E6B6C"/>
    <w:rsid w:val="007F1308"/>
    <w:rsid w:val="007F24D4"/>
    <w:rsid w:val="007F35F8"/>
    <w:rsid w:val="007F45FA"/>
    <w:rsid w:val="007F4C5C"/>
    <w:rsid w:val="007F54A7"/>
    <w:rsid w:val="008000A6"/>
    <w:rsid w:val="00800535"/>
    <w:rsid w:val="008005CB"/>
    <w:rsid w:val="00801111"/>
    <w:rsid w:val="00803A72"/>
    <w:rsid w:val="008042E7"/>
    <w:rsid w:val="00804451"/>
    <w:rsid w:val="00807BDC"/>
    <w:rsid w:val="00812A91"/>
    <w:rsid w:val="0081307D"/>
    <w:rsid w:val="008130BA"/>
    <w:rsid w:val="008139D8"/>
    <w:rsid w:val="00816083"/>
    <w:rsid w:val="0081668F"/>
    <w:rsid w:val="00816A9A"/>
    <w:rsid w:val="00821BED"/>
    <w:rsid w:val="00822DC3"/>
    <w:rsid w:val="00825C54"/>
    <w:rsid w:val="00826910"/>
    <w:rsid w:val="00826BD8"/>
    <w:rsid w:val="00827D46"/>
    <w:rsid w:val="00831C29"/>
    <w:rsid w:val="008326BF"/>
    <w:rsid w:val="008344D0"/>
    <w:rsid w:val="0085036F"/>
    <w:rsid w:val="008518CC"/>
    <w:rsid w:val="00853B14"/>
    <w:rsid w:val="00854107"/>
    <w:rsid w:val="00860F49"/>
    <w:rsid w:val="00861C00"/>
    <w:rsid w:val="00861FB0"/>
    <w:rsid w:val="00862421"/>
    <w:rsid w:val="00863C3E"/>
    <w:rsid w:val="008644D6"/>
    <w:rsid w:val="00865F0C"/>
    <w:rsid w:val="00867479"/>
    <w:rsid w:val="00870D08"/>
    <w:rsid w:val="0087279E"/>
    <w:rsid w:val="0087299A"/>
    <w:rsid w:val="00873780"/>
    <w:rsid w:val="00873A14"/>
    <w:rsid w:val="008757F8"/>
    <w:rsid w:val="00876D08"/>
    <w:rsid w:val="008772BB"/>
    <w:rsid w:val="008775B9"/>
    <w:rsid w:val="00877C67"/>
    <w:rsid w:val="00881299"/>
    <w:rsid w:val="00881355"/>
    <w:rsid w:val="00881DD5"/>
    <w:rsid w:val="008821FA"/>
    <w:rsid w:val="0088430D"/>
    <w:rsid w:val="00885E0D"/>
    <w:rsid w:val="00887858"/>
    <w:rsid w:val="00890072"/>
    <w:rsid w:val="0089112A"/>
    <w:rsid w:val="0089112C"/>
    <w:rsid w:val="008928D3"/>
    <w:rsid w:val="00892E89"/>
    <w:rsid w:val="008949D2"/>
    <w:rsid w:val="00894B6F"/>
    <w:rsid w:val="00895028"/>
    <w:rsid w:val="0089565E"/>
    <w:rsid w:val="00895B11"/>
    <w:rsid w:val="00896621"/>
    <w:rsid w:val="00896E1C"/>
    <w:rsid w:val="00897BDE"/>
    <w:rsid w:val="008A311B"/>
    <w:rsid w:val="008A4183"/>
    <w:rsid w:val="008A6049"/>
    <w:rsid w:val="008A753F"/>
    <w:rsid w:val="008B0006"/>
    <w:rsid w:val="008B08FD"/>
    <w:rsid w:val="008B09C2"/>
    <w:rsid w:val="008B100B"/>
    <w:rsid w:val="008B14B3"/>
    <w:rsid w:val="008B1B22"/>
    <w:rsid w:val="008B248E"/>
    <w:rsid w:val="008B340B"/>
    <w:rsid w:val="008B355C"/>
    <w:rsid w:val="008C19B4"/>
    <w:rsid w:val="008C1BF0"/>
    <w:rsid w:val="008C2278"/>
    <w:rsid w:val="008C780C"/>
    <w:rsid w:val="008D0195"/>
    <w:rsid w:val="008D1F95"/>
    <w:rsid w:val="008D25CA"/>
    <w:rsid w:val="008D278D"/>
    <w:rsid w:val="008D4538"/>
    <w:rsid w:val="008D47B7"/>
    <w:rsid w:val="008D4F29"/>
    <w:rsid w:val="008D7202"/>
    <w:rsid w:val="008D7AB6"/>
    <w:rsid w:val="008E6277"/>
    <w:rsid w:val="008E6D7C"/>
    <w:rsid w:val="008E7D80"/>
    <w:rsid w:val="008F0608"/>
    <w:rsid w:val="008F0BEB"/>
    <w:rsid w:val="008F33FC"/>
    <w:rsid w:val="008F7651"/>
    <w:rsid w:val="009014F7"/>
    <w:rsid w:val="009048D5"/>
    <w:rsid w:val="00905D5B"/>
    <w:rsid w:val="0090614B"/>
    <w:rsid w:val="0090649B"/>
    <w:rsid w:val="00910315"/>
    <w:rsid w:val="00910465"/>
    <w:rsid w:val="00911459"/>
    <w:rsid w:val="009119DD"/>
    <w:rsid w:val="009122C0"/>
    <w:rsid w:val="00913418"/>
    <w:rsid w:val="00915C51"/>
    <w:rsid w:val="009162C9"/>
    <w:rsid w:val="00916E06"/>
    <w:rsid w:val="009221F5"/>
    <w:rsid w:val="0092531D"/>
    <w:rsid w:val="00925377"/>
    <w:rsid w:val="00925FCC"/>
    <w:rsid w:val="009269EF"/>
    <w:rsid w:val="0092748A"/>
    <w:rsid w:val="00934A9E"/>
    <w:rsid w:val="00935757"/>
    <w:rsid w:val="00935AE0"/>
    <w:rsid w:val="00935CC3"/>
    <w:rsid w:val="009379D3"/>
    <w:rsid w:val="00937D90"/>
    <w:rsid w:val="00944E74"/>
    <w:rsid w:val="00946801"/>
    <w:rsid w:val="009474B9"/>
    <w:rsid w:val="00950087"/>
    <w:rsid w:val="009507D2"/>
    <w:rsid w:val="00952FCF"/>
    <w:rsid w:val="00953194"/>
    <w:rsid w:val="00957BA7"/>
    <w:rsid w:val="009624E2"/>
    <w:rsid w:val="009639C2"/>
    <w:rsid w:val="00966015"/>
    <w:rsid w:val="009722A8"/>
    <w:rsid w:val="00974239"/>
    <w:rsid w:val="00974EC6"/>
    <w:rsid w:val="00983523"/>
    <w:rsid w:val="0098386B"/>
    <w:rsid w:val="00984961"/>
    <w:rsid w:val="00984DC3"/>
    <w:rsid w:val="009875B6"/>
    <w:rsid w:val="009915DA"/>
    <w:rsid w:val="00992C52"/>
    <w:rsid w:val="0099561A"/>
    <w:rsid w:val="009A1E96"/>
    <w:rsid w:val="009A26E0"/>
    <w:rsid w:val="009A3A6A"/>
    <w:rsid w:val="009A45E6"/>
    <w:rsid w:val="009B1A28"/>
    <w:rsid w:val="009B4D34"/>
    <w:rsid w:val="009B6885"/>
    <w:rsid w:val="009B7CAA"/>
    <w:rsid w:val="009D0C66"/>
    <w:rsid w:val="009D3675"/>
    <w:rsid w:val="009D433B"/>
    <w:rsid w:val="009D7E0F"/>
    <w:rsid w:val="009E19F4"/>
    <w:rsid w:val="009E1B02"/>
    <w:rsid w:val="009E2416"/>
    <w:rsid w:val="009E2FF7"/>
    <w:rsid w:val="009E4173"/>
    <w:rsid w:val="009E44D3"/>
    <w:rsid w:val="009E4D9F"/>
    <w:rsid w:val="009E5139"/>
    <w:rsid w:val="009E5FFC"/>
    <w:rsid w:val="009E7836"/>
    <w:rsid w:val="009F1A45"/>
    <w:rsid w:val="009F65DA"/>
    <w:rsid w:val="009F66D8"/>
    <w:rsid w:val="009F680E"/>
    <w:rsid w:val="009F6AB8"/>
    <w:rsid w:val="00A02299"/>
    <w:rsid w:val="00A02C54"/>
    <w:rsid w:val="00A041BD"/>
    <w:rsid w:val="00A041C6"/>
    <w:rsid w:val="00A04748"/>
    <w:rsid w:val="00A05827"/>
    <w:rsid w:val="00A079A4"/>
    <w:rsid w:val="00A07E80"/>
    <w:rsid w:val="00A11ADA"/>
    <w:rsid w:val="00A11D60"/>
    <w:rsid w:val="00A12953"/>
    <w:rsid w:val="00A131ED"/>
    <w:rsid w:val="00A138B3"/>
    <w:rsid w:val="00A13A5D"/>
    <w:rsid w:val="00A1450F"/>
    <w:rsid w:val="00A17705"/>
    <w:rsid w:val="00A1791F"/>
    <w:rsid w:val="00A2118E"/>
    <w:rsid w:val="00A211E5"/>
    <w:rsid w:val="00A228CD"/>
    <w:rsid w:val="00A22C3A"/>
    <w:rsid w:val="00A22DB3"/>
    <w:rsid w:val="00A2434D"/>
    <w:rsid w:val="00A25349"/>
    <w:rsid w:val="00A25B0F"/>
    <w:rsid w:val="00A2703A"/>
    <w:rsid w:val="00A32E4D"/>
    <w:rsid w:val="00A35A22"/>
    <w:rsid w:val="00A3697E"/>
    <w:rsid w:val="00A4021F"/>
    <w:rsid w:val="00A41082"/>
    <w:rsid w:val="00A43215"/>
    <w:rsid w:val="00A44561"/>
    <w:rsid w:val="00A52381"/>
    <w:rsid w:val="00A53DF1"/>
    <w:rsid w:val="00A553E2"/>
    <w:rsid w:val="00A612A3"/>
    <w:rsid w:val="00A61600"/>
    <w:rsid w:val="00A6216F"/>
    <w:rsid w:val="00A63B61"/>
    <w:rsid w:val="00A64644"/>
    <w:rsid w:val="00A6476C"/>
    <w:rsid w:val="00A65B57"/>
    <w:rsid w:val="00A66BA4"/>
    <w:rsid w:val="00A73884"/>
    <w:rsid w:val="00A742DB"/>
    <w:rsid w:val="00A75345"/>
    <w:rsid w:val="00A7589A"/>
    <w:rsid w:val="00A75B98"/>
    <w:rsid w:val="00A806E0"/>
    <w:rsid w:val="00A82B03"/>
    <w:rsid w:val="00A84063"/>
    <w:rsid w:val="00A90E0A"/>
    <w:rsid w:val="00A90E4F"/>
    <w:rsid w:val="00A90EF1"/>
    <w:rsid w:val="00A92497"/>
    <w:rsid w:val="00A954A7"/>
    <w:rsid w:val="00A9670D"/>
    <w:rsid w:val="00A968E8"/>
    <w:rsid w:val="00A978CF"/>
    <w:rsid w:val="00AA0751"/>
    <w:rsid w:val="00AA0A1D"/>
    <w:rsid w:val="00AA2455"/>
    <w:rsid w:val="00AA31E1"/>
    <w:rsid w:val="00AA38D4"/>
    <w:rsid w:val="00AA3D86"/>
    <w:rsid w:val="00AA430B"/>
    <w:rsid w:val="00AA6273"/>
    <w:rsid w:val="00AA6441"/>
    <w:rsid w:val="00AA72D1"/>
    <w:rsid w:val="00AA79C2"/>
    <w:rsid w:val="00AB0DEA"/>
    <w:rsid w:val="00AB1B35"/>
    <w:rsid w:val="00AB2CD3"/>
    <w:rsid w:val="00AB490D"/>
    <w:rsid w:val="00AB4D5E"/>
    <w:rsid w:val="00AB6AB8"/>
    <w:rsid w:val="00AC143C"/>
    <w:rsid w:val="00AC1AB1"/>
    <w:rsid w:val="00AC263F"/>
    <w:rsid w:val="00AC3303"/>
    <w:rsid w:val="00AC363A"/>
    <w:rsid w:val="00AC3EF0"/>
    <w:rsid w:val="00AC5AB6"/>
    <w:rsid w:val="00AD0F58"/>
    <w:rsid w:val="00AD146B"/>
    <w:rsid w:val="00AD17CD"/>
    <w:rsid w:val="00AD3786"/>
    <w:rsid w:val="00AD5BDF"/>
    <w:rsid w:val="00AD7292"/>
    <w:rsid w:val="00AD7A8F"/>
    <w:rsid w:val="00AE0820"/>
    <w:rsid w:val="00AE0AE8"/>
    <w:rsid w:val="00AE0F3F"/>
    <w:rsid w:val="00AE299D"/>
    <w:rsid w:val="00AE30F4"/>
    <w:rsid w:val="00AE3A68"/>
    <w:rsid w:val="00AE462C"/>
    <w:rsid w:val="00AE5450"/>
    <w:rsid w:val="00AE76B8"/>
    <w:rsid w:val="00AF131B"/>
    <w:rsid w:val="00AF18B0"/>
    <w:rsid w:val="00AF2070"/>
    <w:rsid w:val="00AF3E91"/>
    <w:rsid w:val="00AF47E4"/>
    <w:rsid w:val="00B01787"/>
    <w:rsid w:val="00B02314"/>
    <w:rsid w:val="00B024CA"/>
    <w:rsid w:val="00B02777"/>
    <w:rsid w:val="00B037FE"/>
    <w:rsid w:val="00B059D8"/>
    <w:rsid w:val="00B05B35"/>
    <w:rsid w:val="00B05D65"/>
    <w:rsid w:val="00B1068C"/>
    <w:rsid w:val="00B11A22"/>
    <w:rsid w:val="00B12520"/>
    <w:rsid w:val="00B134DA"/>
    <w:rsid w:val="00B13DDC"/>
    <w:rsid w:val="00B17B77"/>
    <w:rsid w:val="00B17C16"/>
    <w:rsid w:val="00B22D46"/>
    <w:rsid w:val="00B2312E"/>
    <w:rsid w:val="00B24863"/>
    <w:rsid w:val="00B25FFC"/>
    <w:rsid w:val="00B2633D"/>
    <w:rsid w:val="00B278C9"/>
    <w:rsid w:val="00B33535"/>
    <w:rsid w:val="00B35E15"/>
    <w:rsid w:val="00B37F0E"/>
    <w:rsid w:val="00B432E3"/>
    <w:rsid w:val="00B44E36"/>
    <w:rsid w:val="00B45B2D"/>
    <w:rsid w:val="00B4682E"/>
    <w:rsid w:val="00B4745B"/>
    <w:rsid w:val="00B47CAD"/>
    <w:rsid w:val="00B505CF"/>
    <w:rsid w:val="00B51F0F"/>
    <w:rsid w:val="00B52257"/>
    <w:rsid w:val="00B525E3"/>
    <w:rsid w:val="00B54479"/>
    <w:rsid w:val="00B551BE"/>
    <w:rsid w:val="00B5597D"/>
    <w:rsid w:val="00B55B25"/>
    <w:rsid w:val="00B60A3F"/>
    <w:rsid w:val="00B641B9"/>
    <w:rsid w:val="00B64B96"/>
    <w:rsid w:val="00B65CA4"/>
    <w:rsid w:val="00B703EF"/>
    <w:rsid w:val="00B70B63"/>
    <w:rsid w:val="00B70F25"/>
    <w:rsid w:val="00B774B1"/>
    <w:rsid w:val="00B811B5"/>
    <w:rsid w:val="00B81EF6"/>
    <w:rsid w:val="00B82B19"/>
    <w:rsid w:val="00B85744"/>
    <w:rsid w:val="00B87C72"/>
    <w:rsid w:val="00B917EF"/>
    <w:rsid w:val="00B921F8"/>
    <w:rsid w:val="00B92791"/>
    <w:rsid w:val="00B935D4"/>
    <w:rsid w:val="00B93A3B"/>
    <w:rsid w:val="00B95345"/>
    <w:rsid w:val="00B9703B"/>
    <w:rsid w:val="00B97406"/>
    <w:rsid w:val="00BA2CC7"/>
    <w:rsid w:val="00BA329B"/>
    <w:rsid w:val="00BA4CF2"/>
    <w:rsid w:val="00BA5E80"/>
    <w:rsid w:val="00BA5EE7"/>
    <w:rsid w:val="00BA60E6"/>
    <w:rsid w:val="00BB1130"/>
    <w:rsid w:val="00BB312D"/>
    <w:rsid w:val="00BB5B0D"/>
    <w:rsid w:val="00BB6059"/>
    <w:rsid w:val="00BB65B2"/>
    <w:rsid w:val="00BB6D46"/>
    <w:rsid w:val="00BC0A48"/>
    <w:rsid w:val="00BC28C3"/>
    <w:rsid w:val="00BC2D84"/>
    <w:rsid w:val="00BC3056"/>
    <w:rsid w:val="00BC516C"/>
    <w:rsid w:val="00BC5860"/>
    <w:rsid w:val="00BD1CF4"/>
    <w:rsid w:val="00BD24D8"/>
    <w:rsid w:val="00BD33E8"/>
    <w:rsid w:val="00BD52FE"/>
    <w:rsid w:val="00BD5D2A"/>
    <w:rsid w:val="00BD7E9D"/>
    <w:rsid w:val="00BE30A3"/>
    <w:rsid w:val="00BE361D"/>
    <w:rsid w:val="00BE4FAF"/>
    <w:rsid w:val="00BE5631"/>
    <w:rsid w:val="00BF081A"/>
    <w:rsid w:val="00BF1D28"/>
    <w:rsid w:val="00BF40D9"/>
    <w:rsid w:val="00BF5DCC"/>
    <w:rsid w:val="00C00860"/>
    <w:rsid w:val="00C00E26"/>
    <w:rsid w:val="00C014F5"/>
    <w:rsid w:val="00C01623"/>
    <w:rsid w:val="00C01C14"/>
    <w:rsid w:val="00C02319"/>
    <w:rsid w:val="00C03104"/>
    <w:rsid w:val="00C03B7F"/>
    <w:rsid w:val="00C03CBF"/>
    <w:rsid w:val="00C060A5"/>
    <w:rsid w:val="00C061BA"/>
    <w:rsid w:val="00C07658"/>
    <w:rsid w:val="00C07C21"/>
    <w:rsid w:val="00C113C6"/>
    <w:rsid w:val="00C1410B"/>
    <w:rsid w:val="00C14674"/>
    <w:rsid w:val="00C1495B"/>
    <w:rsid w:val="00C14970"/>
    <w:rsid w:val="00C15CD2"/>
    <w:rsid w:val="00C1643C"/>
    <w:rsid w:val="00C16486"/>
    <w:rsid w:val="00C1691F"/>
    <w:rsid w:val="00C16976"/>
    <w:rsid w:val="00C177FA"/>
    <w:rsid w:val="00C20A67"/>
    <w:rsid w:val="00C234D4"/>
    <w:rsid w:val="00C24659"/>
    <w:rsid w:val="00C246F8"/>
    <w:rsid w:val="00C251F9"/>
    <w:rsid w:val="00C25359"/>
    <w:rsid w:val="00C2696B"/>
    <w:rsid w:val="00C311F4"/>
    <w:rsid w:val="00C330AB"/>
    <w:rsid w:val="00C3359B"/>
    <w:rsid w:val="00C3493F"/>
    <w:rsid w:val="00C40178"/>
    <w:rsid w:val="00C40DFF"/>
    <w:rsid w:val="00C41242"/>
    <w:rsid w:val="00C429FD"/>
    <w:rsid w:val="00C43197"/>
    <w:rsid w:val="00C43AF0"/>
    <w:rsid w:val="00C460F8"/>
    <w:rsid w:val="00C4647A"/>
    <w:rsid w:val="00C46973"/>
    <w:rsid w:val="00C46976"/>
    <w:rsid w:val="00C46C10"/>
    <w:rsid w:val="00C50187"/>
    <w:rsid w:val="00C535F6"/>
    <w:rsid w:val="00C5426A"/>
    <w:rsid w:val="00C56EC9"/>
    <w:rsid w:val="00C57159"/>
    <w:rsid w:val="00C57D38"/>
    <w:rsid w:val="00C626C6"/>
    <w:rsid w:val="00C6380C"/>
    <w:rsid w:val="00C64ABF"/>
    <w:rsid w:val="00C65D0F"/>
    <w:rsid w:val="00C65EE5"/>
    <w:rsid w:val="00C70259"/>
    <w:rsid w:val="00C71178"/>
    <w:rsid w:val="00C73C64"/>
    <w:rsid w:val="00C740C4"/>
    <w:rsid w:val="00C75342"/>
    <w:rsid w:val="00C76497"/>
    <w:rsid w:val="00C77783"/>
    <w:rsid w:val="00C825CC"/>
    <w:rsid w:val="00C83093"/>
    <w:rsid w:val="00C8473D"/>
    <w:rsid w:val="00C8597E"/>
    <w:rsid w:val="00C866AD"/>
    <w:rsid w:val="00C87D25"/>
    <w:rsid w:val="00C9059E"/>
    <w:rsid w:val="00C90D78"/>
    <w:rsid w:val="00C91FD6"/>
    <w:rsid w:val="00C92DB9"/>
    <w:rsid w:val="00C93A39"/>
    <w:rsid w:val="00C93C95"/>
    <w:rsid w:val="00C94268"/>
    <w:rsid w:val="00C94AF7"/>
    <w:rsid w:val="00C95A77"/>
    <w:rsid w:val="00C970CD"/>
    <w:rsid w:val="00CA3002"/>
    <w:rsid w:val="00CA3392"/>
    <w:rsid w:val="00CA5F85"/>
    <w:rsid w:val="00CA75D0"/>
    <w:rsid w:val="00CA7CC3"/>
    <w:rsid w:val="00CB071F"/>
    <w:rsid w:val="00CB7C1F"/>
    <w:rsid w:val="00CB7EDD"/>
    <w:rsid w:val="00CB7F34"/>
    <w:rsid w:val="00CC03F3"/>
    <w:rsid w:val="00CC1C89"/>
    <w:rsid w:val="00CC5D03"/>
    <w:rsid w:val="00CC6C05"/>
    <w:rsid w:val="00CD0C26"/>
    <w:rsid w:val="00CD1CAD"/>
    <w:rsid w:val="00CD2AF7"/>
    <w:rsid w:val="00CD4E02"/>
    <w:rsid w:val="00CD5633"/>
    <w:rsid w:val="00CD6F08"/>
    <w:rsid w:val="00CD704D"/>
    <w:rsid w:val="00CD7D6C"/>
    <w:rsid w:val="00CE048E"/>
    <w:rsid w:val="00CE0A50"/>
    <w:rsid w:val="00CE241B"/>
    <w:rsid w:val="00CE3100"/>
    <w:rsid w:val="00CE3718"/>
    <w:rsid w:val="00CE5AE2"/>
    <w:rsid w:val="00CE6913"/>
    <w:rsid w:val="00CF2886"/>
    <w:rsid w:val="00CF2F3A"/>
    <w:rsid w:val="00CF364E"/>
    <w:rsid w:val="00CF4187"/>
    <w:rsid w:val="00CF59B3"/>
    <w:rsid w:val="00CF7821"/>
    <w:rsid w:val="00D00736"/>
    <w:rsid w:val="00D00AF4"/>
    <w:rsid w:val="00D01052"/>
    <w:rsid w:val="00D01448"/>
    <w:rsid w:val="00D03FE6"/>
    <w:rsid w:val="00D05FA0"/>
    <w:rsid w:val="00D06622"/>
    <w:rsid w:val="00D0689D"/>
    <w:rsid w:val="00D07C91"/>
    <w:rsid w:val="00D17607"/>
    <w:rsid w:val="00D179DE"/>
    <w:rsid w:val="00D215DF"/>
    <w:rsid w:val="00D21E01"/>
    <w:rsid w:val="00D25563"/>
    <w:rsid w:val="00D25BDE"/>
    <w:rsid w:val="00D302D4"/>
    <w:rsid w:val="00D33503"/>
    <w:rsid w:val="00D4018F"/>
    <w:rsid w:val="00D40727"/>
    <w:rsid w:val="00D42210"/>
    <w:rsid w:val="00D4385A"/>
    <w:rsid w:val="00D476DA"/>
    <w:rsid w:val="00D50400"/>
    <w:rsid w:val="00D52EAA"/>
    <w:rsid w:val="00D53A73"/>
    <w:rsid w:val="00D54DDD"/>
    <w:rsid w:val="00D568F9"/>
    <w:rsid w:val="00D63F41"/>
    <w:rsid w:val="00D64058"/>
    <w:rsid w:val="00D7196F"/>
    <w:rsid w:val="00D7368D"/>
    <w:rsid w:val="00D73A57"/>
    <w:rsid w:val="00D81AFA"/>
    <w:rsid w:val="00D81E0E"/>
    <w:rsid w:val="00D81FC5"/>
    <w:rsid w:val="00D82258"/>
    <w:rsid w:val="00D8755E"/>
    <w:rsid w:val="00D9015F"/>
    <w:rsid w:val="00D91143"/>
    <w:rsid w:val="00D94DDC"/>
    <w:rsid w:val="00D95AED"/>
    <w:rsid w:val="00D95DBC"/>
    <w:rsid w:val="00DA07EF"/>
    <w:rsid w:val="00DA1021"/>
    <w:rsid w:val="00DA1606"/>
    <w:rsid w:val="00DA46B6"/>
    <w:rsid w:val="00DA4CA2"/>
    <w:rsid w:val="00DA5ED2"/>
    <w:rsid w:val="00DA6027"/>
    <w:rsid w:val="00DB2190"/>
    <w:rsid w:val="00DB3283"/>
    <w:rsid w:val="00DB3863"/>
    <w:rsid w:val="00DB42F9"/>
    <w:rsid w:val="00DB4892"/>
    <w:rsid w:val="00DB4B98"/>
    <w:rsid w:val="00DB721C"/>
    <w:rsid w:val="00DC1F41"/>
    <w:rsid w:val="00DC2918"/>
    <w:rsid w:val="00DC2D59"/>
    <w:rsid w:val="00DC2FA4"/>
    <w:rsid w:val="00DC4C63"/>
    <w:rsid w:val="00DC6B26"/>
    <w:rsid w:val="00DC726D"/>
    <w:rsid w:val="00DC7531"/>
    <w:rsid w:val="00DD081E"/>
    <w:rsid w:val="00DD2152"/>
    <w:rsid w:val="00DD225A"/>
    <w:rsid w:val="00DD51D4"/>
    <w:rsid w:val="00DD717C"/>
    <w:rsid w:val="00DD786F"/>
    <w:rsid w:val="00DD7C7E"/>
    <w:rsid w:val="00DE0242"/>
    <w:rsid w:val="00DE0D3C"/>
    <w:rsid w:val="00DE1421"/>
    <w:rsid w:val="00DE4D47"/>
    <w:rsid w:val="00DF23F9"/>
    <w:rsid w:val="00DF28D7"/>
    <w:rsid w:val="00DF297E"/>
    <w:rsid w:val="00DF51CD"/>
    <w:rsid w:val="00DF7EFF"/>
    <w:rsid w:val="00E0082D"/>
    <w:rsid w:val="00E05753"/>
    <w:rsid w:val="00E060CB"/>
    <w:rsid w:val="00E06991"/>
    <w:rsid w:val="00E0787A"/>
    <w:rsid w:val="00E11F6E"/>
    <w:rsid w:val="00E1381E"/>
    <w:rsid w:val="00E20210"/>
    <w:rsid w:val="00E20EDC"/>
    <w:rsid w:val="00E21933"/>
    <w:rsid w:val="00E22214"/>
    <w:rsid w:val="00E2458D"/>
    <w:rsid w:val="00E249E1"/>
    <w:rsid w:val="00E265A7"/>
    <w:rsid w:val="00E301AC"/>
    <w:rsid w:val="00E306F1"/>
    <w:rsid w:val="00E35119"/>
    <w:rsid w:val="00E3542A"/>
    <w:rsid w:val="00E35BCE"/>
    <w:rsid w:val="00E36573"/>
    <w:rsid w:val="00E369C2"/>
    <w:rsid w:val="00E37809"/>
    <w:rsid w:val="00E41E7E"/>
    <w:rsid w:val="00E45B65"/>
    <w:rsid w:val="00E4647E"/>
    <w:rsid w:val="00E50C37"/>
    <w:rsid w:val="00E530B9"/>
    <w:rsid w:val="00E54026"/>
    <w:rsid w:val="00E54B53"/>
    <w:rsid w:val="00E55264"/>
    <w:rsid w:val="00E605FF"/>
    <w:rsid w:val="00E61417"/>
    <w:rsid w:val="00E67875"/>
    <w:rsid w:val="00E74B2B"/>
    <w:rsid w:val="00E81B72"/>
    <w:rsid w:val="00E81D40"/>
    <w:rsid w:val="00E86D60"/>
    <w:rsid w:val="00E91329"/>
    <w:rsid w:val="00E922E5"/>
    <w:rsid w:val="00E93294"/>
    <w:rsid w:val="00E96458"/>
    <w:rsid w:val="00E97572"/>
    <w:rsid w:val="00EA3AD8"/>
    <w:rsid w:val="00EA4574"/>
    <w:rsid w:val="00EA7176"/>
    <w:rsid w:val="00EB0C34"/>
    <w:rsid w:val="00EB0E0D"/>
    <w:rsid w:val="00EB22CE"/>
    <w:rsid w:val="00EB4962"/>
    <w:rsid w:val="00EB69DE"/>
    <w:rsid w:val="00EC0AD9"/>
    <w:rsid w:val="00EC1007"/>
    <w:rsid w:val="00EC1075"/>
    <w:rsid w:val="00EC2B90"/>
    <w:rsid w:val="00EC532A"/>
    <w:rsid w:val="00EC57E6"/>
    <w:rsid w:val="00EC5A07"/>
    <w:rsid w:val="00ED13EE"/>
    <w:rsid w:val="00ED306C"/>
    <w:rsid w:val="00ED3E25"/>
    <w:rsid w:val="00ED3EA1"/>
    <w:rsid w:val="00ED49F4"/>
    <w:rsid w:val="00ED59EA"/>
    <w:rsid w:val="00ED5D3B"/>
    <w:rsid w:val="00EE0CCD"/>
    <w:rsid w:val="00EE0DB2"/>
    <w:rsid w:val="00EE12EC"/>
    <w:rsid w:val="00EE1442"/>
    <w:rsid w:val="00EE2177"/>
    <w:rsid w:val="00EE26B7"/>
    <w:rsid w:val="00EE682D"/>
    <w:rsid w:val="00EE70F9"/>
    <w:rsid w:val="00EE759E"/>
    <w:rsid w:val="00EF0E80"/>
    <w:rsid w:val="00EF7BC3"/>
    <w:rsid w:val="00EF7CC7"/>
    <w:rsid w:val="00F005AF"/>
    <w:rsid w:val="00F01B24"/>
    <w:rsid w:val="00F024F3"/>
    <w:rsid w:val="00F0744C"/>
    <w:rsid w:val="00F07D86"/>
    <w:rsid w:val="00F10178"/>
    <w:rsid w:val="00F11296"/>
    <w:rsid w:val="00F129FA"/>
    <w:rsid w:val="00F20157"/>
    <w:rsid w:val="00F23C6A"/>
    <w:rsid w:val="00F26D11"/>
    <w:rsid w:val="00F27594"/>
    <w:rsid w:val="00F304BF"/>
    <w:rsid w:val="00F306B2"/>
    <w:rsid w:val="00F317B2"/>
    <w:rsid w:val="00F32213"/>
    <w:rsid w:val="00F322E7"/>
    <w:rsid w:val="00F34CD2"/>
    <w:rsid w:val="00F3570A"/>
    <w:rsid w:val="00F37ADF"/>
    <w:rsid w:val="00F40839"/>
    <w:rsid w:val="00F4313A"/>
    <w:rsid w:val="00F4362A"/>
    <w:rsid w:val="00F45A24"/>
    <w:rsid w:val="00F46364"/>
    <w:rsid w:val="00F47482"/>
    <w:rsid w:val="00F5352F"/>
    <w:rsid w:val="00F5775F"/>
    <w:rsid w:val="00F57B8A"/>
    <w:rsid w:val="00F604C2"/>
    <w:rsid w:val="00F6067F"/>
    <w:rsid w:val="00F614AD"/>
    <w:rsid w:val="00F61A96"/>
    <w:rsid w:val="00F62CD2"/>
    <w:rsid w:val="00F656A1"/>
    <w:rsid w:val="00F65D78"/>
    <w:rsid w:val="00F661AD"/>
    <w:rsid w:val="00F6670E"/>
    <w:rsid w:val="00F6691F"/>
    <w:rsid w:val="00F6758E"/>
    <w:rsid w:val="00F678F3"/>
    <w:rsid w:val="00F67BE4"/>
    <w:rsid w:val="00F705A8"/>
    <w:rsid w:val="00F70679"/>
    <w:rsid w:val="00F70CFC"/>
    <w:rsid w:val="00F71998"/>
    <w:rsid w:val="00F71D55"/>
    <w:rsid w:val="00F721EE"/>
    <w:rsid w:val="00F72D29"/>
    <w:rsid w:val="00F73AB0"/>
    <w:rsid w:val="00F73E25"/>
    <w:rsid w:val="00F74A98"/>
    <w:rsid w:val="00F757C5"/>
    <w:rsid w:val="00F75AAA"/>
    <w:rsid w:val="00F773B2"/>
    <w:rsid w:val="00F77414"/>
    <w:rsid w:val="00F77C7B"/>
    <w:rsid w:val="00F80607"/>
    <w:rsid w:val="00F81A0F"/>
    <w:rsid w:val="00F83B98"/>
    <w:rsid w:val="00F84272"/>
    <w:rsid w:val="00F911A5"/>
    <w:rsid w:val="00F945B1"/>
    <w:rsid w:val="00F94953"/>
    <w:rsid w:val="00F95A87"/>
    <w:rsid w:val="00FA200F"/>
    <w:rsid w:val="00FA3E96"/>
    <w:rsid w:val="00FA67B1"/>
    <w:rsid w:val="00FB7D7A"/>
    <w:rsid w:val="00FC1742"/>
    <w:rsid w:val="00FC41DE"/>
    <w:rsid w:val="00FC4610"/>
    <w:rsid w:val="00FC79CA"/>
    <w:rsid w:val="00FD0C80"/>
    <w:rsid w:val="00FD0D48"/>
    <w:rsid w:val="00FD19E0"/>
    <w:rsid w:val="00FD6215"/>
    <w:rsid w:val="00FE0640"/>
    <w:rsid w:val="00FE0F05"/>
    <w:rsid w:val="00FE29B4"/>
    <w:rsid w:val="00FE3A42"/>
    <w:rsid w:val="00FE50FC"/>
    <w:rsid w:val="00FF1251"/>
    <w:rsid w:val="00FF1946"/>
    <w:rsid w:val="00FF20FD"/>
    <w:rsid w:val="00FF5BE8"/>
    <w:rsid w:val="01A0AC97"/>
    <w:rsid w:val="03080C55"/>
    <w:rsid w:val="19DD0658"/>
    <w:rsid w:val="2D22CCD9"/>
    <w:rsid w:val="30E3A035"/>
    <w:rsid w:val="5380E724"/>
    <w:rsid w:val="58AB7806"/>
    <w:rsid w:val="5BAE4336"/>
    <w:rsid w:val="5FAD40E1"/>
    <w:rsid w:val="6844E8B0"/>
    <w:rsid w:val="73186BBA"/>
    <w:rsid w:val="7758C2AD"/>
    <w:rsid w:val="7E7864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C9B7F920-EF0C-4A75-B748-C637735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1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aliases w:val="Footnote Reference Number,Footnote Reference_LVL6,C26 Footnote Number,Footnote Reference_LVL61,Footnote Reference_LVL62,Footnote Reference_LVL63,Footnote Reference_LVL64,Footnote Reference_LVL65,Footnote symbol,Footnote Reference1"/>
    <w:basedOn w:val="DefaultParagraphFont"/>
    <w:uiPriority w:val="99"/>
    <w:semiHidden/>
    <w:unhideWhenUsed/>
    <w:qFormat/>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E6E1E"/>
  </w:style>
  <w:style w:type="character" w:customStyle="1" w:styleId="Heading1Char">
    <w:name w:val="Heading 1 Char"/>
    <w:basedOn w:val="DefaultParagraphFont"/>
    <w:link w:val="Heading1"/>
    <w:uiPriority w:val="9"/>
    <w:rsid w:val="00CB7C1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9259">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73597041">
      <w:bodyDiv w:val="1"/>
      <w:marLeft w:val="0"/>
      <w:marRight w:val="0"/>
      <w:marTop w:val="0"/>
      <w:marBottom w:val="0"/>
      <w:divBdr>
        <w:top w:val="none" w:sz="0" w:space="0" w:color="auto"/>
        <w:left w:val="none" w:sz="0" w:space="0" w:color="auto"/>
        <w:bottom w:val="none" w:sz="0" w:space="0" w:color="auto"/>
        <w:right w:val="none" w:sz="0" w:space="0" w:color="auto"/>
      </w:divBdr>
    </w:div>
    <w:div w:id="965937825">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989137590">
      <w:bodyDiv w:val="1"/>
      <w:marLeft w:val="0"/>
      <w:marRight w:val="0"/>
      <w:marTop w:val="0"/>
      <w:marBottom w:val="0"/>
      <w:divBdr>
        <w:top w:val="none" w:sz="0" w:space="0" w:color="auto"/>
        <w:left w:val="none" w:sz="0" w:space="0" w:color="auto"/>
        <w:bottom w:val="none" w:sz="0" w:space="0" w:color="auto"/>
        <w:right w:val="none" w:sz="0" w:space="0" w:color="auto"/>
      </w:divBdr>
    </w:div>
    <w:div w:id="1002199435">
      <w:bodyDiv w:val="1"/>
      <w:marLeft w:val="0"/>
      <w:marRight w:val="0"/>
      <w:marTop w:val="0"/>
      <w:marBottom w:val="0"/>
      <w:divBdr>
        <w:top w:val="none" w:sz="0" w:space="0" w:color="auto"/>
        <w:left w:val="none" w:sz="0" w:space="0" w:color="auto"/>
        <w:bottom w:val="none" w:sz="0" w:space="0" w:color="auto"/>
        <w:right w:val="none" w:sz="0" w:space="0" w:color="auto"/>
      </w:divBdr>
    </w:div>
    <w:div w:id="1230576409">
      <w:bodyDiv w:val="1"/>
      <w:marLeft w:val="0"/>
      <w:marRight w:val="0"/>
      <w:marTop w:val="0"/>
      <w:marBottom w:val="0"/>
      <w:divBdr>
        <w:top w:val="none" w:sz="0" w:space="0" w:color="auto"/>
        <w:left w:val="none" w:sz="0" w:space="0" w:color="auto"/>
        <w:bottom w:val="none" w:sz="0" w:space="0" w:color="auto"/>
        <w:right w:val="none" w:sz="0" w:space="0" w:color="auto"/>
      </w:divBdr>
      <w:divsChild>
        <w:div w:id="2012681319">
          <w:marLeft w:val="0"/>
          <w:marRight w:val="0"/>
          <w:marTop w:val="180"/>
          <w:marBottom w:val="0"/>
          <w:divBdr>
            <w:top w:val="none" w:sz="0" w:space="0" w:color="auto"/>
            <w:left w:val="none" w:sz="0" w:space="0" w:color="auto"/>
            <w:bottom w:val="none" w:sz="0" w:space="0" w:color="auto"/>
            <w:right w:val="none" w:sz="0" w:space="0" w:color="auto"/>
          </w:divBdr>
          <w:divsChild>
            <w:div w:id="19014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04313166">
      <w:bodyDiv w:val="1"/>
      <w:marLeft w:val="0"/>
      <w:marRight w:val="0"/>
      <w:marTop w:val="0"/>
      <w:marBottom w:val="0"/>
      <w:divBdr>
        <w:top w:val="none" w:sz="0" w:space="0" w:color="auto"/>
        <w:left w:val="none" w:sz="0" w:space="0" w:color="auto"/>
        <w:bottom w:val="none" w:sz="0" w:space="0" w:color="auto"/>
        <w:right w:val="none" w:sz="0" w:space="0" w:color="auto"/>
      </w:divBdr>
    </w:div>
    <w:div w:id="1391415121">
      <w:bodyDiv w:val="1"/>
      <w:marLeft w:val="0"/>
      <w:marRight w:val="0"/>
      <w:marTop w:val="0"/>
      <w:marBottom w:val="0"/>
      <w:divBdr>
        <w:top w:val="none" w:sz="0" w:space="0" w:color="auto"/>
        <w:left w:val="none" w:sz="0" w:space="0" w:color="auto"/>
        <w:bottom w:val="none" w:sz="0" w:space="0" w:color="auto"/>
        <w:right w:val="none" w:sz="0" w:space="0" w:color="auto"/>
      </w:divBdr>
    </w:div>
    <w:div w:id="1393887925">
      <w:bodyDiv w:val="1"/>
      <w:marLeft w:val="0"/>
      <w:marRight w:val="0"/>
      <w:marTop w:val="0"/>
      <w:marBottom w:val="0"/>
      <w:divBdr>
        <w:top w:val="none" w:sz="0" w:space="0" w:color="auto"/>
        <w:left w:val="none" w:sz="0" w:space="0" w:color="auto"/>
        <w:bottom w:val="none" w:sz="0" w:space="0" w:color="auto"/>
        <w:right w:val="none" w:sz="0" w:space="0" w:color="auto"/>
      </w:divBdr>
    </w:div>
    <w:div w:id="1460537779">
      <w:bodyDiv w:val="1"/>
      <w:marLeft w:val="0"/>
      <w:marRight w:val="0"/>
      <w:marTop w:val="0"/>
      <w:marBottom w:val="0"/>
      <w:divBdr>
        <w:top w:val="none" w:sz="0" w:space="0" w:color="auto"/>
        <w:left w:val="none" w:sz="0" w:space="0" w:color="auto"/>
        <w:bottom w:val="none" w:sz="0" w:space="0" w:color="auto"/>
        <w:right w:val="none" w:sz="0" w:space="0" w:color="auto"/>
      </w:divBdr>
      <w:divsChild>
        <w:div w:id="1865635421">
          <w:marLeft w:val="0"/>
          <w:marRight w:val="0"/>
          <w:marTop w:val="180"/>
          <w:marBottom w:val="0"/>
          <w:divBdr>
            <w:top w:val="none" w:sz="0" w:space="0" w:color="auto"/>
            <w:left w:val="none" w:sz="0" w:space="0" w:color="auto"/>
            <w:bottom w:val="none" w:sz="0" w:space="0" w:color="auto"/>
            <w:right w:val="none" w:sz="0" w:space="0" w:color="auto"/>
          </w:divBdr>
          <w:divsChild>
            <w:div w:id="16704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340">
      <w:bodyDiv w:val="1"/>
      <w:marLeft w:val="0"/>
      <w:marRight w:val="0"/>
      <w:marTop w:val="0"/>
      <w:marBottom w:val="0"/>
      <w:divBdr>
        <w:top w:val="none" w:sz="0" w:space="0" w:color="auto"/>
        <w:left w:val="none" w:sz="0" w:space="0" w:color="auto"/>
        <w:bottom w:val="none" w:sz="0" w:space="0" w:color="auto"/>
        <w:right w:val="none" w:sz="0" w:space="0" w:color="auto"/>
      </w:divBdr>
    </w:div>
    <w:div w:id="1673219724">
      <w:bodyDiv w:val="1"/>
      <w:marLeft w:val="0"/>
      <w:marRight w:val="0"/>
      <w:marTop w:val="0"/>
      <w:marBottom w:val="0"/>
      <w:divBdr>
        <w:top w:val="none" w:sz="0" w:space="0" w:color="auto"/>
        <w:left w:val="none" w:sz="0" w:space="0" w:color="auto"/>
        <w:bottom w:val="none" w:sz="0" w:space="0" w:color="auto"/>
        <w:right w:val="none" w:sz="0" w:space="0" w:color="auto"/>
      </w:divBdr>
    </w:div>
    <w:div w:id="1822580553">
      <w:bodyDiv w:val="1"/>
      <w:marLeft w:val="0"/>
      <w:marRight w:val="0"/>
      <w:marTop w:val="0"/>
      <w:marBottom w:val="0"/>
      <w:divBdr>
        <w:top w:val="none" w:sz="0" w:space="0" w:color="auto"/>
        <w:left w:val="none" w:sz="0" w:space="0" w:color="auto"/>
        <w:bottom w:val="none" w:sz="0" w:space="0" w:color="auto"/>
        <w:right w:val="none" w:sz="0" w:space="0" w:color="auto"/>
      </w:divBdr>
    </w:div>
    <w:div w:id="1845051021">
      <w:bodyDiv w:val="1"/>
      <w:marLeft w:val="0"/>
      <w:marRight w:val="0"/>
      <w:marTop w:val="0"/>
      <w:marBottom w:val="0"/>
      <w:divBdr>
        <w:top w:val="none" w:sz="0" w:space="0" w:color="auto"/>
        <w:left w:val="none" w:sz="0" w:space="0" w:color="auto"/>
        <w:bottom w:val="none" w:sz="0" w:space="0" w:color="auto"/>
        <w:right w:val="none" w:sz="0" w:space="0" w:color="auto"/>
      </w:divBdr>
    </w:div>
    <w:div w:id="194059721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ob-evaluatie.nl/documenten/2021/12/03/coordinatie-nederlands-eu-beleid" TargetMode="External"/><Relationship Id="rId2" Type="http://schemas.openxmlformats.org/officeDocument/2006/relationships/hyperlink" Target="https://www.iob-evaluatie.nl/documenten/2024/10/11/nederlandse-invloed-in-de-eu" TargetMode="External"/><Relationship Id="rId1" Type="http://schemas.openxmlformats.org/officeDocument/2006/relationships/hyperlink" Target="https://www.cpb.nl/persbericht/eu-uitbreiding-leidt-naar-verwachting-tot-beperkte-extra-migratie-naar-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5992</ap:Words>
  <ap:Characters>32962</ap:Characters>
  <ap:DocSecurity>0</ap:DocSecurity>
  <ap:Lines>274</ap:Lines>
  <ap:Paragraphs>77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38877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2026-06-11T12:53:00.0000000Z</lastPrinted>
  <dcterms:created xsi:type="dcterms:W3CDTF">2026-06-11T12:53:00.0000000Z</dcterms:created>
  <dcterms:modified xsi:type="dcterms:W3CDTF">2026-06-11T12:53:00.0000000Z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_dlc_DocIdItemGuid">
    <vt:lpwstr>fbf7c33e-f810-46f2-9f57-9f003447dcdc</vt:lpwstr>
  </property>
  <property fmtid="{D5CDD505-2E9C-101B-9397-08002B2CF9AE}" pid="4" name="MediaServiceImageTags">
    <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Classification">
    <vt:lpwstr>4;#|284e6a62-15ab-4017-be27-a1e965f4e940</vt:lpwstr>
  </property>
  <property fmtid="{D5CDD505-2E9C-101B-9397-08002B2CF9AE}" pid="9" name="BZMarking">
    <vt:lpwstr>5;#NO MARKING|0a4eb9ae-69eb-4d9e-b573-43ab99ef8592</vt:lpwstr>
  </property>
  <property fmtid="{D5CDD505-2E9C-101B-9397-08002B2CF9AE}" pid="10" name="gc2efd3bfea04f7f8169be07009f5536">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https://247.plaza.buzaservices.nl/subject/PV-VZ2026022026/BZ2629033/Beantwoording SO Raad Algemene Zaken d.d. 16 juni 2026.docx</vt:lpwstr>
  </property>
  <property fmtid="{D5CDD505-2E9C-101B-9397-08002B2CF9AE}" pid="25" name="BZDossierBudgetManager">
    <vt:lpwstr/>
  </property>
</Properties>
</file>