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16E" w:rsidP="1D831585" w:rsidRDefault="1D831585" w14:paraId="2D6D8A0E" w14:textId="59DDFBEC">
      <w:pPr>
        <w:spacing w:after="0"/>
        <w:rPr>
          <w:b/>
          <w:bCs/>
        </w:rPr>
      </w:pPr>
      <w:r w:rsidRPr="1D831585">
        <w:rPr>
          <w:b/>
          <w:bCs/>
        </w:rPr>
        <w:t>Vraag 1: Een nadere toelichting te geven op het gevolgde proces rondom de totstandkoming en indiening van het FSP, in het bijzonder op de keuze om de Kamer niet in een eerder stadium te informeren en te betrekken dan wel meer tijd te geven voor de bespreking van het FSP.</w:t>
      </w:r>
    </w:p>
    <w:p w:rsidRPr="00CA76C4" w:rsidR="008F3044" w:rsidP="00CA76C4" w:rsidRDefault="008F3044" w14:paraId="6B543888" w14:textId="77777777">
      <w:pPr>
        <w:spacing w:after="0"/>
        <w:rPr>
          <w:b/>
          <w:bCs/>
        </w:rPr>
      </w:pPr>
    </w:p>
    <w:p w:rsidRPr="00CA76C4" w:rsidR="0019116E" w:rsidP="1D831585" w:rsidRDefault="1D831585" w14:paraId="3240A53D" w14:textId="3ED35261">
      <w:pPr>
        <w:spacing w:after="0"/>
        <w:rPr>
          <w:b/>
          <w:bCs/>
        </w:rPr>
      </w:pPr>
      <w:r w:rsidRPr="1D831585">
        <w:rPr>
          <w:b/>
          <w:bCs/>
        </w:rPr>
        <w:t>Antwoord:</w:t>
      </w:r>
    </w:p>
    <w:p w:rsidR="00BB6A86" w:rsidP="00BB6A86" w:rsidRDefault="1D831585" w14:paraId="579D3683" w14:textId="2AD26A90">
      <w:pPr>
        <w:spacing w:after="0"/>
      </w:pPr>
      <w:r>
        <w:t>Bij aantreden van een nieuw kabinet is het gebruikelijk om een herzien budgettair structureel plan (</w:t>
      </w:r>
      <w:proofErr w:type="spellStart"/>
      <w:r w:rsidRPr="1D831585">
        <w:rPr>
          <w:i/>
          <w:iCs/>
        </w:rPr>
        <w:t>fiscal</w:t>
      </w:r>
      <w:proofErr w:type="spellEnd"/>
      <w:r w:rsidRPr="1D831585">
        <w:rPr>
          <w:i/>
          <w:iCs/>
        </w:rPr>
        <w:t xml:space="preserve"> </w:t>
      </w:r>
      <w:proofErr w:type="spellStart"/>
      <w:r w:rsidRPr="1D831585">
        <w:rPr>
          <w:i/>
          <w:iCs/>
        </w:rPr>
        <w:t>structural</w:t>
      </w:r>
      <w:proofErr w:type="spellEnd"/>
      <w:r w:rsidRPr="1D831585">
        <w:rPr>
          <w:i/>
          <w:iCs/>
        </w:rPr>
        <w:t xml:space="preserve"> plan, </w:t>
      </w:r>
      <w:r>
        <w:t xml:space="preserve">FSP) in te dienen. Inhoudelijk is het FSP een doorvertaling van het beleid dat is gepresenteerd in de Voorjaarsnota (die </w:t>
      </w:r>
      <w:proofErr w:type="gramStart"/>
      <w:r>
        <w:t>tevens</w:t>
      </w:r>
      <w:proofErr w:type="gramEnd"/>
      <w:r>
        <w:t xml:space="preserve"> fungeerde als Startnota), die op 27 maart naar het Parlement is verzonden. Het FSP bevat dus geen nieuw beleid ten opzichte van de Voorjaarsnota. Om deze reden is geprobeerd de aanbieding aan de Tweede Kamer en de verzending naar de Europese Commissie zo veel mogelijk synchroon te laten lopen met de planning en het proces van de Voorjaarsnota. </w:t>
      </w:r>
    </w:p>
    <w:p w:rsidR="008F3044" w:rsidP="00CA76C4" w:rsidRDefault="008F3044" w14:paraId="5BD733E5" w14:textId="77777777">
      <w:pPr>
        <w:spacing w:after="0"/>
      </w:pPr>
    </w:p>
    <w:p w:rsidR="00717C8A" w:rsidP="008F3044" w:rsidRDefault="1D831585" w14:paraId="41DF5FC2" w14:textId="54C515EB">
      <w:pPr>
        <w:spacing w:after="0"/>
      </w:pPr>
      <w:r>
        <w:t>Het FSP is op 13 april 2026 naar de Tweede Kamer gestuurd, zodat het kon worden meegenomen in het Voorjaarsnotadebat van 22 april. Het FSP is niet tegelijk met de Voorjaarsnota verzonden, omdat er enkele realisatiecijfers in het FSP moesten worden verwerkt die niet op tijd beschikbaar waren. Aansluitend op de verzending naar de Tweede Kamer is het FSP op dinsdag 14 april ingediend bij de Europese Commissie.</w:t>
      </w:r>
    </w:p>
    <w:p w:rsidR="008F3044" w:rsidP="00CA76C4" w:rsidRDefault="008F3044" w14:paraId="27F17E66" w14:textId="77777777">
      <w:pPr>
        <w:spacing w:after="0"/>
      </w:pPr>
    </w:p>
    <w:p w:rsidR="009B009A" w:rsidP="00CA76C4" w:rsidRDefault="00717C8A" w14:paraId="4D08E731" w14:textId="0B98D17C">
      <w:pPr>
        <w:spacing w:after="0"/>
      </w:pPr>
      <w:r>
        <w:t xml:space="preserve">Voor </w:t>
      </w:r>
      <w:r w:rsidR="00292FA1">
        <w:t xml:space="preserve">een </w:t>
      </w:r>
      <w:r w:rsidR="008F3044">
        <w:t xml:space="preserve">verdere toelichting </w:t>
      </w:r>
      <w:r w:rsidR="00292FA1">
        <w:t xml:space="preserve">op </w:t>
      </w:r>
      <w:r w:rsidR="008F3044">
        <w:t xml:space="preserve">het </w:t>
      </w:r>
      <w:r>
        <w:t>gevolgde proces rondom de totstandkoming en indiening van het FSP verwijst het kabinet naar de onderliggende beslisnota’s die zijn meegezonden met het FSP</w:t>
      </w:r>
      <w:r w:rsidR="00A97811">
        <w:rPr>
          <w:rStyle w:val="Voetnootmarkering"/>
        </w:rPr>
        <w:footnoteReference w:id="1"/>
      </w:r>
      <w:r>
        <w:t>.</w:t>
      </w:r>
    </w:p>
    <w:p w:rsidR="00717C8A" w:rsidP="00CA76C4" w:rsidRDefault="00717C8A" w14:paraId="088B857C" w14:textId="77777777">
      <w:pPr>
        <w:spacing w:after="0"/>
      </w:pPr>
    </w:p>
    <w:p w:rsidR="0019116E" w:rsidP="1D831585" w:rsidRDefault="1D831585" w14:paraId="5E5611ED" w14:textId="5967BCD2">
      <w:pPr>
        <w:spacing w:after="0"/>
        <w:rPr>
          <w:b/>
          <w:bCs/>
        </w:rPr>
      </w:pPr>
      <w:r w:rsidRPr="1D831585">
        <w:rPr>
          <w:b/>
          <w:bCs/>
        </w:rPr>
        <w:t>Vraag 2: Aan te geven op welke wijze u voornemens bent de Kamer in toekomstige trajecten rondom het FSP tijdig en adequaat te betrekken:</w:t>
      </w:r>
    </w:p>
    <w:p w:rsidRPr="00CA76C4" w:rsidR="008F3044" w:rsidP="00CA76C4" w:rsidRDefault="008F3044" w14:paraId="6C1DB608" w14:textId="77777777">
      <w:pPr>
        <w:spacing w:after="0"/>
        <w:rPr>
          <w:b/>
          <w:bCs/>
        </w:rPr>
      </w:pPr>
    </w:p>
    <w:p w:rsidRPr="008C6D0A" w:rsidR="00DF1DA3" w:rsidP="00DF1DA3" w:rsidRDefault="1D831585" w14:paraId="710CE24B" w14:textId="77777777">
      <w:pPr>
        <w:spacing w:after="0"/>
      </w:pPr>
      <w:r w:rsidRPr="1D831585">
        <w:rPr>
          <w:b/>
          <w:bCs/>
        </w:rPr>
        <w:t>Antwoord:</w:t>
      </w:r>
      <w:r w:rsidR="008C6D0A">
        <w:br/>
      </w:r>
      <w:r>
        <w:t xml:space="preserve">Een FSP wordt aan het begin van een regeerperiode ingediend. Een volgend kabinet zal bij indiening van een volgend FSP opnieuw bezien hoe dit traject vorm te geven, daarbij rekening houdend met zowel de tijdslijnen van de nationale en Europese begrotingsstukken als de wens van de Kamer of tijdig en adequaat betrokken te worden. </w:t>
      </w:r>
    </w:p>
    <w:p w:rsidR="008C6D0A" w:rsidP="00DF1DA3" w:rsidRDefault="008C6D0A" w14:paraId="50747470" w14:textId="16524338">
      <w:pPr>
        <w:spacing w:after="0"/>
      </w:pPr>
    </w:p>
    <w:p w:rsidRPr="00CA76C4" w:rsidR="0019116E" w:rsidP="1D831585" w:rsidRDefault="1D831585" w14:paraId="26FA9EF2" w14:textId="670A5477">
      <w:pPr>
        <w:spacing w:after="0"/>
        <w:rPr>
          <w:b/>
          <w:bCs/>
        </w:rPr>
      </w:pPr>
      <w:r w:rsidRPr="1D831585">
        <w:rPr>
          <w:b/>
          <w:bCs/>
        </w:rPr>
        <w:t>Vraag 3: Nader in te gaan op de macro-economische en methodologische onderbouwing van de gemaakte keuzes bij de vaststelling van het netto-</w:t>
      </w:r>
      <w:proofErr w:type="spellStart"/>
      <w:r w:rsidRPr="1D831585">
        <w:rPr>
          <w:b/>
          <w:bCs/>
        </w:rPr>
        <w:t>uitgavenpad</w:t>
      </w:r>
      <w:proofErr w:type="spellEnd"/>
      <w:r w:rsidRPr="1D831585">
        <w:rPr>
          <w:b/>
          <w:bCs/>
        </w:rPr>
        <w:t>, waaronder de keuze om af te wijken van de macro-economische aannames van het CPB, en daarbij ook in te gaan op de verenigbaarheid van deze keuzes met de Wet houdbare overheidsfinanciën:</w:t>
      </w:r>
    </w:p>
    <w:p w:rsidR="008F3044" w:rsidP="00CA76C4" w:rsidRDefault="008F3044" w14:paraId="5B5815B9" w14:textId="77777777">
      <w:pPr>
        <w:spacing w:after="0"/>
      </w:pPr>
    </w:p>
    <w:p w:rsidRPr="00CA76C4" w:rsidR="0019116E" w:rsidP="1D831585" w:rsidRDefault="1D831585" w14:paraId="28ED5800" w14:textId="5D9667B5">
      <w:pPr>
        <w:spacing w:after="0"/>
        <w:rPr>
          <w:b/>
          <w:bCs/>
        </w:rPr>
      </w:pPr>
      <w:r w:rsidRPr="1D831585">
        <w:rPr>
          <w:b/>
          <w:bCs/>
        </w:rPr>
        <w:t xml:space="preserve">Antwoord: </w:t>
      </w:r>
    </w:p>
    <w:p w:rsidR="00DF1DA3" w:rsidP="008F3044" w:rsidRDefault="1D831585" w14:paraId="313C720F" w14:textId="79C079E0">
      <w:pPr>
        <w:spacing w:after="0"/>
      </w:pPr>
      <w:r>
        <w:t xml:space="preserve">De methodologische en technische keuzes die ten grondslag liggen aan het </w:t>
      </w:r>
      <w:proofErr w:type="spellStart"/>
      <w:r>
        <w:t>uitgavenpad</w:t>
      </w:r>
      <w:proofErr w:type="spellEnd"/>
      <w:r>
        <w:t xml:space="preserve"> in het FSP worden toegelicht in Annex 1 van het FSP. Hieronder volgt een iets beknoptere toelichting. </w:t>
      </w:r>
    </w:p>
    <w:p w:rsidR="00DF1DA3" w:rsidP="008F3044" w:rsidRDefault="00DF1DA3" w14:paraId="005768AF" w14:textId="77777777">
      <w:pPr>
        <w:spacing w:after="0"/>
      </w:pPr>
    </w:p>
    <w:p w:rsidR="00C8051C" w:rsidP="008F3044" w:rsidRDefault="1D831585" w14:paraId="7FC4A0B6" w14:textId="2AA655EC">
      <w:pPr>
        <w:spacing w:after="0"/>
      </w:pPr>
      <w:r>
        <w:t>Nationaal vaart Nederland op de ramingen van het CPB, zoals ook vastgelegd in de Wet Hof. Bij het vaststellen van de maximale toegestane groei van de netto primaire uitgaven in het Europese begrotingsraamwerk zijn echter de schuldhoudbaarheidsanalyse (</w:t>
      </w:r>
      <w:proofErr w:type="spellStart"/>
      <w:r w:rsidRPr="1D831585">
        <w:rPr>
          <w:i/>
          <w:iCs/>
        </w:rPr>
        <w:t>Debt</w:t>
      </w:r>
      <w:proofErr w:type="spellEnd"/>
      <w:r w:rsidRPr="1D831585">
        <w:rPr>
          <w:i/>
          <w:iCs/>
        </w:rPr>
        <w:t xml:space="preserve"> </w:t>
      </w:r>
      <w:proofErr w:type="spellStart"/>
      <w:r w:rsidRPr="1D831585">
        <w:rPr>
          <w:i/>
          <w:iCs/>
        </w:rPr>
        <w:t>Sustainability</w:t>
      </w:r>
      <w:proofErr w:type="spellEnd"/>
      <w:r w:rsidRPr="1D831585">
        <w:rPr>
          <w:i/>
          <w:iCs/>
        </w:rPr>
        <w:t xml:space="preserve"> Analysis, </w:t>
      </w:r>
      <w:r>
        <w:t>DSA) en onderliggende (aangepaste) technische informatie van de Europese Commissie leidend. Deze technische informatie bestaat uit macro-economische aannames. Omwille van de transparantie in het FSP is de door het CPB geraamde groei van de netto-primaire uitgaven weergegeven naast de maximaal toegestane groei op basis van het DSA-model van de Commissie en onderliggende (aangepaste) technische informatie.</w:t>
      </w:r>
    </w:p>
    <w:p w:rsidR="00C8051C" w:rsidP="008F3044" w:rsidRDefault="00C8051C" w14:paraId="691D4BBE" w14:textId="54A7DBA4">
      <w:pPr>
        <w:spacing w:after="0"/>
      </w:pPr>
    </w:p>
    <w:p w:rsidR="00B04D05" w:rsidP="008F3044" w:rsidRDefault="1D831585" w14:paraId="4724C169" w14:textId="773DC590">
      <w:pPr>
        <w:spacing w:after="0"/>
      </w:pPr>
      <w:r>
        <w:t xml:space="preserve">Op basis van Verordening 2024/1263 biedt het Europese begrotingsraamwerk lidstaten de ruimte om bij het berekenen van de maximale toegestane groei van de netto primaire uitgaven af te wijken van de macro-economische aannames in de technische informatie van de Europese Commissie met eigen, transparant onderbouwde aannames. Eventuele verschillen moeten daarbij </w:t>
      </w:r>
      <w:proofErr w:type="gramStart"/>
      <w:r>
        <w:lastRenderedPageBreak/>
        <w:t>op</w:t>
      </w:r>
      <w:proofErr w:type="gramEnd"/>
      <w:r>
        <w:t xml:space="preserve"> basis van deugdelijke economische argumenten worden gemotiveerd en worden ook beoordeeld door de Commissie bij de beoordeling van het plan. </w:t>
      </w:r>
    </w:p>
    <w:p w:rsidR="008F3044" w:rsidP="00CA76C4" w:rsidRDefault="008F3044" w14:paraId="1A1C331D" w14:textId="77777777">
      <w:pPr>
        <w:spacing w:after="0"/>
      </w:pPr>
    </w:p>
    <w:p w:rsidR="006765D8" w:rsidP="008F3044" w:rsidRDefault="1D831585" w14:paraId="3A76DA9C" w14:textId="77777777">
      <w:pPr>
        <w:spacing w:after="0"/>
      </w:pPr>
      <w:r>
        <w:t xml:space="preserve">Nederland heeft ervoor gekozen om enkele variabelen in de oorspronkelijke technische informatie te actualiseren. Voor het structureel primair saldo voor 2025 wordt uitgegaan van de meest recente raming van het CPB (-0,357% bbp) in plaats van de -0,6% bbp uit de oorspronkelijke technische informatie. Hiervoor is gekozen omdat de CEP-raming van het CPB is gebaseerd op recentere en meer gedetailleerde begrotingsgegevens dan de herfstraming (2025) van de Commissie. </w:t>
      </w:r>
    </w:p>
    <w:p w:rsidR="006765D8" w:rsidP="008F3044" w:rsidRDefault="006765D8" w14:paraId="55A0007A" w14:textId="3AB682F7">
      <w:pPr>
        <w:spacing w:after="0"/>
      </w:pPr>
    </w:p>
    <w:p w:rsidR="006765D8" w:rsidP="008F3044" w:rsidRDefault="1D831585" w14:paraId="7A67922C" w14:textId="713F4DF6">
      <w:pPr>
        <w:spacing w:after="0"/>
      </w:pPr>
      <w:r>
        <w:t>Ook is voor de bbp-deflator in 2027 uitgegaan van de meest recente raming van het CPB (2,5%), in plaats van de 2,1% uit de technische informatie van de Commissie. Voor 2026 wordt juist vastgehouden aan de raming van de Commissie (3,3%), die hoger ligt dan die van het CPB (2,9%). Deze keuzes zijn gebaseerd op de verwachting dat de inflatie in de periode 2026-2027 cumulatief hoger zal uitvallen dan eerder voorzien. Gezien de geopolitieke spanningen en de marktverwachtingen was het aannemelijk dat de inflatie in de periode 2026-2027 hoger uitvalt door de doorwerking van geïmporteerde energieprijzen in de binnenlandse prijzen. Ook in de lenteraming van de Commissie wordt inmiddels een hogere bbp-deflator geraamd: 3,2% in 2026 en 2,5% in 2027. Dit ligt in lijn met het ingediende FSP.</w:t>
      </w:r>
    </w:p>
    <w:p w:rsidR="006765D8" w:rsidP="008F3044" w:rsidRDefault="006765D8" w14:paraId="00CB0447" w14:textId="77777777">
      <w:pPr>
        <w:spacing w:after="0"/>
      </w:pPr>
    </w:p>
    <w:p w:rsidR="006765D8" w:rsidP="006765D8" w:rsidRDefault="1D831585" w14:paraId="2B8A175C" w14:textId="3A30DEAC">
      <w:pPr>
        <w:spacing w:after="0"/>
      </w:pPr>
      <w:r>
        <w:t xml:space="preserve">Ten slotte is voor enkele variabelen de technische informatie geactualiseerd op basis van recente realisatiecijfers van het CBS. Het gaat hierbij om de schuldquote voor 2025 (44,4% bbp) en de bbp-groei over 2025 (1,8% bbp). De stock-flow </w:t>
      </w:r>
      <w:proofErr w:type="spellStart"/>
      <w:r>
        <w:t>adjustment</w:t>
      </w:r>
      <w:proofErr w:type="spellEnd"/>
      <w:r>
        <w:t xml:space="preserve"> wordt in het model aangepast naar 1,08% in 2025 om de actualisatie van de schuldquote te verwerken. Deze aanpassingen worden niet gebruikt om de maximaal toegestane groei van de netto primaire uitgaven aan te passen. </w:t>
      </w:r>
    </w:p>
    <w:p w:rsidR="00C8051C" w:rsidP="00CA76C4" w:rsidRDefault="00C8051C" w14:paraId="55E96BAF" w14:textId="11531B5A">
      <w:pPr>
        <w:spacing w:after="0"/>
      </w:pPr>
    </w:p>
    <w:p w:rsidR="00531F15" w:rsidP="00CA76C4" w:rsidRDefault="1D831585" w14:paraId="79619BD6" w14:textId="77777777">
      <w:pPr>
        <w:spacing w:after="0"/>
      </w:pPr>
      <w:r>
        <w:t xml:space="preserve">De door het CPB geraamde uitgavengroei overschrijdt de maximaal toegestane groei op basis van het DSA-model van de Commissie en onderliggende (aangepaste) technische informatie zoals gepresenteerd in het FSP niet. Daarbij erkent het kabinet dat het DSA-model van de Commissie verschilt van de ramingsmethodiek van het CPB. De ramingen van de overheidsfinanciën op de middellange termijn door het CPB wijken daarom af van de cijfers zoals gepresenteerd in het FSP. </w:t>
      </w:r>
    </w:p>
    <w:p w:rsidR="00531F15" w:rsidP="00CA76C4" w:rsidRDefault="00531F15" w14:paraId="14E32DA8" w14:textId="77777777">
      <w:pPr>
        <w:spacing w:after="0"/>
      </w:pPr>
    </w:p>
    <w:p w:rsidRPr="0019116E" w:rsidR="0019116E" w:rsidP="00CA76C4" w:rsidRDefault="006765D8" w14:paraId="1075C1AD" w14:textId="4B888415">
      <w:pPr>
        <w:spacing w:after="0"/>
      </w:pPr>
      <w:r>
        <w:t xml:space="preserve">De Commissie heeft </w:t>
      </w:r>
      <w:r w:rsidR="00531F15">
        <w:t>het Nederlandse FSP positief beoordeeld en deze positieve beoordeling als onderdeel van</w:t>
      </w:r>
      <w:r>
        <w:t xml:space="preserve"> het lentepakket van 3 juni 2026</w:t>
      </w:r>
      <w:r w:rsidR="00531F15">
        <w:t xml:space="preserve"> gepubliceerd</w:t>
      </w:r>
      <w:r w:rsidR="004564A5">
        <w:t xml:space="preserve"> </w:t>
      </w:r>
      <w:r w:rsidR="00DF1DA3">
        <w:rPr>
          <w:rStyle w:val="Voetnootmarkering"/>
        </w:rPr>
        <w:footnoteReference w:id="2"/>
      </w:r>
      <w:r w:rsidR="00531F15">
        <w:t xml:space="preserve">. </w:t>
      </w:r>
      <w:bookmarkStart w:name="_Hlk231543994" w:id="0"/>
      <w:r w:rsidR="00531F15">
        <w:t xml:space="preserve">De goedkeuring van het nieuwe Nederlandse FSP ligt naar verwachting voor in de </w:t>
      </w:r>
      <w:proofErr w:type="spellStart"/>
      <w:r w:rsidR="00531F15">
        <w:t>Ecofinraad</w:t>
      </w:r>
      <w:proofErr w:type="spellEnd"/>
      <w:r w:rsidR="00531F15">
        <w:t xml:space="preserve"> van 10 juli 2026</w:t>
      </w:r>
      <w:r w:rsidR="007B0601">
        <w:rPr>
          <w:rStyle w:val="Voetnootmarkering"/>
        </w:rPr>
        <w:footnoteReference w:id="3"/>
      </w:r>
      <w:r w:rsidR="00531F15">
        <w:t>.</w:t>
      </w:r>
      <w:bookmarkEnd w:id="0"/>
      <w:r w:rsidRPr="0019116E" w:rsidR="0019116E">
        <w:t xml:space="preserve"> </w:t>
      </w:r>
      <w:r w:rsidR="00CA76C4">
        <w:t>H</w:t>
      </w:r>
      <w:r w:rsidRPr="0019116E" w:rsidR="0019116E">
        <w:t xml:space="preserve">et </w:t>
      </w:r>
      <w:proofErr w:type="spellStart"/>
      <w:r w:rsidRPr="0019116E" w:rsidR="0019116E">
        <w:t>uitgavenpad</w:t>
      </w:r>
      <w:proofErr w:type="spellEnd"/>
      <w:r w:rsidRPr="0019116E" w:rsidR="0019116E">
        <w:t xml:space="preserve"> zal</w:t>
      </w:r>
      <w:r w:rsidR="00CA76C4">
        <w:t xml:space="preserve"> </w:t>
      </w:r>
      <w:r w:rsidRPr="0019116E" w:rsidR="0019116E">
        <w:t xml:space="preserve">gedurende de monitoring in de Europese begrotingsstukken (APR en Ontwerpbegrotingen (Draft </w:t>
      </w:r>
      <w:proofErr w:type="spellStart"/>
      <w:r w:rsidRPr="0019116E" w:rsidR="0019116E">
        <w:t>Budgetary</w:t>
      </w:r>
      <w:proofErr w:type="spellEnd"/>
      <w:r w:rsidRPr="0019116E" w:rsidR="0019116E">
        <w:t xml:space="preserve"> </w:t>
      </w:r>
      <w:proofErr w:type="spellStart"/>
      <w:r w:rsidRPr="0019116E" w:rsidR="0019116E">
        <w:t>Plans</w:t>
      </w:r>
      <w:proofErr w:type="spellEnd"/>
      <w:r w:rsidRPr="0019116E" w:rsidR="0019116E">
        <w:t xml:space="preserve">, DBP) worden afgezet tegen de realisatiecijfers en de ramingen van het CPB, </w:t>
      </w:r>
      <w:proofErr w:type="gramStart"/>
      <w:r w:rsidRPr="0019116E" w:rsidR="0019116E">
        <w:t>conform</w:t>
      </w:r>
      <w:proofErr w:type="gramEnd"/>
      <w:r w:rsidRPr="0019116E" w:rsidR="0019116E">
        <w:t xml:space="preserve"> de Wet Hof.</w:t>
      </w:r>
    </w:p>
    <w:p w:rsidR="007567BC" w:rsidP="00CA76C4" w:rsidRDefault="007567BC" w14:paraId="2B6E723B" w14:textId="77777777">
      <w:pPr>
        <w:spacing w:after="0"/>
      </w:pPr>
    </w:p>
    <w:sectPr w:rsidR="007567B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A421" w14:textId="77777777" w:rsidR="000C034E" w:rsidRDefault="000C034E" w:rsidP="00A97811">
      <w:pPr>
        <w:spacing w:after="0" w:line="240" w:lineRule="auto"/>
      </w:pPr>
      <w:r>
        <w:separator/>
      </w:r>
    </w:p>
  </w:endnote>
  <w:endnote w:type="continuationSeparator" w:id="0">
    <w:p w14:paraId="4E72C8D1" w14:textId="77777777" w:rsidR="000C034E" w:rsidRDefault="000C034E" w:rsidP="00A9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B950" w14:textId="77777777" w:rsidR="000C034E" w:rsidRDefault="000C034E" w:rsidP="00A97811">
      <w:pPr>
        <w:spacing w:after="0" w:line="240" w:lineRule="auto"/>
      </w:pPr>
      <w:r>
        <w:separator/>
      </w:r>
    </w:p>
  </w:footnote>
  <w:footnote w:type="continuationSeparator" w:id="0">
    <w:p w14:paraId="38C0E946" w14:textId="77777777" w:rsidR="000C034E" w:rsidRDefault="000C034E" w:rsidP="00A97811">
      <w:pPr>
        <w:spacing w:after="0" w:line="240" w:lineRule="auto"/>
      </w:pPr>
      <w:r>
        <w:continuationSeparator/>
      </w:r>
    </w:p>
  </w:footnote>
  <w:footnote w:id="1">
    <w:p w14:paraId="49014207" w14:textId="1FF12343" w:rsidR="00A97811" w:rsidRDefault="00A97811">
      <w:pPr>
        <w:pStyle w:val="Voetnoottekst"/>
      </w:pPr>
      <w:r w:rsidRPr="00CA76C4">
        <w:rPr>
          <w:rStyle w:val="Voetnootmarkering"/>
          <w:sz w:val="16"/>
          <w:szCs w:val="16"/>
        </w:rPr>
        <w:footnoteRef/>
      </w:r>
      <w:r w:rsidRPr="00CA76C4">
        <w:rPr>
          <w:sz w:val="18"/>
          <w:szCs w:val="18"/>
        </w:rPr>
        <w:t xml:space="preserve"> </w:t>
      </w:r>
      <w:proofErr w:type="gramStart"/>
      <w:r w:rsidRPr="00CA76C4">
        <w:rPr>
          <w:sz w:val="16"/>
          <w:szCs w:val="16"/>
        </w:rPr>
        <w:t>https://www.rijksoverheid.nl/documenten/2026/02/04/beslisnota-s-definitieve-versies-fsp-en-apr</w:t>
      </w:r>
      <w:proofErr w:type="gramEnd"/>
    </w:p>
  </w:footnote>
  <w:footnote w:id="2">
    <w:p w14:paraId="178ACDD5" w14:textId="4D9818A3" w:rsidR="00DF1DA3" w:rsidRDefault="00DF1DA3">
      <w:pPr>
        <w:pStyle w:val="Voetnoottekst"/>
      </w:pPr>
      <w:r>
        <w:rPr>
          <w:rStyle w:val="Voetnootmarkering"/>
        </w:rPr>
        <w:footnoteRef/>
      </w:r>
      <w:r>
        <w:t xml:space="preserve"> </w:t>
      </w:r>
      <w:r w:rsidR="004564A5">
        <w:rPr>
          <w:sz w:val="16"/>
          <w:szCs w:val="16"/>
        </w:rPr>
        <w:t>Dit wordt nader toegelicht in de n</w:t>
      </w:r>
      <w:r w:rsidRPr="00DF1DA3">
        <w:rPr>
          <w:sz w:val="16"/>
          <w:szCs w:val="16"/>
        </w:rPr>
        <w:t xml:space="preserve">azending </w:t>
      </w:r>
      <w:proofErr w:type="spellStart"/>
      <w:r w:rsidRPr="00DF1DA3">
        <w:rPr>
          <w:sz w:val="16"/>
          <w:szCs w:val="16"/>
        </w:rPr>
        <w:t>Geanoteerde</w:t>
      </w:r>
      <w:proofErr w:type="spellEnd"/>
      <w:r w:rsidRPr="00DF1DA3">
        <w:rPr>
          <w:sz w:val="16"/>
          <w:szCs w:val="16"/>
        </w:rPr>
        <w:t xml:space="preserve"> Agenda Eurogroep </w:t>
      </w:r>
      <w:proofErr w:type="spellStart"/>
      <w:r w:rsidRPr="00DF1DA3">
        <w:rPr>
          <w:sz w:val="16"/>
          <w:szCs w:val="16"/>
        </w:rPr>
        <w:t>Ecofinraad</w:t>
      </w:r>
      <w:proofErr w:type="spellEnd"/>
      <w:r w:rsidRPr="00DF1DA3">
        <w:rPr>
          <w:sz w:val="16"/>
          <w:szCs w:val="16"/>
        </w:rPr>
        <w:t xml:space="preserve"> juni 2026</w:t>
      </w:r>
    </w:p>
  </w:footnote>
  <w:footnote w:id="3">
    <w:p w14:paraId="7E634D2C" w14:textId="5358741B" w:rsidR="007B0601" w:rsidRPr="007B0601" w:rsidRDefault="007B0601">
      <w:pPr>
        <w:pStyle w:val="Voetnoottekst"/>
      </w:pPr>
      <w:r w:rsidRPr="007B0601">
        <w:rPr>
          <w:rStyle w:val="Voetnootmarkering"/>
          <w:sz w:val="16"/>
          <w:szCs w:val="16"/>
        </w:rPr>
        <w:footnoteRef/>
      </w:r>
      <w:r w:rsidRPr="007B0601">
        <w:rPr>
          <w:sz w:val="16"/>
          <w:szCs w:val="16"/>
        </w:rPr>
        <w:t xml:space="preserve"> </w:t>
      </w:r>
      <w:proofErr w:type="gramStart"/>
      <w:r w:rsidRPr="007B0601">
        <w:rPr>
          <w:sz w:val="16"/>
          <w:szCs w:val="16"/>
        </w:rPr>
        <w:t>https://economy-finance.ec.europa.eu/economic-surveillance-eu-member-states/country-pages-including-country-reports/netherlands/fiscal-surveillance-netherlands_en</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47CF"/>
    <w:multiLevelType w:val="hybridMultilevel"/>
    <w:tmpl w:val="021AE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652601"/>
    <w:multiLevelType w:val="hybridMultilevel"/>
    <w:tmpl w:val="FEC80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031598"/>
    <w:multiLevelType w:val="hybridMultilevel"/>
    <w:tmpl w:val="1B700D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44922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866557">
    <w:abstractNumId w:val="1"/>
  </w:num>
  <w:num w:numId="3" w16cid:durableId="178612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6E"/>
    <w:rsid w:val="00017E91"/>
    <w:rsid w:val="000C034E"/>
    <w:rsid w:val="0017415C"/>
    <w:rsid w:val="0019116E"/>
    <w:rsid w:val="00292FA1"/>
    <w:rsid w:val="002B7462"/>
    <w:rsid w:val="002D391F"/>
    <w:rsid w:val="002D431A"/>
    <w:rsid w:val="003348B7"/>
    <w:rsid w:val="00354CCC"/>
    <w:rsid w:val="003718BC"/>
    <w:rsid w:val="003767AE"/>
    <w:rsid w:val="00425554"/>
    <w:rsid w:val="00445662"/>
    <w:rsid w:val="004564A5"/>
    <w:rsid w:val="0049635A"/>
    <w:rsid w:val="00531F15"/>
    <w:rsid w:val="005A3BB7"/>
    <w:rsid w:val="005C21C8"/>
    <w:rsid w:val="006146F9"/>
    <w:rsid w:val="006669F6"/>
    <w:rsid w:val="006765D8"/>
    <w:rsid w:val="006C28FE"/>
    <w:rsid w:val="00717C8A"/>
    <w:rsid w:val="0072212A"/>
    <w:rsid w:val="00752BAA"/>
    <w:rsid w:val="007567BC"/>
    <w:rsid w:val="007B0601"/>
    <w:rsid w:val="00814529"/>
    <w:rsid w:val="008A6979"/>
    <w:rsid w:val="008C6D0A"/>
    <w:rsid w:val="008F3044"/>
    <w:rsid w:val="008F712E"/>
    <w:rsid w:val="009704AD"/>
    <w:rsid w:val="009878D5"/>
    <w:rsid w:val="009A304A"/>
    <w:rsid w:val="009B009A"/>
    <w:rsid w:val="00A1088A"/>
    <w:rsid w:val="00A57E13"/>
    <w:rsid w:val="00A72C79"/>
    <w:rsid w:val="00A97811"/>
    <w:rsid w:val="00AB3109"/>
    <w:rsid w:val="00AD3C0F"/>
    <w:rsid w:val="00B04D05"/>
    <w:rsid w:val="00B13071"/>
    <w:rsid w:val="00B30DD7"/>
    <w:rsid w:val="00B66E45"/>
    <w:rsid w:val="00BB6A86"/>
    <w:rsid w:val="00C8051C"/>
    <w:rsid w:val="00CA3018"/>
    <w:rsid w:val="00CA76C4"/>
    <w:rsid w:val="00D06990"/>
    <w:rsid w:val="00DB6278"/>
    <w:rsid w:val="00DF1DA3"/>
    <w:rsid w:val="00E50392"/>
    <w:rsid w:val="00F42880"/>
    <w:rsid w:val="00F638DC"/>
    <w:rsid w:val="00FA1C1B"/>
    <w:rsid w:val="00FD0704"/>
    <w:rsid w:val="1D831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16BE6"/>
  <w15:chartTrackingRefBased/>
  <w15:docId w15:val="{152A4DD3-EA76-477D-805B-BDB5AF7D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1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1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11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11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9116E"/>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911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9116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9116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9116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1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11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116E"/>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9116E"/>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9116E"/>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9116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9116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9116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9116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91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1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11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16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911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16E"/>
    <w:rPr>
      <w:i/>
      <w:iCs/>
      <w:color w:val="404040" w:themeColor="text1" w:themeTint="BF"/>
    </w:rPr>
  </w:style>
  <w:style w:type="paragraph" w:styleId="Lijstalinea">
    <w:name w:val="List Paragraph"/>
    <w:basedOn w:val="Standaard"/>
    <w:uiPriority w:val="34"/>
    <w:qFormat/>
    <w:rsid w:val="0019116E"/>
    <w:pPr>
      <w:ind w:left="720"/>
      <w:contextualSpacing/>
    </w:pPr>
  </w:style>
  <w:style w:type="character" w:styleId="Intensievebenadrukking">
    <w:name w:val="Intense Emphasis"/>
    <w:basedOn w:val="Standaardalinea-lettertype"/>
    <w:uiPriority w:val="21"/>
    <w:qFormat/>
    <w:rsid w:val="0019116E"/>
    <w:rPr>
      <w:i/>
      <w:iCs/>
      <w:color w:val="2F5496" w:themeColor="accent1" w:themeShade="BF"/>
    </w:rPr>
  </w:style>
  <w:style w:type="paragraph" w:styleId="Duidelijkcitaat">
    <w:name w:val="Intense Quote"/>
    <w:basedOn w:val="Standaard"/>
    <w:next w:val="Standaard"/>
    <w:link w:val="DuidelijkcitaatChar"/>
    <w:uiPriority w:val="30"/>
    <w:qFormat/>
    <w:rsid w:val="00191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116E"/>
    <w:rPr>
      <w:i/>
      <w:iCs/>
      <w:color w:val="2F5496" w:themeColor="accent1" w:themeShade="BF"/>
    </w:rPr>
  </w:style>
  <w:style w:type="character" w:styleId="Intensieveverwijzing">
    <w:name w:val="Intense Reference"/>
    <w:basedOn w:val="Standaardalinea-lettertype"/>
    <w:uiPriority w:val="32"/>
    <w:qFormat/>
    <w:rsid w:val="0019116E"/>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8C6D0A"/>
    <w:rPr>
      <w:sz w:val="16"/>
      <w:szCs w:val="16"/>
    </w:rPr>
  </w:style>
  <w:style w:type="paragraph" w:styleId="Tekstopmerking">
    <w:name w:val="annotation text"/>
    <w:basedOn w:val="Standaard"/>
    <w:link w:val="TekstopmerkingChar"/>
    <w:uiPriority w:val="99"/>
    <w:unhideWhenUsed/>
    <w:rsid w:val="008C6D0A"/>
    <w:pPr>
      <w:spacing w:line="240" w:lineRule="auto"/>
    </w:pPr>
    <w:rPr>
      <w:sz w:val="20"/>
      <w:szCs w:val="20"/>
    </w:rPr>
  </w:style>
  <w:style w:type="character" w:customStyle="1" w:styleId="TekstopmerkingChar">
    <w:name w:val="Tekst opmerking Char"/>
    <w:basedOn w:val="Standaardalinea-lettertype"/>
    <w:link w:val="Tekstopmerking"/>
    <w:uiPriority w:val="99"/>
    <w:rsid w:val="008C6D0A"/>
    <w:rPr>
      <w:sz w:val="20"/>
      <w:szCs w:val="20"/>
    </w:rPr>
  </w:style>
  <w:style w:type="paragraph" w:styleId="Onderwerpvanopmerking">
    <w:name w:val="annotation subject"/>
    <w:basedOn w:val="Tekstopmerking"/>
    <w:next w:val="Tekstopmerking"/>
    <w:link w:val="OnderwerpvanopmerkingChar"/>
    <w:uiPriority w:val="99"/>
    <w:semiHidden/>
    <w:unhideWhenUsed/>
    <w:rsid w:val="008C6D0A"/>
    <w:rPr>
      <w:b/>
      <w:bCs/>
    </w:rPr>
  </w:style>
  <w:style w:type="character" w:customStyle="1" w:styleId="OnderwerpvanopmerkingChar">
    <w:name w:val="Onderwerp van opmerking Char"/>
    <w:basedOn w:val="TekstopmerkingChar"/>
    <w:link w:val="Onderwerpvanopmerking"/>
    <w:uiPriority w:val="99"/>
    <w:semiHidden/>
    <w:rsid w:val="008C6D0A"/>
    <w:rPr>
      <w:b/>
      <w:bCs/>
      <w:sz w:val="20"/>
      <w:szCs w:val="20"/>
    </w:rPr>
  </w:style>
  <w:style w:type="paragraph" w:styleId="Normaalweb">
    <w:name w:val="Normal (Web)"/>
    <w:basedOn w:val="Standaard"/>
    <w:uiPriority w:val="99"/>
    <w:semiHidden/>
    <w:unhideWhenUsed/>
    <w:rsid w:val="008C6D0A"/>
    <w:rPr>
      <w:rFonts w:ascii="Times New Roman" w:hAnsi="Times New Roman" w:cs="Times New Roman"/>
      <w:sz w:val="24"/>
      <w:szCs w:val="24"/>
    </w:rPr>
  </w:style>
  <w:style w:type="paragraph" w:styleId="Revisie">
    <w:name w:val="Revision"/>
    <w:hidden/>
    <w:uiPriority w:val="99"/>
    <w:semiHidden/>
    <w:rsid w:val="00DB6278"/>
    <w:pPr>
      <w:spacing w:after="0" w:line="240" w:lineRule="auto"/>
    </w:pPr>
  </w:style>
  <w:style w:type="paragraph" w:styleId="Voetnoottekst">
    <w:name w:val="footnote text"/>
    <w:basedOn w:val="Standaard"/>
    <w:link w:val="VoetnoottekstChar"/>
    <w:uiPriority w:val="99"/>
    <w:semiHidden/>
    <w:unhideWhenUsed/>
    <w:rsid w:val="00A978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97811"/>
    <w:rPr>
      <w:sz w:val="20"/>
      <w:szCs w:val="20"/>
    </w:rPr>
  </w:style>
  <w:style w:type="character" w:styleId="Voetnootmarkering">
    <w:name w:val="footnote reference"/>
    <w:basedOn w:val="Standaardalinea-lettertype"/>
    <w:uiPriority w:val="99"/>
    <w:semiHidden/>
    <w:unhideWhenUsed/>
    <w:rsid w:val="00A97811"/>
    <w:rPr>
      <w:vertAlign w:val="superscript"/>
    </w:rPr>
  </w:style>
  <w:style w:type="character" w:styleId="Hyperlink">
    <w:name w:val="Hyperlink"/>
    <w:basedOn w:val="Standaardalinea-lettertype"/>
    <w:uiPriority w:val="99"/>
    <w:unhideWhenUsed/>
    <w:rsid w:val="00A97811"/>
    <w:rPr>
      <w:color w:val="0563C1" w:themeColor="hyperlink"/>
      <w:u w:val="single"/>
    </w:rPr>
  </w:style>
  <w:style w:type="character" w:styleId="Onopgelostemelding">
    <w:name w:val="Unresolved Mention"/>
    <w:basedOn w:val="Standaardalinea-lettertype"/>
    <w:uiPriority w:val="99"/>
    <w:semiHidden/>
    <w:unhideWhenUsed/>
    <w:rsid w:val="00A9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38083">
      <w:bodyDiv w:val="1"/>
      <w:marLeft w:val="0"/>
      <w:marRight w:val="0"/>
      <w:marTop w:val="0"/>
      <w:marBottom w:val="0"/>
      <w:divBdr>
        <w:top w:val="none" w:sz="0" w:space="0" w:color="auto"/>
        <w:left w:val="none" w:sz="0" w:space="0" w:color="auto"/>
        <w:bottom w:val="none" w:sz="0" w:space="0" w:color="auto"/>
        <w:right w:val="none" w:sz="0" w:space="0" w:color="auto"/>
      </w:divBdr>
    </w:div>
    <w:div w:id="684136657">
      <w:bodyDiv w:val="1"/>
      <w:marLeft w:val="0"/>
      <w:marRight w:val="0"/>
      <w:marTop w:val="0"/>
      <w:marBottom w:val="0"/>
      <w:divBdr>
        <w:top w:val="none" w:sz="0" w:space="0" w:color="auto"/>
        <w:left w:val="none" w:sz="0" w:space="0" w:color="auto"/>
        <w:bottom w:val="none" w:sz="0" w:space="0" w:color="auto"/>
        <w:right w:val="none" w:sz="0" w:space="0" w:color="auto"/>
      </w:divBdr>
    </w:div>
    <w:div w:id="1418282840">
      <w:bodyDiv w:val="1"/>
      <w:marLeft w:val="0"/>
      <w:marRight w:val="0"/>
      <w:marTop w:val="0"/>
      <w:marBottom w:val="0"/>
      <w:divBdr>
        <w:top w:val="none" w:sz="0" w:space="0" w:color="auto"/>
        <w:left w:val="none" w:sz="0" w:space="0" w:color="auto"/>
        <w:bottom w:val="none" w:sz="0" w:space="0" w:color="auto"/>
        <w:right w:val="none" w:sz="0" w:space="0" w:color="auto"/>
      </w:divBdr>
    </w:div>
    <w:div w:id="20124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982</ap:Words>
  <ap:Characters>5404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2026-06-11T12:45:00.0000000Z</dcterms:created>
  <dcterms:modified xsi:type="dcterms:W3CDTF">2026-06-11T12:45:00.0000000Z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2026-06-03T08:42:59Z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ff4b42c1-b376-40e0-8bb1-db768bed0cc7</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ies>
</file>