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5C5090" w:rsidTr="003F51C3" w14:paraId="063C8C62" w14:textId="77777777">
        <w:trPr>
          <w:cantSplit/>
        </w:trPr>
        <w:tc>
          <w:tcPr>
            <w:tcW w:w="9142" w:type="dxa"/>
            <w:gridSpan w:val="2"/>
            <w:tcBorders>
              <w:top w:val="nil"/>
              <w:left w:val="nil"/>
              <w:bottom w:val="nil"/>
              <w:right w:val="nil"/>
            </w:tcBorders>
          </w:tcPr>
          <w:p w:rsidRPr="002168F4" w:rsidR="005C5090" w:rsidP="00CF1EE3" w:rsidRDefault="005C5090" w14:paraId="127AA5EF" w14:textId="77777777">
            <w:pPr>
              <w:pStyle w:val="Amendement"/>
              <w:jc w:val="right"/>
              <w:rPr>
                <w:rFonts w:ascii="Times New Roman" w:hAnsi="Times New Roman" w:cs="Times New Roman"/>
              </w:rPr>
            </w:pPr>
          </w:p>
        </w:tc>
      </w:tr>
      <w:tr w:rsidRPr="002168F4" w:rsidR="005C5090" w:rsidTr="003F51C3" w14:paraId="73472C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5C5090" w:rsidP="00CF1EE3" w:rsidRDefault="005C5090" w14:paraId="5BE234D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5C5090" w:rsidP="00CF1EE3" w:rsidRDefault="005C5090" w14:paraId="1010E5A9" w14:textId="77777777">
            <w:pPr>
              <w:tabs>
                <w:tab w:val="left" w:pos="-1440"/>
                <w:tab w:val="left" w:pos="-720"/>
              </w:tabs>
              <w:suppressAutoHyphens/>
              <w:spacing w:after="0"/>
              <w:rPr>
                <w:rFonts w:ascii="Times New Roman" w:hAnsi="Times New Roman"/>
                <w:b/>
                <w:bCs/>
              </w:rPr>
            </w:pPr>
          </w:p>
        </w:tc>
      </w:tr>
      <w:tr w:rsidRPr="002168F4" w:rsidR="005C5090" w:rsidTr="003F51C3" w14:paraId="49041C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5C5090" w:rsidP="00CF1EE3" w:rsidRDefault="005C5090" w14:paraId="0C852B37" w14:textId="77777777">
            <w:pPr>
              <w:spacing w:after="0"/>
              <w:rPr>
                <w:rFonts w:ascii="Times New Roman" w:hAnsi="Times New Roman"/>
                <w:b/>
                <w:sz w:val="24"/>
              </w:rPr>
            </w:pPr>
            <w:r>
              <w:rPr>
                <w:rFonts w:ascii="Times New Roman" w:hAnsi="Times New Roman"/>
                <w:b/>
                <w:sz w:val="24"/>
              </w:rPr>
              <w:t xml:space="preserve">36 805 </w:t>
            </w:r>
          </w:p>
        </w:tc>
        <w:tc>
          <w:tcPr>
            <w:tcW w:w="6590" w:type="dxa"/>
            <w:tcBorders>
              <w:top w:val="nil"/>
              <w:left w:val="nil"/>
              <w:bottom w:val="nil"/>
              <w:right w:val="nil"/>
            </w:tcBorders>
          </w:tcPr>
          <w:p w:rsidRPr="00F6362B" w:rsidR="005C5090" w:rsidP="00CF1EE3" w:rsidRDefault="005C5090" w14:paraId="6BD7988C" w14:textId="71322446">
            <w:pPr>
              <w:tabs>
                <w:tab w:val="left" w:pos="284"/>
                <w:tab w:val="left" w:pos="567"/>
                <w:tab w:val="left" w:pos="851"/>
              </w:tabs>
              <w:spacing w:after="0"/>
              <w:ind w:right="-2"/>
              <w:rPr>
                <w:rFonts w:ascii="Times New Roman" w:hAnsi="Times New Roman"/>
                <w:b/>
                <w:bCs/>
                <w:sz w:val="24"/>
                <w:szCs w:val="20"/>
              </w:rPr>
            </w:pPr>
            <w:bookmarkStart w:name="_Hlk179443266" w:id="0"/>
            <w:r w:rsidRPr="00F6362B">
              <w:rPr>
                <w:rFonts w:ascii="Times New Roman" w:hAnsi="Times New Roman"/>
                <w:b/>
                <w:bCs/>
                <w:sz w:val="24"/>
                <w:szCs w:val="20"/>
              </w:rPr>
              <w:t>Voorstel van wet van de leden Sneller</w:t>
            </w:r>
            <w:r w:rsidR="00BF483A">
              <w:rPr>
                <w:rFonts w:ascii="Times New Roman" w:hAnsi="Times New Roman"/>
                <w:b/>
                <w:bCs/>
                <w:sz w:val="24"/>
                <w:szCs w:val="20"/>
              </w:rPr>
              <w:t xml:space="preserve"> en Straatman </w:t>
            </w:r>
            <w:r w:rsidRPr="00F6362B">
              <w:rPr>
                <w:rFonts w:ascii="Times New Roman" w:hAnsi="Times New Roman"/>
                <w:b/>
                <w:bCs/>
                <w:sz w:val="24"/>
                <w:szCs w:val="20"/>
              </w:rPr>
              <w:t>houdende wijziging van het Wetboek van Strafrecht, het Wetboek van Strafvordering en enkele andere wetten in verband met de invoering van elektronische detentie als hoofdstraf en enkele wijzigingen in de regeling van de taakstraf</w:t>
            </w:r>
            <w:bookmarkEnd w:id="0"/>
            <w:r>
              <w:rPr>
                <w:rFonts w:ascii="Times New Roman" w:hAnsi="Times New Roman"/>
                <w:b/>
                <w:bCs/>
                <w:sz w:val="24"/>
                <w:szCs w:val="20"/>
              </w:rPr>
              <w:t xml:space="preserve"> (Wet slimmer straffen)</w:t>
            </w:r>
          </w:p>
        </w:tc>
      </w:tr>
      <w:tr w:rsidRPr="002168F4" w:rsidR="005C5090" w:rsidTr="003F51C3" w14:paraId="4FF800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5C5090" w:rsidP="00CF1EE3" w:rsidRDefault="005C5090" w14:paraId="3DBB061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5C5090" w:rsidP="00CF1EE3" w:rsidRDefault="005C5090" w14:paraId="4AE50B86" w14:textId="77777777">
            <w:pPr>
              <w:pStyle w:val="Amendement"/>
              <w:rPr>
                <w:rFonts w:ascii="Times New Roman" w:hAnsi="Times New Roman" w:cs="Times New Roman"/>
              </w:rPr>
            </w:pPr>
          </w:p>
        </w:tc>
      </w:tr>
      <w:tr w:rsidRPr="002168F4" w:rsidR="005C5090" w:rsidTr="003F51C3" w14:paraId="6B1C9B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5C5090" w:rsidP="00CF1EE3" w:rsidRDefault="005C5090" w14:paraId="7845779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5C5090" w:rsidP="00CF1EE3" w:rsidRDefault="005C5090" w14:paraId="1C0AF318" w14:textId="77777777">
            <w:pPr>
              <w:pStyle w:val="Amendement"/>
              <w:rPr>
                <w:rFonts w:ascii="Times New Roman" w:hAnsi="Times New Roman" w:cs="Times New Roman"/>
              </w:rPr>
            </w:pPr>
          </w:p>
        </w:tc>
      </w:tr>
      <w:tr w:rsidRPr="002168F4" w:rsidR="005C5090" w:rsidTr="003F51C3" w14:paraId="5C5A02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5C5090" w:rsidP="00CF1EE3" w:rsidRDefault="005C5090" w14:paraId="4389A85A" w14:textId="2959EFBE">
            <w:pPr>
              <w:pStyle w:val="Amendement"/>
              <w:rPr>
                <w:rFonts w:ascii="Times New Roman" w:hAnsi="Times New Roman" w:cs="Times New Roman"/>
              </w:rPr>
            </w:pPr>
            <w:r w:rsidRPr="002168F4">
              <w:rPr>
                <w:rFonts w:ascii="Times New Roman" w:hAnsi="Times New Roman" w:cs="Times New Roman"/>
              </w:rPr>
              <w:t xml:space="preserve">Nr. </w:t>
            </w:r>
            <w:r w:rsidR="00CF1EE3">
              <w:rPr>
                <w:rFonts w:ascii="Times New Roman" w:hAnsi="Times New Roman" w:cs="Times New Roman"/>
              </w:rPr>
              <w:t>5</w:t>
            </w:r>
          </w:p>
        </w:tc>
        <w:tc>
          <w:tcPr>
            <w:tcW w:w="6590" w:type="dxa"/>
            <w:tcBorders>
              <w:top w:val="nil"/>
              <w:left w:val="nil"/>
              <w:bottom w:val="nil"/>
              <w:right w:val="nil"/>
            </w:tcBorders>
          </w:tcPr>
          <w:p w:rsidRPr="005C5090" w:rsidR="005C5090" w:rsidP="00CF1EE3" w:rsidRDefault="005C5090" w14:paraId="130C5D0A" w14:textId="60EE8737">
            <w:pPr>
              <w:widowControl w:val="0"/>
              <w:spacing w:after="0" w:line="240" w:lineRule="auto"/>
              <w:rPr>
                <w:rFonts w:ascii="Times New Roman" w:hAnsi="Times New Roman" w:cs="Times New Roman"/>
                <w:b/>
                <w:bCs/>
                <w:sz w:val="24"/>
                <w:szCs w:val="24"/>
              </w:rPr>
            </w:pPr>
            <w:r w:rsidRPr="00BD78D9">
              <w:rPr>
                <w:rFonts w:ascii="Times New Roman" w:hAnsi="Times New Roman" w:cs="Times New Roman"/>
                <w:b/>
                <w:bCs/>
                <w:sz w:val="24"/>
                <w:szCs w:val="24"/>
              </w:rPr>
              <w:t>ADVIES VAN DE AFDELING ADVISERING VAN DE RAAD VAN STATE EN REACTIE VAN DE INITIATIEFNEMERS</w:t>
            </w:r>
          </w:p>
        </w:tc>
      </w:tr>
    </w:tbl>
    <w:p w:rsidRPr="00BD78D9" w:rsidR="00BD78D9" w:rsidP="00CF1EE3" w:rsidRDefault="00BD78D9" w14:paraId="76F20B1F" w14:textId="77777777">
      <w:pPr>
        <w:widowControl w:val="0"/>
        <w:spacing w:after="0" w:line="240" w:lineRule="auto"/>
        <w:rPr>
          <w:rFonts w:ascii="Times New Roman" w:hAnsi="Times New Roman" w:cs="Times New Roman"/>
          <w:sz w:val="24"/>
          <w:szCs w:val="24"/>
        </w:rPr>
      </w:pPr>
    </w:p>
    <w:p w:rsidR="005C5090" w:rsidP="00CF1EE3" w:rsidRDefault="005C5090" w14:paraId="2A3BCDD0" w14:textId="77777777">
      <w:pPr>
        <w:widowControl w:val="0"/>
        <w:spacing w:after="0" w:line="240" w:lineRule="auto"/>
        <w:rPr>
          <w:rFonts w:ascii="Times New Roman" w:hAnsi="Times New Roman" w:cs="Times New Roman"/>
          <w:sz w:val="24"/>
          <w:szCs w:val="24"/>
        </w:rPr>
      </w:pPr>
    </w:p>
    <w:p w:rsidRPr="00CF1EE3" w:rsidR="00740235" w:rsidP="00CF1EE3" w:rsidRDefault="00BD78D9" w14:paraId="5B4C62FC" w14:textId="77760A9A">
      <w:pPr>
        <w:tabs>
          <w:tab w:val="left" w:pos="284"/>
          <w:tab w:val="left" w:pos="567"/>
          <w:tab w:val="left" w:pos="851"/>
        </w:tabs>
        <w:spacing w:after="0" w:line="240" w:lineRule="auto"/>
        <w:ind w:right="-2"/>
        <w:rPr>
          <w:rFonts w:ascii="Times New Roman" w:hAnsi="Times New Roman"/>
          <w:sz w:val="24"/>
        </w:rPr>
      </w:pPr>
      <w:r w:rsidRPr="00BD78D9">
        <w:rPr>
          <w:rFonts w:ascii="Times New Roman" w:hAnsi="Times New Roman" w:cs="Times New Roman"/>
          <w:sz w:val="24"/>
          <w:szCs w:val="24"/>
        </w:rPr>
        <w:t xml:space="preserve">Hieronder zijn opgenomen het advies van de Afdeling advisering van de Raad van State d.d. </w:t>
      </w:r>
      <w:r>
        <w:rPr>
          <w:rFonts w:ascii="Times New Roman" w:hAnsi="Times New Roman" w:cs="Times New Roman"/>
          <w:sz w:val="24"/>
          <w:szCs w:val="24"/>
        </w:rPr>
        <w:t>17 december 2025</w:t>
      </w:r>
      <w:r w:rsidR="00740235">
        <w:rPr>
          <w:rFonts w:ascii="Times New Roman" w:hAnsi="Times New Roman" w:cs="Times New Roman"/>
          <w:sz w:val="24"/>
          <w:szCs w:val="24"/>
        </w:rPr>
        <w:t>,</w:t>
      </w:r>
      <w:r w:rsidRPr="00BD78D9">
        <w:rPr>
          <w:rFonts w:ascii="Times New Roman" w:hAnsi="Times New Roman" w:cs="Times New Roman"/>
          <w:sz w:val="24"/>
          <w:szCs w:val="24"/>
        </w:rPr>
        <w:t xml:space="preserve"> </w:t>
      </w:r>
      <w:r w:rsidR="00740235">
        <w:rPr>
          <w:rFonts w:ascii="Times New Roman" w:hAnsi="Times New Roman" w:cs="Times New Roman"/>
          <w:sz w:val="24"/>
          <w:szCs w:val="24"/>
        </w:rPr>
        <w:t>nr</w:t>
      </w:r>
      <w:r w:rsidRPr="00BD78D9">
        <w:rPr>
          <w:rFonts w:ascii="Times New Roman" w:hAnsi="Times New Roman" w:cs="Times New Roman"/>
          <w:sz w:val="24"/>
          <w:szCs w:val="24"/>
        </w:rPr>
        <w:t>. W16.</w:t>
      </w:r>
      <w:r>
        <w:rPr>
          <w:rFonts w:ascii="Times New Roman" w:hAnsi="Times New Roman" w:cs="Times New Roman"/>
          <w:sz w:val="24"/>
          <w:szCs w:val="24"/>
        </w:rPr>
        <w:t>25</w:t>
      </w:r>
      <w:r w:rsidRPr="00BD78D9">
        <w:rPr>
          <w:rFonts w:ascii="Times New Roman" w:hAnsi="Times New Roman" w:cs="Times New Roman"/>
          <w:sz w:val="24"/>
          <w:szCs w:val="24"/>
        </w:rPr>
        <w:t>.</w:t>
      </w:r>
      <w:r>
        <w:rPr>
          <w:rFonts w:ascii="Times New Roman" w:hAnsi="Times New Roman" w:cs="Times New Roman"/>
          <w:sz w:val="24"/>
          <w:szCs w:val="24"/>
        </w:rPr>
        <w:t>00265/II</w:t>
      </w:r>
      <w:r w:rsidR="00740235">
        <w:rPr>
          <w:rFonts w:ascii="Times New Roman" w:hAnsi="Times New Roman" w:cs="Times New Roman"/>
          <w:sz w:val="24"/>
          <w:szCs w:val="24"/>
        </w:rPr>
        <w:t>,</w:t>
      </w:r>
      <w:r w:rsidRPr="00BD78D9">
        <w:rPr>
          <w:rFonts w:ascii="Times New Roman" w:hAnsi="Times New Roman" w:cs="Times New Roman"/>
          <w:sz w:val="24"/>
          <w:szCs w:val="24"/>
        </w:rPr>
        <w:t xml:space="preserve"> en de reactie van de initiatiefnemers d.d. </w:t>
      </w:r>
      <w:r w:rsidR="004F4635">
        <w:rPr>
          <w:rFonts w:ascii="Times New Roman" w:hAnsi="Times New Roman" w:cs="Times New Roman"/>
          <w:sz w:val="24"/>
          <w:szCs w:val="24"/>
        </w:rPr>
        <w:t xml:space="preserve">11 juni </w:t>
      </w:r>
      <w:r>
        <w:rPr>
          <w:rFonts w:ascii="Times New Roman" w:hAnsi="Times New Roman" w:cs="Times New Roman"/>
          <w:sz w:val="24"/>
          <w:szCs w:val="24"/>
        </w:rPr>
        <w:t>2026</w:t>
      </w:r>
      <w:r w:rsidRPr="00BD78D9">
        <w:rPr>
          <w:rFonts w:ascii="Times New Roman" w:hAnsi="Times New Roman" w:cs="Times New Roman"/>
          <w:sz w:val="24"/>
          <w:szCs w:val="24"/>
        </w:rPr>
        <w:t>, aangeboden aan de Voorzitter van de Tweede Kamer der Staten-Generaal.</w:t>
      </w:r>
      <w:r w:rsidR="00CF1EE3">
        <w:rPr>
          <w:rFonts w:ascii="Times New Roman" w:hAnsi="Times New Roman" w:cs="Times New Roman"/>
          <w:sz w:val="24"/>
          <w:szCs w:val="24"/>
        </w:rPr>
        <w:t xml:space="preserve"> </w:t>
      </w:r>
      <w:r w:rsidRPr="00260286" w:rsidR="00CF1EE3">
        <w:rPr>
          <w:rFonts w:ascii="Times New Roman" w:hAnsi="Times New Roman"/>
          <w:sz w:val="24"/>
        </w:rPr>
        <w:t>Het advies van de Afdeling advisering van de Raad van State is cursief afgedrukt.</w:t>
      </w:r>
      <w:r w:rsidR="00CF1EE3">
        <w:rPr>
          <w:rFonts w:ascii="Times New Roman" w:hAnsi="Times New Roman"/>
          <w:sz w:val="24"/>
        </w:rPr>
        <w:t xml:space="preserve"> </w:t>
      </w:r>
    </w:p>
    <w:p w:rsidR="00BD78D9" w:rsidP="00CF1EE3" w:rsidRDefault="00BD78D9" w14:paraId="1DE6ECB1" w14:textId="77777777">
      <w:pPr>
        <w:widowControl w:val="0"/>
        <w:spacing w:after="0" w:line="240" w:lineRule="auto"/>
        <w:rPr>
          <w:rFonts w:ascii="Times New Roman" w:hAnsi="Times New Roman" w:cs="Times New Roman"/>
          <w:sz w:val="24"/>
          <w:szCs w:val="24"/>
        </w:rPr>
      </w:pPr>
    </w:p>
    <w:p w:rsidR="00BD78D9" w:rsidP="00CF1EE3" w:rsidRDefault="00BD78D9" w14:paraId="71D54D27" w14:textId="2275E141">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Bij brief van de Voorzitter van de Tweede Kamer der Staten-Generaal van 8 september 2025</w:t>
      </w:r>
      <w:r w:rsidRPr="00740235"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heeft de voorzitter van de Tweede Kamer, bij de Afdeling advisering van de Raad van State</w:t>
      </w:r>
      <w:r w:rsidRPr="00740235"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ter overweging aanhangig gemaakt het voorstel van wet van de leden Sneller, Six Dijkstra en</w:t>
      </w:r>
      <w:r w:rsidRPr="00740235" w:rsidR="00740235">
        <w:rPr>
          <w:rFonts w:ascii="Times New Roman" w:hAnsi="Times New Roman" w:cs="Times New Roman"/>
          <w:i/>
          <w:iCs/>
          <w:sz w:val="24"/>
          <w:szCs w:val="24"/>
        </w:rPr>
        <w:t xml:space="preserve"> </w:t>
      </w:r>
      <w:proofErr w:type="spellStart"/>
      <w:r w:rsidRPr="00740235">
        <w:rPr>
          <w:rFonts w:ascii="Times New Roman" w:hAnsi="Times New Roman" w:cs="Times New Roman"/>
          <w:i/>
          <w:iCs/>
          <w:sz w:val="24"/>
          <w:szCs w:val="24"/>
        </w:rPr>
        <w:t>Boswijk</w:t>
      </w:r>
      <w:proofErr w:type="spellEnd"/>
      <w:r w:rsidRPr="00740235">
        <w:rPr>
          <w:rFonts w:ascii="Times New Roman" w:hAnsi="Times New Roman" w:cs="Times New Roman"/>
          <w:i/>
          <w:iCs/>
          <w:sz w:val="24"/>
          <w:szCs w:val="24"/>
        </w:rPr>
        <w:t xml:space="preserve"> houdende wijziging van het Wetboek van Strafrecht, het Wetboek van Strafvordering</w:t>
      </w:r>
      <w:r w:rsidRPr="00740235"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en enkele andere wetten in verband met de invoering van elektronische detentie als</w:t>
      </w:r>
      <w:r w:rsidRPr="00740235"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hoofdstraf en enkele wijzigingen in de regeling van de taakstraf (Wet slimmer straffen), met</w:t>
      </w:r>
      <w:r w:rsidRPr="00740235"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memorie van toelichting</w:t>
      </w:r>
      <w:r w:rsidR="00740235">
        <w:rPr>
          <w:rFonts w:ascii="Times New Roman" w:hAnsi="Times New Roman" w:cs="Times New Roman"/>
          <w:i/>
          <w:iCs/>
          <w:sz w:val="24"/>
          <w:szCs w:val="24"/>
        </w:rPr>
        <w:t>.</w:t>
      </w:r>
    </w:p>
    <w:p w:rsidRPr="00740235" w:rsidR="00CF1EE3" w:rsidP="00CF1EE3" w:rsidRDefault="00CF1EE3" w14:paraId="0545548C" w14:textId="77777777">
      <w:pPr>
        <w:widowControl w:val="0"/>
        <w:spacing w:after="0" w:line="240" w:lineRule="auto"/>
        <w:rPr>
          <w:rFonts w:ascii="Times New Roman" w:hAnsi="Times New Roman" w:cs="Times New Roman"/>
          <w:i/>
          <w:iCs/>
          <w:sz w:val="24"/>
          <w:szCs w:val="24"/>
        </w:rPr>
      </w:pPr>
    </w:p>
    <w:p w:rsidR="00CF1EE3" w:rsidP="00CF1EE3" w:rsidRDefault="00CF1EE3" w14:paraId="44B8E44E" w14:textId="4E452862">
      <w:pPr>
        <w:widowControl w:val="0"/>
        <w:spacing w:after="0" w:line="240" w:lineRule="auto"/>
        <w:rPr>
          <w:rFonts w:ascii="Times New Roman" w:hAnsi="Times New Roman" w:cs="Times New Roman"/>
          <w:sz w:val="24"/>
          <w:szCs w:val="24"/>
        </w:rPr>
      </w:pPr>
      <w:r w:rsidRPr="00BD78D9">
        <w:rPr>
          <w:rFonts w:ascii="Times New Roman" w:hAnsi="Times New Roman" w:cs="Times New Roman"/>
          <w:sz w:val="24"/>
          <w:szCs w:val="24"/>
        </w:rPr>
        <w:t xml:space="preserve">Het voorstel heeft de Afdeling advisering van de Raad van State (hierna: de Afdeling) aanleiding gegeven tot het maken van een aantal opmerkingen. In het navolgende gaan </w:t>
      </w:r>
      <w:r>
        <w:rPr>
          <w:rFonts w:ascii="Times New Roman" w:hAnsi="Times New Roman" w:cs="Times New Roman"/>
          <w:sz w:val="24"/>
          <w:szCs w:val="24"/>
        </w:rPr>
        <w:t>de initiatiefnemers</w:t>
      </w:r>
      <w:r w:rsidRPr="00BD78D9">
        <w:rPr>
          <w:rFonts w:ascii="Times New Roman" w:hAnsi="Times New Roman" w:cs="Times New Roman"/>
          <w:sz w:val="24"/>
          <w:szCs w:val="24"/>
        </w:rPr>
        <w:t xml:space="preserve"> graag in op de opmerkingen van de Afdeling.</w:t>
      </w:r>
      <w:r>
        <w:rPr>
          <w:rFonts w:ascii="Times New Roman" w:hAnsi="Times New Roman" w:cs="Times New Roman"/>
          <w:sz w:val="24"/>
          <w:szCs w:val="24"/>
        </w:rPr>
        <w:t xml:space="preserve"> Na ieder genummerd adviespunt is in rechtopstaande tekst de reactie van de initiatiefnemers opgenomen.</w:t>
      </w:r>
    </w:p>
    <w:p w:rsidRPr="00740235" w:rsidR="00BD78D9" w:rsidP="00CF1EE3" w:rsidRDefault="00BD78D9" w14:paraId="66C7646A" w14:textId="77777777">
      <w:pPr>
        <w:widowControl w:val="0"/>
        <w:spacing w:after="0" w:line="240" w:lineRule="auto"/>
        <w:rPr>
          <w:rFonts w:ascii="Times New Roman" w:hAnsi="Times New Roman" w:cs="Times New Roman"/>
          <w:i/>
          <w:iCs/>
          <w:sz w:val="24"/>
          <w:szCs w:val="24"/>
        </w:rPr>
      </w:pPr>
    </w:p>
    <w:p w:rsidRPr="00740235" w:rsidR="00BD78D9" w:rsidP="00CF1EE3" w:rsidRDefault="00BD78D9" w14:paraId="1EFDD69E" w14:textId="77777777">
      <w:pPr>
        <w:widowControl w:val="0"/>
        <w:spacing w:after="0" w:line="240" w:lineRule="auto"/>
        <w:rPr>
          <w:rFonts w:ascii="Times New Roman" w:hAnsi="Times New Roman" w:cs="Times New Roman"/>
          <w:b/>
          <w:bCs/>
          <w:i/>
          <w:iCs/>
          <w:sz w:val="24"/>
          <w:szCs w:val="24"/>
        </w:rPr>
      </w:pPr>
      <w:r w:rsidRPr="00740235">
        <w:rPr>
          <w:rFonts w:ascii="Times New Roman" w:hAnsi="Times New Roman" w:cs="Times New Roman"/>
          <w:b/>
          <w:bCs/>
          <w:i/>
          <w:iCs/>
          <w:sz w:val="24"/>
          <w:szCs w:val="24"/>
        </w:rPr>
        <w:t>Samenvatting</w:t>
      </w:r>
    </w:p>
    <w:p w:rsidR="00740235" w:rsidP="00CF1EE3" w:rsidRDefault="00740235" w14:paraId="071759D9" w14:textId="77777777">
      <w:pPr>
        <w:widowControl w:val="0"/>
        <w:spacing w:after="0" w:line="240" w:lineRule="auto"/>
        <w:rPr>
          <w:rFonts w:ascii="Times New Roman" w:hAnsi="Times New Roman" w:cs="Times New Roman"/>
          <w:i/>
          <w:iCs/>
          <w:sz w:val="24"/>
          <w:szCs w:val="24"/>
        </w:rPr>
      </w:pPr>
    </w:p>
    <w:p w:rsidRPr="00E67053" w:rsidR="00BD78D9" w:rsidP="00CF1EE3" w:rsidRDefault="00BD78D9" w14:paraId="0B1F3236" w14:textId="21925D70">
      <w:pPr>
        <w:widowControl w:val="0"/>
        <w:spacing w:after="0" w:line="240" w:lineRule="auto"/>
        <w:rPr>
          <w:rFonts w:ascii="Times New Roman" w:hAnsi="Times New Roman" w:cs="Times New Roman"/>
          <w:b/>
          <w:bCs/>
          <w:i/>
          <w:iCs/>
          <w:sz w:val="24"/>
          <w:szCs w:val="24"/>
        </w:rPr>
      </w:pPr>
      <w:r w:rsidRPr="00E67053">
        <w:rPr>
          <w:rFonts w:ascii="Times New Roman" w:hAnsi="Times New Roman" w:cs="Times New Roman"/>
          <w:b/>
          <w:bCs/>
          <w:i/>
          <w:iCs/>
          <w:sz w:val="24"/>
          <w:szCs w:val="24"/>
        </w:rPr>
        <w:t>Slimmer Straffen</w:t>
      </w:r>
    </w:p>
    <w:p w:rsidR="00BD78D9" w:rsidP="00CF1EE3" w:rsidRDefault="00BD78D9" w14:paraId="15C97AB6" w14:textId="1C366FE1">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Het initiatiefwetsvoorstel heeft als doel om het aantal kortdurende gevangenisstraffen te</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verminderen. Van deze straffen is bekend dat ze maar beperkt bijdragen aan het voorkomen</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van nieuwe strafbare feiten. Het wetsvoorstel introduceert daarom de elektronische detentie</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als een nieuwe vrijheidsbenemende hoofdstraf voor volwassenen. Ook biedt het</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wetsvoorstel meer mogelijkheden voor het opleggen en tenuitvoerleggen van de taakstraf.</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Deze alternatieven voor korte gevangenisstraffen kunnen dezelfde mate van vergelding</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bereiken. Ook kunnen ze de kans op recidive en nieuwe slachtoffers verkleinen, en de druk</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op de schaarse capaciteit in de gevangenissen verminderen. Het wetsvoorstel kan daarmee</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bijdragen aan een rechtvaardige en effectieve bestraffing van strafbare feiten.</w:t>
      </w:r>
    </w:p>
    <w:p w:rsidRPr="00740235" w:rsidR="00740235" w:rsidP="00CF1EE3" w:rsidRDefault="00740235" w14:paraId="0A7865DC" w14:textId="77777777">
      <w:pPr>
        <w:widowControl w:val="0"/>
        <w:spacing w:after="0" w:line="240" w:lineRule="auto"/>
        <w:rPr>
          <w:rFonts w:ascii="Times New Roman" w:hAnsi="Times New Roman" w:cs="Times New Roman"/>
          <w:i/>
          <w:iCs/>
          <w:sz w:val="24"/>
          <w:szCs w:val="24"/>
        </w:rPr>
      </w:pPr>
    </w:p>
    <w:p w:rsidRPr="00E67053" w:rsidR="00BD78D9" w:rsidP="00CF1EE3" w:rsidRDefault="00BD78D9" w14:paraId="6D75484B" w14:textId="77777777">
      <w:pPr>
        <w:widowControl w:val="0"/>
        <w:spacing w:after="0" w:line="240" w:lineRule="auto"/>
        <w:rPr>
          <w:rFonts w:ascii="Times New Roman" w:hAnsi="Times New Roman" w:cs="Times New Roman"/>
          <w:b/>
          <w:bCs/>
          <w:i/>
          <w:iCs/>
          <w:sz w:val="24"/>
          <w:szCs w:val="24"/>
        </w:rPr>
      </w:pPr>
      <w:r w:rsidRPr="00E67053">
        <w:rPr>
          <w:rFonts w:ascii="Times New Roman" w:hAnsi="Times New Roman" w:cs="Times New Roman"/>
          <w:b/>
          <w:bCs/>
          <w:i/>
          <w:iCs/>
          <w:sz w:val="24"/>
          <w:szCs w:val="24"/>
        </w:rPr>
        <w:t>Bescherming van privacy, persoonsgegevens en huisrecht</w:t>
      </w:r>
    </w:p>
    <w:p w:rsidRPr="00740235" w:rsidR="00BD78D9" w:rsidP="00CF1EE3" w:rsidRDefault="00BD78D9" w14:paraId="01CA6A11" w14:textId="17408D35">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Wanneer de rechter als straf elektronische detentie oplegt, moet de veroordeelde met een</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enkelband op een vaste locatie verblijven, zoals de eigen woning of een opvanglocatie. De</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elektronische detentie beperkt een veroordeelde vérgaand in zijn grondrechten en vrijheden,</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zij het in mindere mate dan bij een gevangenisstraf. Ze heeft ook mogelijke gevolgen voor de</w:t>
      </w:r>
      <w:r w:rsidR="00740235">
        <w:rPr>
          <w:rFonts w:ascii="Times New Roman" w:hAnsi="Times New Roman" w:cs="Times New Roman"/>
          <w:i/>
          <w:iCs/>
          <w:sz w:val="24"/>
          <w:szCs w:val="24"/>
        </w:rPr>
        <w:t xml:space="preserve"> </w:t>
      </w:r>
      <w:proofErr w:type="gramStart"/>
      <w:r w:rsidRPr="00740235">
        <w:rPr>
          <w:rFonts w:ascii="Times New Roman" w:hAnsi="Times New Roman" w:cs="Times New Roman"/>
          <w:i/>
          <w:iCs/>
          <w:sz w:val="24"/>
          <w:szCs w:val="24"/>
        </w:rPr>
        <w:lastRenderedPageBreak/>
        <w:t>privacy</w:t>
      </w:r>
      <w:proofErr w:type="gramEnd"/>
      <w:r w:rsidRPr="00740235">
        <w:rPr>
          <w:rFonts w:ascii="Times New Roman" w:hAnsi="Times New Roman" w:cs="Times New Roman"/>
          <w:i/>
          <w:iCs/>
          <w:sz w:val="24"/>
          <w:szCs w:val="24"/>
        </w:rPr>
        <w:t xml:space="preserve"> van anderen. Voor het opleggen en ten uitvoer leggen van elektronische detentie</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wordt namelijk informatie over eventuele huisgenoten en andere naasten verzameld. De</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Afdeling advisering adviseert de initiatiefnemers om in de toelichting bij het wetsvoorstel</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aandacht te besteden aan de gevolgen van het voorstel voor het recht op bescherming van</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de persoonlijke levenssfeer en persoonsgegevens.</w:t>
      </w:r>
    </w:p>
    <w:p w:rsidR="00740235" w:rsidP="00CF1EE3" w:rsidRDefault="00740235" w14:paraId="0B0A818A" w14:textId="77777777">
      <w:pPr>
        <w:widowControl w:val="0"/>
        <w:spacing w:after="0" w:line="240" w:lineRule="auto"/>
        <w:rPr>
          <w:rFonts w:ascii="Times New Roman" w:hAnsi="Times New Roman" w:cs="Times New Roman"/>
          <w:i/>
          <w:iCs/>
          <w:sz w:val="24"/>
          <w:szCs w:val="24"/>
        </w:rPr>
      </w:pPr>
    </w:p>
    <w:p w:rsidR="00BD78D9" w:rsidP="00CF1EE3" w:rsidRDefault="00BD78D9" w14:paraId="418870AB" w14:textId="5B6D4313">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De Dienst Justitiële Inrichtingen krijgt de bevoegdheid om de locatie van de elektronische</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detentie te betreden zonder toestemming van de veroordeelde als dit noodzakelijk is in het</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belang van het toezicht op de naleving. Toepassing van deze bevoegdheid zal het huisrecht</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van de veroordeelde raken. Het advies aan de initiatiefnemers is om in de toelichting bij het</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wetsvoorstel de noodzaak, proportionaliteit en subsidiariteit van deze bevoegdheid dragend</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te motiveren.</w:t>
      </w:r>
    </w:p>
    <w:p w:rsidRPr="00740235" w:rsidR="005C5090" w:rsidP="00CF1EE3" w:rsidRDefault="005C5090" w14:paraId="1922C3F8" w14:textId="77777777">
      <w:pPr>
        <w:widowControl w:val="0"/>
        <w:spacing w:after="0" w:line="240" w:lineRule="auto"/>
        <w:rPr>
          <w:rFonts w:ascii="Times New Roman" w:hAnsi="Times New Roman" w:cs="Times New Roman"/>
          <w:i/>
          <w:iCs/>
          <w:sz w:val="24"/>
          <w:szCs w:val="24"/>
        </w:rPr>
      </w:pPr>
    </w:p>
    <w:p w:rsidRPr="00E67053" w:rsidR="00BD78D9" w:rsidP="00CF1EE3" w:rsidRDefault="00BD78D9" w14:paraId="2A5738B9" w14:textId="77777777">
      <w:pPr>
        <w:widowControl w:val="0"/>
        <w:spacing w:after="0" w:line="240" w:lineRule="auto"/>
        <w:rPr>
          <w:rFonts w:ascii="Times New Roman" w:hAnsi="Times New Roman" w:cs="Times New Roman"/>
          <w:b/>
          <w:bCs/>
          <w:i/>
          <w:iCs/>
          <w:sz w:val="24"/>
          <w:szCs w:val="24"/>
        </w:rPr>
      </w:pPr>
      <w:r w:rsidRPr="00E67053">
        <w:rPr>
          <w:rFonts w:ascii="Times New Roman" w:hAnsi="Times New Roman" w:cs="Times New Roman"/>
          <w:b/>
          <w:bCs/>
          <w:i/>
          <w:iCs/>
          <w:sz w:val="24"/>
          <w:szCs w:val="24"/>
        </w:rPr>
        <w:t>Verbod op alcohol en drugsgebruik</w:t>
      </w:r>
    </w:p>
    <w:p w:rsidR="00BD78D9" w:rsidP="00CF1EE3" w:rsidRDefault="00BD78D9" w14:paraId="6A5B492C" w14:textId="45E7FDD5">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Tijdens de elektronische detentie geldt standaard het verbod op alcohol en drugsgebruik. Het</w:t>
      </w:r>
      <w:r w:rsidR="00E67053">
        <w:rPr>
          <w:rFonts w:ascii="Times New Roman" w:hAnsi="Times New Roman" w:cs="Times New Roman"/>
          <w:i/>
          <w:iCs/>
          <w:sz w:val="24"/>
          <w:szCs w:val="24"/>
        </w:rPr>
        <w:t xml:space="preserve"> </w:t>
      </w:r>
      <w:r w:rsidRPr="00740235">
        <w:rPr>
          <w:rFonts w:ascii="Times New Roman" w:hAnsi="Times New Roman" w:cs="Times New Roman"/>
          <w:i/>
          <w:iCs/>
          <w:sz w:val="24"/>
          <w:szCs w:val="24"/>
        </w:rPr>
        <w:t>is duidelijk dat aan dit gebruik allerlei risico’s zitten. Het is echter belangrijk dat de rechter ook</w:t>
      </w:r>
      <w:r w:rsidR="00E67053">
        <w:rPr>
          <w:rFonts w:ascii="Times New Roman" w:hAnsi="Times New Roman" w:cs="Times New Roman"/>
          <w:i/>
          <w:iCs/>
          <w:sz w:val="24"/>
          <w:szCs w:val="24"/>
        </w:rPr>
        <w:t xml:space="preserve"> </w:t>
      </w:r>
      <w:r w:rsidRPr="00740235">
        <w:rPr>
          <w:rFonts w:ascii="Times New Roman" w:hAnsi="Times New Roman" w:cs="Times New Roman"/>
          <w:i/>
          <w:iCs/>
          <w:sz w:val="24"/>
          <w:szCs w:val="24"/>
        </w:rPr>
        <w:t>op dit punt maatwerk kan leveren. Dit past straks ook beter bij het nieuwe Wetboek van</w:t>
      </w:r>
      <w:r w:rsidR="00E67053">
        <w:rPr>
          <w:rFonts w:ascii="Times New Roman" w:hAnsi="Times New Roman" w:cs="Times New Roman"/>
          <w:i/>
          <w:iCs/>
          <w:sz w:val="24"/>
          <w:szCs w:val="24"/>
        </w:rPr>
        <w:t xml:space="preserve"> </w:t>
      </w:r>
      <w:r w:rsidRPr="00740235">
        <w:rPr>
          <w:rFonts w:ascii="Times New Roman" w:hAnsi="Times New Roman" w:cs="Times New Roman"/>
          <w:i/>
          <w:iCs/>
          <w:sz w:val="24"/>
          <w:szCs w:val="24"/>
        </w:rPr>
        <w:t xml:space="preserve">Strafvordering, omdat daarin het verbod op alcohol en drugsgebruik als optionele </w:t>
      </w:r>
      <w:r w:rsidR="00E67053">
        <w:rPr>
          <w:rFonts w:ascii="Times New Roman" w:hAnsi="Times New Roman" w:cs="Times New Roman"/>
          <w:i/>
          <w:iCs/>
          <w:sz w:val="24"/>
          <w:szCs w:val="24"/>
        </w:rPr>
        <w:t>v</w:t>
      </w:r>
      <w:r w:rsidRPr="00740235">
        <w:rPr>
          <w:rFonts w:ascii="Times New Roman" w:hAnsi="Times New Roman" w:cs="Times New Roman"/>
          <w:i/>
          <w:iCs/>
          <w:sz w:val="24"/>
          <w:szCs w:val="24"/>
        </w:rPr>
        <w:t>oorwaarde</w:t>
      </w:r>
      <w:r w:rsidR="00E67053">
        <w:rPr>
          <w:rFonts w:ascii="Times New Roman" w:hAnsi="Times New Roman" w:cs="Times New Roman"/>
          <w:i/>
          <w:iCs/>
          <w:sz w:val="24"/>
          <w:szCs w:val="24"/>
        </w:rPr>
        <w:t xml:space="preserve"> </w:t>
      </w:r>
      <w:r w:rsidRPr="00740235">
        <w:rPr>
          <w:rFonts w:ascii="Times New Roman" w:hAnsi="Times New Roman" w:cs="Times New Roman"/>
          <w:i/>
          <w:iCs/>
          <w:sz w:val="24"/>
          <w:szCs w:val="24"/>
        </w:rPr>
        <w:t>is vormgegeven. De Afdeling adviseert daarom het verbod op alcohol en drugsgebruik niet</w:t>
      </w:r>
      <w:r w:rsidR="00E67053">
        <w:rPr>
          <w:rFonts w:ascii="Times New Roman" w:hAnsi="Times New Roman" w:cs="Times New Roman"/>
          <w:i/>
          <w:iCs/>
          <w:sz w:val="24"/>
          <w:szCs w:val="24"/>
        </w:rPr>
        <w:t xml:space="preserve"> </w:t>
      </w:r>
      <w:r w:rsidRPr="00740235">
        <w:rPr>
          <w:rFonts w:ascii="Times New Roman" w:hAnsi="Times New Roman" w:cs="Times New Roman"/>
          <w:i/>
          <w:iCs/>
          <w:sz w:val="24"/>
          <w:szCs w:val="24"/>
        </w:rPr>
        <w:t>als standaard voorwaarde te laten gelden. Daarbij kan als uitgangspunt worden gehanteerd</w:t>
      </w:r>
      <w:r w:rsidR="00E67053">
        <w:rPr>
          <w:rFonts w:ascii="Times New Roman" w:hAnsi="Times New Roman" w:cs="Times New Roman"/>
          <w:i/>
          <w:iCs/>
          <w:sz w:val="24"/>
          <w:szCs w:val="24"/>
        </w:rPr>
        <w:t xml:space="preserve"> </w:t>
      </w:r>
      <w:r w:rsidRPr="00740235">
        <w:rPr>
          <w:rFonts w:ascii="Times New Roman" w:hAnsi="Times New Roman" w:cs="Times New Roman"/>
          <w:i/>
          <w:iCs/>
          <w:sz w:val="24"/>
          <w:szCs w:val="24"/>
        </w:rPr>
        <w:t>dat deze voorwaarde wordt opgelegd bij elektronische detentie.</w:t>
      </w:r>
    </w:p>
    <w:p w:rsidRPr="00740235" w:rsidR="00E67053" w:rsidP="00CF1EE3" w:rsidRDefault="00E67053" w14:paraId="0A96D6C1" w14:textId="77777777">
      <w:pPr>
        <w:widowControl w:val="0"/>
        <w:spacing w:after="0" w:line="240" w:lineRule="auto"/>
        <w:rPr>
          <w:rFonts w:ascii="Times New Roman" w:hAnsi="Times New Roman" w:cs="Times New Roman"/>
          <w:i/>
          <w:iCs/>
          <w:sz w:val="24"/>
          <w:szCs w:val="24"/>
        </w:rPr>
      </w:pPr>
    </w:p>
    <w:p w:rsidRPr="00E67053" w:rsidR="00BD78D9" w:rsidP="00CF1EE3" w:rsidRDefault="00BD78D9" w14:paraId="4B13141F" w14:textId="77777777">
      <w:pPr>
        <w:widowControl w:val="0"/>
        <w:spacing w:after="0" w:line="240" w:lineRule="auto"/>
        <w:rPr>
          <w:rFonts w:ascii="Times New Roman" w:hAnsi="Times New Roman" w:cs="Times New Roman"/>
          <w:b/>
          <w:bCs/>
          <w:i/>
          <w:iCs/>
          <w:sz w:val="24"/>
          <w:szCs w:val="24"/>
        </w:rPr>
      </w:pPr>
      <w:r w:rsidRPr="00E67053">
        <w:rPr>
          <w:rFonts w:ascii="Times New Roman" w:hAnsi="Times New Roman" w:cs="Times New Roman"/>
          <w:b/>
          <w:bCs/>
          <w:i/>
          <w:iCs/>
          <w:sz w:val="24"/>
          <w:szCs w:val="24"/>
        </w:rPr>
        <w:t>Overige opmerkingen</w:t>
      </w:r>
    </w:p>
    <w:p w:rsidR="00BD78D9" w:rsidP="00CF1EE3" w:rsidRDefault="00BD78D9" w14:paraId="35CA7AB6" w14:textId="2E36DEDB">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In het advies maakt de Afdeling ook nog enkele opmerkingen over het verlengen van de</w:t>
      </w:r>
      <w:r w:rsidR="00E67053">
        <w:rPr>
          <w:rFonts w:ascii="Times New Roman" w:hAnsi="Times New Roman" w:cs="Times New Roman"/>
          <w:i/>
          <w:iCs/>
          <w:sz w:val="24"/>
          <w:szCs w:val="24"/>
        </w:rPr>
        <w:t xml:space="preserve"> </w:t>
      </w:r>
      <w:r w:rsidRPr="00740235">
        <w:rPr>
          <w:rFonts w:ascii="Times New Roman" w:hAnsi="Times New Roman" w:cs="Times New Roman"/>
          <w:i/>
          <w:iCs/>
          <w:sz w:val="24"/>
          <w:szCs w:val="24"/>
        </w:rPr>
        <w:t>termijn voor de uitvoering van taakstraffen door jeugdigen, het belang van de evaluatie van</w:t>
      </w:r>
      <w:r w:rsidR="00E67053">
        <w:rPr>
          <w:rFonts w:ascii="Times New Roman" w:hAnsi="Times New Roman" w:cs="Times New Roman"/>
          <w:i/>
          <w:iCs/>
          <w:sz w:val="24"/>
          <w:szCs w:val="24"/>
        </w:rPr>
        <w:t xml:space="preserve"> </w:t>
      </w:r>
      <w:r w:rsidRPr="00740235">
        <w:rPr>
          <w:rFonts w:ascii="Times New Roman" w:hAnsi="Times New Roman" w:cs="Times New Roman"/>
          <w:i/>
          <w:iCs/>
          <w:sz w:val="24"/>
          <w:szCs w:val="24"/>
        </w:rPr>
        <w:t>het wetsvoorstel en de wijziging in de Wet DNA-onderzoek bij veroordeelden. De Afdeling</w:t>
      </w:r>
      <w:r w:rsidR="00E67053">
        <w:rPr>
          <w:rFonts w:ascii="Times New Roman" w:hAnsi="Times New Roman" w:cs="Times New Roman"/>
          <w:i/>
          <w:iCs/>
          <w:sz w:val="24"/>
          <w:szCs w:val="24"/>
        </w:rPr>
        <w:t xml:space="preserve"> </w:t>
      </w:r>
      <w:r w:rsidRPr="00740235">
        <w:rPr>
          <w:rFonts w:ascii="Times New Roman" w:hAnsi="Times New Roman" w:cs="Times New Roman"/>
          <w:i/>
          <w:iCs/>
          <w:sz w:val="24"/>
          <w:szCs w:val="24"/>
        </w:rPr>
        <w:t>adviseert de initiatiefnemers met al deze opmerkingen rekening te houden bij de verdere</w:t>
      </w:r>
      <w:r w:rsidR="00E67053">
        <w:rPr>
          <w:rFonts w:ascii="Times New Roman" w:hAnsi="Times New Roman" w:cs="Times New Roman"/>
          <w:i/>
          <w:iCs/>
          <w:sz w:val="24"/>
          <w:szCs w:val="24"/>
        </w:rPr>
        <w:t xml:space="preserve"> </w:t>
      </w:r>
      <w:r w:rsidRPr="00740235">
        <w:rPr>
          <w:rFonts w:ascii="Times New Roman" w:hAnsi="Times New Roman" w:cs="Times New Roman"/>
          <w:i/>
          <w:iCs/>
          <w:sz w:val="24"/>
          <w:szCs w:val="24"/>
        </w:rPr>
        <w:t>behandeling van het initiatiefwetsvoorstel.</w:t>
      </w:r>
    </w:p>
    <w:p w:rsidRPr="00740235" w:rsidR="00740235" w:rsidP="00CF1EE3" w:rsidRDefault="00740235" w14:paraId="33C3389F" w14:textId="77777777">
      <w:pPr>
        <w:widowControl w:val="0"/>
        <w:spacing w:after="0" w:line="240" w:lineRule="auto"/>
        <w:rPr>
          <w:rFonts w:ascii="Times New Roman" w:hAnsi="Times New Roman" w:cs="Times New Roman"/>
          <w:i/>
          <w:iCs/>
          <w:sz w:val="24"/>
          <w:szCs w:val="24"/>
        </w:rPr>
      </w:pPr>
    </w:p>
    <w:p w:rsidRPr="00740235" w:rsidR="00BD78D9" w:rsidP="00CF1EE3" w:rsidRDefault="00BD78D9" w14:paraId="33D25902" w14:textId="77777777">
      <w:pPr>
        <w:widowControl w:val="0"/>
        <w:spacing w:after="0" w:line="240" w:lineRule="auto"/>
        <w:rPr>
          <w:rFonts w:ascii="Times New Roman" w:hAnsi="Times New Roman" w:cs="Times New Roman"/>
          <w:b/>
          <w:bCs/>
          <w:i/>
          <w:iCs/>
          <w:sz w:val="24"/>
          <w:szCs w:val="24"/>
        </w:rPr>
      </w:pPr>
      <w:r w:rsidRPr="00740235">
        <w:rPr>
          <w:rFonts w:ascii="Times New Roman" w:hAnsi="Times New Roman" w:cs="Times New Roman"/>
          <w:b/>
          <w:bCs/>
          <w:i/>
          <w:iCs/>
          <w:sz w:val="24"/>
          <w:szCs w:val="24"/>
        </w:rPr>
        <w:t>Advies</w:t>
      </w:r>
    </w:p>
    <w:p w:rsidR="00740235" w:rsidP="00CF1EE3" w:rsidRDefault="00740235" w14:paraId="72513E51" w14:textId="77777777">
      <w:pPr>
        <w:widowControl w:val="0"/>
        <w:spacing w:after="0" w:line="240" w:lineRule="auto"/>
        <w:rPr>
          <w:rFonts w:ascii="Times New Roman" w:hAnsi="Times New Roman" w:cs="Times New Roman"/>
          <w:i/>
          <w:iCs/>
          <w:sz w:val="24"/>
          <w:szCs w:val="24"/>
        </w:rPr>
      </w:pPr>
    </w:p>
    <w:p w:rsidRPr="00E67053" w:rsidR="00BD78D9" w:rsidP="00CF1EE3" w:rsidRDefault="00BD78D9" w14:paraId="27AD60BE" w14:textId="635FEE99">
      <w:pPr>
        <w:widowControl w:val="0"/>
        <w:spacing w:after="0" w:line="240" w:lineRule="auto"/>
        <w:rPr>
          <w:rFonts w:ascii="Times New Roman" w:hAnsi="Times New Roman" w:cs="Times New Roman"/>
          <w:b/>
          <w:bCs/>
          <w:i/>
          <w:iCs/>
          <w:sz w:val="24"/>
          <w:szCs w:val="24"/>
        </w:rPr>
      </w:pPr>
      <w:r w:rsidRPr="00E67053">
        <w:rPr>
          <w:rFonts w:ascii="Times New Roman" w:hAnsi="Times New Roman" w:cs="Times New Roman"/>
          <w:b/>
          <w:bCs/>
          <w:i/>
          <w:iCs/>
          <w:sz w:val="24"/>
          <w:szCs w:val="24"/>
        </w:rPr>
        <w:t>1. Inleiding</w:t>
      </w:r>
    </w:p>
    <w:p w:rsidRPr="00740235" w:rsidR="00847506" w:rsidP="00CF1EE3" w:rsidRDefault="00847506" w14:paraId="2859ABC9" w14:textId="77777777">
      <w:pPr>
        <w:widowControl w:val="0"/>
        <w:spacing w:after="0" w:line="240" w:lineRule="auto"/>
        <w:rPr>
          <w:rFonts w:ascii="Times New Roman" w:hAnsi="Times New Roman" w:cs="Times New Roman"/>
          <w:i/>
          <w:iCs/>
          <w:sz w:val="24"/>
          <w:szCs w:val="24"/>
        </w:rPr>
      </w:pPr>
    </w:p>
    <w:p w:rsidR="00BD78D9" w:rsidP="00CF1EE3" w:rsidRDefault="00BD78D9" w14:paraId="0E4245BE" w14:textId="454ECADC">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Het initiatiefwetsvoorstel, ingediend door de Tweede Kamerleden Sneller, Six Dijkstra en</w:t>
      </w:r>
      <w:r w:rsidR="005C5090">
        <w:rPr>
          <w:rFonts w:ascii="Times New Roman" w:hAnsi="Times New Roman" w:cs="Times New Roman"/>
          <w:i/>
          <w:iCs/>
          <w:sz w:val="24"/>
          <w:szCs w:val="24"/>
        </w:rPr>
        <w:t xml:space="preserve"> </w:t>
      </w:r>
      <w:proofErr w:type="spellStart"/>
      <w:r w:rsidRPr="00740235">
        <w:rPr>
          <w:rFonts w:ascii="Times New Roman" w:hAnsi="Times New Roman" w:cs="Times New Roman"/>
          <w:i/>
          <w:iCs/>
          <w:sz w:val="24"/>
          <w:szCs w:val="24"/>
        </w:rPr>
        <w:t>Boswijk</w:t>
      </w:r>
      <w:proofErr w:type="spellEnd"/>
      <w:r w:rsidRPr="00740235">
        <w:rPr>
          <w:rFonts w:ascii="Times New Roman" w:hAnsi="Times New Roman" w:cs="Times New Roman"/>
          <w:i/>
          <w:iCs/>
          <w:sz w:val="24"/>
          <w:szCs w:val="24"/>
        </w:rPr>
        <w:t>, beoogt meer maatwerk mogelijk te maken bij de oplegging en tenuitvoerlegging van</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straffen. Meer maatwerk helpt volgens de initiatiefnemers bij het ‘snel, zeker en</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persoonsgericht’ tenuitvoerleggen van straffen en is effectiever om de strafdoelen vergelding</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en preventie te bereiken. Daarom stellen de initiatiefnemers voor om:</w:t>
      </w:r>
    </w:p>
    <w:p w:rsidRPr="00740235" w:rsidR="005C5090" w:rsidP="00CF1EE3" w:rsidRDefault="005C5090" w14:paraId="487DBD9F" w14:textId="77777777">
      <w:pPr>
        <w:widowControl w:val="0"/>
        <w:spacing w:after="0" w:line="240" w:lineRule="auto"/>
        <w:rPr>
          <w:rFonts w:ascii="Times New Roman" w:hAnsi="Times New Roman" w:cs="Times New Roman"/>
          <w:i/>
          <w:iCs/>
          <w:sz w:val="24"/>
          <w:szCs w:val="24"/>
        </w:rPr>
      </w:pPr>
    </w:p>
    <w:p w:rsidRPr="00740235" w:rsidR="00BD78D9" w:rsidP="00CF1EE3" w:rsidRDefault="00BD78D9" w14:paraId="1F7A321D" w14:textId="77777777">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1) de elektronische detentie in te voeren als hoofdstraf bij volwassenen en</w:t>
      </w:r>
    </w:p>
    <w:p w:rsidR="00BD78D9" w:rsidP="00CF1EE3" w:rsidRDefault="00BD78D9" w14:paraId="2DE13CD5" w14:textId="77777777">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2) de mogelijkheden voor het opleggen en tenuitvoerleggen van de taakstraf te verruimen.</w:t>
      </w:r>
    </w:p>
    <w:p w:rsidRPr="00740235" w:rsidR="005C5090" w:rsidP="00CF1EE3" w:rsidRDefault="005C5090" w14:paraId="13385880" w14:textId="77777777">
      <w:pPr>
        <w:widowControl w:val="0"/>
        <w:spacing w:after="0" w:line="240" w:lineRule="auto"/>
        <w:rPr>
          <w:rFonts w:ascii="Times New Roman" w:hAnsi="Times New Roman" w:cs="Times New Roman"/>
          <w:i/>
          <w:iCs/>
          <w:sz w:val="24"/>
          <w:szCs w:val="24"/>
        </w:rPr>
      </w:pPr>
    </w:p>
    <w:p w:rsidR="00BD78D9" w:rsidP="00CF1EE3" w:rsidRDefault="00BD78D9" w14:paraId="60C5664D" w14:textId="17965628">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Bij elektronische detentie verblijft de veroordeelde met een enkelband op een vaste locatie</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zoals de eigen woning of een opvanglocatie.</w:t>
      </w:r>
      <w:r w:rsidR="00225DBD">
        <w:rPr>
          <w:rStyle w:val="Voetnootmarkering"/>
          <w:rFonts w:ascii="Times New Roman" w:hAnsi="Times New Roman" w:cs="Times New Roman"/>
          <w:i/>
          <w:iCs/>
          <w:sz w:val="24"/>
          <w:szCs w:val="24"/>
        </w:rPr>
        <w:footnoteReference w:id="1"/>
      </w:r>
      <w:r w:rsidRPr="00740235">
        <w:rPr>
          <w:rFonts w:ascii="Times New Roman" w:hAnsi="Times New Roman" w:cs="Times New Roman"/>
          <w:i/>
          <w:iCs/>
          <w:sz w:val="24"/>
          <w:szCs w:val="24"/>
        </w:rPr>
        <w:t xml:space="preserve"> De veroordeelde mag in beginsel</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één uur per dag de locatie verlaten om bijvoorbeeld boodschappen te doen of te sporten. De</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rechter kan ook bijzondere voorwaarde aan de elektronische detentie verbinden zoals een</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contact- of locatieverbod, de verplichting om mee te werken aan een gedragsinterventie of</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de verplichting om op vaste tijden naar werk of onderwijs te gaan. Voor alle elektronische</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lastRenderedPageBreak/>
        <w:t>detenties geldt standaard een verbod op het gebruik van alcohol of drugs. De Dienst</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Justitiële Inrichtingen (DJI) is verantwoordelijk voor de tenuitvoerlegging van de elektronische</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detentie en het toezicht op de naleving van het verbod op het gebruik van alcohol en drugs.</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Als bijzondere voorwaarden van toepassing zijn, is de reclassering verantwoordelijk voor het</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toezicht op die voorwaarden.</w:t>
      </w:r>
      <w:r w:rsidR="00D92592">
        <w:rPr>
          <w:rStyle w:val="Voetnootmarkering"/>
          <w:rFonts w:ascii="Times New Roman" w:hAnsi="Times New Roman" w:cs="Times New Roman"/>
          <w:i/>
          <w:iCs/>
          <w:sz w:val="24"/>
          <w:szCs w:val="24"/>
        </w:rPr>
        <w:footnoteReference w:id="2"/>
      </w:r>
    </w:p>
    <w:p w:rsidRPr="00740235" w:rsidR="005C5090" w:rsidP="00CF1EE3" w:rsidRDefault="005C5090" w14:paraId="10DACEF6" w14:textId="77777777">
      <w:pPr>
        <w:widowControl w:val="0"/>
        <w:spacing w:after="0" w:line="240" w:lineRule="auto"/>
        <w:rPr>
          <w:rFonts w:ascii="Times New Roman" w:hAnsi="Times New Roman" w:cs="Times New Roman"/>
          <w:i/>
          <w:iCs/>
          <w:sz w:val="24"/>
          <w:szCs w:val="24"/>
        </w:rPr>
      </w:pPr>
    </w:p>
    <w:p w:rsidR="00BD78D9" w:rsidP="00CF1EE3" w:rsidRDefault="00BD78D9" w14:paraId="50B1FA1D" w14:textId="31EB962B">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Naast de invoering van elektronische detentie brengt het initiatiefwetsvoorstel enkele</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 xml:space="preserve">wijzigingen aan met betrekking tot de taakstraf. Ten eerste wordt het </w:t>
      </w:r>
      <w:proofErr w:type="gramStart"/>
      <w:r w:rsidRPr="00740235">
        <w:rPr>
          <w:rFonts w:ascii="Times New Roman" w:hAnsi="Times New Roman" w:cs="Times New Roman"/>
          <w:i/>
          <w:iCs/>
          <w:sz w:val="24"/>
          <w:szCs w:val="24"/>
        </w:rPr>
        <w:t>maximum aantal</w:t>
      </w:r>
      <w:proofErr w:type="gramEnd"/>
      <w:r w:rsidRPr="00740235">
        <w:rPr>
          <w:rFonts w:ascii="Times New Roman" w:hAnsi="Times New Roman" w:cs="Times New Roman"/>
          <w:i/>
          <w:iCs/>
          <w:sz w:val="24"/>
          <w:szCs w:val="24"/>
        </w:rPr>
        <w:t xml:space="preserve"> uren</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taakstraf voor volwassenen verhoogd van 240 naar 360 uur.</w:t>
      </w:r>
      <w:r w:rsidR="00995180">
        <w:rPr>
          <w:rStyle w:val="Voetnootmarkering"/>
          <w:rFonts w:ascii="Times New Roman" w:hAnsi="Times New Roman" w:cs="Times New Roman"/>
          <w:i/>
          <w:iCs/>
          <w:sz w:val="24"/>
          <w:szCs w:val="24"/>
        </w:rPr>
        <w:footnoteReference w:id="3"/>
      </w:r>
      <w:r w:rsidR="00995180">
        <w:rPr>
          <w:rFonts w:ascii="Times New Roman" w:hAnsi="Times New Roman" w:cs="Times New Roman"/>
          <w:i/>
          <w:iCs/>
          <w:sz w:val="24"/>
          <w:szCs w:val="24"/>
        </w:rPr>
        <w:t xml:space="preserve"> </w:t>
      </w:r>
      <w:r w:rsidRPr="00740235">
        <w:rPr>
          <w:rFonts w:ascii="Times New Roman" w:hAnsi="Times New Roman" w:cs="Times New Roman"/>
          <w:i/>
          <w:iCs/>
          <w:sz w:val="24"/>
          <w:szCs w:val="24"/>
        </w:rPr>
        <w:t>Ten tweede wordt</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de termijn voor de tenuitvoerlegging van de taakstraf bij volwassenen en jeugdigen verlengd.</w:t>
      </w:r>
      <w:r w:rsidR="00995180">
        <w:rPr>
          <w:rStyle w:val="Voetnootmarkering"/>
          <w:rFonts w:ascii="Times New Roman" w:hAnsi="Times New Roman" w:cs="Times New Roman"/>
          <w:i/>
          <w:iCs/>
          <w:sz w:val="24"/>
          <w:szCs w:val="24"/>
        </w:rPr>
        <w:footnoteReference w:id="4"/>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Tot slot wordt het mogelijk een deel van de taakstraf ‘flexibel’ in te zetten voor</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doelgerichte interventies, zoals het verlenen van (</w:t>
      </w:r>
      <w:proofErr w:type="spellStart"/>
      <w:r w:rsidRPr="00740235">
        <w:rPr>
          <w:rFonts w:ascii="Times New Roman" w:hAnsi="Times New Roman" w:cs="Times New Roman"/>
          <w:i/>
          <w:iCs/>
          <w:sz w:val="24"/>
          <w:szCs w:val="24"/>
        </w:rPr>
        <w:t>verslavings</w:t>
      </w:r>
      <w:proofErr w:type="spellEnd"/>
      <w:r w:rsidRPr="00740235">
        <w:rPr>
          <w:rFonts w:ascii="Times New Roman" w:hAnsi="Times New Roman" w:cs="Times New Roman"/>
          <w:i/>
          <w:iCs/>
          <w:sz w:val="24"/>
          <w:szCs w:val="24"/>
        </w:rPr>
        <w:t>)zorg, begeleiding bij</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resocialisatie en interventies gericht op het herstel van het aangedane leed.</w:t>
      </w:r>
      <w:r w:rsidR="00995180">
        <w:rPr>
          <w:rStyle w:val="Voetnootmarkering"/>
          <w:rFonts w:ascii="Times New Roman" w:hAnsi="Times New Roman" w:cs="Times New Roman"/>
          <w:i/>
          <w:iCs/>
          <w:sz w:val="24"/>
          <w:szCs w:val="24"/>
        </w:rPr>
        <w:footnoteReference w:id="5"/>
      </w:r>
    </w:p>
    <w:p w:rsidRPr="00740235" w:rsidR="005C5090" w:rsidP="00CF1EE3" w:rsidRDefault="005C5090" w14:paraId="2C4199CA" w14:textId="77777777">
      <w:pPr>
        <w:widowControl w:val="0"/>
        <w:spacing w:after="0" w:line="240" w:lineRule="auto"/>
        <w:rPr>
          <w:rFonts w:ascii="Times New Roman" w:hAnsi="Times New Roman" w:cs="Times New Roman"/>
          <w:i/>
          <w:iCs/>
          <w:sz w:val="24"/>
          <w:szCs w:val="24"/>
        </w:rPr>
      </w:pPr>
    </w:p>
    <w:p w:rsidR="00BD78D9" w:rsidP="00CF1EE3" w:rsidRDefault="00BD78D9" w14:paraId="36B10261" w14:textId="3CF03491">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Met de invoering van elektronische detentie als hoofdstraf en het uitbreiden van de</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mogelijkheden om een taakstraf op te leggen worden alternatieven geboden voor</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kortdurende detenties. Ongeveer 50% van de gedetineerden zit korter dan één maand in</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detentie en ongeveer 70% van de gedetineerden zit korter dan drie maanden vast.</w:t>
      </w:r>
      <w:r w:rsidR="00995180">
        <w:rPr>
          <w:rStyle w:val="Voetnootmarkering"/>
          <w:rFonts w:ascii="Times New Roman" w:hAnsi="Times New Roman" w:cs="Times New Roman"/>
          <w:i/>
          <w:iCs/>
          <w:sz w:val="24"/>
          <w:szCs w:val="24"/>
        </w:rPr>
        <w:footnoteReference w:id="6"/>
      </w:r>
      <w:r w:rsidRPr="00740235">
        <w:rPr>
          <w:rFonts w:ascii="Times New Roman" w:hAnsi="Times New Roman" w:cs="Times New Roman"/>
          <w:i/>
          <w:iCs/>
          <w:sz w:val="24"/>
          <w:szCs w:val="24"/>
        </w:rPr>
        <w:t xml:space="preserve"> Deze tijd is veelal te kort om te werken aan gedragsverandering en re-integratie, terwijl</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gedetineerden in deze periode wel hun werk, dagbesteding of huisvesting kunnen verliezen.</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Kortdurende detenties dragen daardoor onvoldoende bij aan het terugdringen van recidive. Bij</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elektronische detentie en de taakstraf kunnen factoren die beschermen tegen recidive, zoals</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huisvesting, werk en sociaal netwerk, in stand blijven. Beide straffen kunnen bovendien</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(gedeeltelijk) worden ingezet voor interventies om een terugval in criminaliteit te voorkomen.</w:t>
      </w:r>
    </w:p>
    <w:p w:rsidRPr="00740235" w:rsidR="005C5090" w:rsidP="00CF1EE3" w:rsidRDefault="005C5090" w14:paraId="7BBD9871" w14:textId="77777777">
      <w:pPr>
        <w:widowControl w:val="0"/>
        <w:spacing w:after="0" w:line="240" w:lineRule="auto"/>
        <w:rPr>
          <w:rFonts w:ascii="Times New Roman" w:hAnsi="Times New Roman" w:cs="Times New Roman"/>
          <w:i/>
          <w:iCs/>
          <w:sz w:val="24"/>
          <w:szCs w:val="24"/>
        </w:rPr>
      </w:pPr>
    </w:p>
    <w:p w:rsidR="00BD78D9" w:rsidP="00CF1EE3" w:rsidRDefault="00BD78D9" w14:paraId="63CCDA62" w14:textId="332A1F97">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De Afdeling onderschrijft dat invoering van elektronische detentie en de voorstellen met</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betrekking tot de taakstraf kunnen bijdragen aan een rechtvaardige en effectieve bestraffing</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van strafbare feiten. De rechter krijgt hiermee meer mogelijkheden om een passende straf</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op te leggen met het oog op de behoefte aan normstelling en vergelding, de bescherming</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van de samenleving en het herstel van het slachtoffer. Daarnaast kunnen deze voorstellen</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ertoe leiden dat de beperkte capaciteit in het gevangeniswezen wordt ingezet voor de</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detentie van de zwaardere delinquenten.</w:t>
      </w:r>
    </w:p>
    <w:p w:rsidRPr="00740235" w:rsidR="005C5090" w:rsidP="00CF1EE3" w:rsidRDefault="005C5090" w14:paraId="130710B1" w14:textId="77777777">
      <w:pPr>
        <w:widowControl w:val="0"/>
        <w:spacing w:after="0" w:line="240" w:lineRule="auto"/>
        <w:rPr>
          <w:rFonts w:ascii="Times New Roman" w:hAnsi="Times New Roman" w:cs="Times New Roman"/>
          <w:i/>
          <w:iCs/>
          <w:sz w:val="24"/>
          <w:szCs w:val="24"/>
        </w:rPr>
      </w:pPr>
    </w:p>
    <w:p w:rsidR="00BD78D9" w:rsidP="00CF1EE3" w:rsidRDefault="00BD78D9" w14:paraId="4F70E3DE" w14:textId="4010E889">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In het vervolg van dit advies maakt de Afdeling enkele opmerkingen over de bescherming</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van de persoonlijke levenssfeer en persoonsgegevens (punt 2); het binnentreden op de</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locatie van de elektronische detentie (punt 3); de aansluiting bij het nieuwe Wetboek van</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Strafvordering (punt 4); het verbod op alcohol en drugsgebruik (punt 5); de uitvoeringstermijn</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van de taakstraf voor jeugdigen (punt 6); de invoeringstoets en evaluatie (punt 7) en de</w:t>
      </w:r>
      <w:r w:rsidR="005C5090">
        <w:rPr>
          <w:rFonts w:ascii="Times New Roman" w:hAnsi="Times New Roman" w:cs="Times New Roman"/>
          <w:i/>
          <w:iCs/>
          <w:sz w:val="24"/>
          <w:szCs w:val="24"/>
        </w:rPr>
        <w:t xml:space="preserve"> </w:t>
      </w:r>
      <w:r w:rsidRPr="00740235">
        <w:rPr>
          <w:rFonts w:ascii="Times New Roman" w:hAnsi="Times New Roman" w:cs="Times New Roman"/>
          <w:i/>
          <w:iCs/>
          <w:sz w:val="24"/>
          <w:szCs w:val="24"/>
        </w:rPr>
        <w:t>wijziging in de wet DNA-onderzoek bij veroordeelden (punt 8).</w:t>
      </w:r>
    </w:p>
    <w:p w:rsidR="00AB7C52" w:rsidP="00CF1EE3" w:rsidRDefault="00AB7C52" w14:paraId="683F51FE" w14:textId="77777777">
      <w:pPr>
        <w:widowControl w:val="0"/>
        <w:spacing w:after="0" w:line="240" w:lineRule="auto"/>
        <w:rPr>
          <w:rFonts w:ascii="Times New Roman" w:hAnsi="Times New Roman" w:cs="Times New Roman"/>
          <w:i/>
          <w:iCs/>
          <w:sz w:val="24"/>
          <w:szCs w:val="24"/>
        </w:rPr>
      </w:pPr>
    </w:p>
    <w:p w:rsidRPr="00AB7C52" w:rsidR="00AB7C52" w:rsidP="00CF1EE3" w:rsidRDefault="00AB7C52" w14:paraId="17EBAA5E" w14:textId="158D744D">
      <w:pPr>
        <w:widowControl w:val="0"/>
        <w:spacing w:after="0" w:line="240" w:lineRule="auto"/>
        <w:rPr>
          <w:rFonts w:ascii="Times New Roman" w:hAnsi="Times New Roman" w:cs="Times New Roman"/>
          <w:sz w:val="24"/>
          <w:szCs w:val="24"/>
        </w:rPr>
      </w:pPr>
      <w:r w:rsidRPr="00AB7C52">
        <w:rPr>
          <w:rFonts w:ascii="Times New Roman" w:hAnsi="Times New Roman" w:cs="Times New Roman"/>
          <w:sz w:val="24"/>
          <w:szCs w:val="24"/>
        </w:rPr>
        <w:t xml:space="preserve">De initiatiefnemers zijn </w:t>
      </w:r>
      <w:r w:rsidR="00F36215">
        <w:rPr>
          <w:rFonts w:ascii="Times New Roman" w:hAnsi="Times New Roman" w:cs="Times New Roman"/>
          <w:sz w:val="24"/>
          <w:szCs w:val="24"/>
        </w:rPr>
        <w:t>verheugd</w:t>
      </w:r>
      <w:r w:rsidRPr="00AB7C52">
        <w:rPr>
          <w:rFonts w:ascii="Times New Roman" w:hAnsi="Times New Roman" w:cs="Times New Roman"/>
          <w:sz w:val="24"/>
          <w:szCs w:val="24"/>
        </w:rPr>
        <w:t xml:space="preserve"> dat de Afdeling </w:t>
      </w:r>
      <w:r>
        <w:rPr>
          <w:rFonts w:ascii="Times New Roman" w:hAnsi="Times New Roman" w:cs="Times New Roman"/>
          <w:sz w:val="24"/>
          <w:szCs w:val="24"/>
        </w:rPr>
        <w:t xml:space="preserve">de doelen onderschrijft die worden </w:t>
      </w:r>
      <w:r w:rsidR="00F36215">
        <w:rPr>
          <w:rFonts w:ascii="Times New Roman" w:hAnsi="Times New Roman" w:cs="Times New Roman"/>
          <w:sz w:val="24"/>
          <w:szCs w:val="24"/>
        </w:rPr>
        <w:t>nagestreefd</w:t>
      </w:r>
      <w:r>
        <w:rPr>
          <w:rFonts w:ascii="Times New Roman" w:hAnsi="Times New Roman" w:cs="Times New Roman"/>
          <w:sz w:val="24"/>
          <w:szCs w:val="24"/>
        </w:rPr>
        <w:t xml:space="preserve"> met de invoering van elektronische detentie en met de voorstellen met betrekking tot de taakstraf</w:t>
      </w:r>
      <w:r w:rsidRPr="00AB7C52">
        <w:rPr>
          <w:rFonts w:ascii="Times New Roman" w:hAnsi="Times New Roman" w:cs="Times New Roman"/>
          <w:sz w:val="24"/>
          <w:szCs w:val="24"/>
        </w:rPr>
        <w:t xml:space="preserve">. Naar aanleiding van het advies </w:t>
      </w:r>
      <w:r w:rsidR="00F36215">
        <w:rPr>
          <w:rFonts w:ascii="Times New Roman" w:hAnsi="Times New Roman" w:cs="Times New Roman"/>
          <w:sz w:val="24"/>
          <w:szCs w:val="24"/>
        </w:rPr>
        <w:t xml:space="preserve">van de Afdeling </w:t>
      </w:r>
      <w:r w:rsidRPr="00AB7C52">
        <w:rPr>
          <w:rFonts w:ascii="Times New Roman" w:hAnsi="Times New Roman" w:cs="Times New Roman"/>
          <w:sz w:val="24"/>
          <w:szCs w:val="24"/>
        </w:rPr>
        <w:t xml:space="preserve">is het wetsvoorstel </w:t>
      </w:r>
      <w:r w:rsidR="00307EC7">
        <w:rPr>
          <w:rFonts w:ascii="Times New Roman" w:hAnsi="Times New Roman" w:cs="Times New Roman"/>
          <w:sz w:val="24"/>
          <w:szCs w:val="24"/>
        </w:rPr>
        <w:t xml:space="preserve">op enkele onderdelen </w:t>
      </w:r>
      <w:r w:rsidRPr="00AB7C52">
        <w:rPr>
          <w:rFonts w:ascii="Times New Roman" w:hAnsi="Times New Roman" w:cs="Times New Roman"/>
          <w:sz w:val="24"/>
          <w:szCs w:val="24"/>
        </w:rPr>
        <w:t xml:space="preserve">gewijzigd en </w:t>
      </w:r>
      <w:r w:rsidR="00307EC7">
        <w:rPr>
          <w:rFonts w:ascii="Times New Roman" w:hAnsi="Times New Roman" w:cs="Times New Roman"/>
          <w:sz w:val="24"/>
          <w:szCs w:val="24"/>
        </w:rPr>
        <w:t xml:space="preserve">is </w:t>
      </w:r>
      <w:r w:rsidRPr="00AB7C52">
        <w:rPr>
          <w:rFonts w:ascii="Times New Roman" w:hAnsi="Times New Roman" w:cs="Times New Roman"/>
          <w:sz w:val="24"/>
          <w:szCs w:val="24"/>
        </w:rPr>
        <w:t xml:space="preserve">de memorie van toelichting </w:t>
      </w:r>
      <w:r w:rsidR="00307EC7">
        <w:rPr>
          <w:rFonts w:ascii="Times New Roman" w:hAnsi="Times New Roman" w:cs="Times New Roman"/>
          <w:sz w:val="24"/>
          <w:szCs w:val="24"/>
        </w:rPr>
        <w:t>waar nodig aangepast</w:t>
      </w:r>
      <w:r w:rsidRPr="00AB7C52">
        <w:rPr>
          <w:rFonts w:ascii="Times New Roman" w:hAnsi="Times New Roman" w:cs="Times New Roman"/>
          <w:sz w:val="24"/>
          <w:szCs w:val="24"/>
        </w:rPr>
        <w:t xml:space="preserve">. Hieronder wordt puntsgewijs nader ingegaan op </w:t>
      </w:r>
      <w:r w:rsidR="00307EC7">
        <w:rPr>
          <w:rFonts w:ascii="Times New Roman" w:hAnsi="Times New Roman" w:cs="Times New Roman"/>
          <w:sz w:val="24"/>
          <w:szCs w:val="24"/>
        </w:rPr>
        <w:t xml:space="preserve">het advies </w:t>
      </w:r>
      <w:r w:rsidRPr="00AB7C52">
        <w:rPr>
          <w:rFonts w:ascii="Times New Roman" w:hAnsi="Times New Roman" w:cs="Times New Roman"/>
          <w:sz w:val="24"/>
          <w:szCs w:val="24"/>
        </w:rPr>
        <w:t>van de Afdeling.</w:t>
      </w:r>
    </w:p>
    <w:p w:rsidRPr="00740235" w:rsidR="00E67053" w:rsidP="00CF1EE3" w:rsidRDefault="00E67053" w14:paraId="6A3031B6" w14:textId="77777777">
      <w:pPr>
        <w:widowControl w:val="0"/>
        <w:spacing w:after="0" w:line="240" w:lineRule="auto"/>
        <w:rPr>
          <w:rFonts w:ascii="Times New Roman" w:hAnsi="Times New Roman" w:cs="Times New Roman"/>
          <w:i/>
          <w:iCs/>
          <w:sz w:val="24"/>
          <w:szCs w:val="24"/>
        </w:rPr>
      </w:pPr>
    </w:p>
    <w:p w:rsidRPr="00E67053" w:rsidR="00BD78D9" w:rsidP="00CF1EE3" w:rsidRDefault="00BD78D9" w14:paraId="38E28AC6" w14:textId="77777777">
      <w:pPr>
        <w:widowControl w:val="0"/>
        <w:spacing w:after="0" w:line="240" w:lineRule="auto"/>
        <w:rPr>
          <w:rFonts w:ascii="Times New Roman" w:hAnsi="Times New Roman" w:cs="Times New Roman"/>
          <w:b/>
          <w:bCs/>
          <w:i/>
          <w:iCs/>
          <w:sz w:val="24"/>
          <w:szCs w:val="24"/>
        </w:rPr>
      </w:pPr>
      <w:r w:rsidRPr="00E67053">
        <w:rPr>
          <w:rFonts w:ascii="Times New Roman" w:hAnsi="Times New Roman" w:cs="Times New Roman"/>
          <w:b/>
          <w:bCs/>
          <w:i/>
          <w:iCs/>
          <w:sz w:val="24"/>
          <w:szCs w:val="24"/>
        </w:rPr>
        <w:t>2. De bescherming van de persoonlijke levenssfeer en persoonsgegevens bij elektronische</w:t>
      </w:r>
    </w:p>
    <w:p w:rsidRPr="00E67053" w:rsidR="00BD78D9" w:rsidP="00CF1EE3" w:rsidRDefault="00BD78D9" w14:paraId="65F2A093" w14:textId="77777777">
      <w:pPr>
        <w:widowControl w:val="0"/>
        <w:spacing w:after="0" w:line="240" w:lineRule="auto"/>
        <w:rPr>
          <w:rFonts w:ascii="Times New Roman" w:hAnsi="Times New Roman" w:cs="Times New Roman"/>
          <w:b/>
          <w:bCs/>
          <w:i/>
          <w:iCs/>
          <w:sz w:val="24"/>
          <w:szCs w:val="24"/>
        </w:rPr>
      </w:pPr>
      <w:proofErr w:type="gramStart"/>
      <w:r w:rsidRPr="00E67053">
        <w:rPr>
          <w:rFonts w:ascii="Times New Roman" w:hAnsi="Times New Roman" w:cs="Times New Roman"/>
          <w:b/>
          <w:bCs/>
          <w:i/>
          <w:iCs/>
          <w:sz w:val="24"/>
          <w:szCs w:val="24"/>
        </w:rPr>
        <w:t>detentie</w:t>
      </w:r>
      <w:proofErr w:type="gramEnd"/>
    </w:p>
    <w:p w:rsidR="00E67053" w:rsidP="00CF1EE3" w:rsidRDefault="00E67053" w14:paraId="10AC0565" w14:textId="77777777">
      <w:pPr>
        <w:widowControl w:val="0"/>
        <w:spacing w:after="0" w:line="240" w:lineRule="auto"/>
        <w:rPr>
          <w:rFonts w:ascii="Times New Roman" w:hAnsi="Times New Roman" w:cs="Times New Roman"/>
          <w:i/>
          <w:iCs/>
          <w:sz w:val="24"/>
          <w:szCs w:val="24"/>
        </w:rPr>
      </w:pPr>
    </w:p>
    <w:p w:rsidR="00BD78D9" w:rsidP="00CF1EE3" w:rsidRDefault="00BD78D9" w14:paraId="54DB52BA" w14:textId="145A0504">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Met de inzet van het strafrecht kan een inbreuk worden gemaakt op de grondrechten en</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vrijheden van burgers. Met de introductie van elektronische detentie wordt een alternatief</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geboden voor de gevangenisstraf, de meest ingrijpende sanctie in het Nederlands</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strafrechtelijke sanctiearsenaal. Bij elektronische detentie is de inbreuk op de grondrechten</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en vrijheden van de veroordeelde beperkter dan bij een gevangenisstraf. De veroordeelde</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verblijft immers veelal in de eigen leefomgeving en kan daarbinnen grotendeels zijn eigen</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dagritme bepalen, zonder de beperkingen die inherent zijn aan het verblijf in een penitentiaire</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inrichting.</w:t>
      </w:r>
    </w:p>
    <w:p w:rsidRPr="00740235" w:rsidR="00AF006E" w:rsidP="00CF1EE3" w:rsidRDefault="00AF006E" w14:paraId="1740FBE1" w14:textId="77777777">
      <w:pPr>
        <w:widowControl w:val="0"/>
        <w:spacing w:after="0" w:line="240" w:lineRule="auto"/>
        <w:rPr>
          <w:rFonts w:ascii="Times New Roman" w:hAnsi="Times New Roman" w:cs="Times New Roman"/>
          <w:i/>
          <w:iCs/>
          <w:sz w:val="24"/>
          <w:szCs w:val="24"/>
        </w:rPr>
      </w:pPr>
    </w:p>
    <w:p w:rsidR="00AF006E" w:rsidP="00CF1EE3" w:rsidRDefault="00BD78D9" w14:paraId="346F79C7" w14:textId="77777777">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Niettemin dient het ingrijpende karakter van elektronische detentie niet te worden</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onderschat. Ook bij elektronische detentie worden de grondrechten en vrijheden van de</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veroordeelde vergaand beperkt. De verdachte is immers niet vrij om zich buiten de locatie</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van de elektronische detentie te begeven en moet zich houden aan voorwaarden en</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controles. De intensiteit van deze beperkingen komt ook tot uitdrukking in de kwalificatie van</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elektronische detentie als een vrijheidsbenemende straf. Hiermee wordt ook het vergeldend</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karakter van de elektronische detentie benadrukt.</w:t>
      </w:r>
    </w:p>
    <w:p w:rsidR="00AF006E" w:rsidP="00CF1EE3" w:rsidRDefault="00AF006E" w14:paraId="09F33532" w14:textId="77777777">
      <w:pPr>
        <w:widowControl w:val="0"/>
        <w:spacing w:after="0" w:line="240" w:lineRule="auto"/>
        <w:rPr>
          <w:rFonts w:ascii="Times New Roman" w:hAnsi="Times New Roman" w:cs="Times New Roman"/>
          <w:i/>
          <w:iCs/>
          <w:sz w:val="24"/>
          <w:szCs w:val="24"/>
        </w:rPr>
      </w:pPr>
    </w:p>
    <w:p w:rsidR="00BD78D9" w:rsidP="00CF1EE3" w:rsidRDefault="00BD78D9" w14:paraId="0D198435" w14:textId="0DE034A2">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Tegen deze achtergrond verdient de bescherming van de persoonlijke levenssfeer en de</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persoonsgegevens van de veroordeelde bij elektronische detentie bijzondere aandacht. Ten</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behoeve van het opleggen van elektronische detentie moet de reclassering aan de rechter</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rapporteren over alle relevante levensgebieden van de betrokkene, zoals zijn huisvesting,</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dagbesteding en sociaal netwerk. Tijdens de elektronische detentie worden de bewegingen</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van de betrokkene in de gaten gehouden door middel van een enkelband, kunnen</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huisbezoeken worden afgelegd en wordt de veroordeelde geacht mee te werken aan alcohol</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en drugscontroles.</w:t>
      </w:r>
    </w:p>
    <w:p w:rsidRPr="00740235" w:rsidR="00AF006E" w:rsidP="00CF1EE3" w:rsidRDefault="00AF006E" w14:paraId="2BB51254" w14:textId="77777777">
      <w:pPr>
        <w:widowControl w:val="0"/>
        <w:spacing w:after="0" w:line="240" w:lineRule="auto"/>
        <w:rPr>
          <w:rFonts w:ascii="Times New Roman" w:hAnsi="Times New Roman" w:cs="Times New Roman"/>
          <w:i/>
          <w:iCs/>
          <w:sz w:val="24"/>
          <w:szCs w:val="24"/>
        </w:rPr>
      </w:pPr>
    </w:p>
    <w:p w:rsidR="00AF006E" w:rsidP="00CF1EE3" w:rsidRDefault="00BD78D9" w14:paraId="771786CB" w14:textId="77777777">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Voor zowel het opleggen als het ten uitvoer leggen van deze straf wordt informatie over</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eventuele huisgenoten en andere naasten verzameld. Al met al kunnen DJI en de</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reclassering hierdoor een vrij compleet beeld van het leven van de betrokkene en van derden</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krijgen. Hiermee wordt een inbreuk gemaakt op het recht op bescherming van de</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persoonlijke levenssfeer, vastgelegd in artikel 10 van de Grondwet en artikel 8 van het</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Europees Verdrag voor de Rechten van de Mens (EVRM). Deze inbreuk kan gerechtvaardigd</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worden als deze noodzakelijk en proportioneel is met het oog op het doel van de straf.</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Hieraan moet aandacht worden besteed in de toelichting.</w:t>
      </w:r>
    </w:p>
    <w:p w:rsidR="00AF006E" w:rsidP="00CF1EE3" w:rsidRDefault="00AF006E" w14:paraId="421A753C" w14:textId="77777777">
      <w:pPr>
        <w:widowControl w:val="0"/>
        <w:spacing w:after="0" w:line="240" w:lineRule="auto"/>
        <w:rPr>
          <w:rFonts w:ascii="Times New Roman" w:hAnsi="Times New Roman" w:cs="Times New Roman"/>
          <w:i/>
          <w:iCs/>
          <w:sz w:val="24"/>
          <w:szCs w:val="24"/>
        </w:rPr>
      </w:pPr>
    </w:p>
    <w:p w:rsidR="00BD78D9" w:rsidP="00CF1EE3" w:rsidRDefault="00BD78D9" w14:paraId="0E724F0A" w14:textId="337D9BDD">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Voor het opleggen en tenuitvoerleggen van elektronische detentie worden</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persoonsgegevens verwerkt. Dit kunnen ook strafrechtelijke en/of bijzondere</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persoonsgegevens zijn, waarvoor aan de verwerking strenge eisen gelden. In de toelichting</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wordt weinig aandacht besteed aan de wijze waarop dergelijke persoonsgegevens worden</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verwerkt. Onduidelijk is bijvoorbeeld wie verantwoordelijk is voor de gegevensverwerking,</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welk juridisch kader daarop van toepassing is en welke waarborgen voor de verwerking</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gelden.</w:t>
      </w:r>
      <w:r w:rsidR="00995180">
        <w:rPr>
          <w:rStyle w:val="Voetnootmarkering"/>
          <w:rFonts w:ascii="Times New Roman" w:hAnsi="Times New Roman" w:cs="Times New Roman"/>
          <w:i/>
          <w:iCs/>
          <w:sz w:val="24"/>
          <w:szCs w:val="24"/>
        </w:rPr>
        <w:footnoteReference w:id="7"/>
      </w:r>
      <w:r w:rsidR="00995180">
        <w:rPr>
          <w:rFonts w:ascii="Times New Roman" w:hAnsi="Times New Roman" w:cs="Times New Roman"/>
          <w:i/>
          <w:iCs/>
          <w:sz w:val="24"/>
          <w:szCs w:val="24"/>
        </w:rPr>
        <w:t xml:space="preserve"> </w:t>
      </w:r>
      <w:r w:rsidRPr="00740235">
        <w:rPr>
          <w:rFonts w:ascii="Times New Roman" w:hAnsi="Times New Roman" w:cs="Times New Roman"/>
          <w:i/>
          <w:iCs/>
          <w:sz w:val="24"/>
          <w:szCs w:val="24"/>
        </w:rPr>
        <w:t>De gegevensverwerking door de reclassering valt namelijk binnen het</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 xml:space="preserve">bereik van de Algemene verordening </w:t>
      </w:r>
      <w:r w:rsidRPr="00740235">
        <w:rPr>
          <w:rFonts w:ascii="Times New Roman" w:hAnsi="Times New Roman" w:cs="Times New Roman"/>
          <w:i/>
          <w:iCs/>
          <w:sz w:val="24"/>
          <w:szCs w:val="24"/>
        </w:rPr>
        <w:lastRenderedPageBreak/>
        <w:t>gegevensbescherming. De Wet justitiële en</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strafvorderlijke gegevens is echter van toepassing op de verwerking van</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tenuitvoerlegginggegevens door DJI.</w:t>
      </w:r>
      <w:r w:rsidR="00995180">
        <w:rPr>
          <w:rStyle w:val="Voetnootmarkering"/>
          <w:rFonts w:ascii="Times New Roman" w:hAnsi="Times New Roman" w:cs="Times New Roman"/>
          <w:i/>
          <w:iCs/>
          <w:sz w:val="24"/>
          <w:szCs w:val="24"/>
        </w:rPr>
        <w:footnoteReference w:id="8"/>
      </w:r>
    </w:p>
    <w:p w:rsidRPr="00740235" w:rsidR="00AF006E" w:rsidP="00CF1EE3" w:rsidRDefault="00AF006E" w14:paraId="5C45300C" w14:textId="77777777">
      <w:pPr>
        <w:widowControl w:val="0"/>
        <w:spacing w:after="0" w:line="240" w:lineRule="auto"/>
        <w:rPr>
          <w:rFonts w:ascii="Times New Roman" w:hAnsi="Times New Roman" w:cs="Times New Roman"/>
          <w:i/>
          <w:iCs/>
          <w:sz w:val="24"/>
          <w:szCs w:val="24"/>
        </w:rPr>
      </w:pPr>
    </w:p>
    <w:p w:rsidR="00BD78D9" w:rsidP="00CF1EE3" w:rsidRDefault="00BD78D9" w14:paraId="25BAD203" w14:textId="63C57AB8">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De Afdeling adviseert in de toelichting aandacht te besteden aan de bescherming van de</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persoonlijke levenssfeer bij het opleggen en tenuitvoerleggen van de elektronische detentie.</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Daarnaast adviseert zij in te gaan op welke (strafrechtelijke en/of gevoelige)</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persoonsgegevens worden verwerkt, welk gegevensbeschermingsregime hierop van</w:t>
      </w:r>
      <w:r w:rsidR="00AF006E">
        <w:rPr>
          <w:rFonts w:ascii="Times New Roman" w:hAnsi="Times New Roman" w:cs="Times New Roman"/>
          <w:i/>
          <w:iCs/>
          <w:sz w:val="24"/>
          <w:szCs w:val="24"/>
        </w:rPr>
        <w:t xml:space="preserve"> </w:t>
      </w:r>
      <w:r w:rsidRPr="00740235">
        <w:rPr>
          <w:rFonts w:ascii="Times New Roman" w:hAnsi="Times New Roman" w:cs="Times New Roman"/>
          <w:i/>
          <w:iCs/>
          <w:sz w:val="24"/>
          <w:szCs w:val="24"/>
        </w:rPr>
        <w:t>toepassing is en welke waarborgen aan de verwerking worden gesteld.</w:t>
      </w:r>
    </w:p>
    <w:p w:rsidR="0085046D" w:rsidP="00CF1EE3" w:rsidRDefault="0085046D" w14:paraId="2401007D" w14:textId="77777777">
      <w:pPr>
        <w:widowControl w:val="0"/>
        <w:spacing w:after="0" w:line="240" w:lineRule="auto"/>
        <w:rPr>
          <w:rFonts w:ascii="Times New Roman" w:hAnsi="Times New Roman" w:cs="Times New Roman"/>
          <w:i/>
          <w:iCs/>
          <w:sz w:val="24"/>
          <w:szCs w:val="24"/>
        </w:rPr>
      </w:pPr>
    </w:p>
    <w:p w:rsidRPr="0085046D" w:rsidR="0085046D" w:rsidP="00CF1EE3" w:rsidRDefault="004E736E" w14:paraId="23D333D3" w14:textId="59F0EFF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Naar aanleiding van dit adviespunt is </w:t>
      </w:r>
      <w:r w:rsidR="00301163">
        <w:rPr>
          <w:rFonts w:ascii="Times New Roman" w:hAnsi="Times New Roman" w:cs="Times New Roman"/>
          <w:sz w:val="24"/>
          <w:szCs w:val="24"/>
        </w:rPr>
        <w:t>aan</w:t>
      </w:r>
      <w:r>
        <w:rPr>
          <w:rFonts w:ascii="Times New Roman" w:hAnsi="Times New Roman" w:cs="Times New Roman"/>
          <w:sz w:val="24"/>
          <w:szCs w:val="24"/>
        </w:rPr>
        <w:t xml:space="preserve"> de memorie van toelichting een paragraaf toegevoegd waarin wordt ingegaan op de verhouding van elektronische detentie tot de grondrechten en fundamentele vrijheden van de veroordeelde en eventuele andere betrokkenen. In die paragraaf wordt ingegaan op het recht op vrijheid en</w:t>
      </w:r>
      <w:r w:rsidR="00B624E7">
        <w:rPr>
          <w:rFonts w:ascii="Times New Roman" w:hAnsi="Times New Roman" w:cs="Times New Roman"/>
          <w:sz w:val="24"/>
          <w:szCs w:val="24"/>
        </w:rPr>
        <w:t xml:space="preserve"> op</w:t>
      </w:r>
      <w:r>
        <w:rPr>
          <w:rFonts w:ascii="Times New Roman" w:hAnsi="Times New Roman" w:cs="Times New Roman"/>
          <w:sz w:val="24"/>
          <w:szCs w:val="24"/>
        </w:rPr>
        <w:t xml:space="preserve"> het door de Afdeling genoemde recht op eerbiediging van de persoonlijke levenssfeer. Met betrekking tot de bescherming van de persoonlijke levenssfeer wordt ook ingegaan op welke persoonsgegevens worden verwerkt, welk regime van gegevensbescherming daarop van toepassing is en welke waarborgen </w:t>
      </w:r>
      <w:r w:rsidR="00557602">
        <w:rPr>
          <w:rFonts w:ascii="Times New Roman" w:hAnsi="Times New Roman" w:cs="Times New Roman"/>
          <w:sz w:val="24"/>
          <w:szCs w:val="24"/>
        </w:rPr>
        <w:t xml:space="preserve">zoal </w:t>
      </w:r>
      <w:r>
        <w:rPr>
          <w:rFonts w:ascii="Times New Roman" w:hAnsi="Times New Roman" w:cs="Times New Roman"/>
          <w:sz w:val="24"/>
          <w:szCs w:val="24"/>
        </w:rPr>
        <w:t>worden gesteld aan de verwerking.</w:t>
      </w:r>
    </w:p>
    <w:p w:rsidRPr="00740235" w:rsidR="00E67053" w:rsidP="00CF1EE3" w:rsidRDefault="00E67053" w14:paraId="2C8A7961" w14:textId="77777777">
      <w:pPr>
        <w:widowControl w:val="0"/>
        <w:spacing w:after="0" w:line="240" w:lineRule="auto"/>
        <w:rPr>
          <w:rFonts w:ascii="Times New Roman" w:hAnsi="Times New Roman" w:cs="Times New Roman"/>
          <w:i/>
          <w:iCs/>
          <w:sz w:val="24"/>
          <w:szCs w:val="24"/>
        </w:rPr>
      </w:pPr>
    </w:p>
    <w:p w:rsidRPr="00E67053" w:rsidR="00BD78D9" w:rsidP="00CF1EE3" w:rsidRDefault="00BD78D9" w14:paraId="0B177DC2" w14:textId="77777777">
      <w:pPr>
        <w:widowControl w:val="0"/>
        <w:spacing w:after="0" w:line="240" w:lineRule="auto"/>
        <w:rPr>
          <w:rFonts w:ascii="Times New Roman" w:hAnsi="Times New Roman" w:cs="Times New Roman"/>
          <w:b/>
          <w:bCs/>
          <w:i/>
          <w:iCs/>
          <w:sz w:val="24"/>
          <w:szCs w:val="24"/>
        </w:rPr>
      </w:pPr>
      <w:r w:rsidRPr="00E67053">
        <w:rPr>
          <w:rFonts w:ascii="Times New Roman" w:hAnsi="Times New Roman" w:cs="Times New Roman"/>
          <w:b/>
          <w:bCs/>
          <w:i/>
          <w:iCs/>
          <w:sz w:val="24"/>
          <w:szCs w:val="24"/>
        </w:rPr>
        <w:t>3. Binnentreden zonder toestemming van de veroordeelde</w:t>
      </w:r>
    </w:p>
    <w:p w:rsidR="00E67053" w:rsidP="00CF1EE3" w:rsidRDefault="00E67053" w14:paraId="7B677B1D" w14:textId="77777777">
      <w:pPr>
        <w:widowControl w:val="0"/>
        <w:spacing w:after="0" w:line="240" w:lineRule="auto"/>
        <w:rPr>
          <w:rFonts w:ascii="Times New Roman" w:hAnsi="Times New Roman" w:cs="Times New Roman"/>
          <w:i/>
          <w:iCs/>
          <w:sz w:val="24"/>
          <w:szCs w:val="24"/>
        </w:rPr>
      </w:pPr>
    </w:p>
    <w:p w:rsidR="00BD78D9" w:rsidP="00CF1EE3" w:rsidRDefault="00BD78D9" w14:paraId="722BF196" w14:textId="30E83FC4">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In voorgesteld artikel 6:2:14d is voorzien in een bevoegdheid voor medewerkers van DJI om</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de locatie van de elektronische detentie zonder toestemming van de veroordeelde te</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 xml:space="preserve">betreden </w:t>
      </w:r>
      <w:proofErr w:type="gramStart"/>
      <w:r w:rsidRPr="00740235">
        <w:rPr>
          <w:rFonts w:ascii="Times New Roman" w:hAnsi="Times New Roman" w:cs="Times New Roman"/>
          <w:i/>
          <w:iCs/>
          <w:sz w:val="24"/>
          <w:szCs w:val="24"/>
        </w:rPr>
        <w:t>indien</w:t>
      </w:r>
      <w:proofErr w:type="gramEnd"/>
      <w:r w:rsidRPr="00740235">
        <w:rPr>
          <w:rFonts w:ascii="Times New Roman" w:hAnsi="Times New Roman" w:cs="Times New Roman"/>
          <w:i/>
          <w:iCs/>
          <w:sz w:val="24"/>
          <w:szCs w:val="24"/>
        </w:rPr>
        <w:t xml:space="preserve"> dit noodzakelijk is in het belang van het toezicht op de naleving. Uit de</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Algemene wet op het binnentreden volgt dat een machtiging van de (hulp)officier van justitie</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moet worden verkregen om een woning binnen te treden zonder toestemming van de</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bewoner.</w:t>
      </w:r>
    </w:p>
    <w:p w:rsidRPr="00740235" w:rsidR="00F21C0F" w:rsidP="00CF1EE3" w:rsidRDefault="00F21C0F" w14:paraId="187EA8CA" w14:textId="77777777">
      <w:pPr>
        <w:widowControl w:val="0"/>
        <w:spacing w:after="0" w:line="240" w:lineRule="auto"/>
        <w:rPr>
          <w:rFonts w:ascii="Times New Roman" w:hAnsi="Times New Roman" w:cs="Times New Roman"/>
          <w:i/>
          <w:iCs/>
          <w:sz w:val="24"/>
          <w:szCs w:val="24"/>
        </w:rPr>
      </w:pPr>
    </w:p>
    <w:p w:rsidR="00BD78D9" w:rsidP="00CF1EE3" w:rsidRDefault="00BD78D9" w14:paraId="233C3206" w14:textId="7BC38F31">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Uit de toelichting blijkt dat DJI de locatie kan bezoeken om te controleren of de veroordeelde</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zich houdt aan de verplichtingen die aan elektronische detentie verbonden zijn, geen</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strafbare feiten pleegt en zich onthoudt van het gebruik van drugs en alcohol. Het</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uitgangspunt is dat de veroordeelde en eventuele huisgenoten toestemming geven voor het</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binnentreden. Om niet hiervan afhankelijk te zijn en ‘met het oog op de effectiviteit van de</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tenuitvoerlegging door DJI’ krijgt DJI de bevoegdheid om de locatie ook zonder toestemming</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van de veroordeelde te betreden.</w:t>
      </w:r>
      <w:r w:rsidR="00995180">
        <w:rPr>
          <w:rStyle w:val="Voetnootmarkering"/>
          <w:rFonts w:ascii="Times New Roman" w:hAnsi="Times New Roman" w:cs="Times New Roman"/>
          <w:i/>
          <w:iCs/>
          <w:sz w:val="24"/>
          <w:szCs w:val="24"/>
        </w:rPr>
        <w:footnoteReference w:id="9"/>
      </w:r>
    </w:p>
    <w:p w:rsidRPr="00740235" w:rsidR="00F21C0F" w:rsidP="00CF1EE3" w:rsidRDefault="00F21C0F" w14:paraId="57716F52" w14:textId="77777777">
      <w:pPr>
        <w:widowControl w:val="0"/>
        <w:spacing w:after="0" w:line="240" w:lineRule="auto"/>
        <w:rPr>
          <w:rFonts w:ascii="Times New Roman" w:hAnsi="Times New Roman" w:cs="Times New Roman"/>
          <w:i/>
          <w:iCs/>
          <w:sz w:val="24"/>
          <w:szCs w:val="24"/>
        </w:rPr>
      </w:pPr>
    </w:p>
    <w:p w:rsidR="00BD78D9" w:rsidP="00CF1EE3" w:rsidRDefault="00BD78D9" w14:paraId="4EEBB591" w14:textId="64626705">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Bij het binnentreden van een locatie zonder toestemming van de betrokkene zal vrijwel altijd</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een inbreuk worden gemaakt op het huisrecht van de betrokkene, zoals vastgelegd in artikel</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12 van de Grondwet en artikel 8 EVRM. Het binnentreden kan niettemin gerechtvaardigd zijn</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als dit een noodzakelijk doel dient, het binnentreden hieraan proportioneel is en geen minder</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 xml:space="preserve">ingrijpende mogelijkheid bestaat om het </w:t>
      </w:r>
      <w:proofErr w:type="gramStart"/>
      <w:r w:rsidRPr="00740235">
        <w:rPr>
          <w:rFonts w:ascii="Times New Roman" w:hAnsi="Times New Roman" w:cs="Times New Roman"/>
          <w:i/>
          <w:iCs/>
          <w:sz w:val="24"/>
          <w:szCs w:val="24"/>
        </w:rPr>
        <w:t>beoogde doel</w:t>
      </w:r>
      <w:proofErr w:type="gramEnd"/>
      <w:r w:rsidRPr="00740235">
        <w:rPr>
          <w:rFonts w:ascii="Times New Roman" w:hAnsi="Times New Roman" w:cs="Times New Roman"/>
          <w:i/>
          <w:iCs/>
          <w:sz w:val="24"/>
          <w:szCs w:val="24"/>
        </w:rPr>
        <w:t xml:space="preserve"> te bereiken (subsidiariteit). Aan deze</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elementen wordt in de toelichting onvoldoende getoetst.</w:t>
      </w:r>
    </w:p>
    <w:p w:rsidR="00F21C0F" w:rsidP="00CF1EE3" w:rsidRDefault="00BD78D9" w14:paraId="0E4279EB" w14:textId="77777777">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Voor de beoordeling van de noodzaak, proportionaliteit en subsidiariteit van de bevoegdheid</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tot binnentreden zonder toestemming is het relevant dat de reclassering nu niet een</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dergelijke bevoegdheid heeft. Als de reclassering een huisbezoek wil afleggen en toegang</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wordt geweigerd, dan kan de reclassering dit melden bij de officier van justitie. Als de officier</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van justitie constateert dat betrokkene zich door het weigeren van het huisbezoek niet aan de</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voorwaarden van een straf houdt, kan hij vervangende hechtenis vorderen.</w:t>
      </w:r>
    </w:p>
    <w:p w:rsidR="00F21C0F" w:rsidP="00CF1EE3" w:rsidRDefault="00F21C0F" w14:paraId="2305AE75" w14:textId="77777777">
      <w:pPr>
        <w:widowControl w:val="0"/>
        <w:spacing w:after="0" w:line="240" w:lineRule="auto"/>
        <w:rPr>
          <w:rFonts w:ascii="Times New Roman" w:hAnsi="Times New Roman" w:cs="Times New Roman"/>
          <w:i/>
          <w:iCs/>
          <w:sz w:val="24"/>
          <w:szCs w:val="24"/>
        </w:rPr>
      </w:pPr>
    </w:p>
    <w:p w:rsidR="00BD78D9" w:rsidP="00CF1EE3" w:rsidRDefault="00BD78D9" w14:paraId="6C5A5B0A" w14:textId="0C25EEB1">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Dit roept de vraag op waarom een dergelijke handelingswijze niet zou volstaan als DJI geen</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lastRenderedPageBreak/>
        <w:t>toegang krijgt tot de locatie van elektronische detentie. In dat geval zou immers eveneens</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kunnen worden betoogd dat de elektronische detentie niet naar behoren verloopt, waardoor</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vervangende hechtenis toegepast kan worden.</w:t>
      </w:r>
      <w:r w:rsidR="00995180">
        <w:rPr>
          <w:rStyle w:val="Voetnootmarkering"/>
          <w:rFonts w:ascii="Times New Roman" w:hAnsi="Times New Roman" w:cs="Times New Roman"/>
          <w:i/>
          <w:iCs/>
          <w:sz w:val="24"/>
          <w:szCs w:val="24"/>
        </w:rPr>
        <w:footnoteReference w:id="10"/>
      </w:r>
      <w:r w:rsidRPr="00740235">
        <w:rPr>
          <w:rFonts w:ascii="Times New Roman" w:hAnsi="Times New Roman" w:cs="Times New Roman"/>
          <w:i/>
          <w:iCs/>
          <w:sz w:val="24"/>
          <w:szCs w:val="24"/>
        </w:rPr>
        <w:t xml:space="preserve"> Dit zou eventueel in de wet</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verduidelijkt kunnen worden, bijvoorbeeld door bepaalde medewerkingsplichten voor de</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betrokkene op te nemen.</w:t>
      </w:r>
    </w:p>
    <w:p w:rsidRPr="00740235" w:rsidR="00F21C0F" w:rsidP="00CF1EE3" w:rsidRDefault="00F21C0F" w14:paraId="138DEDCA" w14:textId="77777777">
      <w:pPr>
        <w:widowControl w:val="0"/>
        <w:spacing w:after="0" w:line="240" w:lineRule="auto"/>
        <w:rPr>
          <w:rFonts w:ascii="Times New Roman" w:hAnsi="Times New Roman" w:cs="Times New Roman"/>
          <w:i/>
          <w:iCs/>
          <w:sz w:val="24"/>
          <w:szCs w:val="24"/>
        </w:rPr>
      </w:pPr>
    </w:p>
    <w:p w:rsidR="00BD78D9" w:rsidP="00CF1EE3" w:rsidRDefault="00BD78D9" w14:paraId="2C19E6F9" w14:textId="6931C1D5">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De Afdeling adviseert de noodzaak, proportionaliteit en subsidiariteit van de bevoegdheid tot</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het binnentreden zonder toestemming van de betrokkene dragend te motiveren. Daarbij</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geeft zij in overweging om een vergelijkbare regeling te treffen als in de situatie dat</w:t>
      </w:r>
      <w:r w:rsidR="00F21C0F">
        <w:rPr>
          <w:rFonts w:ascii="Times New Roman" w:hAnsi="Times New Roman" w:cs="Times New Roman"/>
          <w:i/>
          <w:iCs/>
          <w:sz w:val="24"/>
          <w:szCs w:val="24"/>
        </w:rPr>
        <w:t xml:space="preserve"> </w:t>
      </w:r>
      <w:r w:rsidRPr="00740235">
        <w:rPr>
          <w:rFonts w:ascii="Times New Roman" w:hAnsi="Times New Roman" w:cs="Times New Roman"/>
          <w:i/>
          <w:iCs/>
          <w:sz w:val="24"/>
          <w:szCs w:val="24"/>
        </w:rPr>
        <w:t>huisbezoek door de reclassering wordt geweigerd.</w:t>
      </w:r>
    </w:p>
    <w:p w:rsidR="0036091C" w:rsidP="00CF1EE3" w:rsidRDefault="0036091C" w14:paraId="0214CDED" w14:textId="77777777">
      <w:pPr>
        <w:widowControl w:val="0"/>
        <w:spacing w:after="0" w:line="240" w:lineRule="auto"/>
        <w:rPr>
          <w:rFonts w:ascii="Times New Roman" w:hAnsi="Times New Roman" w:cs="Times New Roman"/>
          <w:i/>
          <w:iCs/>
          <w:sz w:val="24"/>
          <w:szCs w:val="24"/>
        </w:rPr>
      </w:pPr>
    </w:p>
    <w:p w:rsidR="00D822CC" w:rsidP="00CF1EE3" w:rsidRDefault="009A0573" w14:paraId="68ACF60A" w14:textId="77777777">
      <w:pPr>
        <w:widowControl w:val="0"/>
        <w:spacing w:after="0" w:line="240" w:lineRule="auto"/>
        <w:rPr>
          <w:rFonts w:ascii="Times New Roman" w:hAnsi="Times New Roman" w:cs="Times New Roman"/>
          <w:sz w:val="24"/>
          <w:szCs w:val="24"/>
        </w:rPr>
      </w:pPr>
      <w:r w:rsidRPr="00C34A25">
        <w:rPr>
          <w:rFonts w:ascii="Times New Roman" w:hAnsi="Times New Roman" w:cs="Times New Roman"/>
          <w:sz w:val="24"/>
          <w:szCs w:val="24"/>
        </w:rPr>
        <w:t>O</w:t>
      </w:r>
      <w:r w:rsidRPr="00C34A25" w:rsidR="00F86464">
        <w:rPr>
          <w:rFonts w:ascii="Times New Roman" w:hAnsi="Times New Roman" w:cs="Times New Roman"/>
          <w:sz w:val="24"/>
          <w:szCs w:val="24"/>
        </w:rPr>
        <w:t>p basis van dit adviespun</w:t>
      </w:r>
      <w:r w:rsidRPr="00C34A25" w:rsidR="001C669D">
        <w:rPr>
          <w:rFonts w:ascii="Times New Roman" w:hAnsi="Times New Roman" w:cs="Times New Roman"/>
          <w:sz w:val="24"/>
          <w:szCs w:val="24"/>
        </w:rPr>
        <w:t>t</w:t>
      </w:r>
      <w:r w:rsidRPr="00C34A25">
        <w:rPr>
          <w:rFonts w:ascii="Times New Roman" w:hAnsi="Times New Roman" w:cs="Times New Roman"/>
          <w:sz w:val="24"/>
          <w:szCs w:val="24"/>
        </w:rPr>
        <w:t xml:space="preserve"> en nadere gesprekken met de DJI en de reclassering</w:t>
      </w:r>
      <w:r w:rsidRPr="00C34A25" w:rsidR="00F86464">
        <w:rPr>
          <w:rFonts w:ascii="Times New Roman" w:hAnsi="Times New Roman" w:cs="Times New Roman"/>
          <w:sz w:val="24"/>
          <w:szCs w:val="24"/>
        </w:rPr>
        <w:t xml:space="preserve"> </w:t>
      </w:r>
      <w:r w:rsidRPr="00C34A25" w:rsidR="002C5F65">
        <w:rPr>
          <w:rFonts w:ascii="Times New Roman" w:hAnsi="Times New Roman" w:cs="Times New Roman"/>
          <w:sz w:val="24"/>
          <w:szCs w:val="24"/>
        </w:rPr>
        <w:t>is</w:t>
      </w:r>
      <w:r w:rsidRPr="00C34A25" w:rsidR="00DE408A">
        <w:rPr>
          <w:rFonts w:ascii="Times New Roman" w:hAnsi="Times New Roman" w:cs="Times New Roman"/>
          <w:sz w:val="24"/>
          <w:szCs w:val="24"/>
        </w:rPr>
        <w:t xml:space="preserve"> </w:t>
      </w:r>
      <w:r w:rsidRPr="00C34A25" w:rsidR="00F86464">
        <w:rPr>
          <w:rFonts w:ascii="Times New Roman" w:hAnsi="Times New Roman" w:cs="Times New Roman"/>
          <w:sz w:val="24"/>
          <w:szCs w:val="24"/>
        </w:rPr>
        <w:t xml:space="preserve">besloten </w:t>
      </w:r>
      <w:r w:rsidRPr="00C34A25" w:rsidR="001C669D">
        <w:rPr>
          <w:rFonts w:ascii="Times New Roman" w:hAnsi="Times New Roman" w:cs="Times New Roman"/>
          <w:sz w:val="24"/>
          <w:szCs w:val="24"/>
        </w:rPr>
        <w:t xml:space="preserve">om af te zien van een bevoegdheid </w:t>
      </w:r>
      <w:r w:rsidRPr="00C34A25">
        <w:rPr>
          <w:rFonts w:ascii="Times New Roman" w:hAnsi="Times New Roman" w:cs="Times New Roman"/>
          <w:sz w:val="24"/>
          <w:szCs w:val="24"/>
        </w:rPr>
        <w:t xml:space="preserve">tot binnentreden zonder </w:t>
      </w:r>
      <w:r w:rsidRPr="00C34A25" w:rsidR="001C669D">
        <w:rPr>
          <w:rFonts w:ascii="Times New Roman" w:hAnsi="Times New Roman" w:cs="Times New Roman"/>
          <w:sz w:val="24"/>
          <w:szCs w:val="24"/>
        </w:rPr>
        <w:t>toestemming van de veroordeelde</w:t>
      </w:r>
      <w:r w:rsidRPr="00C34A25" w:rsidR="00F86464">
        <w:rPr>
          <w:rFonts w:ascii="Times New Roman" w:hAnsi="Times New Roman" w:cs="Times New Roman"/>
          <w:sz w:val="24"/>
          <w:szCs w:val="24"/>
        </w:rPr>
        <w:t>. In plaats daarvan</w:t>
      </w:r>
      <w:r w:rsidRPr="00C34A25" w:rsidR="00146D38">
        <w:rPr>
          <w:rFonts w:ascii="Times New Roman" w:hAnsi="Times New Roman" w:cs="Times New Roman"/>
          <w:sz w:val="24"/>
          <w:szCs w:val="24"/>
        </w:rPr>
        <w:t xml:space="preserve"> is</w:t>
      </w:r>
      <w:r w:rsidRPr="00C34A25" w:rsidR="002C5F65">
        <w:rPr>
          <w:rFonts w:ascii="Times New Roman" w:hAnsi="Times New Roman" w:cs="Times New Roman"/>
          <w:sz w:val="24"/>
          <w:szCs w:val="24"/>
        </w:rPr>
        <w:t xml:space="preserve"> </w:t>
      </w:r>
      <w:r w:rsidRPr="00C34A25" w:rsidR="00F86464">
        <w:rPr>
          <w:rFonts w:ascii="Times New Roman" w:hAnsi="Times New Roman" w:cs="Times New Roman"/>
          <w:sz w:val="24"/>
          <w:szCs w:val="24"/>
        </w:rPr>
        <w:t xml:space="preserve">een verplichting </w:t>
      </w:r>
      <w:r w:rsidRPr="00C34A25" w:rsidR="002C5F65">
        <w:rPr>
          <w:rFonts w:ascii="Times New Roman" w:hAnsi="Times New Roman" w:cs="Times New Roman"/>
          <w:sz w:val="24"/>
          <w:szCs w:val="24"/>
        </w:rPr>
        <w:t xml:space="preserve">opgenomen </w:t>
      </w:r>
      <w:r w:rsidRPr="00C34A25" w:rsidR="00F86464">
        <w:rPr>
          <w:rFonts w:ascii="Times New Roman" w:hAnsi="Times New Roman" w:cs="Times New Roman"/>
          <w:sz w:val="24"/>
          <w:szCs w:val="24"/>
        </w:rPr>
        <w:t xml:space="preserve">voor de veroordeelde om mee te werken aan bezoek en controle </w:t>
      </w:r>
      <w:r w:rsidRPr="00C34A25" w:rsidR="00B04450">
        <w:rPr>
          <w:rFonts w:ascii="Times New Roman" w:hAnsi="Times New Roman" w:cs="Times New Roman"/>
          <w:sz w:val="24"/>
          <w:szCs w:val="24"/>
        </w:rPr>
        <w:t>van de locatie van de elektronische detentie</w:t>
      </w:r>
      <w:r w:rsidRPr="00C34A25" w:rsidR="00F86464">
        <w:rPr>
          <w:rFonts w:ascii="Times New Roman" w:hAnsi="Times New Roman" w:cs="Times New Roman"/>
          <w:sz w:val="24"/>
          <w:szCs w:val="24"/>
        </w:rPr>
        <w:t xml:space="preserve">. </w:t>
      </w:r>
      <w:r w:rsidRPr="00C34A25" w:rsidR="002C5F65">
        <w:rPr>
          <w:rFonts w:ascii="Times New Roman" w:hAnsi="Times New Roman" w:cs="Times New Roman"/>
          <w:sz w:val="24"/>
          <w:szCs w:val="24"/>
        </w:rPr>
        <w:t xml:space="preserve">Deze medewerkingsplicht is geïnspireerd op de regeling van huisbezoeken in het kader van het reclasseringstoezicht. </w:t>
      </w:r>
      <w:r w:rsidRPr="00C34A25">
        <w:rPr>
          <w:rFonts w:ascii="Times New Roman" w:hAnsi="Times New Roman" w:cs="Times New Roman"/>
          <w:sz w:val="24"/>
          <w:szCs w:val="24"/>
        </w:rPr>
        <w:t>Het doel</w:t>
      </w:r>
      <w:r w:rsidRPr="00C34A25" w:rsidR="00F86464">
        <w:rPr>
          <w:rFonts w:ascii="Times New Roman" w:hAnsi="Times New Roman" w:cs="Times New Roman"/>
          <w:sz w:val="24"/>
          <w:szCs w:val="24"/>
        </w:rPr>
        <w:t xml:space="preserve"> van bezoek en controle </w:t>
      </w:r>
      <w:r w:rsidRPr="00C34A25">
        <w:rPr>
          <w:rFonts w:ascii="Times New Roman" w:hAnsi="Times New Roman" w:cs="Times New Roman"/>
          <w:sz w:val="24"/>
          <w:szCs w:val="24"/>
        </w:rPr>
        <w:t xml:space="preserve">is </w:t>
      </w:r>
      <w:r w:rsidRPr="00C34A25" w:rsidR="002C5F65">
        <w:rPr>
          <w:rFonts w:ascii="Times New Roman" w:hAnsi="Times New Roman" w:cs="Times New Roman"/>
          <w:sz w:val="24"/>
          <w:szCs w:val="24"/>
        </w:rPr>
        <w:t>niet gewijzigd</w:t>
      </w:r>
      <w:r w:rsidRPr="00C34A25">
        <w:rPr>
          <w:rFonts w:ascii="Times New Roman" w:hAnsi="Times New Roman" w:cs="Times New Roman"/>
          <w:sz w:val="24"/>
          <w:szCs w:val="24"/>
        </w:rPr>
        <w:t xml:space="preserve">, namelijk </w:t>
      </w:r>
      <w:r w:rsidRPr="00C34A25" w:rsidR="00F86464">
        <w:rPr>
          <w:rFonts w:ascii="Times New Roman" w:hAnsi="Times New Roman" w:cs="Times New Roman"/>
          <w:sz w:val="24"/>
          <w:szCs w:val="24"/>
        </w:rPr>
        <w:t xml:space="preserve">nagaan of de veroordeelde zich houdt aan de </w:t>
      </w:r>
      <w:r w:rsidRPr="00C34A25" w:rsidR="00A93A6D">
        <w:rPr>
          <w:rFonts w:ascii="Times New Roman" w:hAnsi="Times New Roman" w:cs="Times New Roman"/>
          <w:sz w:val="24"/>
          <w:szCs w:val="24"/>
        </w:rPr>
        <w:t>verplichtingen die zijn verbo</w:t>
      </w:r>
      <w:r w:rsidRPr="00C34A25" w:rsidR="00E65006">
        <w:rPr>
          <w:rFonts w:ascii="Times New Roman" w:hAnsi="Times New Roman" w:cs="Times New Roman"/>
          <w:sz w:val="24"/>
          <w:szCs w:val="24"/>
        </w:rPr>
        <w:t>n</w:t>
      </w:r>
      <w:r w:rsidRPr="00C34A25" w:rsidR="00A93A6D">
        <w:rPr>
          <w:rFonts w:ascii="Times New Roman" w:hAnsi="Times New Roman" w:cs="Times New Roman"/>
          <w:sz w:val="24"/>
          <w:szCs w:val="24"/>
        </w:rPr>
        <w:t xml:space="preserve">den </w:t>
      </w:r>
      <w:r w:rsidRPr="00C34A25" w:rsidR="00F86464">
        <w:rPr>
          <w:rFonts w:ascii="Times New Roman" w:hAnsi="Times New Roman" w:cs="Times New Roman"/>
          <w:sz w:val="24"/>
          <w:szCs w:val="24"/>
        </w:rPr>
        <w:t xml:space="preserve">aan de elektronische detentie en geen activiteiten verricht die daarmee onverenigbaar zijn, zoals het plegen van strafbare feiten of het gebruik van verdovende middelen of alcohol. Een bezoek kan </w:t>
      </w:r>
      <w:r w:rsidRPr="00C34A25" w:rsidR="002C5F65">
        <w:rPr>
          <w:rFonts w:ascii="Times New Roman" w:hAnsi="Times New Roman" w:cs="Times New Roman"/>
          <w:sz w:val="24"/>
          <w:szCs w:val="24"/>
        </w:rPr>
        <w:t xml:space="preserve">daarnaast </w:t>
      </w:r>
      <w:r w:rsidRPr="00C34A25" w:rsidR="00F86464">
        <w:rPr>
          <w:rFonts w:ascii="Times New Roman" w:hAnsi="Times New Roman" w:cs="Times New Roman"/>
          <w:sz w:val="24"/>
          <w:szCs w:val="24"/>
        </w:rPr>
        <w:t>ook meer praktische redenen hebben, zoals het verhelpen van eventuele problemen met de enkelband (met het oog op het elektronisch toezicht) of het onderzoeken of de locatie nog geschikt is voor de (verdere) tenuitvoerlegging van de elektronische detentie.</w:t>
      </w:r>
      <w:r w:rsidR="00D822CC">
        <w:rPr>
          <w:rFonts w:ascii="Times New Roman" w:hAnsi="Times New Roman" w:cs="Times New Roman"/>
          <w:sz w:val="24"/>
          <w:szCs w:val="24"/>
        </w:rPr>
        <w:t xml:space="preserve"> </w:t>
      </w:r>
      <w:r w:rsidRPr="00F86464" w:rsidR="00F86464">
        <w:rPr>
          <w:rFonts w:ascii="Times New Roman" w:hAnsi="Times New Roman" w:cs="Times New Roman"/>
          <w:sz w:val="24"/>
          <w:szCs w:val="24"/>
        </w:rPr>
        <w:t>Het bezoek en de controle zullen worden verricht door de ambtenaren en functionarissen van de DJI die zijn belast met de tenuitvoerlegging van de elektronische detentie.</w:t>
      </w:r>
    </w:p>
    <w:p w:rsidR="00D822CC" w:rsidP="00CF1EE3" w:rsidRDefault="00D822CC" w14:paraId="7EC50E4B" w14:textId="77777777">
      <w:pPr>
        <w:widowControl w:val="0"/>
        <w:spacing w:after="0" w:line="240" w:lineRule="auto"/>
        <w:rPr>
          <w:rFonts w:ascii="Times New Roman" w:hAnsi="Times New Roman" w:cs="Times New Roman"/>
          <w:sz w:val="24"/>
          <w:szCs w:val="24"/>
        </w:rPr>
      </w:pPr>
    </w:p>
    <w:p w:rsidR="00D822CC" w:rsidP="00CF1EE3" w:rsidRDefault="00F86464" w14:paraId="5A87F99A" w14:textId="77777777">
      <w:pPr>
        <w:widowControl w:val="0"/>
        <w:spacing w:after="0" w:line="240" w:lineRule="auto"/>
        <w:rPr>
          <w:rFonts w:ascii="Times New Roman" w:hAnsi="Times New Roman" w:cs="Times New Roman"/>
          <w:sz w:val="24"/>
          <w:szCs w:val="24"/>
        </w:rPr>
      </w:pPr>
      <w:r w:rsidRPr="00F86464">
        <w:rPr>
          <w:rFonts w:ascii="Times New Roman" w:hAnsi="Times New Roman" w:cs="Times New Roman"/>
          <w:sz w:val="24"/>
          <w:szCs w:val="24"/>
        </w:rPr>
        <w:t xml:space="preserve">Daarnaast </w:t>
      </w:r>
      <w:r w:rsidR="002C5F65">
        <w:rPr>
          <w:rFonts w:ascii="Times New Roman" w:hAnsi="Times New Roman" w:cs="Times New Roman"/>
          <w:sz w:val="24"/>
          <w:szCs w:val="24"/>
        </w:rPr>
        <w:t>geldt de (</w:t>
      </w:r>
      <w:proofErr w:type="gramStart"/>
      <w:r w:rsidR="002C5F65">
        <w:rPr>
          <w:rFonts w:ascii="Times New Roman" w:hAnsi="Times New Roman" w:cs="Times New Roman"/>
          <w:sz w:val="24"/>
          <w:szCs w:val="24"/>
        </w:rPr>
        <w:t>reeds</w:t>
      </w:r>
      <w:proofErr w:type="gramEnd"/>
      <w:r w:rsidR="002C5F65">
        <w:rPr>
          <w:rFonts w:ascii="Times New Roman" w:hAnsi="Times New Roman" w:cs="Times New Roman"/>
          <w:sz w:val="24"/>
          <w:szCs w:val="24"/>
        </w:rPr>
        <w:t xml:space="preserve"> bestaande) plicht voor de </w:t>
      </w:r>
      <w:r w:rsidRPr="00F86464">
        <w:rPr>
          <w:rFonts w:ascii="Times New Roman" w:hAnsi="Times New Roman" w:cs="Times New Roman"/>
          <w:sz w:val="24"/>
          <w:szCs w:val="24"/>
        </w:rPr>
        <w:t xml:space="preserve">veroordeelde </w:t>
      </w:r>
      <w:r w:rsidR="002C5F65">
        <w:rPr>
          <w:rFonts w:ascii="Times New Roman" w:hAnsi="Times New Roman" w:cs="Times New Roman"/>
          <w:sz w:val="24"/>
          <w:szCs w:val="24"/>
        </w:rPr>
        <w:t xml:space="preserve">om </w:t>
      </w:r>
      <w:r w:rsidRPr="00F86464">
        <w:rPr>
          <w:rFonts w:ascii="Times New Roman" w:hAnsi="Times New Roman" w:cs="Times New Roman"/>
          <w:sz w:val="24"/>
          <w:szCs w:val="24"/>
        </w:rPr>
        <w:t>mee te werken aan het toezicht door de reclassering op de naleving van eventuele bijzondere voorwaarden, waaronder de medewerking aan huisbezoeken.</w:t>
      </w:r>
    </w:p>
    <w:p w:rsidR="00D822CC" w:rsidP="00CF1EE3" w:rsidRDefault="00D822CC" w14:paraId="0C7350E3" w14:textId="77777777">
      <w:pPr>
        <w:widowControl w:val="0"/>
        <w:spacing w:after="0" w:line="240" w:lineRule="auto"/>
        <w:rPr>
          <w:rFonts w:ascii="Times New Roman" w:hAnsi="Times New Roman" w:cs="Times New Roman"/>
          <w:sz w:val="24"/>
          <w:szCs w:val="24"/>
        </w:rPr>
      </w:pPr>
    </w:p>
    <w:p w:rsidRPr="0036091C" w:rsidR="0036091C" w:rsidP="00CF1EE3" w:rsidRDefault="00F86464" w14:paraId="12654143" w14:textId="2D7F6C87">
      <w:pPr>
        <w:widowControl w:val="0"/>
        <w:spacing w:after="0" w:line="240" w:lineRule="auto"/>
        <w:rPr>
          <w:rFonts w:ascii="Times New Roman" w:hAnsi="Times New Roman" w:cs="Times New Roman"/>
          <w:sz w:val="24"/>
          <w:szCs w:val="24"/>
        </w:rPr>
      </w:pPr>
      <w:r w:rsidRPr="00F86464">
        <w:rPr>
          <w:rFonts w:ascii="Times New Roman" w:hAnsi="Times New Roman" w:cs="Times New Roman"/>
          <w:sz w:val="24"/>
          <w:szCs w:val="24"/>
        </w:rPr>
        <w:t xml:space="preserve">Indien de veroordeelde weigert mee te werken aan een bezoek van de DJI of de reclassering, </w:t>
      </w:r>
      <w:r w:rsidR="00A93A6D">
        <w:rPr>
          <w:rFonts w:ascii="Times New Roman" w:hAnsi="Times New Roman" w:cs="Times New Roman"/>
          <w:sz w:val="24"/>
          <w:szCs w:val="24"/>
        </w:rPr>
        <w:t>wordt dit gemeld</w:t>
      </w:r>
      <w:r w:rsidRPr="00F86464">
        <w:rPr>
          <w:rFonts w:ascii="Times New Roman" w:hAnsi="Times New Roman" w:cs="Times New Roman"/>
          <w:sz w:val="24"/>
          <w:szCs w:val="24"/>
        </w:rPr>
        <w:t xml:space="preserve"> aan het openbaar ministerie als het niet naar behoren ondergaan van de elektronische detentie, in welk geval de </w:t>
      </w:r>
      <w:r>
        <w:rPr>
          <w:rFonts w:ascii="Times New Roman" w:hAnsi="Times New Roman" w:cs="Times New Roman"/>
          <w:sz w:val="24"/>
          <w:szCs w:val="24"/>
        </w:rPr>
        <w:t xml:space="preserve">in het vonnis bepaalde </w:t>
      </w:r>
      <w:r w:rsidRPr="00F86464">
        <w:rPr>
          <w:rFonts w:ascii="Times New Roman" w:hAnsi="Times New Roman" w:cs="Times New Roman"/>
          <w:sz w:val="24"/>
          <w:szCs w:val="24"/>
        </w:rPr>
        <w:t xml:space="preserve">vervangende hechtenis </w:t>
      </w:r>
      <w:r w:rsidR="00A93A6D">
        <w:rPr>
          <w:rFonts w:ascii="Times New Roman" w:hAnsi="Times New Roman" w:cs="Times New Roman"/>
          <w:sz w:val="24"/>
          <w:szCs w:val="24"/>
        </w:rPr>
        <w:t xml:space="preserve">in beginsel </w:t>
      </w:r>
      <w:r w:rsidRPr="00F86464">
        <w:rPr>
          <w:rFonts w:ascii="Times New Roman" w:hAnsi="Times New Roman" w:cs="Times New Roman"/>
          <w:sz w:val="24"/>
          <w:szCs w:val="24"/>
        </w:rPr>
        <w:t>zal worden toegepast.</w:t>
      </w:r>
    </w:p>
    <w:p w:rsidRPr="00740235" w:rsidR="00E67053" w:rsidP="00CF1EE3" w:rsidRDefault="00E67053" w14:paraId="1E02689D" w14:textId="77777777">
      <w:pPr>
        <w:widowControl w:val="0"/>
        <w:spacing w:after="0" w:line="240" w:lineRule="auto"/>
        <w:rPr>
          <w:rFonts w:ascii="Times New Roman" w:hAnsi="Times New Roman" w:cs="Times New Roman"/>
          <w:i/>
          <w:iCs/>
          <w:sz w:val="24"/>
          <w:szCs w:val="24"/>
        </w:rPr>
      </w:pPr>
    </w:p>
    <w:p w:rsidRPr="00E67053" w:rsidR="00BD78D9" w:rsidP="00CF1EE3" w:rsidRDefault="00BD78D9" w14:paraId="78BE9EE4" w14:textId="77777777">
      <w:pPr>
        <w:widowControl w:val="0"/>
        <w:spacing w:after="0" w:line="240" w:lineRule="auto"/>
        <w:rPr>
          <w:rFonts w:ascii="Times New Roman" w:hAnsi="Times New Roman" w:cs="Times New Roman"/>
          <w:b/>
          <w:bCs/>
          <w:i/>
          <w:iCs/>
          <w:sz w:val="24"/>
          <w:szCs w:val="24"/>
        </w:rPr>
      </w:pPr>
      <w:r w:rsidRPr="00E67053">
        <w:rPr>
          <w:rFonts w:ascii="Times New Roman" w:hAnsi="Times New Roman" w:cs="Times New Roman"/>
          <w:b/>
          <w:bCs/>
          <w:i/>
          <w:iCs/>
          <w:sz w:val="24"/>
          <w:szCs w:val="24"/>
        </w:rPr>
        <w:t>4. Aansluiting bij het nieuwe Wetboek van Strafvordering</w:t>
      </w:r>
    </w:p>
    <w:p w:rsidR="00E67053" w:rsidP="00CF1EE3" w:rsidRDefault="00E67053" w14:paraId="4B81F45C" w14:textId="77777777">
      <w:pPr>
        <w:widowControl w:val="0"/>
        <w:spacing w:after="0" w:line="240" w:lineRule="auto"/>
        <w:rPr>
          <w:rFonts w:ascii="Times New Roman" w:hAnsi="Times New Roman" w:cs="Times New Roman"/>
          <w:i/>
          <w:iCs/>
          <w:sz w:val="24"/>
          <w:szCs w:val="24"/>
        </w:rPr>
      </w:pPr>
    </w:p>
    <w:p w:rsidR="00BD78D9" w:rsidP="00CF1EE3" w:rsidRDefault="00BD78D9" w14:paraId="5119059D" w14:textId="7C86DA87">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Op dit moment wordt het Wetboek van Strafvordering gemoderniseerd. De</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vaststellingswetten zijn inmiddels door de Tweede Kamer aangenomen en zijn in</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behandeling bij de Eerste Kamer.</w:t>
      </w:r>
      <w:r w:rsidR="00995180">
        <w:rPr>
          <w:rStyle w:val="Voetnootmarkering"/>
          <w:rFonts w:ascii="Times New Roman" w:hAnsi="Times New Roman" w:cs="Times New Roman"/>
          <w:i/>
          <w:iCs/>
          <w:sz w:val="24"/>
          <w:szCs w:val="24"/>
        </w:rPr>
        <w:footnoteReference w:id="11"/>
      </w:r>
      <w:r w:rsidRPr="00740235">
        <w:rPr>
          <w:rFonts w:ascii="Times New Roman" w:hAnsi="Times New Roman" w:cs="Times New Roman"/>
          <w:i/>
          <w:iCs/>
          <w:sz w:val="24"/>
          <w:szCs w:val="24"/>
        </w:rPr>
        <w:t xml:space="preserve"> Over de eerste aanvullingswet heeft de</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Afdeling recentelijk geadviseerd</w:t>
      </w:r>
      <w:r w:rsidR="00995180">
        <w:rPr>
          <w:rFonts w:ascii="Times New Roman" w:hAnsi="Times New Roman" w:cs="Times New Roman"/>
          <w:i/>
          <w:iCs/>
          <w:sz w:val="24"/>
          <w:szCs w:val="24"/>
        </w:rPr>
        <w:t>.</w:t>
      </w:r>
      <w:r w:rsidR="00995180">
        <w:rPr>
          <w:rStyle w:val="Voetnootmarkering"/>
          <w:rFonts w:ascii="Times New Roman" w:hAnsi="Times New Roman" w:cs="Times New Roman"/>
          <w:i/>
          <w:iCs/>
          <w:sz w:val="24"/>
          <w:szCs w:val="24"/>
        </w:rPr>
        <w:footnoteReference w:id="12"/>
      </w:r>
      <w:r w:rsidRPr="00740235">
        <w:rPr>
          <w:rFonts w:ascii="Times New Roman" w:hAnsi="Times New Roman" w:cs="Times New Roman"/>
          <w:i/>
          <w:iCs/>
          <w:sz w:val="24"/>
          <w:szCs w:val="24"/>
        </w:rPr>
        <w:t xml:space="preserve"> Het initiatiefwetsvoorstel raakt aan een</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onderdeel van deze eerste aanvullingswet, te weten de herstructurering van (bijzondere)</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voorwaarden en het toezicht op de naleving daarvan. De elektronische detentie gaat immers</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in beginsel gepaard met voorwaarden en bijbehorend toezicht.</w:t>
      </w:r>
    </w:p>
    <w:p w:rsidRPr="00740235" w:rsidR="008D73C2" w:rsidP="00CF1EE3" w:rsidRDefault="008D73C2" w14:paraId="6CBBE477" w14:textId="77777777">
      <w:pPr>
        <w:widowControl w:val="0"/>
        <w:spacing w:after="0" w:line="240" w:lineRule="auto"/>
        <w:rPr>
          <w:rFonts w:ascii="Times New Roman" w:hAnsi="Times New Roman" w:cs="Times New Roman"/>
          <w:i/>
          <w:iCs/>
          <w:sz w:val="24"/>
          <w:szCs w:val="24"/>
        </w:rPr>
      </w:pPr>
    </w:p>
    <w:p w:rsidR="00BD78D9" w:rsidP="00CF1EE3" w:rsidRDefault="00BD78D9" w14:paraId="79DF32FD" w14:textId="20E25C5A">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Met de eerste aanvullingswet wordt beoogd om meer eenheid te brengen in de regelingen</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 xml:space="preserve">met </w:t>
      </w:r>
      <w:r w:rsidRPr="00740235">
        <w:rPr>
          <w:rFonts w:ascii="Times New Roman" w:hAnsi="Times New Roman" w:cs="Times New Roman"/>
          <w:i/>
          <w:iCs/>
          <w:sz w:val="24"/>
          <w:szCs w:val="24"/>
        </w:rPr>
        <w:lastRenderedPageBreak/>
        <w:t>betrekking tot (bijzondere) voorwaarden en het toezicht op de naleving daarvan. Dit is</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onder andere gedaan door de gehanteerde terminologie te uniformeren. Zo is er één</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algemene voorwaarde met steeds dezelfde inhoud, namelijk dat de verdachte/veroordeelde</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geen nieuwe strafbare feiten mag plegen. De bijzondere voorwaarden zijn steviger verankerd</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in de wet, wat inhoudt dat bijna alle modaliteiten waarbij voorwaarden, aanwijzingen of</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maatregelen kunnen worden bevolen een eigen lijst met bijzondere voorwaarden hebben.</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Daarbij zijn de bijzondere voorwaarden in dezelfde volgorde gezet en in dezelfde terminologie</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geformuleerd.</w:t>
      </w:r>
      <w:r w:rsidR="00995180">
        <w:rPr>
          <w:rStyle w:val="Voetnootmarkering"/>
          <w:rFonts w:ascii="Times New Roman" w:hAnsi="Times New Roman" w:cs="Times New Roman"/>
          <w:i/>
          <w:iCs/>
          <w:sz w:val="24"/>
          <w:szCs w:val="24"/>
        </w:rPr>
        <w:footnoteReference w:id="13"/>
      </w:r>
      <w:r w:rsidRPr="00740235">
        <w:rPr>
          <w:rFonts w:ascii="Times New Roman" w:hAnsi="Times New Roman" w:cs="Times New Roman"/>
          <w:i/>
          <w:iCs/>
          <w:sz w:val="24"/>
          <w:szCs w:val="24"/>
        </w:rPr>
        <w:t xml:space="preserve"> </w:t>
      </w:r>
    </w:p>
    <w:p w:rsidRPr="00740235" w:rsidR="008D73C2" w:rsidP="00CF1EE3" w:rsidRDefault="008D73C2" w14:paraId="211C71B3" w14:textId="77777777">
      <w:pPr>
        <w:widowControl w:val="0"/>
        <w:spacing w:after="0" w:line="240" w:lineRule="auto"/>
        <w:rPr>
          <w:rFonts w:ascii="Times New Roman" w:hAnsi="Times New Roman" w:cs="Times New Roman"/>
          <w:i/>
          <w:iCs/>
          <w:sz w:val="24"/>
          <w:szCs w:val="24"/>
        </w:rPr>
      </w:pPr>
    </w:p>
    <w:p w:rsidR="00BD78D9" w:rsidP="00CF1EE3" w:rsidRDefault="00BD78D9" w14:paraId="2C240874" w14:textId="7154C07C">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In het initiatiefwetsvoorstel lijkt geen aansluiting te zijn gezocht bij de eerste aanvullingswet.</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Aangezien deze twee wetsvoorstellen mogelijk kort na elkaar in werking zouden kunnen</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treden, ligt het voor de hand om waar relevant de inhoud alvast op elkaar af te stemmen.</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Aansluitend bij de voorgestelde systematiek van de eerste aanvullingswet zou dan in het</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initiatiefwetsvoorstel het verbod op alcohol en drugsgebruik bij elektronische detentie als</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bijzondere voorwaarde moeten worden vormgegeven, en niet als algemene voorwaarde.</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Daarnaast zou de elektronische detentie dan een eigen lijst met bijzondere voorwaarden</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moeten krijgen, in plaats van de bepaling dat de lijst die geldt bij de voorwaardelijke straf van</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overeenkomstige toepassing is.</w:t>
      </w:r>
      <w:r w:rsidR="00995180">
        <w:rPr>
          <w:rStyle w:val="Voetnootmarkering"/>
          <w:rFonts w:ascii="Times New Roman" w:hAnsi="Times New Roman" w:cs="Times New Roman"/>
          <w:i/>
          <w:iCs/>
          <w:sz w:val="24"/>
          <w:szCs w:val="24"/>
        </w:rPr>
        <w:footnoteReference w:id="14"/>
      </w:r>
    </w:p>
    <w:p w:rsidRPr="00740235" w:rsidR="008D73C2" w:rsidP="00CF1EE3" w:rsidRDefault="008D73C2" w14:paraId="379693C7" w14:textId="77777777">
      <w:pPr>
        <w:widowControl w:val="0"/>
        <w:spacing w:after="0" w:line="240" w:lineRule="auto"/>
        <w:rPr>
          <w:rFonts w:ascii="Times New Roman" w:hAnsi="Times New Roman" w:cs="Times New Roman"/>
          <w:i/>
          <w:iCs/>
          <w:sz w:val="24"/>
          <w:szCs w:val="24"/>
        </w:rPr>
      </w:pPr>
    </w:p>
    <w:p w:rsidR="00BD78D9" w:rsidP="00CF1EE3" w:rsidRDefault="00BD78D9" w14:paraId="7A7CF384" w14:textId="47B03B8D">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De Afdeling adviseert om in de toelichting in te gaan op de verhouding tot het nieuwe</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Wetboek van Strafvordering en de wettekst en toelichting op dit nieuwe Wetboek aan te</w:t>
      </w:r>
      <w:r w:rsidR="008D73C2">
        <w:rPr>
          <w:rFonts w:ascii="Times New Roman" w:hAnsi="Times New Roman" w:cs="Times New Roman"/>
          <w:i/>
          <w:iCs/>
          <w:sz w:val="24"/>
          <w:szCs w:val="24"/>
        </w:rPr>
        <w:t xml:space="preserve"> </w:t>
      </w:r>
      <w:r w:rsidRPr="00740235">
        <w:rPr>
          <w:rFonts w:ascii="Times New Roman" w:hAnsi="Times New Roman" w:cs="Times New Roman"/>
          <w:i/>
          <w:iCs/>
          <w:sz w:val="24"/>
          <w:szCs w:val="24"/>
        </w:rPr>
        <w:t>passen.</w:t>
      </w:r>
    </w:p>
    <w:p w:rsidR="001A1525" w:rsidP="00CF1EE3" w:rsidRDefault="001A1525" w14:paraId="4A0F1479" w14:textId="77777777">
      <w:pPr>
        <w:widowControl w:val="0"/>
        <w:spacing w:after="0" w:line="240" w:lineRule="auto"/>
        <w:rPr>
          <w:rFonts w:ascii="Times New Roman" w:hAnsi="Times New Roman" w:cs="Times New Roman"/>
          <w:i/>
          <w:iCs/>
          <w:sz w:val="24"/>
          <w:szCs w:val="24"/>
        </w:rPr>
      </w:pPr>
    </w:p>
    <w:p w:rsidRPr="008D73C2" w:rsidR="008D73C2" w:rsidP="00CF1EE3" w:rsidRDefault="001E0F76" w14:paraId="68F05801" w14:textId="6E83093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Ter opvolging van dit adviespunt is de regeling van de elektronische detentie </w:t>
      </w:r>
      <w:r w:rsidR="004829E2">
        <w:rPr>
          <w:rFonts w:ascii="Times New Roman" w:hAnsi="Times New Roman" w:cs="Times New Roman"/>
          <w:sz w:val="24"/>
          <w:szCs w:val="24"/>
        </w:rPr>
        <w:t xml:space="preserve">aangevuld met een eigen </w:t>
      </w:r>
      <w:r>
        <w:rPr>
          <w:rFonts w:ascii="Times New Roman" w:hAnsi="Times New Roman" w:cs="Times New Roman"/>
          <w:sz w:val="24"/>
          <w:szCs w:val="24"/>
        </w:rPr>
        <w:t xml:space="preserve">lijst met bijzondere voorwaarden. </w:t>
      </w:r>
      <w:r w:rsidRPr="001E0F76">
        <w:rPr>
          <w:rFonts w:ascii="Times New Roman" w:hAnsi="Times New Roman" w:cs="Times New Roman"/>
          <w:sz w:val="24"/>
          <w:szCs w:val="24"/>
        </w:rPr>
        <w:t xml:space="preserve">De </w:t>
      </w:r>
      <w:r w:rsidR="004829E2">
        <w:rPr>
          <w:rFonts w:ascii="Times New Roman" w:hAnsi="Times New Roman" w:cs="Times New Roman"/>
          <w:sz w:val="24"/>
          <w:szCs w:val="24"/>
        </w:rPr>
        <w:t>lijst</w:t>
      </w:r>
      <w:r w:rsidRPr="001E0F76">
        <w:rPr>
          <w:rFonts w:ascii="Times New Roman" w:hAnsi="Times New Roman" w:cs="Times New Roman"/>
          <w:sz w:val="24"/>
          <w:szCs w:val="24"/>
        </w:rPr>
        <w:t xml:space="preserve"> </w:t>
      </w:r>
      <w:r w:rsidR="007B68CA">
        <w:rPr>
          <w:rFonts w:ascii="Times New Roman" w:hAnsi="Times New Roman" w:cs="Times New Roman"/>
          <w:sz w:val="24"/>
          <w:szCs w:val="24"/>
        </w:rPr>
        <w:t>met</w:t>
      </w:r>
      <w:r w:rsidRPr="001E0F76">
        <w:rPr>
          <w:rFonts w:ascii="Times New Roman" w:hAnsi="Times New Roman" w:cs="Times New Roman"/>
          <w:sz w:val="24"/>
          <w:szCs w:val="24"/>
        </w:rPr>
        <w:t xml:space="preserve"> mogelijk te stellen bijzondere voorwaarden is ontleend aan artikel 14c</w:t>
      </w:r>
      <w:r w:rsidR="004829E2">
        <w:rPr>
          <w:rFonts w:ascii="Times New Roman" w:hAnsi="Times New Roman" w:cs="Times New Roman"/>
          <w:sz w:val="24"/>
          <w:szCs w:val="24"/>
        </w:rPr>
        <w:t xml:space="preserve"> Sr</w:t>
      </w:r>
      <w:r w:rsidRPr="001E0F76">
        <w:rPr>
          <w:rFonts w:ascii="Times New Roman" w:hAnsi="Times New Roman" w:cs="Times New Roman"/>
          <w:sz w:val="24"/>
          <w:szCs w:val="24"/>
        </w:rPr>
        <w:t>. Daarbij is geanticipeerd op de herformulering die is voorzien in de eerste aanvullingswet bij het nieuwe Wetboek van Strafvordering</w:t>
      </w:r>
      <w:r w:rsidR="00D822CC">
        <w:rPr>
          <w:rFonts w:ascii="Times New Roman" w:hAnsi="Times New Roman" w:cs="Times New Roman"/>
          <w:sz w:val="24"/>
          <w:szCs w:val="24"/>
        </w:rPr>
        <w:t xml:space="preserve"> (Kamerstukken</w:t>
      </w:r>
      <w:r w:rsidR="00130E8F">
        <w:rPr>
          <w:rFonts w:ascii="Times New Roman" w:hAnsi="Times New Roman" w:cs="Times New Roman"/>
          <w:sz w:val="24"/>
          <w:szCs w:val="24"/>
        </w:rPr>
        <w:t xml:space="preserve"> II 2025/26,</w:t>
      </w:r>
      <w:r w:rsidR="00D822CC">
        <w:rPr>
          <w:rFonts w:ascii="Times New Roman" w:hAnsi="Times New Roman" w:cs="Times New Roman"/>
          <w:sz w:val="24"/>
          <w:szCs w:val="24"/>
        </w:rPr>
        <w:t xml:space="preserve"> 36</w:t>
      </w:r>
      <w:r w:rsidR="002D7795">
        <w:rPr>
          <w:rFonts w:ascii="Times New Roman" w:hAnsi="Times New Roman" w:cs="Times New Roman"/>
          <w:sz w:val="24"/>
          <w:szCs w:val="24"/>
        </w:rPr>
        <w:t xml:space="preserve"> </w:t>
      </w:r>
      <w:r w:rsidR="00D822CC">
        <w:rPr>
          <w:rFonts w:ascii="Times New Roman" w:hAnsi="Times New Roman" w:cs="Times New Roman"/>
          <w:sz w:val="24"/>
          <w:szCs w:val="24"/>
        </w:rPr>
        <w:t>913</w:t>
      </w:r>
      <w:r w:rsidR="00130E8F">
        <w:rPr>
          <w:rFonts w:ascii="Times New Roman" w:hAnsi="Times New Roman" w:cs="Times New Roman"/>
          <w:sz w:val="24"/>
          <w:szCs w:val="24"/>
        </w:rPr>
        <w:t xml:space="preserve">, </w:t>
      </w:r>
      <w:proofErr w:type="spellStart"/>
      <w:r w:rsidR="00130E8F">
        <w:rPr>
          <w:rFonts w:ascii="Times New Roman" w:hAnsi="Times New Roman" w:cs="Times New Roman"/>
          <w:sz w:val="24"/>
          <w:szCs w:val="24"/>
        </w:rPr>
        <w:t>nrs</w:t>
      </w:r>
      <w:proofErr w:type="spellEnd"/>
      <w:r w:rsidR="00130E8F">
        <w:rPr>
          <w:rFonts w:ascii="Times New Roman" w:hAnsi="Times New Roman" w:cs="Times New Roman"/>
          <w:sz w:val="24"/>
          <w:szCs w:val="24"/>
        </w:rPr>
        <w:t>. 2-3</w:t>
      </w:r>
      <w:r w:rsidR="00D822CC">
        <w:rPr>
          <w:rFonts w:ascii="Times New Roman" w:hAnsi="Times New Roman" w:cs="Times New Roman"/>
          <w:sz w:val="24"/>
          <w:szCs w:val="24"/>
        </w:rPr>
        <w:t>)</w:t>
      </w:r>
      <w:r w:rsidRPr="001E0F76">
        <w:rPr>
          <w:rFonts w:ascii="Times New Roman" w:hAnsi="Times New Roman" w:cs="Times New Roman"/>
          <w:sz w:val="24"/>
          <w:szCs w:val="24"/>
        </w:rPr>
        <w:t>.</w:t>
      </w:r>
      <w:r>
        <w:rPr>
          <w:rFonts w:ascii="Times New Roman" w:hAnsi="Times New Roman" w:cs="Times New Roman"/>
          <w:sz w:val="24"/>
          <w:szCs w:val="24"/>
        </w:rPr>
        <w:t xml:space="preserve"> Op het verbod op alcohol</w:t>
      </w:r>
      <w:r w:rsidR="004829E2">
        <w:rPr>
          <w:rFonts w:ascii="Times New Roman" w:hAnsi="Times New Roman" w:cs="Times New Roman"/>
          <w:sz w:val="24"/>
          <w:szCs w:val="24"/>
        </w:rPr>
        <w:t xml:space="preserve"> en drugs</w:t>
      </w:r>
      <w:r>
        <w:rPr>
          <w:rFonts w:ascii="Times New Roman" w:hAnsi="Times New Roman" w:cs="Times New Roman"/>
          <w:sz w:val="24"/>
          <w:szCs w:val="24"/>
        </w:rPr>
        <w:t xml:space="preserve"> wordt ingegaan </w:t>
      </w:r>
      <w:r w:rsidR="001A3174">
        <w:rPr>
          <w:rFonts w:ascii="Times New Roman" w:hAnsi="Times New Roman" w:cs="Times New Roman"/>
          <w:sz w:val="24"/>
          <w:szCs w:val="24"/>
        </w:rPr>
        <w:t xml:space="preserve">onder </w:t>
      </w:r>
      <w:r w:rsidR="00243677">
        <w:rPr>
          <w:rFonts w:ascii="Times New Roman" w:hAnsi="Times New Roman" w:cs="Times New Roman"/>
          <w:sz w:val="24"/>
          <w:szCs w:val="24"/>
        </w:rPr>
        <w:t>advies</w:t>
      </w:r>
      <w:r w:rsidR="001A3174">
        <w:rPr>
          <w:rFonts w:ascii="Times New Roman" w:hAnsi="Times New Roman" w:cs="Times New Roman"/>
          <w:sz w:val="24"/>
          <w:szCs w:val="24"/>
        </w:rPr>
        <w:t>punt 5</w:t>
      </w:r>
      <w:r>
        <w:rPr>
          <w:rFonts w:ascii="Times New Roman" w:hAnsi="Times New Roman" w:cs="Times New Roman"/>
          <w:sz w:val="24"/>
          <w:szCs w:val="24"/>
        </w:rPr>
        <w:t>.</w:t>
      </w:r>
    </w:p>
    <w:p w:rsidRPr="00740235" w:rsidR="008D73C2" w:rsidP="00CF1EE3" w:rsidRDefault="008D73C2" w14:paraId="5C6EDE0F" w14:textId="77777777">
      <w:pPr>
        <w:widowControl w:val="0"/>
        <w:spacing w:after="0" w:line="240" w:lineRule="auto"/>
        <w:rPr>
          <w:rFonts w:ascii="Times New Roman" w:hAnsi="Times New Roman" w:cs="Times New Roman"/>
          <w:i/>
          <w:iCs/>
          <w:sz w:val="24"/>
          <w:szCs w:val="24"/>
        </w:rPr>
      </w:pPr>
    </w:p>
    <w:p w:rsidRPr="001A1525" w:rsidR="00BD78D9" w:rsidP="00CF1EE3" w:rsidRDefault="00BD78D9" w14:paraId="2697197F" w14:textId="77777777">
      <w:pPr>
        <w:widowControl w:val="0"/>
        <w:spacing w:after="0" w:line="240" w:lineRule="auto"/>
        <w:rPr>
          <w:rFonts w:ascii="Times New Roman" w:hAnsi="Times New Roman" w:cs="Times New Roman"/>
          <w:b/>
          <w:bCs/>
          <w:i/>
          <w:iCs/>
          <w:sz w:val="24"/>
          <w:szCs w:val="24"/>
        </w:rPr>
      </w:pPr>
      <w:r w:rsidRPr="001A1525">
        <w:rPr>
          <w:rFonts w:ascii="Times New Roman" w:hAnsi="Times New Roman" w:cs="Times New Roman"/>
          <w:b/>
          <w:bCs/>
          <w:i/>
          <w:iCs/>
          <w:sz w:val="24"/>
          <w:szCs w:val="24"/>
        </w:rPr>
        <w:t>5. Het verbod op alcohol en drugsgebruik</w:t>
      </w:r>
    </w:p>
    <w:p w:rsidRPr="00740235" w:rsidR="001A1525" w:rsidP="00CF1EE3" w:rsidRDefault="001A1525" w14:paraId="43743955" w14:textId="77777777">
      <w:pPr>
        <w:widowControl w:val="0"/>
        <w:spacing w:after="0" w:line="240" w:lineRule="auto"/>
        <w:rPr>
          <w:rFonts w:ascii="Times New Roman" w:hAnsi="Times New Roman" w:cs="Times New Roman"/>
          <w:i/>
          <w:iCs/>
          <w:sz w:val="24"/>
          <w:szCs w:val="24"/>
        </w:rPr>
      </w:pPr>
    </w:p>
    <w:p w:rsidR="00BD78D9" w:rsidP="00CF1EE3" w:rsidRDefault="00BD78D9" w14:paraId="31E0999B" w14:textId="713091D4">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Het verbod op het gebruik van alcohol en drugs gedurende de elektronische detentie is</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gebaseerd op de gedachte dat het innemen van alcohol en drugs het menselijk gedrag sterk</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en negatief kan beïnvloeden, zeker als er veel wordt ingenomen. Deze inname brengt risico’s</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met zich mee, bijvoorbeeld voor de veiligheid van huisgenoten en de omgeving. Ook kan he</w:t>
      </w:r>
      <w:r w:rsidR="001A1525">
        <w:rPr>
          <w:rFonts w:ascii="Times New Roman" w:hAnsi="Times New Roman" w:cs="Times New Roman"/>
          <w:i/>
          <w:iCs/>
          <w:sz w:val="24"/>
          <w:szCs w:val="24"/>
        </w:rPr>
        <w:t xml:space="preserve">t </w:t>
      </w:r>
      <w:r w:rsidRPr="00740235">
        <w:rPr>
          <w:rFonts w:ascii="Times New Roman" w:hAnsi="Times New Roman" w:cs="Times New Roman"/>
          <w:i/>
          <w:iCs/>
          <w:sz w:val="24"/>
          <w:szCs w:val="24"/>
        </w:rPr>
        <w:t>een goede resocialisatie van de betrokkene belemmeren. Daarnaast wijzen de</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 xml:space="preserve">initiatiefnemers </w:t>
      </w:r>
      <w:proofErr w:type="gramStart"/>
      <w:r w:rsidRPr="00740235">
        <w:rPr>
          <w:rFonts w:ascii="Times New Roman" w:hAnsi="Times New Roman" w:cs="Times New Roman"/>
          <w:i/>
          <w:iCs/>
          <w:sz w:val="24"/>
          <w:szCs w:val="24"/>
        </w:rPr>
        <w:t>er op</w:t>
      </w:r>
      <w:proofErr w:type="gramEnd"/>
      <w:r w:rsidRPr="00740235">
        <w:rPr>
          <w:rFonts w:ascii="Times New Roman" w:hAnsi="Times New Roman" w:cs="Times New Roman"/>
          <w:i/>
          <w:iCs/>
          <w:sz w:val="24"/>
          <w:szCs w:val="24"/>
        </w:rPr>
        <w:t xml:space="preserve"> dat het verbod ook standaard geldt bij de andere vrijheidsstraffen en</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dat een facultatief verbod niet goed past bij de aard van de elektronische detentie.</w:t>
      </w:r>
      <w:r w:rsidR="00995180">
        <w:rPr>
          <w:rStyle w:val="Voetnootmarkering"/>
          <w:rFonts w:ascii="Times New Roman" w:hAnsi="Times New Roman" w:cs="Times New Roman"/>
          <w:i/>
          <w:iCs/>
          <w:sz w:val="24"/>
          <w:szCs w:val="24"/>
        </w:rPr>
        <w:footnoteReference w:id="15"/>
      </w:r>
    </w:p>
    <w:p w:rsidRPr="00740235" w:rsidR="001A1525" w:rsidP="00CF1EE3" w:rsidRDefault="001A1525" w14:paraId="5F55BB2D" w14:textId="77777777">
      <w:pPr>
        <w:widowControl w:val="0"/>
        <w:spacing w:after="0" w:line="240" w:lineRule="auto"/>
        <w:rPr>
          <w:rFonts w:ascii="Times New Roman" w:hAnsi="Times New Roman" w:cs="Times New Roman"/>
          <w:i/>
          <w:iCs/>
          <w:sz w:val="24"/>
          <w:szCs w:val="24"/>
        </w:rPr>
      </w:pPr>
    </w:p>
    <w:p w:rsidR="00BD78D9" w:rsidP="00CF1EE3" w:rsidRDefault="00BD78D9" w14:paraId="17B24828" w14:textId="28CB0F1C">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Het is evident dat het gebruik van alcohol of drugs voor sommige mensen een belangrijke</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 xml:space="preserve">risicofactor is voor </w:t>
      </w:r>
      <w:proofErr w:type="spellStart"/>
      <w:r w:rsidRPr="00740235">
        <w:rPr>
          <w:rFonts w:ascii="Times New Roman" w:hAnsi="Times New Roman" w:cs="Times New Roman"/>
          <w:i/>
          <w:iCs/>
          <w:sz w:val="24"/>
          <w:szCs w:val="24"/>
        </w:rPr>
        <w:t>delictgedrag</w:t>
      </w:r>
      <w:proofErr w:type="spellEnd"/>
      <w:r w:rsidRPr="00740235">
        <w:rPr>
          <w:rFonts w:ascii="Times New Roman" w:hAnsi="Times New Roman" w:cs="Times New Roman"/>
          <w:i/>
          <w:iCs/>
          <w:sz w:val="24"/>
          <w:szCs w:val="24"/>
        </w:rPr>
        <w:t xml:space="preserve"> en in de weg staat aan de resocialisatie van betrokkene. In</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die gevallen is het noodzakelijk dat gebruik van dergelijke middelen tijdens de elektronische</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detentie wordt verboden. Zoals aangegeven sluit de vormgeving van dit verbod als algemene</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lastRenderedPageBreak/>
        <w:t>voorwaarde echter niet aan bij het nieuwe Wetboek van Strafvordering (zie punt 4).</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Daarnaast ontneemt deze vormgeving de rechter de mogelijkheid om maatwerk te leveren.</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In de consultatiereactie wijst de Raad voor de rechtspraak (</w:t>
      </w:r>
      <w:proofErr w:type="spellStart"/>
      <w:r w:rsidRPr="00740235">
        <w:rPr>
          <w:rFonts w:ascii="Times New Roman" w:hAnsi="Times New Roman" w:cs="Times New Roman"/>
          <w:i/>
          <w:iCs/>
          <w:sz w:val="24"/>
          <w:szCs w:val="24"/>
        </w:rPr>
        <w:t>Rvdr</w:t>
      </w:r>
      <w:proofErr w:type="spellEnd"/>
      <w:r w:rsidRPr="00740235">
        <w:rPr>
          <w:rFonts w:ascii="Times New Roman" w:hAnsi="Times New Roman" w:cs="Times New Roman"/>
          <w:i/>
          <w:iCs/>
          <w:sz w:val="24"/>
          <w:szCs w:val="24"/>
        </w:rPr>
        <w:t>) op de situatie waarin</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iemand medicinale cannabis via de apotheek verstrekt krijgt.</w:t>
      </w:r>
      <w:r w:rsidR="00E20571">
        <w:rPr>
          <w:rStyle w:val="Voetnootmarkering"/>
          <w:rFonts w:ascii="Times New Roman" w:hAnsi="Times New Roman" w:cs="Times New Roman"/>
          <w:i/>
          <w:iCs/>
          <w:sz w:val="24"/>
          <w:szCs w:val="24"/>
        </w:rPr>
        <w:footnoteReference w:id="16"/>
      </w:r>
      <w:r w:rsidRPr="00740235">
        <w:rPr>
          <w:rFonts w:ascii="Times New Roman" w:hAnsi="Times New Roman" w:cs="Times New Roman"/>
          <w:i/>
          <w:iCs/>
          <w:sz w:val="24"/>
          <w:szCs w:val="24"/>
        </w:rPr>
        <w:t xml:space="preserve"> Dit zou dan aan de</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elektronische detentie in de weg staan, terwijl dit verder een passende bestraffing voor de</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verdachte zou kunnen zijn.</w:t>
      </w:r>
    </w:p>
    <w:p w:rsidRPr="00740235" w:rsidR="001A1525" w:rsidP="00CF1EE3" w:rsidRDefault="001A1525" w14:paraId="349598CF" w14:textId="77777777">
      <w:pPr>
        <w:widowControl w:val="0"/>
        <w:spacing w:after="0" w:line="240" w:lineRule="auto"/>
        <w:rPr>
          <w:rFonts w:ascii="Times New Roman" w:hAnsi="Times New Roman" w:cs="Times New Roman"/>
          <w:i/>
          <w:iCs/>
          <w:sz w:val="24"/>
          <w:szCs w:val="24"/>
        </w:rPr>
      </w:pPr>
    </w:p>
    <w:p w:rsidR="00BD78D9" w:rsidP="00CF1EE3" w:rsidRDefault="00BD78D9" w14:paraId="151870A9" w14:textId="71478D80">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Daarbij gaat de vergelijking met de tenuitvoerlegging van andere vrijheidsbenemende</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sancties in de toelichting slechts ten dele op. Anders dan bij elektronische detentie brengt</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middelengebruik in een penitentiaire inrichting risico’s mee voor de orde en veiligheid in de</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inrichting, zowel voor de justitiabelen als voor het personeel.</w:t>
      </w:r>
      <w:r w:rsidR="00E20571">
        <w:rPr>
          <w:rStyle w:val="Voetnootmarkering"/>
          <w:rFonts w:ascii="Times New Roman" w:hAnsi="Times New Roman" w:cs="Times New Roman"/>
          <w:i/>
          <w:iCs/>
          <w:sz w:val="24"/>
          <w:szCs w:val="24"/>
        </w:rPr>
        <w:footnoteReference w:id="17"/>
      </w:r>
      <w:r w:rsidRPr="00740235">
        <w:rPr>
          <w:rFonts w:ascii="Times New Roman" w:hAnsi="Times New Roman" w:cs="Times New Roman"/>
          <w:i/>
          <w:iCs/>
          <w:sz w:val="24"/>
          <w:szCs w:val="24"/>
        </w:rPr>
        <w:t xml:space="preserve"> Als in een</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penitentiaire inrichting alcohol zou worden toegestaan aan gedetineerden die hiermee goed</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kunnen omgaan, kan dit in handen komen van gedetineerden voor wie alcohol een</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risicofactor vormt. Daarom is een algeheel alcoholverbod in een penitentiaire inrichting</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noodzakelijk. De situatie bij elektronische detentie verschilt hiervan.</w:t>
      </w:r>
    </w:p>
    <w:p w:rsidRPr="00740235" w:rsidR="001A1525" w:rsidP="00CF1EE3" w:rsidRDefault="001A1525" w14:paraId="77B605F5" w14:textId="77777777">
      <w:pPr>
        <w:widowControl w:val="0"/>
        <w:spacing w:after="0" w:line="240" w:lineRule="auto"/>
        <w:rPr>
          <w:rFonts w:ascii="Times New Roman" w:hAnsi="Times New Roman" w:cs="Times New Roman"/>
          <w:i/>
          <w:iCs/>
          <w:sz w:val="24"/>
          <w:szCs w:val="24"/>
        </w:rPr>
      </w:pPr>
    </w:p>
    <w:p w:rsidR="00BD78D9" w:rsidP="00CF1EE3" w:rsidRDefault="00BD78D9" w14:paraId="4490E51D" w14:textId="5F6197A4">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Hoewel bij elektronische detentie als uitgangspunt kan worden gehanteerd dat gebruik van</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alcohol en drugs verboden zijn, zijn er ook praktische redenen om dit verbod niet te</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definiëren als een algemene voorwaarde. Om de naleving van het verbod te kunnen</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controleren is de veroordeelde verplicht om mee te werken aan bloedonderzoek of</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urineonderzoek.</w:t>
      </w:r>
      <w:r w:rsidR="00E20571">
        <w:rPr>
          <w:rStyle w:val="Voetnootmarkering"/>
          <w:rFonts w:ascii="Times New Roman" w:hAnsi="Times New Roman" w:cs="Times New Roman"/>
          <w:i/>
          <w:iCs/>
          <w:sz w:val="24"/>
          <w:szCs w:val="24"/>
        </w:rPr>
        <w:footnoteReference w:id="18"/>
      </w:r>
      <w:r w:rsidRPr="00740235">
        <w:rPr>
          <w:rFonts w:ascii="Times New Roman" w:hAnsi="Times New Roman" w:cs="Times New Roman"/>
          <w:i/>
          <w:iCs/>
          <w:sz w:val="24"/>
          <w:szCs w:val="24"/>
        </w:rPr>
        <w:t xml:space="preserve"> Als het verbod als algemene voorwaarde wordt vormgegeven,</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moet DJI deze controle uitvoeren. DJI is immers als verantwoordelijke aangewezen voor de</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tenuitvoerlegging van elektronische detentie.</w:t>
      </w:r>
      <w:r w:rsidR="00E20571">
        <w:rPr>
          <w:rStyle w:val="Voetnootmarkering"/>
          <w:rFonts w:ascii="Times New Roman" w:hAnsi="Times New Roman" w:cs="Times New Roman"/>
          <w:i/>
          <w:iCs/>
          <w:sz w:val="24"/>
          <w:szCs w:val="24"/>
        </w:rPr>
        <w:footnoteReference w:id="19"/>
      </w:r>
      <w:r w:rsidRPr="00740235">
        <w:rPr>
          <w:rFonts w:ascii="Times New Roman" w:hAnsi="Times New Roman" w:cs="Times New Roman"/>
          <w:i/>
          <w:iCs/>
          <w:sz w:val="24"/>
          <w:szCs w:val="24"/>
        </w:rPr>
        <w:t xml:space="preserve"> Volgens DJI past deze controle</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echter niet binnen de bestaande uitvoeringskaders.</w:t>
      </w:r>
      <w:r w:rsidR="00E20571">
        <w:rPr>
          <w:rStyle w:val="Voetnootmarkering"/>
          <w:rFonts w:ascii="Times New Roman" w:hAnsi="Times New Roman" w:cs="Times New Roman"/>
          <w:i/>
          <w:iCs/>
          <w:sz w:val="24"/>
          <w:szCs w:val="24"/>
        </w:rPr>
        <w:footnoteReference w:id="20"/>
      </w:r>
      <w:r w:rsidRPr="00740235">
        <w:rPr>
          <w:rFonts w:ascii="Times New Roman" w:hAnsi="Times New Roman" w:cs="Times New Roman"/>
          <w:i/>
          <w:iCs/>
          <w:sz w:val="24"/>
          <w:szCs w:val="24"/>
        </w:rPr>
        <w:t xml:space="preserve"> Als het alcohol- en</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drugsverbod zou worden vormgegeven als bijzondere voorwaarde, is de reclassering</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verantwoordelijk voor het toezicht op de naleving. Dit sluit aan bij de bestaande taken van de</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reclassering, waardoor grotendeels van de bestaande infrastructuur bij de reclassering</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gebruik zou kunnen worden gemaakt. Door maatwerk te leveren, kan de capaciteit voor de</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controle van het alcohol- en drugsverbod bovendien worden ingezet voor die gevallen waarin</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het gebruik van deze middelen daadwerkelijk een risico vormt.</w:t>
      </w:r>
    </w:p>
    <w:p w:rsidRPr="00740235" w:rsidR="001A1525" w:rsidP="00CF1EE3" w:rsidRDefault="001A1525" w14:paraId="503F60AA" w14:textId="77777777">
      <w:pPr>
        <w:widowControl w:val="0"/>
        <w:spacing w:after="0" w:line="240" w:lineRule="auto"/>
        <w:rPr>
          <w:rFonts w:ascii="Times New Roman" w:hAnsi="Times New Roman" w:cs="Times New Roman"/>
          <w:i/>
          <w:iCs/>
          <w:sz w:val="24"/>
          <w:szCs w:val="24"/>
        </w:rPr>
      </w:pPr>
    </w:p>
    <w:p w:rsidR="00BD78D9" w:rsidP="00CF1EE3" w:rsidRDefault="00BD78D9" w14:paraId="0B803975" w14:textId="0C462055">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Gelet op het voorgaande adviseert de Afdeling om het verbod op alcohol en drugsgebruik bij</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elektronische detentie vorm te geven als een bijzondere voorwaarde. Daarbij kan als</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uitgangspunt worden gehanteerd dat deze voorwaarde wordt opgelegd bij elektronische</w:t>
      </w:r>
      <w:r w:rsidR="001A1525">
        <w:rPr>
          <w:rFonts w:ascii="Times New Roman" w:hAnsi="Times New Roman" w:cs="Times New Roman"/>
          <w:i/>
          <w:iCs/>
          <w:sz w:val="24"/>
          <w:szCs w:val="24"/>
        </w:rPr>
        <w:t xml:space="preserve"> </w:t>
      </w:r>
      <w:r w:rsidRPr="00740235">
        <w:rPr>
          <w:rFonts w:ascii="Times New Roman" w:hAnsi="Times New Roman" w:cs="Times New Roman"/>
          <w:i/>
          <w:iCs/>
          <w:sz w:val="24"/>
          <w:szCs w:val="24"/>
        </w:rPr>
        <w:t>detentie.</w:t>
      </w:r>
    </w:p>
    <w:p w:rsidR="001A1525" w:rsidP="00CF1EE3" w:rsidRDefault="001A1525" w14:paraId="00993C67" w14:textId="77777777">
      <w:pPr>
        <w:widowControl w:val="0"/>
        <w:spacing w:after="0" w:line="240" w:lineRule="auto"/>
        <w:rPr>
          <w:rFonts w:ascii="Times New Roman" w:hAnsi="Times New Roman" w:cs="Times New Roman"/>
          <w:i/>
          <w:iCs/>
          <w:sz w:val="24"/>
          <w:szCs w:val="24"/>
        </w:rPr>
      </w:pPr>
    </w:p>
    <w:p w:rsidR="004070B2" w:rsidP="00CF1EE3" w:rsidRDefault="0071446E" w14:paraId="0E6D7678" w14:textId="6EC836D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 initiatiefnemers zijn blij dat de Afdeling </w:t>
      </w:r>
      <w:r w:rsidR="008D73C2">
        <w:rPr>
          <w:rFonts w:ascii="Times New Roman" w:hAnsi="Times New Roman" w:cs="Times New Roman"/>
          <w:sz w:val="24"/>
          <w:szCs w:val="24"/>
        </w:rPr>
        <w:t>de</w:t>
      </w:r>
      <w:r>
        <w:rPr>
          <w:rFonts w:ascii="Times New Roman" w:hAnsi="Times New Roman" w:cs="Times New Roman"/>
          <w:sz w:val="24"/>
          <w:szCs w:val="24"/>
        </w:rPr>
        <w:t xml:space="preserve"> </w:t>
      </w:r>
      <w:r w:rsidR="008D73C2">
        <w:rPr>
          <w:rFonts w:ascii="Times New Roman" w:hAnsi="Times New Roman" w:cs="Times New Roman"/>
          <w:sz w:val="24"/>
          <w:szCs w:val="24"/>
        </w:rPr>
        <w:t xml:space="preserve">risico’s erkent die verbonden kunnen zijn aan het gebruik van alcohol en drugs. </w:t>
      </w:r>
      <w:r>
        <w:rPr>
          <w:rFonts w:ascii="Times New Roman" w:hAnsi="Times New Roman" w:cs="Times New Roman"/>
          <w:sz w:val="24"/>
          <w:szCs w:val="24"/>
        </w:rPr>
        <w:t xml:space="preserve">In tegenstelling tot de Afdeling zijn de initiatiefnemers echter geen voorstander van een verbod in de vorm van een bijzondere voorwaarde. Naar het oordeel van de initiatiefnemers is een </w:t>
      </w:r>
      <w:r w:rsidRPr="0071446E">
        <w:rPr>
          <w:rFonts w:ascii="Times New Roman" w:hAnsi="Times New Roman" w:cs="Times New Roman"/>
          <w:sz w:val="24"/>
          <w:szCs w:val="24"/>
        </w:rPr>
        <w:t>algemeen verbod om verschillende redenen wenselijk en noodzakelijk.</w:t>
      </w:r>
      <w:r w:rsidR="004070B2">
        <w:rPr>
          <w:rFonts w:ascii="Times New Roman" w:hAnsi="Times New Roman" w:cs="Times New Roman"/>
          <w:sz w:val="24"/>
          <w:szCs w:val="24"/>
        </w:rPr>
        <w:t xml:space="preserve"> De redenen worden hieronder uiteengezet.</w:t>
      </w:r>
    </w:p>
    <w:p w:rsidR="004070B2" w:rsidP="00CF1EE3" w:rsidRDefault="004070B2" w14:paraId="3033693D" w14:textId="77777777">
      <w:pPr>
        <w:widowControl w:val="0"/>
        <w:spacing w:after="0" w:line="240" w:lineRule="auto"/>
        <w:rPr>
          <w:rFonts w:ascii="Times New Roman" w:hAnsi="Times New Roman" w:cs="Times New Roman"/>
          <w:sz w:val="24"/>
          <w:szCs w:val="24"/>
        </w:rPr>
      </w:pPr>
    </w:p>
    <w:p w:rsidR="00FB6124" w:rsidP="00CF1EE3" w:rsidRDefault="008D73C2" w14:paraId="66E25452" w14:textId="72B6D16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In de</w:t>
      </w:r>
      <w:r w:rsidR="004070B2">
        <w:rPr>
          <w:rFonts w:ascii="Times New Roman" w:hAnsi="Times New Roman" w:cs="Times New Roman"/>
          <w:sz w:val="24"/>
          <w:szCs w:val="24"/>
        </w:rPr>
        <w:t xml:space="preserve"> eerste plaats is in de </w:t>
      </w:r>
      <w:r>
        <w:rPr>
          <w:rFonts w:ascii="Times New Roman" w:hAnsi="Times New Roman" w:cs="Times New Roman"/>
          <w:sz w:val="24"/>
          <w:szCs w:val="24"/>
        </w:rPr>
        <w:t xml:space="preserve">memorie van toelichting </w:t>
      </w:r>
      <w:proofErr w:type="gramStart"/>
      <w:r>
        <w:rPr>
          <w:rFonts w:ascii="Times New Roman" w:hAnsi="Times New Roman" w:cs="Times New Roman"/>
          <w:sz w:val="24"/>
          <w:szCs w:val="24"/>
        </w:rPr>
        <w:t>reeds</w:t>
      </w:r>
      <w:proofErr w:type="gramEnd"/>
      <w:r>
        <w:rPr>
          <w:rFonts w:ascii="Times New Roman" w:hAnsi="Times New Roman" w:cs="Times New Roman"/>
          <w:sz w:val="24"/>
          <w:szCs w:val="24"/>
        </w:rPr>
        <w:t xml:space="preserve"> ingegaan op de risico’s met het oog op het </w:t>
      </w:r>
      <w:proofErr w:type="spellStart"/>
      <w:r>
        <w:rPr>
          <w:rFonts w:ascii="Times New Roman" w:hAnsi="Times New Roman" w:cs="Times New Roman"/>
          <w:sz w:val="24"/>
          <w:szCs w:val="24"/>
        </w:rPr>
        <w:t>delictgedrag</w:t>
      </w:r>
      <w:proofErr w:type="spellEnd"/>
      <w:r>
        <w:rPr>
          <w:rFonts w:ascii="Times New Roman" w:hAnsi="Times New Roman" w:cs="Times New Roman"/>
          <w:sz w:val="24"/>
          <w:szCs w:val="24"/>
        </w:rPr>
        <w:t xml:space="preserve"> en de resocialisatie van de veroordeelde. </w:t>
      </w:r>
      <w:r w:rsidR="00FB6124">
        <w:rPr>
          <w:rFonts w:ascii="Times New Roman" w:hAnsi="Times New Roman" w:cs="Times New Roman"/>
          <w:sz w:val="24"/>
          <w:szCs w:val="24"/>
        </w:rPr>
        <w:t>Ook de Afdeling wijst op deze risico’s.</w:t>
      </w:r>
      <w:r w:rsidR="00BF1D5E">
        <w:rPr>
          <w:rFonts w:ascii="Times New Roman" w:hAnsi="Times New Roman" w:cs="Times New Roman"/>
          <w:sz w:val="24"/>
          <w:szCs w:val="24"/>
        </w:rPr>
        <w:t xml:space="preserve"> Deze overwegingen worden </w:t>
      </w:r>
      <w:r w:rsidR="004070B2">
        <w:rPr>
          <w:rFonts w:ascii="Times New Roman" w:hAnsi="Times New Roman" w:cs="Times New Roman"/>
          <w:sz w:val="24"/>
          <w:szCs w:val="24"/>
        </w:rPr>
        <w:t>als bekend verondersteld</w:t>
      </w:r>
      <w:r w:rsidR="00BF1D5E">
        <w:rPr>
          <w:rFonts w:ascii="Times New Roman" w:hAnsi="Times New Roman" w:cs="Times New Roman"/>
          <w:sz w:val="24"/>
          <w:szCs w:val="24"/>
        </w:rPr>
        <w:t>.</w:t>
      </w:r>
    </w:p>
    <w:p w:rsidR="00FB6124" w:rsidP="00CF1EE3" w:rsidRDefault="00FB6124" w14:paraId="3E0D70AC" w14:textId="77777777">
      <w:pPr>
        <w:widowControl w:val="0"/>
        <w:spacing w:after="0" w:line="240" w:lineRule="auto"/>
        <w:rPr>
          <w:rFonts w:ascii="Times New Roman" w:hAnsi="Times New Roman" w:cs="Times New Roman"/>
          <w:sz w:val="24"/>
          <w:szCs w:val="24"/>
        </w:rPr>
      </w:pPr>
    </w:p>
    <w:p w:rsidR="00857196" w:rsidP="00CF1EE3" w:rsidRDefault="00FB6124" w14:paraId="35E17B6D" w14:textId="0462CEB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Een tweede relevant aspect is dat ele</w:t>
      </w:r>
      <w:r w:rsidRPr="0071446E" w:rsidR="0071446E">
        <w:rPr>
          <w:rFonts w:ascii="Times New Roman" w:hAnsi="Times New Roman" w:cs="Times New Roman"/>
          <w:sz w:val="24"/>
          <w:szCs w:val="24"/>
        </w:rPr>
        <w:t xml:space="preserve">ktronische detentie een vrijheidsstraf is. </w:t>
      </w:r>
      <w:r w:rsidR="008D73C2">
        <w:rPr>
          <w:rFonts w:ascii="Times New Roman" w:hAnsi="Times New Roman" w:cs="Times New Roman"/>
          <w:sz w:val="24"/>
          <w:szCs w:val="24"/>
        </w:rPr>
        <w:t>Naar het oordeel van de initiatiefnemers gaan v</w:t>
      </w:r>
      <w:r w:rsidRPr="0071446E" w:rsidR="0071446E">
        <w:rPr>
          <w:rFonts w:ascii="Times New Roman" w:hAnsi="Times New Roman" w:cs="Times New Roman"/>
          <w:sz w:val="24"/>
          <w:szCs w:val="24"/>
        </w:rPr>
        <w:t xml:space="preserve">rijheidsbeneming en </w:t>
      </w:r>
      <w:r>
        <w:rPr>
          <w:rFonts w:ascii="Times New Roman" w:hAnsi="Times New Roman" w:cs="Times New Roman"/>
          <w:sz w:val="24"/>
          <w:szCs w:val="24"/>
        </w:rPr>
        <w:t>de consumptie van alcohol en drugs</w:t>
      </w:r>
      <w:r w:rsidRPr="0071446E" w:rsidR="0071446E">
        <w:rPr>
          <w:rFonts w:ascii="Times New Roman" w:hAnsi="Times New Roman" w:cs="Times New Roman"/>
          <w:sz w:val="24"/>
          <w:szCs w:val="24"/>
        </w:rPr>
        <w:t xml:space="preserve"> </w:t>
      </w:r>
      <w:r w:rsidR="008D73C2">
        <w:rPr>
          <w:rFonts w:ascii="Times New Roman" w:hAnsi="Times New Roman" w:cs="Times New Roman"/>
          <w:sz w:val="24"/>
          <w:szCs w:val="24"/>
        </w:rPr>
        <w:t xml:space="preserve">onder geen beding </w:t>
      </w:r>
      <w:r w:rsidRPr="0071446E" w:rsidR="0071446E">
        <w:rPr>
          <w:rFonts w:ascii="Times New Roman" w:hAnsi="Times New Roman" w:cs="Times New Roman"/>
          <w:sz w:val="24"/>
          <w:szCs w:val="24"/>
        </w:rPr>
        <w:t xml:space="preserve">samen. </w:t>
      </w:r>
      <w:r w:rsidR="004070B2">
        <w:rPr>
          <w:rFonts w:ascii="Times New Roman" w:hAnsi="Times New Roman" w:cs="Times New Roman"/>
          <w:sz w:val="24"/>
          <w:szCs w:val="24"/>
        </w:rPr>
        <w:t>Ook bij</w:t>
      </w:r>
      <w:r w:rsidRPr="0071446E" w:rsidR="0071446E">
        <w:rPr>
          <w:rFonts w:ascii="Times New Roman" w:hAnsi="Times New Roman" w:cs="Times New Roman"/>
          <w:sz w:val="24"/>
          <w:szCs w:val="24"/>
        </w:rPr>
        <w:t xml:space="preserve"> de andere vrijheidsstraffen geldt een algemeen verbod op het gebruik van verdovende middelen of alcohol</w:t>
      </w:r>
      <w:r w:rsidR="004070B2">
        <w:rPr>
          <w:rFonts w:ascii="Times New Roman" w:hAnsi="Times New Roman" w:cs="Times New Roman"/>
          <w:sz w:val="24"/>
          <w:szCs w:val="24"/>
        </w:rPr>
        <w:t xml:space="preserve">. </w:t>
      </w:r>
      <w:r w:rsidR="008D73C2">
        <w:rPr>
          <w:rFonts w:ascii="Times New Roman" w:hAnsi="Times New Roman" w:cs="Times New Roman"/>
          <w:sz w:val="24"/>
          <w:szCs w:val="24"/>
        </w:rPr>
        <w:t>De Afdeling merkt op zichzelf terecht op dat e</w:t>
      </w:r>
      <w:r w:rsidRPr="0071446E" w:rsidR="0071446E">
        <w:rPr>
          <w:rFonts w:ascii="Times New Roman" w:hAnsi="Times New Roman" w:cs="Times New Roman"/>
          <w:sz w:val="24"/>
          <w:szCs w:val="24"/>
        </w:rPr>
        <w:t xml:space="preserve">lektronische detentie </w:t>
      </w:r>
      <w:r w:rsidR="008D73C2">
        <w:rPr>
          <w:rFonts w:ascii="Times New Roman" w:hAnsi="Times New Roman" w:cs="Times New Roman"/>
          <w:sz w:val="24"/>
          <w:szCs w:val="24"/>
        </w:rPr>
        <w:t xml:space="preserve">zich </w:t>
      </w:r>
      <w:r w:rsidRPr="0071446E" w:rsidR="0071446E">
        <w:rPr>
          <w:rFonts w:ascii="Times New Roman" w:hAnsi="Times New Roman" w:cs="Times New Roman"/>
          <w:sz w:val="24"/>
          <w:szCs w:val="24"/>
        </w:rPr>
        <w:t>onderscheidt van de andere vrijheidsstraffen doordat de straf niet wordt ondergaan in een penitentiaire inrichting</w:t>
      </w:r>
      <w:r w:rsidR="008D73C2">
        <w:rPr>
          <w:rFonts w:ascii="Times New Roman" w:hAnsi="Times New Roman" w:cs="Times New Roman"/>
          <w:sz w:val="24"/>
          <w:szCs w:val="24"/>
        </w:rPr>
        <w:t xml:space="preserve">. In penitentiaire inrichtingen zijn </w:t>
      </w:r>
      <w:r w:rsidRPr="0071446E" w:rsidR="0071446E">
        <w:rPr>
          <w:rFonts w:ascii="Times New Roman" w:hAnsi="Times New Roman" w:cs="Times New Roman"/>
          <w:sz w:val="24"/>
          <w:szCs w:val="24"/>
        </w:rPr>
        <w:t xml:space="preserve">onder andere veiligheidsoverwegingen en het tegengaan van illegale handel </w:t>
      </w:r>
      <w:r w:rsidR="0072664A">
        <w:rPr>
          <w:rFonts w:ascii="Times New Roman" w:hAnsi="Times New Roman" w:cs="Times New Roman"/>
          <w:sz w:val="24"/>
          <w:szCs w:val="24"/>
        </w:rPr>
        <w:t>redenen</w:t>
      </w:r>
      <w:r w:rsidRPr="0071446E" w:rsidR="0071446E">
        <w:rPr>
          <w:rFonts w:ascii="Times New Roman" w:hAnsi="Times New Roman" w:cs="Times New Roman"/>
          <w:sz w:val="24"/>
          <w:szCs w:val="24"/>
        </w:rPr>
        <w:t xml:space="preserve"> voor een verbod op </w:t>
      </w:r>
      <w:r w:rsidR="008D73C2">
        <w:rPr>
          <w:rFonts w:ascii="Times New Roman" w:hAnsi="Times New Roman" w:cs="Times New Roman"/>
          <w:sz w:val="24"/>
          <w:szCs w:val="24"/>
        </w:rPr>
        <w:t xml:space="preserve">het gebruik van </w:t>
      </w:r>
      <w:r w:rsidRPr="0071446E" w:rsidR="0071446E">
        <w:rPr>
          <w:rFonts w:ascii="Times New Roman" w:hAnsi="Times New Roman" w:cs="Times New Roman"/>
          <w:sz w:val="24"/>
          <w:szCs w:val="24"/>
        </w:rPr>
        <w:t xml:space="preserve">verdovende middelen en drugs. Vergelijkbare overwegingen zijn evenwel aan de orde bij elektronische detentie. Het gaat daarbij niet om risico’s voor gevangenispersoneel of medegedetineerden, maar wel voor eventuele huisgenoten, voor de medewerkers van de DJI en de reclassering die zijn belast met de tenuitvoerlegging en het toezicht, alsook voor eventuele andere personen die de veroordeelde op gezette tijden kan tegenkomen buiten de locatie van de elektronische detentie. Omdat elektronische detentie “op afstand” wordt tenuitvoergelegd, is dit een vrijheidsstraf waarvoor de verantwoordelijkheid van de Minister van Justitie en Veiligheid zwaar weegt en ver reikt. Gelet </w:t>
      </w:r>
      <w:r w:rsidR="00857196">
        <w:rPr>
          <w:rFonts w:ascii="Times New Roman" w:hAnsi="Times New Roman" w:cs="Times New Roman"/>
          <w:sz w:val="24"/>
          <w:szCs w:val="24"/>
        </w:rPr>
        <w:t>hierop</w:t>
      </w:r>
      <w:r w:rsidRPr="0071446E" w:rsidR="0071446E">
        <w:rPr>
          <w:rFonts w:ascii="Times New Roman" w:hAnsi="Times New Roman" w:cs="Times New Roman"/>
          <w:sz w:val="24"/>
          <w:szCs w:val="24"/>
        </w:rPr>
        <w:t xml:space="preserve"> zou het te vrijblijvend zijn om een verbod op verdovende middelen en alcohol vorm te geven als bijzondere voorwaarde.</w:t>
      </w:r>
      <w:r w:rsidR="00857196">
        <w:rPr>
          <w:rFonts w:ascii="Times New Roman" w:hAnsi="Times New Roman" w:cs="Times New Roman"/>
          <w:sz w:val="24"/>
          <w:szCs w:val="24"/>
        </w:rPr>
        <w:t xml:space="preserve"> </w:t>
      </w:r>
      <w:r w:rsidRPr="0071446E" w:rsidR="0071446E">
        <w:rPr>
          <w:rFonts w:ascii="Times New Roman" w:hAnsi="Times New Roman" w:cs="Times New Roman"/>
          <w:sz w:val="24"/>
          <w:szCs w:val="24"/>
        </w:rPr>
        <w:t>Een dergelijke vormgeving zou ook kunnen leiden tot ongelijkheid tussen veroordeelden.</w:t>
      </w:r>
    </w:p>
    <w:p w:rsidR="00BF1D5E" w:rsidP="00CF1EE3" w:rsidRDefault="00BF1D5E" w14:paraId="3E0B3AEC" w14:textId="77777777">
      <w:pPr>
        <w:widowControl w:val="0"/>
        <w:spacing w:after="0" w:line="240" w:lineRule="auto"/>
        <w:rPr>
          <w:rFonts w:ascii="Times New Roman" w:hAnsi="Times New Roman" w:cs="Times New Roman"/>
          <w:sz w:val="24"/>
          <w:szCs w:val="24"/>
        </w:rPr>
      </w:pPr>
    </w:p>
    <w:p w:rsidR="00857196" w:rsidP="00CF1EE3" w:rsidRDefault="0071446E" w14:paraId="5F52D6E4" w14:textId="4AEEF426">
      <w:pPr>
        <w:widowControl w:val="0"/>
        <w:spacing w:after="0" w:line="240" w:lineRule="auto"/>
        <w:rPr>
          <w:rFonts w:ascii="Times New Roman" w:hAnsi="Times New Roman" w:cs="Times New Roman"/>
          <w:sz w:val="24"/>
          <w:szCs w:val="24"/>
        </w:rPr>
      </w:pPr>
      <w:r w:rsidRPr="0071446E">
        <w:rPr>
          <w:rFonts w:ascii="Times New Roman" w:hAnsi="Times New Roman" w:cs="Times New Roman"/>
          <w:sz w:val="24"/>
          <w:szCs w:val="24"/>
        </w:rPr>
        <w:t>Relevant in dit verband is dat middelengebruik en de bijbehorende risico’s een contra-indicatie zijn voor oplegging van elektronische detentie. Juist van veroordeelden bij wie geen of een laag risico bestaat, mag worden verwacht dat zij zich zonder al te veel moeite houden aan een verbod, net als laagrisico-gedetineerden in penitentiaire inrichtingen.</w:t>
      </w:r>
    </w:p>
    <w:p w:rsidR="00857196" w:rsidP="00CF1EE3" w:rsidRDefault="00857196" w14:paraId="2216F20F" w14:textId="77777777">
      <w:pPr>
        <w:widowControl w:val="0"/>
        <w:spacing w:after="0" w:line="240" w:lineRule="auto"/>
        <w:rPr>
          <w:rFonts w:ascii="Times New Roman" w:hAnsi="Times New Roman" w:cs="Times New Roman"/>
          <w:sz w:val="24"/>
          <w:szCs w:val="24"/>
        </w:rPr>
      </w:pPr>
    </w:p>
    <w:p w:rsidR="000201A6" w:rsidP="00CF1EE3" w:rsidRDefault="006478BB" w14:paraId="0C7395F3" w14:textId="100A341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Een ander </w:t>
      </w:r>
      <w:r w:rsidR="00A525DA">
        <w:rPr>
          <w:rFonts w:ascii="Times New Roman" w:hAnsi="Times New Roman" w:cs="Times New Roman"/>
          <w:sz w:val="24"/>
          <w:szCs w:val="24"/>
        </w:rPr>
        <w:t xml:space="preserve">belangrijk </w:t>
      </w:r>
      <w:r>
        <w:rPr>
          <w:rFonts w:ascii="Times New Roman" w:hAnsi="Times New Roman" w:cs="Times New Roman"/>
          <w:sz w:val="24"/>
          <w:szCs w:val="24"/>
        </w:rPr>
        <w:t>punt is dat</w:t>
      </w:r>
      <w:r w:rsidRPr="0071446E" w:rsidR="0071446E">
        <w:rPr>
          <w:rFonts w:ascii="Times New Roman" w:hAnsi="Times New Roman" w:cs="Times New Roman"/>
          <w:sz w:val="24"/>
          <w:szCs w:val="24"/>
        </w:rPr>
        <w:t xml:space="preserve"> een </w:t>
      </w:r>
      <w:r>
        <w:rPr>
          <w:rFonts w:ascii="Times New Roman" w:hAnsi="Times New Roman" w:cs="Times New Roman"/>
          <w:sz w:val="24"/>
          <w:szCs w:val="24"/>
        </w:rPr>
        <w:t xml:space="preserve">normerende werking uitgaat van een </w:t>
      </w:r>
      <w:r w:rsidRPr="0071446E" w:rsidR="0071446E">
        <w:rPr>
          <w:rFonts w:ascii="Times New Roman" w:hAnsi="Times New Roman" w:cs="Times New Roman"/>
          <w:sz w:val="24"/>
          <w:szCs w:val="24"/>
        </w:rPr>
        <w:t xml:space="preserve">algemeen verbod op het gebruik van verdovende middelen en alcohol. Het verbod heeft </w:t>
      </w:r>
      <w:r w:rsidR="007C3242">
        <w:rPr>
          <w:rFonts w:ascii="Times New Roman" w:hAnsi="Times New Roman" w:cs="Times New Roman"/>
          <w:sz w:val="24"/>
          <w:szCs w:val="24"/>
        </w:rPr>
        <w:t xml:space="preserve">bij elektronische detentie </w:t>
      </w:r>
      <w:r w:rsidRPr="0071446E" w:rsidR="0071446E">
        <w:rPr>
          <w:rFonts w:ascii="Times New Roman" w:hAnsi="Times New Roman" w:cs="Times New Roman"/>
          <w:sz w:val="24"/>
          <w:szCs w:val="24"/>
        </w:rPr>
        <w:t>uitdrukkelijk niet alleen een beveiligend karakter. Ook om die reden is niet gekozen voor de vormgeving als bijzondere voorwaarde. Hierin verschilt het verbod</w:t>
      </w:r>
      <w:r>
        <w:rPr>
          <w:rFonts w:ascii="Times New Roman" w:hAnsi="Times New Roman" w:cs="Times New Roman"/>
          <w:sz w:val="24"/>
          <w:szCs w:val="24"/>
        </w:rPr>
        <w:t xml:space="preserve"> bij elektronische detentie van de</w:t>
      </w:r>
      <w:r w:rsidRPr="0071446E" w:rsidR="0071446E">
        <w:rPr>
          <w:rFonts w:ascii="Times New Roman" w:hAnsi="Times New Roman" w:cs="Times New Roman"/>
          <w:sz w:val="24"/>
          <w:szCs w:val="24"/>
        </w:rPr>
        <w:t xml:space="preserve"> </w:t>
      </w:r>
      <w:proofErr w:type="spellStart"/>
      <w:r w:rsidRPr="0071446E" w:rsidR="0071446E">
        <w:rPr>
          <w:rFonts w:ascii="Times New Roman" w:hAnsi="Times New Roman" w:cs="Times New Roman"/>
          <w:sz w:val="24"/>
          <w:szCs w:val="24"/>
        </w:rPr>
        <w:t>gedragsbeïnvloedende</w:t>
      </w:r>
      <w:proofErr w:type="spellEnd"/>
      <w:r w:rsidRPr="0071446E" w:rsidR="0071446E">
        <w:rPr>
          <w:rFonts w:ascii="Times New Roman" w:hAnsi="Times New Roman" w:cs="Times New Roman"/>
          <w:sz w:val="24"/>
          <w:szCs w:val="24"/>
        </w:rPr>
        <w:t xml:space="preserve"> interventies die kunnen worden gesteld in een voorwaardelijk kader.</w:t>
      </w:r>
      <w:r>
        <w:rPr>
          <w:rFonts w:ascii="Times New Roman" w:hAnsi="Times New Roman" w:cs="Times New Roman"/>
          <w:sz w:val="24"/>
          <w:szCs w:val="24"/>
        </w:rPr>
        <w:t xml:space="preserve"> Dit </w:t>
      </w:r>
      <w:r w:rsidR="00EC412F">
        <w:rPr>
          <w:rFonts w:ascii="Times New Roman" w:hAnsi="Times New Roman" w:cs="Times New Roman"/>
          <w:sz w:val="24"/>
          <w:szCs w:val="24"/>
        </w:rPr>
        <w:t xml:space="preserve">onderscheid </w:t>
      </w:r>
      <w:r>
        <w:rPr>
          <w:rFonts w:ascii="Times New Roman" w:hAnsi="Times New Roman" w:cs="Times New Roman"/>
          <w:sz w:val="24"/>
          <w:szCs w:val="24"/>
        </w:rPr>
        <w:t xml:space="preserve">verklaart ook waarom het wetsvoorstel op dit punt </w:t>
      </w:r>
      <w:r w:rsidR="007C3242">
        <w:rPr>
          <w:rFonts w:ascii="Times New Roman" w:hAnsi="Times New Roman" w:cs="Times New Roman"/>
          <w:sz w:val="24"/>
          <w:szCs w:val="24"/>
        </w:rPr>
        <w:t xml:space="preserve">afwijkt van </w:t>
      </w:r>
      <w:r w:rsidR="00801959">
        <w:rPr>
          <w:rFonts w:ascii="Times New Roman" w:hAnsi="Times New Roman" w:cs="Times New Roman"/>
          <w:sz w:val="24"/>
          <w:szCs w:val="24"/>
        </w:rPr>
        <w:t xml:space="preserve">de eerste aanvullingswet bij </w:t>
      </w:r>
      <w:r>
        <w:rPr>
          <w:rFonts w:ascii="Times New Roman" w:hAnsi="Times New Roman" w:cs="Times New Roman"/>
          <w:sz w:val="24"/>
          <w:szCs w:val="24"/>
        </w:rPr>
        <w:t xml:space="preserve">het nieuwe Wetboek van Strafvordering. De Afdeling </w:t>
      </w:r>
      <w:r w:rsidR="007C3242">
        <w:rPr>
          <w:rFonts w:ascii="Times New Roman" w:hAnsi="Times New Roman" w:cs="Times New Roman"/>
          <w:sz w:val="24"/>
          <w:szCs w:val="24"/>
        </w:rPr>
        <w:t xml:space="preserve">refereert </w:t>
      </w:r>
      <w:r w:rsidR="00801959">
        <w:rPr>
          <w:rFonts w:ascii="Times New Roman" w:hAnsi="Times New Roman" w:cs="Times New Roman"/>
          <w:sz w:val="24"/>
          <w:szCs w:val="24"/>
        </w:rPr>
        <w:t>aan</w:t>
      </w:r>
      <w:r>
        <w:rPr>
          <w:rFonts w:ascii="Times New Roman" w:hAnsi="Times New Roman" w:cs="Times New Roman"/>
          <w:sz w:val="24"/>
          <w:szCs w:val="24"/>
        </w:rPr>
        <w:t xml:space="preserve"> de daarin voorziene uniformering van de wettelijke regelingen met bijzondere voorwaarden</w:t>
      </w:r>
      <w:r w:rsidR="00801959">
        <w:rPr>
          <w:rFonts w:ascii="Times New Roman" w:hAnsi="Times New Roman" w:cs="Times New Roman"/>
          <w:sz w:val="24"/>
          <w:szCs w:val="24"/>
        </w:rPr>
        <w:t xml:space="preserve"> en </w:t>
      </w:r>
      <w:r w:rsidR="00C62ECB">
        <w:rPr>
          <w:rFonts w:ascii="Times New Roman" w:hAnsi="Times New Roman" w:cs="Times New Roman"/>
          <w:sz w:val="24"/>
          <w:szCs w:val="24"/>
        </w:rPr>
        <w:t>merkt op</w:t>
      </w:r>
      <w:r w:rsidR="00801959">
        <w:rPr>
          <w:rFonts w:ascii="Times New Roman" w:hAnsi="Times New Roman" w:cs="Times New Roman"/>
          <w:sz w:val="24"/>
          <w:szCs w:val="24"/>
        </w:rPr>
        <w:t xml:space="preserve"> dat de vormgeving als verbod daarbij niet goed aansluit</w:t>
      </w:r>
      <w:r>
        <w:rPr>
          <w:rFonts w:ascii="Times New Roman" w:hAnsi="Times New Roman" w:cs="Times New Roman"/>
          <w:sz w:val="24"/>
          <w:szCs w:val="24"/>
        </w:rPr>
        <w:t xml:space="preserve">. In </w:t>
      </w:r>
      <w:r w:rsidR="000201A6">
        <w:rPr>
          <w:rFonts w:ascii="Times New Roman" w:hAnsi="Times New Roman" w:cs="Times New Roman"/>
          <w:sz w:val="24"/>
          <w:szCs w:val="24"/>
        </w:rPr>
        <w:t xml:space="preserve">de memorie van toelichting bij de eerste aanvullingswet wordt echter </w:t>
      </w:r>
      <w:r w:rsidR="00C905DC">
        <w:rPr>
          <w:rFonts w:ascii="Times New Roman" w:hAnsi="Times New Roman" w:cs="Times New Roman"/>
          <w:sz w:val="24"/>
          <w:szCs w:val="24"/>
        </w:rPr>
        <w:t>benadrukt</w:t>
      </w:r>
      <w:r w:rsidR="000201A6">
        <w:rPr>
          <w:rFonts w:ascii="Times New Roman" w:hAnsi="Times New Roman" w:cs="Times New Roman"/>
          <w:sz w:val="24"/>
          <w:szCs w:val="24"/>
        </w:rPr>
        <w:t xml:space="preserve"> dat </w:t>
      </w:r>
      <w:r w:rsidR="007C3242">
        <w:rPr>
          <w:rFonts w:ascii="Times New Roman" w:hAnsi="Times New Roman" w:cs="Times New Roman"/>
          <w:sz w:val="24"/>
          <w:szCs w:val="24"/>
        </w:rPr>
        <w:t xml:space="preserve">ook tussen de geüniformeerde regelingen verschillen </w:t>
      </w:r>
      <w:r w:rsidR="00801959">
        <w:rPr>
          <w:rFonts w:ascii="Times New Roman" w:hAnsi="Times New Roman" w:cs="Times New Roman"/>
          <w:sz w:val="24"/>
          <w:szCs w:val="24"/>
        </w:rPr>
        <w:t xml:space="preserve">(blijven) </w:t>
      </w:r>
      <w:r w:rsidR="007C3242">
        <w:rPr>
          <w:rFonts w:ascii="Times New Roman" w:hAnsi="Times New Roman" w:cs="Times New Roman"/>
          <w:sz w:val="24"/>
          <w:szCs w:val="24"/>
        </w:rPr>
        <w:t>bestaan</w:t>
      </w:r>
      <w:r w:rsidR="00677608">
        <w:rPr>
          <w:rFonts w:ascii="Times New Roman" w:hAnsi="Times New Roman" w:cs="Times New Roman"/>
          <w:sz w:val="24"/>
          <w:szCs w:val="24"/>
        </w:rPr>
        <w:t xml:space="preserve"> (Kamerstukken II 2025/26, 36 913, nr. 3, p. 97)</w:t>
      </w:r>
      <w:r w:rsidR="00801959">
        <w:rPr>
          <w:rFonts w:ascii="Times New Roman" w:hAnsi="Times New Roman" w:cs="Times New Roman"/>
          <w:sz w:val="24"/>
          <w:szCs w:val="24"/>
        </w:rPr>
        <w:t xml:space="preserve">. Die verschillen vloeien bijvoorbeeld voort uit </w:t>
      </w:r>
      <w:r w:rsidR="007C3242">
        <w:rPr>
          <w:rFonts w:ascii="Times New Roman" w:hAnsi="Times New Roman" w:cs="Times New Roman"/>
          <w:sz w:val="24"/>
          <w:szCs w:val="24"/>
        </w:rPr>
        <w:t xml:space="preserve">de fase van het strafproces </w:t>
      </w:r>
      <w:r w:rsidR="00801959">
        <w:rPr>
          <w:rFonts w:ascii="Times New Roman" w:hAnsi="Times New Roman" w:cs="Times New Roman"/>
          <w:sz w:val="24"/>
          <w:szCs w:val="24"/>
        </w:rPr>
        <w:t xml:space="preserve">waarin een bepaalde regeling wordt toegepast, </w:t>
      </w:r>
      <w:r w:rsidR="007C3242">
        <w:rPr>
          <w:rFonts w:ascii="Times New Roman" w:hAnsi="Times New Roman" w:cs="Times New Roman"/>
          <w:sz w:val="24"/>
          <w:szCs w:val="24"/>
        </w:rPr>
        <w:t xml:space="preserve">of </w:t>
      </w:r>
      <w:r w:rsidR="00801959">
        <w:rPr>
          <w:rFonts w:ascii="Times New Roman" w:hAnsi="Times New Roman" w:cs="Times New Roman"/>
          <w:sz w:val="24"/>
          <w:szCs w:val="24"/>
        </w:rPr>
        <w:t xml:space="preserve">uit </w:t>
      </w:r>
      <w:r w:rsidR="00A525DA">
        <w:rPr>
          <w:rFonts w:ascii="Times New Roman" w:hAnsi="Times New Roman" w:cs="Times New Roman"/>
          <w:sz w:val="24"/>
          <w:szCs w:val="24"/>
        </w:rPr>
        <w:t>de</w:t>
      </w:r>
      <w:r w:rsidR="007C3242">
        <w:rPr>
          <w:rFonts w:ascii="Times New Roman" w:hAnsi="Times New Roman" w:cs="Times New Roman"/>
          <w:sz w:val="24"/>
          <w:szCs w:val="24"/>
        </w:rPr>
        <w:t xml:space="preserve"> specifieke </w:t>
      </w:r>
      <w:r w:rsidR="00A525DA">
        <w:rPr>
          <w:rFonts w:ascii="Times New Roman" w:hAnsi="Times New Roman" w:cs="Times New Roman"/>
          <w:sz w:val="24"/>
          <w:szCs w:val="24"/>
        </w:rPr>
        <w:t>aard</w:t>
      </w:r>
      <w:r w:rsidR="007C3242">
        <w:rPr>
          <w:rFonts w:ascii="Times New Roman" w:hAnsi="Times New Roman" w:cs="Times New Roman"/>
          <w:sz w:val="24"/>
          <w:szCs w:val="24"/>
        </w:rPr>
        <w:t xml:space="preserve"> van </w:t>
      </w:r>
      <w:r w:rsidR="002701CD">
        <w:rPr>
          <w:rFonts w:ascii="Times New Roman" w:hAnsi="Times New Roman" w:cs="Times New Roman"/>
          <w:sz w:val="24"/>
          <w:szCs w:val="24"/>
        </w:rPr>
        <w:t>een bepaalde</w:t>
      </w:r>
      <w:r w:rsidR="007C3242">
        <w:rPr>
          <w:rFonts w:ascii="Times New Roman" w:hAnsi="Times New Roman" w:cs="Times New Roman"/>
          <w:sz w:val="24"/>
          <w:szCs w:val="24"/>
        </w:rPr>
        <w:t xml:space="preserve"> modaliteit. </w:t>
      </w:r>
      <w:r>
        <w:rPr>
          <w:rFonts w:ascii="Times New Roman" w:hAnsi="Times New Roman" w:cs="Times New Roman"/>
          <w:sz w:val="24"/>
          <w:szCs w:val="24"/>
        </w:rPr>
        <w:t xml:space="preserve">Gelet op </w:t>
      </w:r>
      <w:r w:rsidR="007C3242">
        <w:rPr>
          <w:rFonts w:ascii="Times New Roman" w:hAnsi="Times New Roman" w:cs="Times New Roman"/>
          <w:sz w:val="24"/>
          <w:szCs w:val="24"/>
        </w:rPr>
        <w:t xml:space="preserve">de </w:t>
      </w:r>
      <w:r w:rsidR="00A525DA">
        <w:rPr>
          <w:rFonts w:ascii="Times New Roman" w:hAnsi="Times New Roman" w:cs="Times New Roman"/>
          <w:sz w:val="24"/>
          <w:szCs w:val="24"/>
        </w:rPr>
        <w:t xml:space="preserve">specifieke </w:t>
      </w:r>
      <w:r w:rsidR="00114B71">
        <w:rPr>
          <w:rFonts w:ascii="Times New Roman" w:hAnsi="Times New Roman" w:cs="Times New Roman"/>
          <w:sz w:val="24"/>
          <w:szCs w:val="24"/>
        </w:rPr>
        <w:t>context</w:t>
      </w:r>
      <w:r w:rsidR="007C3242">
        <w:rPr>
          <w:rFonts w:ascii="Times New Roman" w:hAnsi="Times New Roman" w:cs="Times New Roman"/>
          <w:sz w:val="24"/>
          <w:szCs w:val="24"/>
        </w:rPr>
        <w:t xml:space="preserve"> van elektronische detentie als vergel</w:t>
      </w:r>
      <w:r w:rsidR="00E6450C">
        <w:rPr>
          <w:rFonts w:ascii="Times New Roman" w:hAnsi="Times New Roman" w:cs="Times New Roman"/>
          <w:sz w:val="24"/>
          <w:szCs w:val="24"/>
        </w:rPr>
        <w:t xml:space="preserve">dende vrijheidsstraf </w:t>
      </w:r>
      <w:r w:rsidR="00801959">
        <w:rPr>
          <w:rFonts w:ascii="Times New Roman" w:hAnsi="Times New Roman" w:cs="Times New Roman"/>
          <w:sz w:val="24"/>
          <w:szCs w:val="24"/>
        </w:rPr>
        <w:t xml:space="preserve">“op afstand”, </w:t>
      </w:r>
      <w:r w:rsidR="00E6450C">
        <w:rPr>
          <w:rFonts w:ascii="Times New Roman" w:hAnsi="Times New Roman" w:cs="Times New Roman"/>
          <w:sz w:val="24"/>
          <w:szCs w:val="24"/>
        </w:rPr>
        <w:t xml:space="preserve">zijn de initiatiefnemers van oordeel dat </w:t>
      </w:r>
      <w:r>
        <w:rPr>
          <w:rFonts w:ascii="Times New Roman" w:hAnsi="Times New Roman" w:cs="Times New Roman"/>
          <w:sz w:val="24"/>
          <w:szCs w:val="24"/>
        </w:rPr>
        <w:t xml:space="preserve">een </w:t>
      </w:r>
      <w:r w:rsidR="00E6450C">
        <w:rPr>
          <w:rFonts w:ascii="Times New Roman" w:hAnsi="Times New Roman" w:cs="Times New Roman"/>
          <w:sz w:val="24"/>
          <w:szCs w:val="24"/>
        </w:rPr>
        <w:t xml:space="preserve">algemeen verbod op </w:t>
      </w:r>
      <w:r w:rsidR="008028E2">
        <w:rPr>
          <w:rFonts w:ascii="Times New Roman" w:hAnsi="Times New Roman" w:cs="Times New Roman"/>
          <w:sz w:val="24"/>
          <w:szCs w:val="24"/>
        </w:rPr>
        <w:t xml:space="preserve">het gebruik van </w:t>
      </w:r>
      <w:r w:rsidR="00E6450C">
        <w:rPr>
          <w:rFonts w:ascii="Times New Roman" w:hAnsi="Times New Roman" w:cs="Times New Roman"/>
          <w:sz w:val="24"/>
          <w:szCs w:val="24"/>
        </w:rPr>
        <w:t>alcohol en drugs</w:t>
      </w:r>
      <w:r>
        <w:rPr>
          <w:rFonts w:ascii="Times New Roman" w:hAnsi="Times New Roman" w:cs="Times New Roman"/>
          <w:sz w:val="24"/>
          <w:szCs w:val="24"/>
        </w:rPr>
        <w:t xml:space="preserve"> </w:t>
      </w:r>
      <w:r w:rsidRPr="00BE502D" w:rsidR="00114B71">
        <w:rPr>
          <w:rFonts w:ascii="Times New Roman" w:hAnsi="Times New Roman" w:cs="Times New Roman"/>
          <w:sz w:val="24"/>
          <w:szCs w:val="24"/>
        </w:rPr>
        <w:t xml:space="preserve">– en daarmee een afwijking van de eerste aanvullingswet bij het nieuwe Wetboek van Strafvordering – </w:t>
      </w:r>
      <w:r>
        <w:rPr>
          <w:rFonts w:ascii="Times New Roman" w:hAnsi="Times New Roman" w:cs="Times New Roman"/>
          <w:sz w:val="24"/>
          <w:szCs w:val="24"/>
        </w:rPr>
        <w:t>gerechtvaardigd</w:t>
      </w:r>
      <w:r w:rsidR="00801959">
        <w:rPr>
          <w:rFonts w:ascii="Times New Roman" w:hAnsi="Times New Roman" w:cs="Times New Roman"/>
          <w:sz w:val="24"/>
          <w:szCs w:val="24"/>
        </w:rPr>
        <w:t xml:space="preserve"> is</w:t>
      </w:r>
      <w:r w:rsidR="00C905DC">
        <w:rPr>
          <w:rFonts w:ascii="Times New Roman" w:hAnsi="Times New Roman" w:cs="Times New Roman"/>
          <w:sz w:val="24"/>
          <w:szCs w:val="24"/>
        </w:rPr>
        <w:t>.</w:t>
      </w:r>
    </w:p>
    <w:p w:rsidR="004043DC" w:rsidP="00CF1EE3" w:rsidRDefault="004043DC" w14:paraId="0889F0AE" w14:textId="77777777">
      <w:pPr>
        <w:widowControl w:val="0"/>
        <w:spacing w:after="0" w:line="240" w:lineRule="auto"/>
        <w:rPr>
          <w:rFonts w:ascii="Times New Roman" w:hAnsi="Times New Roman" w:cs="Times New Roman"/>
          <w:sz w:val="24"/>
          <w:szCs w:val="24"/>
        </w:rPr>
      </w:pPr>
    </w:p>
    <w:p w:rsidR="004043DC" w:rsidP="00CF1EE3" w:rsidRDefault="004043DC" w14:paraId="552143F8" w14:textId="5B80BC58">
      <w:pPr>
        <w:widowControl w:val="0"/>
        <w:spacing w:after="0" w:line="240" w:lineRule="auto"/>
        <w:rPr>
          <w:rFonts w:ascii="Times New Roman" w:hAnsi="Times New Roman" w:cs="Times New Roman"/>
          <w:sz w:val="24"/>
          <w:szCs w:val="24"/>
        </w:rPr>
      </w:pPr>
      <w:r w:rsidRPr="00AA763A">
        <w:rPr>
          <w:rFonts w:ascii="Times New Roman" w:hAnsi="Times New Roman" w:cs="Times New Roman"/>
          <w:sz w:val="24"/>
          <w:szCs w:val="24"/>
        </w:rPr>
        <w:t xml:space="preserve">Met betrekking tot de handhaving </w:t>
      </w:r>
      <w:r w:rsidRPr="00AA763A" w:rsidR="00312656">
        <w:rPr>
          <w:rFonts w:ascii="Times New Roman" w:hAnsi="Times New Roman" w:cs="Times New Roman"/>
          <w:sz w:val="24"/>
          <w:szCs w:val="24"/>
        </w:rPr>
        <w:t xml:space="preserve">refereert de Afdeling aan de consultatiereactie van de DJI, waarin is aangegeven dat </w:t>
      </w:r>
      <w:r w:rsidRPr="00AA763A">
        <w:rPr>
          <w:rFonts w:ascii="Times New Roman" w:hAnsi="Times New Roman" w:cs="Times New Roman"/>
          <w:sz w:val="24"/>
          <w:szCs w:val="24"/>
        </w:rPr>
        <w:t xml:space="preserve">deze </w:t>
      </w:r>
      <w:r w:rsidRPr="00AA763A" w:rsidR="009C108D">
        <w:rPr>
          <w:rFonts w:ascii="Times New Roman" w:hAnsi="Times New Roman" w:cs="Times New Roman"/>
          <w:sz w:val="24"/>
          <w:szCs w:val="24"/>
        </w:rPr>
        <w:t>taak</w:t>
      </w:r>
      <w:r w:rsidRPr="00AA763A">
        <w:rPr>
          <w:rFonts w:ascii="Times New Roman" w:hAnsi="Times New Roman" w:cs="Times New Roman"/>
          <w:sz w:val="24"/>
          <w:szCs w:val="24"/>
        </w:rPr>
        <w:t xml:space="preserve"> niet past binnen de bestaande uitvoeringskaders. In geval van vormgeving als bijzondere voorwaarde zou het toezicht zijn belegd bij de reclassering. In overleg met de DJI en de reclassering is geconcludeerd dat het inderdaad in de rede ligt dat de reclassering </w:t>
      </w:r>
      <w:r w:rsidRPr="00AA763A" w:rsidR="00C95C07">
        <w:rPr>
          <w:rFonts w:ascii="Times New Roman" w:hAnsi="Times New Roman" w:cs="Times New Roman"/>
          <w:sz w:val="24"/>
          <w:szCs w:val="24"/>
        </w:rPr>
        <w:t>feitelijk wordt belast</w:t>
      </w:r>
      <w:r w:rsidRPr="00AA763A">
        <w:rPr>
          <w:rFonts w:ascii="Times New Roman" w:hAnsi="Times New Roman" w:cs="Times New Roman"/>
          <w:sz w:val="24"/>
          <w:szCs w:val="24"/>
        </w:rPr>
        <w:t xml:space="preserve"> </w:t>
      </w:r>
      <w:r w:rsidRPr="00AA763A" w:rsidR="00C95C07">
        <w:rPr>
          <w:rFonts w:ascii="Times New Roman" w:hAnsi="Times New Roman" w:cs="Times New Roman"/>
          <w:sz w:val="24"/>
          <w:szCs w:val="24"/>
        </w:rPr>
        <w:t xml:space="preserve">met </w:t>
      </w:r>
      <w:r w:rsidRPr="00AA763A">
        <w:rPr>
          <w:rFonts w:ascii="Times New Roman" w:hAnsi="Times New Roman" w:cs="Times New Roman"/>
          <w:sz w:val="24"/>
          <w:szCs w:val="24"/>
        </w:rPr>
        <w:t xml:space="preserve">het toezicht op de naleving van het verbod. Dit aandachtspunt zal worden ondervangen met een mandaatconstructie, zodat de feitelijke controle kan plaatsvinden door de reclassering onder verantwoordelijkheid van de </w:t>
      </w:r>
      <w:r w:rsidR="00AA763A">
        <w:rPr>
          <w:rFonts w:ascii="Times New Roman" w:hAnsi="Times New Roman" w:cs="Times New Roman"/>
          <w:sz w:val="24"/>
          <w:szCs w:val="24"/>
        </w:rPr>
        <w:t>minister</w:t>
      </w:r>
      <w:r w:rsidRPr="00AA763A">
        <w:rPr>
          <w:rFonts w:ascii="Times New Roman" w:hAnsi="Times New Roman" w:cs="Times New Roman"/>
          <w:sz w:val="24"/>
          <w:szCs w:val="24"/>
        </w:rPr>
        <w:t>.</w:t>
      </w:r>
    </w:p>
    <w:p w:rsidR="0071446E" w:rsidP="00CF1EE3" w:rsidRDefault="0071446E" w14:paraId="48630B04" w14:textId="795687A8">
      <w:pPr>
        <w:widowControl w:val="0"/>
        <w:spacing w:after="0" w:line="240" w:lineRule="auto"/>
        <w:rPr>
          <w:rFonts w:ascii="Times New Roman" w:hAnsi="Times New Roman" w:cs="Times New Roman"/>
          <w:sz w:val="24"/>
          <w:szCs w:val="24"/>
        </w:rPr>
      </w:pPr>
    </w:p>
    <w:p w:rsidR="0071446E" w:rsidP="00CF1EE3" w:rsidRDefault="001E0F76" w14:paraId="1787FD94" w14:textId="435BF6D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De</w:t>
      </w:r>
      <w:r w:rsidR="00801959">
        <w:rPr>
          <w:rFonts w:ascii="Times New Roman" w:hAnsi="Times New Roman" w:cs="Times New Roman"/>
          <w:sz w:val="24"/>
          <w:szCs w:val="24"/>
        </w:rPr>
        <w:t xml:space="preserve"> vo</w:t>
      </w:r>
      <w:r w:rsidR="00C96CBB">
        <w:rPr>
          <w:rFonts w:ascii="Times New Roman" w:hAnsi="Times New Roman" w:cs="Times New Roman"/>
          <w:sz w:val="24"/>
          <w:szCs w:val="24"/>
        </w:rPr>
        <w:t xml:space="preserve">orgaande </w:t>
      </w:r>
      <w:r>
        <w:rPr>
          <w:rFonts w:ascii="Times New Roman" w:hAnsi="Times New Roman" w:cs="Times New Roman"/>
          <w:sz w:val="24"/>
          <w:szCs w:val="24"/>
        </w:rPr>
        <w:t xml:space="preserve">overwegingen maken </w:t>
      </w:r>
      <w:r w:rsidR="00857196">
        <w:rPr>
          <w:rFonts w:ascii="Times New Roman" w:hAnsi="Times New Roman" w:cs="Times New Roman"/>
          <w:sz w:val="24"/>
          <w:szCs w:val="24"/>
        </w:rPr>
        <w:t xml:space="preserve">dat geen opvolging is gegeven aan het </w:t>
      </w:r>
      <w:r w:rsidR="0071446E">
        <w:rPr>
          <w:rFonts w:ascii="Times New Roman" w:hAnsi="Times New Roman" w:cs="Times New Roman"/>
          <w:sz w:val="24"/>
          <w:szCs w:val="24"/>
        </w:rPr>
        <w:t xml:space="preserve">advies van de Afdeling om het verbod </w:t>
      </w:r>
      <w:r w:rsidRPr="0071446E" w:rsidR="00857196">
        <w:rPr>
          <w:rFonts w:ascii="Times New Roman" w:hAnsi="Times New Roman" w:cs="Times New Roman"/>
          <w:sz w:val="24"/>
          <w:szCs w:val="24"/>
        </w:rPr>
        <w:t xml:space="preserve">op het gebruik van verdovende middelen en alcohol </w:t>
      </w:r>
      <w:r w:rsidR="0071446E">
        <w:rPr>
          <w:rFonts w:ascii="Times New Roman" w:hAnsi="Times New Roman" w:cs="Times New Roman"/>
          <w:sz w:val="24"/>
          <w:szCs w:val="24"/>
        </w:rPr>
        <w:t>vorm te geven als bijzondere voorwaarde.</w:t>
      </w:r>
      <w:r w:rsidR="00555E5C">
        <w:rPr>
          <w:rFonts w:ascii="Times New Roman" w:hAnsi="Times New Roman" w:cs="Times New Roman"/>
          <w:sz w:val="24"/>
          <w:szCs w:val="24"/>
        </w:rPr>
        <w:t xml:space="preserve"> De overwegingen zijn </w:t>
      </w:r>
      <w:r w:rsidRPr="00555E5C" w:rsidR="00555E5C">
        <w:rPr>
          <w:rFonts w:ascii="Times New Roman" w:hAnsi="Times New Roman" w:cs="Times New Roman"/>
          <w:sz w:val="24"/>
          <w:szCs w:val="24"/>
        </w:rPr>
        <w:t>in vergelijkbare bewoordingen verwerkt in</w:t>
      </w:r>
      <w:r w:rsidR="00FE2259">
        <w:rPr>
          <w:rFonts w:ascii="Times New Roman" w:hAnsi="Times New Roman" w:cs="Times New Roman"/>
          <w:sz w:val="24"/>
          <w:szCs w:val="24"/>
        </w:rPr>
        <w:t xml:space="preserve"> het algemeen deel van</w:t>
      </w:r>
      <w:r w:rsidRPr="00555E5C" w:rsidR="00555E5C">
        <w:rPr>
          <w:rFonts w:ascii="Times New Roman" w:hAnsi="Times New Roman" w:cs="Times New Roman"/>
          <w:sz w:val="24"/>
          <w:szCs w:val="24"/>
        </w:rPr>
        <w:t xml:space="preserve"> de memorie van toelichting</w:t>
      </w:r>
      <w:r w:rsidR="00555E5C">
        <w:rPr>
          <w:rFonts w:ascii="Times New Roman" w:hAnsi="Times New Roman" w:cs="Times New Roman"/>
          <w:sz w:val="24"/>
          <w:szCs w:val="24"/>
        </w:rPr>
        <w:t>.</w:t>
      </w:r>
    </w:p>
    <w:p w:rsidRPr="00740235" w:rsidR="0071446E" w:rsidP="00CF1EE3" w:rsidRDefault="0071446E" w14:paraId="34E7D242" w14:textId="77777777">
      <w:pPr>
        <w:widowControl w:val="0"/>
        <w:spacing w:after="0" w:line="240" w:lineRule="auto"/>
        <w:rPr>
          <w:rFonts w:ascii="Times New Roman" w:hAnsi="Times New Roman" w:cs="Times New Roman"/>
          <w:i/>
          <w:iCs/>
          <w:sz w:val="24"/>
          <w:szCs w:val="24"/>
        </w:rPr>
      </w:pPr>
    </w:p>
    <w:p w:rsidRPr="00E74881" w:rsidR="00BD78D9" w:rsidP="00CF1EE3" w:rsidRDefault="00BD78D9" w14:paraId="294D2EE5" w14:textId="77777777">
      <w:pPr>
        <w:widowControl w:val="0"/>
        <w:spacing w:after="0" w:line="240" w:lineRule="auto"/>
        <w:rPr>
          <w:rFonts w:ascii="Times New Roman" w:hAnsi="Times New Roman" w:cs="Times New Roman"/>
          <w:b/>
          <w:bCs/>
          <w:i/>
          <w:iCs/>
          <w:sz w:val="24"/>
          <w:szCs w:val="24"/>
        </w:rPr>
      </w:pPr>
      <w:r w:rsidRPr="00E74881">
        <w:rPr>
          <w:rFonts w:ascii="Times New Roman" w:hAnsi="Times New Roman" w:cs="Times New Roman"/>
          <w:b/>
          <w:bCs/>
          <w:i/>
          <w:iCs/>
          <w:sz w:val="24"/>
          <w:szCs w:val="24"/>
        </w:rPr>
        <w:t>6. Verruiming uitvoeringstermijn taakstraf in het jeugdstrafrecht</w:t>
      </w:r>
    </w:p>
    <w:p w:rsidR="00E74881" w:rsidP="00CF1EE3" w:rsidRDefault="00E74881" w14:paraId="222AD4BD" w14:textId="77777777">
      <w:pPr>
        <w:widowControl w:val="0"/>
        <w:spacing w:after="0" w:line="240" w:lineRule="auto"/>
        <w:rPr>
          <w:rFonts w:ascii="Times New Roman" w:hAnsi="Times New Roman" w:cs="Times New Roman"/>
          <w:i/>
          <w:iCs/>
          <w:sz w:val="24"/>
          <w:szCs w:val="24"/>
        </w:rPr>
      </w:pPr>
    </w:p>
    <w:p w:rsidR="00BD78D9" w:rsidP="00CF1EE3" w:rsidRDefault="00BD78D9" w14:paraId="054CF8FB" w14:textId="4FA0ED6D">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Met het initiatiefwetsvoorstel wordt de taakstraf verruimd. Eén van de voorgestelde</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wijzigingen betreft de verruiming van de termijn waarbinnen de taakstraf moet worden</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 xml:space="preserve">verricht. Deze wijziging hangt samen met de voorgestelde verhoging van het </w:t>
      </w:r>
      <w:proofErr w:type="gramStart"/>
      <w:r w:rsidRPr="00740235">
        <w:rPr>
          <w:rFonts w:ascii="Times New Roman" w:hAnsi="Times New Roman" w:cs="Times New Roman"/>
          <w:i/>
          <w:iCs/>
          <w:sz w:val="24"/>
          <w:szCs w:val="24"/>
        </w:rPr>
        <w:t>maximum</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aantal</w:t>
      </w:r>
      <w:proofErr w:type="gramEnd"/>
      <w:r w:rsidRPr="00740235">
        <w:rPr>
          <w:rFonts w:ascii="Times New Roman" w:hAnsi="Times New Roman" w:cs="Times New Roman"/>
          <w:i/>
          <w:iCs/>
          <w:sz w:val="24"/>
          <w:szCs w:val="24"/>
        </w:rPr>
        <w:t xml:space="preserve"> uren taakstraf dat kan worden opgelegd.</w:t>
      </w:r>
    </w:p>
    <w:p w:rsidRPr="00740235" w:rsidR="000A6A03" w:rsidP="00CF1EE3" w:rsidRDefault="000A6A03" w14:paraId="7343A87E" w14:textId="77777777">
      <w:pPr>
        <w:widowControl w:val="0"/>
        <w:spacing w:after="0" w:line="240" w:lineRule="auto"/>
        <w:rPr>
          <w:rFonts w:ascii="Times New Roman" w:hAnsi="Times New Roman" w:cs="Times New Roman"/>
          <w:i/>
          <w:iCs/>
          <w:sz w:val="24"/>
          <w:szCs w:val="24"/>
        </w:rPr>
      </w:pPr>
    </w:p>
    <w:p w:rsidR="00BD78D9" w:rsidP="00CF1EE3" w:rsidRDefault="00BD78D9" w14:paraId="38B29F2E" w14:textId="5213916E">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Bovengenoemde wijzigingen werden in eerste instantie ook voorgesteld voor het</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 xml:space="preserve">jeugdstrafrecht. Van een verhoging van het </w:t>
      </w:r>
      <w:proofErr w:type="gramStart"/>
      <w:r w:rsidRPr="00740235">
        <w:rPr>
          <w:rFonts w:ascii="Times New Roman" w:hAnsi="Times New Roman" w:cs="Times New Roman"/>
          <w:i/>
          <w:iCs/>
          <w:sz w:val="24"/>
          <w:szCs w:val="24"/>
        </w:rPr>
        <w:t>maximum aantal</w:t>
      </w:r>
      <w:proofErr w:type="gramEnd"/>
      <w:r w:rsidRPr="00740235">
        <w:rPr>
          <w:rFonts w:ascii="Times New Roman" w:hAnsi="Times New Roman" w:cs="Times New Roman"/>
          <w:i/>
          <w:iCs/>
          <w:sz w:val="24"/>
          <w:szCs w:val="24"/>
        </w:rPr>
        <w:t xml:space="preserve"> uren taakstraf in het</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jeugdstrafrecht is echter afgezien gelet op de adviezen van het Openbaar Ministerie (OM), de</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Raad voor de Kinderbescherming (</w:t>
      </w:r>
      <w:proofErr w:type="spellStart"/>
      <w:r w:rsidRPr="00740235">
        <w:rPr>
          <w:rFonts w:ascii="Times New Roman" w:hAnsi="Times New Roman" w:cs="Times New Roman"/>
          <w:i/>
          <w:iCs/>
          <w:sz w:val="24"/>
          <w:szCs w:val="24"/>
        </w:rPr>
        <w:t>RvdK</w:t>
      </w:r>
      <w:proofErr w:type="spellEnd"/>
      <w:r w:rsidRPr="00740235">
        <w:rPr>
          <w:rFonts w:ascii="Times New Roman" w:hAnsi="Times New Roman" w:cs="Times New Roman"/>
          <w:i/>
          <w:iCs/>
          <w:sz w:val="24"/>
          <w:szCs w:val="24"/>
        </w:rPr>
        <w:t xml:space="preserve">), de </w:t>
      </w:r>
      <w:proofErr w:type="spellStart"/>
      <w:r w:rsidRPr="00740235">
        <w:rPr>
          <w:rFonts w:ascii="Times New Roman" w:hAnsi="Times New Roman" w:cs="Times New Roman"/>
          <w:i/>
          <w:iCs/>
          <w:sz w:val="24"/>
          <w:szCs w:val="24"/>
        </w:rPr>
        <w:t>Rvdr</w:t>
      </w:r>
      <w:proofErr w:type="spellEnd"/>
      <w:r w:rsidRPr="00740235">
        <w:rPr>
          <w:rFonts w:ascii="Times New Roman" w:hAnsi="Times New Roman" w:cs="Times New Roman"/>
          <w:i/>
          <w:iCs/>
          <w:sz w:val="24"/>
          <w:szCs w:val="24"/>
        </w:rPr>
        <w:t xml:space="preserve"> en de Raad voor Strafrechtstoepassing en</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Jeugdbescherming (RSJ). Er zou in het jeugdstrafrecht geen behoefte zijn aan deze</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verhoging.</w:t>
      </w:r>
      <w:r w:rsidR="00E20571">
        <w:rPr>
          <w:rStyle w:val="Voetnootmarkering"/>
          <w:rFonts w:ascii="Times New Roman" w:hAnsi="Times New Roman" w:cs="Times New Roman"/>
          <w:i/>
          <w:iCs/>
          <w:sz w:val="24"/>
          <w:szCs w:val="24"/>
        </w:rPr>
        <w:footnoteReference w:id="21"/>
      </w:r>
      <w:r w:rsidRPr="00740235">
        <w:rPr>
          <w:rFonts w:ascii="Times New Roman" w:hAnsi="Times New Roman" w:cs="Times New Roman"/>
          <w:i/>
          <w:iCs/>
          <w:sz w:val="24"/>
          <w:szCs w:val="24"/>
        </w:rPr>
        <w:t xml:space="preserve"> De Afdeling heeft begrip voor deze keuze.</w:t>
      </w:r>
    </w:p>
    <w:p w:rsidRPr="00740235" w:rsidR="000A6A03" w:rsidP="00CF1EE3" w:rsidRDefault="000A6A03" w14:paraId="758FAB21" w14:textId="77777777">
      <w:pPr>
        <w:widowControl w:val="0"/>
        <w:spacing w:after="0" w:line="240" w:lineRule="auto"/>
        <w:rPr>
          <w:rFonts w:ascii="Times New Roman" w:hAnsi="Times New Roman" w:cs="Times New Roman"/>
          <w:i/>
          <w:iCs/>
          <w:sz w:val="24"/>
          <w:szCs w:val="24"/>
        </w:rPr>
      </w:pPr>
    </w:p>
    <w:p w:rsidR="00BD78D9" w:rsidP="00CF1EE3" w:rsidRDefault="00BD78D9" w14:paraId="1F482710" w14:textId="6CDB58B4">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De voorgestelde verruiming van de uitvoeringstermijn van de taakstraf in het jeugdstrafrecht</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is wel behouden.</w:t>
      </w:r>
      <w:r w:rsidR="00E20571">
        <w:rPr>
          <w:rStyle w:val="Voetnootmarkering"/>
          <w:rFonts w:ascii="Times New Roman" w:hAnsi="Times New Roman" w:cs="Times New Roman"/>
          <w:i/>
          <w:iCs/>
          <w:sz w:val="24"/>
          <w:szCs w:val="24"/>
        </w:rPr>
        <w:footnoteReference w:id="22"/>
      </w:r>
      <w:r w:rsidRPr="00740235">
        <w:rPr>
          <w:rFonts w:ascii="Times New Roman" w:hAnsi="Times New Roman" w:cs="Times New Roman"/>
          <w:i/>
          <w:iCs/>
          <w:sz w:val="24"/>
          <w:szCs w:val="24"/>
        </w:rPr>
        <w:t xml:space="preserve"> Uit de toelichting volgt dat deze keuze is gemaakt omdat de</w:t>
      </w:r>
      <w:r w:rsidR="000A6A03">
        <w:rPr>
          <w:rFonts w:ascii="Times New Roman" w:hAnsi="Times New Roman" w:cs="Times New Roman"/>
          <w:i/>
          <w:iCs/>
          <w:sz w:val="24"/>
          <w:szCs w:val="24"/>
        </w:rPr>
        <w:t xml:space="preserve"> </w:t>
      </w:r>
      <w:proofErr w:type="spellStart"/>
      <w:r w:rsidRPr="00740235">
        <w:rPr>
          <w:rFonts w:ascii="Times New Roman" w:hAnsi="Times New Roman" w:cs="Times New Roman"/>
          <w:i/>
          <w:iCs/>
          <w:sz w:val="24"/>
          <w:szCs w:val="24"/>
        </w:rPr>
        <w:t>RvdK</w:t>
      </w:r>
      <w:proofErr w:type="spellEnd"/>
      <w:r w:rsidRPr="00740235">
        <w:rPr>
          <w:rFonts w:ascii="Times New Roman" w:hAnsi="Times New Roman" w:cs="Times New Roman"/>
          <w:i/>
          <w:iCs/>
          <w:sz w:val="24"/>
          <w:szCs w:val="24"/>
        </w:rPr>
        <w:t xml:space="preserve"> en het OM hebben aangegeven dat het in de huidige praktijk al lastig is om sommige</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taakstraffen binnen de uitvoeringstermijn te voltooien gezien de beperkte(re) inzetbaarheid</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van jeugdigen, bijvoorbeeld door schoolverplichtingen en wachtlijsten.</w:t>
      </w:r>
      <w:r w:rsidR="00E20571">
        <w:rPr>
          <w:rStyle w:val="Voetnootmarkering"/>
          <w:rFonts w:ascii="Times New Roman" w:hAnsi="Times New Roman" w:cs="Times New Roman"/>
          <w:i/>
          <w:iCs/>
          <w:sz w:val="24"/>
          <w:szCs w:val="24"/>
        </w:rPr>
        <w:footnoteReference w:id="23"/>
      </w:r>
      <w:r w:rsidRPr="00740235">
        <w:rPr>
          <w:rFonts w:ascii="Times New Roman" w:hAnsi="Times New Roman" w:cs="Times New Roman"/>
          <w:i/>
          <w:iCs/>
          <w:sz w:val="24"/>
          <w:szCs w:val="24"/>
        </w:rPr>
        <w:t xml:space="preserve"> Specifiek</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 xml:space="preserve">heeft de </w:t>
      </w:r>
      <w:proofErr w:type="spellStart"/>
      <w:r w:rsidRPr="00740235">
        <w:rPr>
          <w:rFonts w:ascii="Times New Roman" w:hAnsi="Times New Roman" w:cs="Times New Roman"/>
          <w:i/>
          <w:iCs/>
          <w:sz w:val="24"/>
          <w:szCs w:val="24"/>
        </w:rPr>
        <w:t>RvdK</w:t>
      </w:r>
      <w:proofErr w:type="spellEnd"/>
      <w:r w:rsidRPr="00740235">
        <w:rPr>
          <w:rFonts w:ascii="Times New Roman" w:hAnsi="Times New Roman" w:cs="Times New Roman"/>
          <w:i/>
          <w:iCs/>
          <w:sz w:val="24"/>
          <w:szCs w:val="24"/>
        </w:rPr>
        <w:t xml:space="preserve"> gewezen op de bestaande wachtlijsten in sommige plekken van het land voor</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het plaatsen van jeugdigen in een taakstraf en het niet altijd goed lopen van de</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ketenroutering van taakstraf-vonnissen.</w:t>
      </w:r>
      <w:r w:rsidR="00E20571">
        <w:rPr>
          <w:rStyle w:val="Voetnootmarkering"/>
          <w:rFonts w:ascii="Times New Roman" w:hAnsi="Times New Roman" w:cs="Times New Roman"/>
          <w:i/>
          <w:iCs/>
          <w:sz w:val="24"/>
          <w:szCs w:val="24"/>
        </w:rPr>
        <w:footnoteReference w:id="24"/>
      </w:r>
      <w:r w:rsidRPr="00740235">
        <w:rPr>
          <w:rFonts w:ascii="Times New Roman" w:hAnsi="Times New Roman" w:cs="Times New Roman"/>
          <w:i/>
          <w:iCs/>
          <w:sz w:val="24"/>
          <w:szCs w:val="24"/>
        </w:rPr>
        <w:t xml:space="preserve"> </w:t>
      </w:r>
    </w:p>
    <w:p w:rsidRPr="00740235" w:rsidR="000A6A03" w:rsidP="00CF1EE3" w:rsidRDefault="000A6A03" w14:paraId="635E2EF6" w14:textId="77777777">
      <w:pPr>
        <w:widowControl w:val="0"/>
        <w:spacing w:after="0" w:line="240" w:lineRule="auto"/>
        <w:rPr>
          <w:rFonts w:ascii="Times New Roman" w:hAnsi="Times New Roman" w:cs="Times New Roman"/>
          <w:i/>
          <w:iCs/>
          <w:sz w:val="24"/>
          <w:szCs w:val="24"/>
        </w:rPr>
      </w:pPr>
    </w:p>
    <w:p w:rsidR="00BD78D9" w:rsidP="00CF1EE3" w:rsidRDefault="00BD78D9" w14:paraId="481994FA" w14:textId="0DED8E2C">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De voorgestelde verruiming van de uitvoeringstermijn vormt echter geen oplossing voor de</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wachtlijsten en de gebrekkige ketenroutering. De verruiming neemt bovendien een prikkel</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weg om deze problemen aan te pakken en kan het onbedoelde effect hebben dat de</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gemiddelde termijn voor de tenuitvoerlegging van de taakstraf toeneemt. In het</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jeugdstrafrecht geldt het pedagogische uitgangspunt dat een interventie snel op een delict</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moet volgen. Sancties hebben bij jeugdigen immers meer effect als ze snel worden opgelegd</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en uitgevoerd.</w:t>
      </w:r>
      <w:r w:rsidR="00E20571">
        <w:rPr>
          <w:rStyle w:val="Voetnootmarkering"/>
          <w:rFonts w:ascii="Times New Roman" w:hAnsi="Times New Roman" w:cs="Times New Roman"/>
          <w:i/>
          <w:iCs/>
          <w:sz w:val="24"/>
          <w:szCs w:val="24"/>
        </w:rPr>
        <w:footnoteReference w:id="25"/>
      </w:r>
      <w:r w:rsidRPr="00740235">
        <w:rPr>
          <w:rFonts w:ascii="Times New Roman" w:hAnsi="Times New Roman" w:cs="Times New Roman"/>
          <w:i/>
          <w:iCs/>
          <w:sz w:val="24"/>
          <w:szCs w:val="24"/>
        </w:rPr>
        <w:t xml:space="preserve"> Bovendien is de voorgestelde extra uitvoeringstijd </w:t>
      </w:r>
      <w:proofErr w:type="spellStart"/>
      <w:r w:rsidRPr="00740235">
        <w:rPr>
          <w:rFonts w:ascii="Times New Roman" w:hAnsi="Times New Roman" w:cs="Times New Roman"/>
          <w:i/>
          <w:iCs/>
          <w:sz w:val="24"/>
          <w:szCs w:val="24"/>
        </w:rPr>
        <w:t>belastender</w:t>
      </w:r>
      <w:proofErr w:type="spellEnd"/>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voor een jeugdige dan voor een volwassene, gezien de ontwikkelingsfase waarin een</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jeugdige verkeert.</w:t>
      </w:r>
    </w:p>
    <w:p w:rsidRPr="00740235" w:rsidR="000A6A03" w:rsidP="00CF1EE3" w:rsidRDefault="000A6A03" w14:paraId="583445EB" w14:textId="77777777">
      <w:pPr>
        <w:widowControl w:val="0"/>
        <w:spacing w:after="0" w:line="240" w:lineRule="auto"/>
        <w:rPr>
          <w:rFonts w:ascii="Times New Roman" w:hAnsi="Times New Roman" w:cs="Times New Roman"/>
          <w:i/>
          <w:iCs/>
          <w:sz w:val="24"/>
          <w:szCs w:val="24"/>
        </w:rPr>
      </w:pPr>
    </w:p>
    <w:p w:rsidR="00BD78D9" w:rsidP="00CF1EE3" w:rsidRDefault="00BD78D9" w14:paraId="5CEBBCFB" w14:textId="74AFB063">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De Afdeling adviseert om de noodzaak van de verruiming van de uitvoeringstermijn van de</w:t>
      </w:r>
      <w:r w:rsidR="000A6A03">
        <w:rPr>
          <w:rFonts w:ascii="Times New Roman" w:hAnsi="Times New Roman" w:cs="Times New Roman"/>
          <w:i/>
          <w:iCs/>
          <w:sz w:val="24"/>
          <w:szCs w:val="24"/>
        </w:rPr>
        <w:t xml:space="preserve"> </w:t>
      </w:r>
      <w:r w:rsidRPr="00740235">
        <w:rPr>
          <w:rFonts w:ascii="Times New Roman" w:hAnsi="Times New Roman" w:cs="Times New Roman"/>
          <w:i/>
          <w:iCs/>
          <w:sz w:val="24"/>
          <w:szCs w:val="24"/>
        </w:rPr>
        <w:t>taakstraf in het jeugdstrafrecht dragend te motiveren, of anders te schrappen.</w:t>
      </w:r>
    </w:p>
    <w:p w:rsidR="00847506" w:rsidP="00CF1EE3" w:rsidRDefault="00847506" w14:paraId="0B0673F2" w14:textId="77777777">
      <w:pPr>
        <w:widowControl w:val="0"/>
        <w:spacing w:after="0" w:line="240" w:lineRule="auto"/>
        <w:rPr>
          <w:rFonts w:ascii="Times New Roman" w:hAnsi="Times New Roman" w:cs="Times New Roman"/>
          <w:i/>
          <w:iCs/>
          <w:sz w:val="24"/>
          <w:szCs w:val="24"/>
        </w:rPr>
      </w:pPr>
    </w:p>
    <w:p w:rsidR="00217497" w:rsidP="00CF1EE3" w:rsidRDefault="00E877EA" w14:paraId="0AEB8EBB" w14:textId="1459D017">
      <w:pPr>
        <w:widowControl w:val="0"/>
        <w:spacing w:after="0" w:line="240" w:lineRule="auto"/>
        <w:rPr>
          <w:rFonts w:ascii="Times New Roman" w:hAnsi="Times New Roman" w:cs="Times New Roman"/>
          <w:sz w:val="24"/>
          <w:szCs w:val="24"/>
        </w:rPr>
      </w:pPr>
      <w:r w:rsidRPr="00E877EA">
        <w:rPr>
          <w:rFonts w:ascii="Times New Roman" w:hAnsi="Times New Roman" w:cs="Times New Roman"/>
          <w:sz w:val="24"/>
          <w:szCs w:val="24"/>
        </w:rPr>
        <w:t>Mede naar aanleiding van dit adviespunt is de verruiming van de uitvoeringstermijn</w:t>
      </w:r>
      <w:r w:rsidR="00217497">
        <w:rPr>
          <w:rFonts w:ascii="Times New Roman" w:hAnsi="Times New Roman" w:cs="Times New Roman"/>
          <w:sz w:val="24"/>
          <w:szCs w:val="24"/>
        </w:rPr>
        <w:t>en</w:t>
      </w:r>
      <w:r w:rsidRPr="00E877EA">
        <w:rPr>
          <w:rFonts w:ascii="Times New Roman" w:hAnsi="Times New Roman" w:cs="Times New Roman"/>
          <w:sz w:val="24"/>
          <w:szCs w:val="24"/>
        </w:rPr>
        <w:t xml:space="preserve"> </w:t>
      </w:r>
      <w:r w:rsidR="00C37E01">
        <w:rPr>
          <w:rFonts w:ascii="Times New Roman" w:hAnsi="Times New Roman" w:cs="Times New Roman"/>
          <w:sz w:val="24"/>
          <w:szCs w:val="24"/>
        </w:rPr>
        <w:t>van taakstraf</w:t>
      </w:r>
      <w:r w:rsidR="00217497">
        <w:rPr>
          <w:rFonts w:ascii="Times New Roman" w:hAnsi="Times New Roman" w:cs="Times New Roman"/>
          <w:sz w:val="24"/>
          <w:szCs w:val="24"/>
        </w:rPr>
        <w:t>fen</w:t>
      </w:r>
      <w:r w:rsidR="00C37E01">
        <w:rPr>
          <w:rFonts w:ascii="Times New Roman" w:hAnsi="Times New Roman" w:cs="Times New Roman"/>
          <w:sz w:val="24"/>
          <w:szCs w:val="24"/>
        </w:rPr>
        <w:t xml:space="preserve"> </w:t>
      </w:r>
      <w:r w:rsidRPr="00E877EA">
        <w:rPr>
          <w:rFonts w:ascii="Times New Roman" w:hAnsi="Times New Roman" w:cs="Times New Roman"/>
          <w:sz w:val="24"/>
          <w:szCs w:val="24"/>
        </w:rPr>
        <w:t xml:space="preserve">in het jeugdstrafrecht geschrapt. Navraag bij de </w:t>
      </w:r>
      <w:proofErr w:type="spellStart"/>
      <w:r w:rsidR="00557602">
        <w:rPr>
          <w:rFonts w:ascii="Times New Roman" w:hAnsi="Times New Roman" w:cs="Times New Roman"/>
          <w:sz w:val="24"/>
          <w:szCs w:val="24"/>
        </w:rPr>
        <w:t>RvdK</w:t>
      </w:r>
      <w:proofErr w:type="spellEnd"/>
      <w:r w:rsidRPr="00E877EA">
        <w:rPr>
          <w:rFonts w:ascii="Times New Roman" w:hAnsi="Times New Roman" w:cs="Times New Roman"/>
          <w:sz w:val="24"/>
          <w:szCs w:val="24"/>
        </w:rPr>
        <w:t xml:space="preserve"> leert dat er naar schatting </w:t>
      </w:r>
      <w:r w:rsidRPr="00E877EA">
        <w:rPr>
          <w:rFonts w:ascii="Times New Roman" w:hAnsi="Times New Roman" w:cs="Times New Roman"/>
          <w:sz w:val="24"/>
          <w:szCs w:val="24"/>
        </w:rPr>
        <w:lastRenderedPageBreak/>
        <w:t xml:space="preserve">enkele tientallen zaken per jaar zijn waarin sprake is van een knellende uitvoeringstermijn. Medische redenen of verhuizing kunnen bijvoorbeeld maken dat er meer tijd nodig is om de taakstraf uit te voeren dan de huidige termijnen bieden. Deze zaken maken evenwel slechts een fractie uit van de ruim 6.100 taakstraffen die de </w:t>
      </w:r>
      <w:proofErr w:type="spellStart"/>
      <w:r w:rsidR="00557602">
        <w:rPr>
          <w:rFonts w:ascii="Times New Roman" w:hAnsi="Times New Roman" w:cs="Times New Roman"/>
          <w:sz w:val="24"/>
          <w:szCs w:val="24"/>
        </w:rPr>
        <w:t>RvdK</w:t>
      </w:r>
      <w:proofErr w:type="spellEnd"/>
      <w:r w:rsidRPr="00E877EA">
        <w:rPr>
          <w:rFonts w:ascii="Times New Roman" w:hAnsi="Times New Roman" w:cs="Times New Roman"/>
          <w:sz w:val="24"/>
          <w:szCs w:val="24"/>
        </w:rPr>
        <w:t xml:space="preserve"> jaarlijks coördineert. Bovendien heeft de officier van justitie </w:t>
      </w:r>
      <w:proofErr w:type="gramStart"/>
      <w:r w:rsidRPr="00E877EA">
        <w:rPr>
          <w:rFonts w:ascii="Times New Roman" w:hAnsi="Times New Roman" w:cs="Times New Roman"/>
          <w:sz w:val="24"/>
          <w:szCs w:val="24"/>
        </w:rPr>
        <w:t>reeds</w:t>
      </w:r>
      <w:proofErr w:type="gramEnd"/>
      <w:r w:rsidRPr="00E877EA">
        <w:rPr>
          <w:rFonts w:ascii="Times New Roman" w:hAnsi="Times New Roman" w:cs="Times New Roman"/>
          <w:sz w:val="24"/>
          <w:szCs w:val="24"/>
        </w:rPr>
        <w:t xml:space="preserve"> de mogelijkheid om af te zien van </w:t>
      </w:r>
      <w:r>
        <w:rPr>
          <w:rFonts w:ascii="Times New Roman" w:hAnsi="Times New Roman" w:cs="Times New Roman"/>
          <w:sz w:val="24"/>
          <w:szCs w:val="24"/>
        </w:rPr>
        <w:t xml:space="preserve">de </w:t>
      </w:r>
      <w:r w:rsidR="00820993">
        <w:rPr>
          <w:rFonts w:ascii="Times New Roman" w:hAnsi="Times New Roman" w:cs="Times New Roman"/>
          <w:sz w:val="24"/>
          <w:szCs w:val="24"/>
        </w:rPr>
        <w:t>toepassing</w:t>
      </w:r>
      <w:r>
        <w:rPr>
          <w:rFonts w:ascii="Times New Roman" w:hAnsi="Times New Roman" w:cs="Times New Roman"/>
          <w:sz w:val="24"/>
          <w:szCs w:val="24"/>
        </w:rPr>
        <w:t xml:space="preserve"> van </w:t>
      </w:r>
      <w:r w:rsidRPr="00E877EA">
        <w:rPr>
          <w:rFonts w:ascii="Times New Roman" w:hAnsi="Times New Roman" w:cs="Times New Roman"/>
          <w:sz w:val="24"/>
          <w:szCs w:val="24"/>
        </w:rPr>
        <w:t xml:space="preserve">vervangende jeugddetentie </w:t>
      </w:r>
      <w:proofErr w:type="gramStart"/>
      <w:r w:rsidRPr="00E877EA">
        <w:rPr>
          <w:rFonts w:ascii="Times New Roman" w:hAnsi="Times New Roman" w:cs="Times New Roman"/>
          <w:sz w:val="24"/>
          <w:szCs w:val="24"/>
        </w:rPr>
        <w:t>in</w:t>
      </w:r>
      <w:r w:rsidR="00820993">
        <w:rPr>
          <w:rFonts w:ascii="Times New Roman" w:hAnsi="Times New Roman" w:cs="Times New Roman"/>
          <w:sz w:val="24"/>
          <w:szCs w:val="24"/>
        </w:rPr>
        <w:t>dien</w:t>
      </w:r>
      <w:proofErr w:type="gramEnd"/>
      <w:r w:rsidR="00820993">
        <w:rPr>
          <w:rFonts w:ascii="Times New Roman" w:hAnsi="Times New Roman" w:cs="Times New Roman"/>
          <w:sz w:val="24"/>
          <w:szCs w:val="24"/>
        </w:rPr>
        <w:t xml:space="preserve"> dit zou leiden tot een onbillijkheid van zwaarwegende aard wegens </w:t>
      </w:r>
      <w:r w:rsidRPr="00E877EA">
        <w:rPr>
          <w:rFonts w:ascii="Times New Roman" w:hAnsi="Times New Roman" w:cs="Times New Roman"/>
          <w:sz w:val="24"/>
          <w:szCs w:val="24"/>
        </w:rPr>
        <w:t xml:space="preserve">uitzonderlijke omstandigheden die zich </w:t>
      </w:r>
      <w:r>
        <w:rPr>
          <w:rFonts w:ascii="Times New Roman" w:hAnsi="Times New Roman" w:cs="Times New Roman"/>
          <w:sz w:val="24"/>
          <w:szCs w:val="24"/>
        </w:rPr>
        <w:t xml:space="preserve">hebben voorgedaan </w:t>
      </w:r>
      <w:r w:rsidRPr="00E877EA">
        <w:rPr>
          <w:rFonts w:ascii="Times New Roman" w:hAnsi="Times New Roman" w:cs="Times New Roman"/>
          <w:sz w:val="24"/>
          <w:szCs w:val="24"/>
        </w:rPr>
        <w:t xml:space="preserve">na het opleggen van de taakstraf (artikel 6:3:10 Sv). Daarnaast kan </w:t>
      </w:r>
      <w:proofErr w:type="gramStart"/>
      <w:r w:rsidRPr="00E877EA">
        <w:rPr>
          <w:rFonts w:ascii="Times New Roman" w:hAnsi="Times New Roman" w:cs="Times New Roman"/>
          <w:sz w:val="24"/>
          <w:szCs w:val="24"/>
        </w:rPr>
        <w:t>de veroordeelde bezwaar</w:t>
      </w:r>
      <w:proofErr w:type="gramEnd"/>
      <w:r w:rsidRPr="00E877EA">
        <w:rPr>
          <w:rFonts w:ascii="Times New Roman" w:hAnsi="Times New Roman" w:cs="Times New Roman"/>
          <w:sz w:val="24"/>
          <w:szCs w:val="24"/>
        </w:rPr>
        <w:t xml:space="preserve"> </w:t>
      </w:r>
      <w:r w:rsidR="00217497">
        <w:rPr>
          <w:rFonts w:ascii="Times New Roman" w:hAnsi="Times New Roman" w:cs="Times New Roman"/>
          <w:sz w:val="24"/>
          <w:szCs w:val="24"/>
        </w:rPr>
        <w:t>maken</w:t>
      </w:r>
      <w:r w:rsidRPr="00E877EA">
        <w:rPr>
          <w:rFonts w:ascii="Times New Roman" w:hAnsi="Times New Roman" w:cs="Times New Roman"/>
          <w:sz w:val="24"/>
          <w:szCs w:val="24"/>
        </w:rPr>
        <w:t xml:space="preserve"> tegen de </w:t>
      </w:r>
      <w:r w:rsidR="00820993">
        <w:rPr>
          <w:rFonts w:ascii="Times New Roman" w:hAnsi="Times New Roman" w:cs="Times New Roman"/>
          <w:sz w:val="24"/>
          <w:szCs w:val="24"/>
        </w:rPr>
        <w:t>toepassing van vervangende hechtenis</w:t>
      </w:r>
      <w:r w:rsidRPr="00E877EA">
        <w:rPr>
          <w:rFonts w:ascii="Times New Roman" w:hAnsi="Times New Roman" w:cs="Times New Roman"/>
          <w:sz w:val="24"/>
          <w:szCs w:val="24"/>
        </w:rPr>
        <w:t xml:space="preserve"> (artikel 6:6:23 Sv)</w:t>
      </w:r>
      <w:r w:rsidR="00820993">
        <w:rPr>
          <w:rFonts w:ascii="Times New Roman" w:hAnsi="Times New Roman" w:cs="Times New Roman"/>
          <w:sz w:val="24"/>
          <w:szCs w:val="24"/>
        </w:rPr>
        <w:t>. In dat geval kan de rechtbank beslissen</w:t>
      </w:r>
      <w:r w:rsidRPr="00E877EA">
        <w:rPr>
          <w:rFonts w:ascii="Times New Roman" w:hAnsi="Times New Roman" w:cs="Times New Roman"/>
          <w:sz w:val="24"/>
          <w:szCs w:val="24"/>
        </w:rPr>
        <w:t xml:space="preserve"> </w:t>
      </w:r>
      <w:r w:rsidR="00820993">
        <w:rPr>
          <w:rFonts w:ascii="Times New Roman" w:hAnsi="Times New Roman" w:cs="Times New Roman"/>
          <w:sz w:val="24"/>
          <w:szCs w:val="24"/>
        </w:rPr>
        <w:t xml:space="preserve">dat de veroordeelde een nieuwe kans krijgt om de taakstraf te </w:t>
      </w:r>
      <w:r w:rsidR="00217497">
        <w:rPr>
          <w:rFonts w:ascii="Times New Roman" w:hAnsi="Times New Roman" w:cs="Times New Roman"/>
          <w:sz w:val="24"/>
          <w:szCs w:val="24"/>
        </w:rPr>
        <w:t>voltooien</w:t>
      </w:r>
      <w:r w:rsidR="00820993">
        <w:rPr>
          <w:rFonts w:ascii="Times New Roman" w:hAnsi="Times New Roman" w:cs="Times New Roman"/>
          <w:sz w:val="24"/>
          <w:szCs w:val="24"/>
        </w:rPr>
        <w:t xml:space="preserve">. De rechtbank bepaalt in dat geval </w:t>
      </w:r>
      <w:r w:rsidRPr="00E877EA">
        <w:rPr>
          <w:rFonts w:ascii="Times New Roman" w:hAnsi="Times New Roman" w:cs="Times New Roman"/>
          <w:sz w:val="24"/>
          <w:szCs w:val="24"/>
        </w:rPr>
        <w:t>hoeveel uren taakstaf nog</w:t>
      </w:r>
      <w:r w:rsidR="00820993">
        <w:rPr>
          <w:rFonts w:ascii="Times New Roman" w:hAnsi="Times New Roman" w:cs="Times New Roman"/>
          <w:sz w:val="24"/>
          <w:szCs w:val="24"/>
        </w:rPr>
        <w:t xml:space="preserve"> moeten worden</w:t>
      </w:r>
      <w:r w:rsidRPr="00E877EA">
        <w:rPr>
          <w:rFonts w:ascii="Times New Roman" w:hAnsi="Times New Roman" w:cs="Times New Roman"/>
          <w:sz w:val="24"/>
          <w:szCs w:val="24"/>
        </w:rPr>
        <w:t xml:space="preserve"> verricht en binnen welke termijn dit moet plaatsvinden.</w:t>
      </w:r>
    </w:p>
    <w:p w:rsidR="00217497" w:rsidP="00CF1EE3" w:rsidRDefault="00217497" w14:paraId="7211F635" w14:textId="77777777">
      <w:pPr>
        <w:widowControl w:val="0"/>
        <w:spacing w:after="0" w:line="240" w:lineRule="auto"/>
        <w:rPr>
          <w:rFonts w:ascii="Times New Roman" w:hAnsi="Times New Roman" w:cs="Times New Roman"/>
          <w:sz w:val="24"/>
          <w:szCs w:val="24"/>
        </w:rPr>
      </w:pPr>
    </w:p>
    <w:p w:rsidR="00E877EA" w:rsidP="00CF1EE3" w:rsidRDefault="00E877EA" w14:paraId="6A8256DD" w14:textId="3E642D0C">
      <w:pPr>
        <w:widowControl w:val="0"/>
        <w:spacing w:after="0" w:line="240" w:lineRule="auto"/>
        <w:rPr>
          <w:rFonts w:ascii="Times New Roman" w:hAnsi="Times New Roman" w:cs="Times New Roman"/>
          <w:sz w:val="24"/>
          <w:szCs w:val="24"/>
        </w:rPr>
      </w:pPr>
      <w:r w:rsidRPr="00E877EA">
        <w:rPr>
          <w:rFonts w:ascii="Times New Roman" w:hAnsi="Times New Roman" w:cs="Times New Roman"/>
          <w:sz w:val="24"/>
          <w:szCs w:val="24"/>
        </w:rPr>
        <w:t xml:space="preserve">Met de Afdeling zijn de initiatiefnemers van oordeel dat een interventie snel </w:t>
      </w:r>
      <w:r>
        <w:rPr>
          <w:rFonts w:ascii="Times New Roman" w:hAnsi="Times New Roman" w:cs="Times New Roman"/>
          <w:sz w:val="24"/>
          <w:szCs w:val="24"/>
        </w:rPr>
        <w:t xml:space="preserve">moet volgen </w:t>
      </w:r>
      <w:r w:rsidRPr="00E877EA">
        <w:rPr>
          <w:rFonts w:ascii="Times New Roman" w:hAnsi="Times New Roman" w:cs="Times New Roman"/>
          <w:sz w:val="24"/>
          <w:szCs w:val="24"/>
        </w:rPr>
        <w:t xml:space="preserve">op het delict. </w:t>
      </w:r>
      <w:r w:rsidR="00F42687">
        <w:rPr>
          <w:rFonts w:ascii="Times New Roman" w:hAnsi="Times New Roman" w:cs="Times New Roman"/>
          <w:sz w:val="24"/>
          <w:szCs w:val="24"/>
        </w:rPr>
        <w:t>H</w:t>
      </w:r>
      <w:r w:rsidRPr="00E877EA">
        <w:rPr>
          <w:rFonts w:ascii="Times New Roman" w:hAnsi="Times New Roman" w:cs="Times New Roman"/>
          <w:sz w:val="24"/>
          <w:szCs w:val="24"/>
        </w:rPr>
        <w:t>oewel een verruiming van de uitvoeringstermijnen van taakstraffen voor een aantal zaken zou voorkomen dat de geschetste opties moeten worden benut, valt niet uit te sluiten dat een dergelijke verruiming als keerzijde heeft dat de aanvang en uitvoering van taakstraffen voor jeugdigen in algemene zin minder voortvarend zal plaatsvinden dan op dit moment het geval is.</w:t>
      </w:r>
    </w:p>
    <w:p w:rsidRPr="00E877EA" w:rsidR="00E877EA" w:rsidP="00CF1EE3" w:rsidRDefault="00E877EA" w14:paraId="342192C7" w14:textId="77777777">
      <w:pPr>
        <w:widowControl w:val="0"/>
        <w:spacing w:after="0" w:line="240" w:lineRule="auto"/>
        <w:rPr>
          <w:rFonts w:ascii="Times New Roman" w:hAnsi="Times New Roman" w:cs="Times New Roman"/>
          <w:sz w:val="24"/>
          <w:szCs w:val="24"/>
        </w:rPr>
      </w:pPr>
    </w:p>
    <w:p w:rsidR="000A6A03" w:rsidP="00CF1EE3" w:rsidRDefault="00E877EA" w14:paraId="40AD3CF7" w14:textId="79B92CFF">
      <w:pPr>
        <w:widowControl w:val="0"/>
        <w:spacing w:after="0" w:line="240" w:lineRule="auto"/>
        <w:rPr>
          <w:rFonts w:ascii="Times New Roman" w:hAnsi="Times New Roman" w:cs="Times New Roman"/>
          <w:sz w:val="24"/>
          <w:szCs w:val="24"/>
        </w:rPr>
      </w:pPr>
      <w:r w:rsidRPr="00E877EA">
        <w:rPr>
          <w:rFonts w:ascii="Times New Roman" w:hAnsi="Times New Roman" w:cs="Times New Roman"/>
          <w:sz w:val="24"/>
          <w:szCs w:val="24"/>
        </w:rPr>
        <w:t xml:space="preserve">Tot slot verdient </w:t>
      </w:r>
      <w:proofErr w:type="gramStart"/>
      <w:r w:rsidRPr="00E877EA">
        <w:rPr>
          <w:rFonts w:ascii="Times New Roman" w:hAnsi="Times New Roman" w:cs="Times New Roman"/>
          <w:sz w:val="24"/>
          <w:szCs w:val="24"/>
        </w:rPr>
        <w:t>het opmerking</w:t>
      </w:r>
      <w:proofErr w:type="gramEnd"/>
      <w:r w:rsidRPr="00E877EA">
        <w:rPr>
          <w:rFonts w:ascii="Times New Roman" w:hAnsi="Times New Roman" w:cs="Times New Roman"/>
          <w:sz w:val="24"/>
          <w:szCs w:val="24"/>
        </w:rPr>
        <w:t xml:space="preserve"> dat het openbaar ministerie kenbaar heeft gemaakt </w:t>
      </w:r>
      <w:r>
        <w:rPr>
          <w:rFonts w:ascii="Times New Roman" w:hAnsi="Times New Roman" w:cs="Times New Roman"/>
          <w:sz w:val="24"/>
          <w:szCs w:val="24"/>
        </w:rPr>
        <w:t>g</w:t>
      </w:r>
      <w:r w:rsidRPr="00E877EA">
        <w:rPr>
          <w:rFonts w:ascii="Times New Roman" w:hAnsi="Times New Roman" w:cs="Times New Roman"/>
          <w:sz w:val="24"/>
          <w:szCs w:val="24"/>
        </w:rPr>
        <w:t xml:space="preserve">een voorstander </w:t>
      </w:r>
      <w:r>
        <w:rPr>
          <w:rFonts w:ascii="Times New Roman" w:hAnsi="Times New Roman" w:cs="Times New Roman"/>
          <w:sz w:val="24"/>
          <w:szCs w:val="24"/>
        </w:rPr>
        <w:t>te zijn</w:t>
      </w:r>
      <w:r w:rsidRPr="00E877EA">
        <w:rPr>
          <w:rFonts w:ascii="Times New Roman" w:hAnsi="Times New Roman" w:cs="Times New Roman"/>
          <w:sz w:val="24"/>
          <w:szCs w:val="24"/>
        </w:rPr>
        <w:t xml:space="preserve"> van een verruiming van de uitvoeringstermijn nu is afgezien van een verhoging van het </w:t>
      </w:r>
      <w:proofErr w:type="gramStart"/>
      <w:r w:rsidRPr="00E877EA">
        <w:rPr>
          <w:rFonts w:ascii="Times New Roman" w:hAnsi="Times New Roman" w:cs="Times New Roman"/>
          <w:sz w:val="24"/>
          <w:szCs w:val="24"/>
        </w:rPr>
        <w:t>maximum aantal</w:t>
      </w:r>
      <w:proofErr w:type="gramEnd"/>
      <w:r w:rsidRPr="00E877EA">
        <w:rPr>
          <w:rFonts w:ascii="Times New Roman" w:hAnsi="Times New Roman" w:cs="Times New Roman"/>
          <w:sz w:val="24"/>
          <w:szCs w:val="24"/>
        </w:rPr>
        <w:t xml:space="preserve"> uren taakstraf in het jeugdstrafrecht.</w:t>
      </w:r>
    </w:p>
    <w:p w:rsidRPr="00740235" w:rsidR="00E877EA" w:rsidP="00CF1EE3" w:rsidRDefault="00E877EA" w14:paraId="47A8629E" w14:textId="77777777">
      <w:pPr>
        <w:widowControl w:val="0"/>
        <w:spacing w:after="0" w:line="240" w:lineRule="auto"/>
        <w:rPr>
          <w:rFonts w:ascii="Times New Roman" w:hAnsi="Times New Roman" w:cs="Times New Roman"/>
          <w:i/>
          <w:iCs/>
          <w:sz w:val="24"/>
          <w:szCs w:val="24"/>
        </w:rPr>
      </w:pPr>
    </w:p>
    <w:p w:rsidRPr="00847506" w:rsidR="00BD78D9" w:rsidP="00CF1EE3" w:rsidRDefault="00BD78D9" w14:paraId="5ABDD767" w14:textId="77777777">
      <w:pPr>
        <w:widowControl w:val="0"/>
        <w:spacing w:after="0" w:line="240" w:lineRule="auto"/>
        <w:rPr>
          <w:rFonts w:ascii="Times New Roman" w:hAnsi="Times New Roman" w:cs="Times New Roman"/>
          <w:b/>
          <w:bCs/>
          <w:i/>
          <w:iCs/>
          <w:sz w:val="24"/>
          <w:szCs w:val="24"/>
        </w:rPr>
      </w:pPr>
      <w:r w:rsidRPr="00847506">
        <w:rPr>
          <w:rFonts w:ascii="Times New Roman" w:hAnsi="Times New Roman" w:cs="Times New Roman"/>
          <w:b/>
          <w:bCs/>
          <w:i/>
          <w:iCs/>
          <w:sz w:val="24"/>
          <w:szCs w:val="24"/>
        </w:rPr>
        <w:t>7. Evaluatie</w:t>
      </w:r>
    </w:p>
    <w:p w:rsidR="00847506" w:rsidP="00CF1EE3" w:rsidRDefault="00847506" w14:paraId="79220D03" w14:textId="77777777">
      <w:pPr>
        <w:widowControl w:val="0"/>
        <w:spacing w:after="0" w:line="240" w:lineRule="auto"/>
        <w:rPr>
          <w:rFonts w:ascii="Times New Roman" w:hAnsi="Times New Roman" w:cs="Times New Roman"/>
          <w:i/>
          <w:iCs/>
          <w:sz w:val="24"/>
          <w:szCs w:val="24"/>
        </w:rPr>
      </w:pPr>
    </w:p>
    <w:p w:rsidR="00BD78D9" w:rsidP="00CF1EE3" w:rsidRDefault="00BD78D9" w14:paraId="16FA1DD9" w14:textId="512622F2">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Het wetsvoorstel beoogt door de invoering van elektronische detentie en de uitbreiding van</w:t>
      </w:r>
      <w:r w:rsidR="00847506">
        <w:rPr>
          <w:rFonts w:ascii="Times New Roman" w:hAnsi="Times New Roman" w:cs="Times New Roman"/>
          <w:i/>
          <w:iCs/>
          <w:sz w:val="24"/>
          <w:szCs w:val="24"/>
        </w:rPr>
        <w:t xml:space="preserve"> </w:t>
      </w:r>
      <w:r w:rsidRPr="00740235">
        <w:rPr>
          <w:rFonts w:ascii="Times New Roman" w:hAnsi="Times New Roman" w:cs="Times New Roman"/>
          <w:i/>
          <w:iCs/>
          <w:sz w:val="24"/>
          <w:szCs w:val="24"/>
        </w:rPr>
        <w:t>de mogelijkheden voor het opleggen en tenuitvoerleggen van de taakstraf meer maatwerk</w:t>
      </w:r>
      <w:r w:rsidR="00847506">
        <w:rPr>
          <w:rFonts w:ascii="Times New Roman" w:hAnsi="Times New Roman" w:cs="Times New Roman"/>
          <w:i/>
          <w:iCs/>
          <w:sz w:val="24"/>
          <w:szCs w:val="24"/>
        </w:rPr>
        <w:t xml:space="preserve"> </w:t>
      </w:r>
      <w:r w:rsidRPr="00740235">
        <w:rPr>
          <w:rFonts w:ascii="Times New Roman" w:hAnsi="Times New Roman" w:cs="Times New Roman"/>
          <w:i/>
          <w:iCs/>
          <w:sz w:val="24"/>
          <w:szCs w:val="24"/>
        </w:rPr>
        <w:t>mogelijk te maken en het aantal korte gevangenisstraffen terug te dringen. In de toelichting</w:t>
      </w:r>
      <w:r w:rsidR="00847506">
        <w:rPr>
          <w:rFonts w:ascii="Times New Roman" w:hAnsi="Times New Roman" w:cs="Times New Roman"/>
          <w:i/>
          <w:iCs/>
          <w:sz w:val="24"/>
          <w:szCs w:val="24"/>
        </w:rPr>
        <w:t xml:space="preserve"> </w:t>
      </w:r>
      <w:r w:rsidRPr="00740235">
        <w:rPr>
          <w:rFonts w:ascii="Times New Roman" w:hAnsi="Times New Roman" w:cs="Times New Roman"/>
          <w:i/>
          <w:iCs/>
          <w:sz w:val="24"/>
          <w:szCs w:val="24"/>
        </w:rPr>
        <w:t>wordt echter niet uitgesloten dat de introductie van elektronische detentie er mogelijk toe</w:t>
      </w:r>
      <w:r w:rsidR="00847506">
        <w:rPr>
          <w:rFonts w:ascii="Times New Roman" w:hAnsi="Times New Roman" w:cs="Times New Roman"/>
          <w:i/>
          <w:iCs/>
          <w:sz w:val="24"/>
          <w:szCs w:val="24"/>
        </w:rPr>
        <w:t xml:space="preserve"> </w:t>
      </w:r>
      <w:r w:rsidRPr="00740235">
        <w:rPr>
          <w:rFonts w:ascii="Times New Roman" w:hAnsi="Times New Roman" w:cs="Times New Roman"/>
          <w:i/>
          <w:iCs/>
          <w:sz w:val="24"/>
          <w:szCs w:val="24"/>
        </w:rPr>
        <w:t>leidt dat deze straf wordt opgelegd in zaken die voorheen met een minder zware straf</w:t>
      </w:r>
      <w:r w:rsidR="00847506">
        <w:rPr>
          <w:rFonts w:ascii="Times New Roman" w:hAnsi="Times New Roman" w:cs="Times New Roman"/>
          <w:i/>
          <w:iCs/>
          <w:sz w:val="24"/>
          <w:szCs w:val="24"/>
        </w:rPr>
        <w:t xml:space="preserve"> </w:t>
      </w:r>
      <w:r w:rsidRPr="00740235">
        <w:rPr>
          <w:rFonts w:ascii="Times New Roman" w:hAnsi="Times New Roman" w:cs="Times New Roman"/>
          <w:i/>
          <w:iCs/>
          <w:sz w:val="24"/>
          <w:szCs w:val="24"/>
        </w:rPr>
        <w:t>werden afgedaan (‘net-</w:t>
      </w:r>
      <w:proofErr w:type="spellStart"/>
      <w:r w:rsidRPr="00740235">
        <w:rPr>
          <w:rFonts w:ascii="Times New Roman" w:hAnsi="Times New Roman" w:cs="Times New Roman"/>
          <w:i/>
          <w:iCs/>
          <w:sz w:val="24"/>
          <w:szCs w:val="24"/>
        </w:rPr>
        <w:t>widening</w:t>
      </w:r>
      <w:proofErr w:type="spellEnd"/>
      <w:r w:rsidRPr="00740235">
        <w:rPr>
          <w:rFonts w:ascii="Times New Roman" w:hAnsi="Times New Roman" w:cs="Times New Roman"/>
          <w:i/>
          <w:iCs/>
          <w:sz w:val="24"/>
          <w:szCs w:val="24"/>
        </w:rPr>
        <w:t xml:space="preserve"> effect’).</w:t>
      </w:r>
      <w:r w:rsidR="00E20571">
        <w:rPr>
          <w:rStyle w:val="Voetnootmarkering"/>
          <w:rFonts w:ascii="Times New Roman" w:hAnsi="Times New Roman" w:cs="Times New Roman"/>
          <w:i/>
          <w:iCs/>
          <w:sz w:val="24"/>
          <w:szCs w:val="24"/>
        </w:rPr>
        <w:footnoteReference w:id="26"/>
      </w:r>
      <w:r w:rsidRPr="00740235">
        <w:rPr>
          <w:rFonts w:ascii="Times New Roman" w:hAnsi="Times New Roman" w:cs="Times New Roman"/>
          <w:i/>
          <w:iCs/>
          <w:sz w:val="24"/>
          <w:szCs w:val="24"/>
        </w:rPr>
        <w:t xml:space="preserve"> </w:t>
      </w:r>
    </w:p>
    <w:p w:rsidRPr="00740235" w:rsidR="00847506" w:rsidP="00CF1EE3" w:rsidRDefault="00847506" w14:paraId="5577F2A7" w14:textId="77777777">
      <w:pPr>
        <w:widowControl w:val="0"/>
        <w:spacing w:after="0" w:line="240" w:lineRule="auto"/>
        <w:rPr>
          <w:rFonts w:ascii="Times New Roman" w:hAnsi="Times New Roman" w:cs="Times New Roman"/>
          <w:i/>
          <w:iCs/>
          <w:sz w:val="24"/>
          <w:szCs w:val="24"/>
        </w:rPr>
      </w:pPr>
    </w:p>
    <w:p w:rsidRPr="00740235" w:rsidR="00BD78D9" w:rsidP="00CF1EE3" w:rsidRDefault="00BD78D9" w14:paraId="22DA494D" w14:textId="778146DB">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Daarnaast bestaat het risico dat elektronische detentie tot meer rechtsongelijkheid bij het</w:t>
      </w:r>
      <w:r w:rsidR="00847506">
        <w:rPr>
          <w:rFonts w:ascii="Times New Roman" w:hAnsi="Times New Roman" w:cs="Times New Roman"/>
          <w:i/>
          <w:iCs/>
          <w:sz w:val="24"/>
          <w:szCs w:val="24"/>
        </w:rPr>
        <w:t xml:space="preserve"> </w:t>
      </w:r>
      <w:r w:rsidRPr="00740235">
        <w:rPr>
          <w:rFonts w:ascii="Times New Roman" w:hAnsi="Times New Roman" w:cs="Times New Roman"/>
          <w:i/>
          <w:iCs/>
          <w:sz w:val="24"/>
          <w:szCs w:val="24"/>
        </w:rPr>
        <w:t>opleggen van straffen leidt omdat in de praktijk verdachten met een stabiele thuissituatie</w:t>
      </w:r>
      <w:r w:rsidR="00847506">
        <w:rPr>
          <w:rFonts w:ascii="Times New Roman" w:hAnsi="Times New Roman" w:cs="Times New Roman"/>
          <w:i/>
          <w:iCs/>
          <w:sz w:val="24"/>
          <w:szCs w:val="24"/>
        </w:rPr>
        <w:t xml:space="preserve"> </w:t>
      </w:r>
      <w:r w:rsidRPr="00740235">
        <w:rPr>
          <w:rFonts w:ascii="Times New Roman" w:hAnsi="Times New Roman" w:cs="Times New Roman"/>
          <w:i/>
          <w:iCs/>
          <w:sz w:val="24"/>
          <w:szCs w:val="24"/>
        </w:rPr>
        <w:t>hiervoor eerder in aanmerking zullen komen.</w:t>
      </w:r>
      <w:r w:rsidR="00E20571">
        <w:rPr>
          <w:rStyle w:val="Voetnootmarkering"/>
          <w:rFonts w:ascii="Times New Roman" w:hAnsi="Times New Roman" w:cs="Times New Roman"/>
          <w:i/>
          <w:iCs/>
          <w:sz w:val="24"/>
          <w:szCs w:val="24"/>
        </w:rPr>
        <w:footnoteReference w:id="27"/>
      </w:r>
      <w:r w:rsidRPr="00740235">
        <w:rPr>
          <w:rFonts w:ascii="Times New Roman" w:hAnsi="Times New Roman" w:cs="Times New Roman"/>
          <w:i/>
          <w:iCs/>
          <w:sz w:val="24"/>
          <w:szCs w:val="24"/>
        </w:rPr>
        <w:t xml:space="preserve"> Verder heeft het wetsvoorstel</w:t>
      </w:r>
      <w:r w:rsidR="00847506">
        <w:rPr>
          <w:rFonts w:ascii="Times New Roman" w:hAnsi="Times New Roman" w:cs="Times New Roman"/>
          <w:i/>
          <w:iCs/>
          <w:sz w:val="24"/>
          <w:szCs w:val="24"/>
        </w:rPr>
        <w:t xml:space="preserve"> </w:t>
      </w:r>
      <w:r w:rsidRPr="00740235">
        <w:rPr>
          <w:rFonts w:ascii="Times New Roman" w:hAnsi="Times New Roman" w:cs="Times New Roman"/>
          <w:i/>
          <w:iCs/>
          <w:sz w:val="24"/>
          <w:szCs w:val="24"/>
        </w:rPr>
        <w:t>waarschijnlijk substantiële uitvoeringsconsequenties, die nog niet volledig inzichtelijk</w:t>
      </w:r>
      <w:r w:rsidR="00847506">
        <w:rPr>
          <w:rFonts w:ascii="Times New Roman" w:hAnsi="Times New Roman" w:cs="Times New Roman"/>
          <w:i/>
          <w:iCs/>
          <w:sz w:val="24"/>
          <w:szCs w:val="24"/>
        </w:rPr>
        <w:t xml:space="preserve"> </w:t>
      </w:r>
      <w:r w:rsidRPr="00740235">
        <w:rPr>
          <w:rFonts w:ascii="Times New Roman" w:hAnsi="Times New Roman" w:cs="Times New Roman"/>
          <w:i/>
          <w:iCs/>
          <w:sz w:val="24"/>
          <w:szCs w:val="24"/>
        </w:rPr>
        <w:t>gemaakt zijn. Ook behoeft de taakverdeling en samenwerking tussen DJI en reclassering nog</w:t>
      </w:r>
      <w:r w:rsidR="00847506">
        <w:rPr>
          <w:rFonts w:ascii="Times New Roman" w:hAnsi="Times New Roman" w:cs="Times New Roman"/>
          <w:i/>
          <w:iCs/>
          <w:sz w:val="24"/>
          <w:szCs w:val="24"/>
        </w:rPr>
        <w:t xml:space="preserve"> </w:t>
      </w:r>
      <w:r w:rsidRPr="00740235">
        <w:rPr>
          <w:rFonts w:ascii="Times New Roman" w:hAnsi="Times New Roman" w:cs="Times New Roman"/>
          <w:i/>
          <w:iCs/>
          <w:sz w:val="24"/>
          <w:szCs w:val="24"/>
        </w:rPr>
        <w:t>nadere uitwerking.</w:t>
      </w:r>
    </w:p>
    <w:p w:rsidR="00847506" w:rsidP="00CF1EE3" w:rsidRDefault="00847506" w14:paraId="510A6B97" w14:textId="77777777">
      <w:pPr>
        <w:widowControl w:val="0"/>
        <w:spacing w:after="0" w:line="240" w:lineRule="auto"/>
        <w:rPr>
          <w:rFonts w:ascii="Times New Roman" w:hAnsi="Times New Roman" w:cs="Times New Roman"/>
          <w:i/>
          <w:iCs/>
          <w:sz w:val="24"/>
          <w:szCs w:val="24"/>
        </w:rPr>
      </w:pPr>
    </w:p>
    <w:p w:rsidR="00BD78D9" w:rsidP="00CF1EE3" w:rsidRDefault="00BD78D9" w14:paraId="287689AA" w14:textId="3533623B">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Tegen deze achtergrond adviseert de Afdeling in de toelichting te vermelden dat een</w:t>
      </w:r>
      <w:r w:rsidR="00847506">
        <w:rPr>
          <w:rFonts w:ascii="Times New Roman" w:hAnsi="Times New Roman" w:cs="Times New Roman"/>
          <w:i/>
          <w:iCs/>
          <w:sz w:val="24"/>
          <w:szCs w:val="24"/>
        </w:rPr>
        <w:t xml:space="preserve"> i</w:t>
      </w:r>
      <w:r w:rsidRPr="00740235">
        <w:rPr>
          <w:rFonts w:ascii="Times New Roman" w:hAnsi="Times New Roman" w:cs="Times New Roman"/>
          <w:i/>
          <w:iCs/>
          <w:sz w:val="24"/>
          <w:szCs w:val="24"/>
        </w:rPr>
        <w:t>nvoeringstoets zal worden uitgevoerd. Verder adviseert zij een evaluatiebepaling in het</w:t>
      </w:r>
      <w:r w:rsidR="00847506">
        <w:rPr>
          <w:rFonts w:ascii="Times New Roman" w:hAnsi="Times New Roman" w:cs="Times New Roman"/>
          <w:i/>
          <w:iCs/>
          <w:sz w:val="24"/>
          <w:szCs w:val="24"/>
        </w:rPr>
        <w:t xml:space="preserve"> </w:t>
      </w:r>
      <w:r w:rsidRPr="00740235">
        <w:rPr>
          <w:rFonts w:ascii="Times New Roman" w:hAnsi="Times New Roman" w:cs="Times New Roman"/>
          <w:i/>
          <w:iCs/>
          <w:sz w:val="24"/>
          <w:szCs w:val="24"/>
        </w:rPr>
        <w:t>wetsvoorstel op te nemen en in de toelichting in te gaan op welke aspecten bij de evaluatie</w:t>
      </w:r>
      <w:r w:rsidR="00847506">
        <w:rPr>
          <w:rFonts w:ascii="Times New Roman" w:hAnsi="Times New Roman" w:cs="Times New Roman"/>
          <w:i/>
          <w:iCs/>
          <w:sz w:val="24"/>
          <w:szCs w:val="24"/>
        </w:rPr>
        <w:t xml:space="preserve"> </w:t>
      </w:r>
      <w:r w:rsidRPr="00740235">
        <w:rPr>
          <w:rFonts w:ascii="Times New Roman" w:hAnsi="Times New Roman" w:cs="Times New Roman"/>
          <w:i/>
          <w:iCs/>
          <w:sz w:val="24"/>
          <w:szCs w:val="24"/>
        </w:rPr>
        <w:t>moeten worden betrokken.</w:t>
      </w:r>
    </w:p>
    <w:p w:rsidR="00847506" w:rsidP="00CF1EE3" w:rsidRDefault="00847506" w14:paraId="7B63DFF2" w14:textId="77777777">
      <w:pPr>
        <w:widowControl w:val="0"/>
        <w:spacing w:after="0" w:line="240" w:lineRule="auto"/>
        <w:rPr>
          <w:rFonts w:ascii="Times New Roman" w:hAnsi="Times New Roman" w:cs="Times New Roman"/>
          <w:i/>
          <w:iCs/>
          <w:sz w:val="24"/>
          <w:szCs w:val="24"/>
        </w:rPr>
      </w:pPr>
    </w:p>
    <w:p w:rsidRPr="00847506" w:rsidR="00847506" w:rsidP="00CF1EE3" w:rsidRDefault="00847506" w14:paraId="4908280F" w14:textId="394B9F8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Net als de Afdeling vinden de initiatiefnemers het belangrijk dat wordt gekeken naar de effecten van</w:t>
      </w:r>
      <w:r w:rsidR="00E74881">
        <w:rPr>
          <w:rFonts w:ascii="Times New Roman" w:hAnsi="Times New Roman" w:cs="Times New Roman"/>
          <w:sz w:val="24"/>
          <w:szCs w:val="24"/>
        </w:rPr>
        <w:t xml:space="preserve"> het wetsvoorstel in de praktijk. Met het oog daarop werd in de inleiding van de memorie van toelichting </w:t>
      </w:r>
      <w:proofErr w:type="gramStart"/>
      <w:r w:rsidR="00E74881">
        <w:rPr>
          <w:rFonts w:ascii="Times New Roman" w:hAnsi="Times New Roman" w:cs="Times New Roman"/>
          <w:sz w:val="24"/>
          <w:szCs w:val="24"/>
        </w:rPr>
        <w:t>reeds</w:t>
      </w:r>
      <w:proofErr w:type="gramEnd"/>
      <w:r w:rsidR="00E74881">
        <w:rPr>
          <w:rFonts w:ascii="Times New Roman" w:hAnsi="Times New Roman" w:cs="Times New Roman"/>
          <w:sz w:val="24"/>
          <w:szCs w:val="24"/>
        </w:rPr>
        <w:t xml:space="preserve"> </w:t>
      </w:r>
      <w:r w:rsidR="00292F08">
        <w:rPr>
          <w:rFonts w:ascii="Times New Roman" w:hAnsi="Times New Roman" w:cs="Times New Roman"/>
          <w:sz w:val="24"/>
          <w:szCs w:val="24"/>
        </w:rPr>
        <w:t>aangegeven</w:t>
      </w:r>
      <w:r w:rsidR="00E74881">
        <w:rPr>
          <w:rFonts w:ascii="Times New Roman" w:hAnsi="Times New Roman" w:cs="Times New Roman"/>
          <w:sz w:val="24"/>
          <w:szCs w:val="24"/>
        </w:rPr>
        <w:t xml:space="preserve"> dat </w:t>
      </w:r>
      <w:r w:rsidRPr="00E74881" w:rsidR="00E74881">
        <w:rPr>
          <w:rFonts w:ascii="Times New Roman" w:hAnsi="Times New Roman" w:cs="Times New Roman"/>
          <w:sz w:val="24"/>
          <w:szCs w:val="24"/>
        </w:rPr>
        <w:t xml:space="preserve">het effect op het aandeel gevangenisstraffen </w:t>
      </w:r>
      <w:r w:rsidRPr="00E74881" w:rsidR="00E74881">
        <w:rPr>
          <w:rFonts w:ascii="Times New Roman" w:hAnsi="Times New Roman" w:cs="Times New Roman"/>
          <w:sz w:val="24"/>
          <w:szCs w:val="24"/>
        </w:rPr>
        <w:lastRenderedPageBreak/>
        <w:t xml:space="preserve">onder meer in kaart </w:t>
      </w:r>
      <w:r w:rsidR="00E74881">
        <w:rPr>
          <w:rFonts w:ascii="Times New Roman" w:hAnsi="Times New Roman" w:cs="Times New Roman"/>
          <w:sz w:val="24"/>
          <w:szCs w:val="24"/>
        </w:rPr>
        <w:t xml:space="preserve">zal worden </w:t>
      </w:r>
      <w:r w:rsidRPr="00E74881" w:rsidR="00E74881">
        <w:rPr>
          <w:rFonts w:ascii="Times New Roman" w:hAnsi="Times New Roman" w:cs="Times New Roman"/>
          <w:sz w:val="24"/>
          <w:szCs w:val="24"/>
        </w:rPr>
        <w:t xml:space="preserve">gebracht met </w:t>
      </w:r>
      <w:r w:rsidR="00E74881">
        <w:rPr>
          <w:rFonts w:ascii="Times New Roman" w:hAnsi="Times New Roman" w:cs="Times New Roman"/>
          <w:sz w:val="24"/>
          <w:szCs w:val="24"/>
        </w:rPr>
        <w:t>een</w:t>
      </w:r>
      <w:r w:rsidRPr="00E74881" w:rsidR="00E74881">
        <w:rPr>
          <w:rFonts w:ascii="Times New Roman" w:hAnsi="Times New Roman" w:cs="Times New Roman"/>
          <w:sz w:val="24"/>
          <w:szCs w:val="24"/>
        </w:rPr>
        <w:t xml:space="preserve"> invoeringstoets.</w:t>
      </w:r>
      <w:r w:rsidR="00E74881">
        <w:rPr>
          <w:rFonts w:ascii="Times New Roman" w:hAnsi="Times New Roman" w:cs="Times New Roman"/>
          <w:sz w:val="24"/>
          <w:szCs w:val="24"/>
        </w:rPr>
        <w:t xml:space="preserve"> Ter opvolging van </w:t>
      </w:r>
      <w:r w:rsidR="00914890">
        <w:rPr>
          <w:rFonts w:ascii="Times New Roman" w:hAnsi="Times New Roman" w:cs="Times New Roman"/>
          <w:sz w:val="24"/>
          <w:szCs w:val="24"/>
        </w:rPr>
        <w:t>dit adviespunt</w:t>
      </w:r>
      <w:r w:rsidR="00E74881">
        <w:rPr>
          <w:rFonts w:ascii="Times New Roman" w:hAnsi="Times New Roman" w:cs="Times New Roman"/>
          <w:sz w:val="24"/>
          <w:szCs w:val="24"/>
        </w:rPr>
        <w:t xml:space="preserve"> van de Afdeling is het wetsvoorstel aangevuld met een evaluatiebepaling. </w:t>
      </w:r>
      <w:r w:rsidR="00914890">
        <w:rPr>
          <w:rFonts w:ascii="Times New Roman" w:hAnsi="Times New Roman" w:cs="Times New Roman"/>
          <w:sz w:val="24"/>
          <w:szCs w:val="24"/>
        </w:rPr>
        <w:t xml:space="preserve">Met het oog daarop is </w:t>
      </w:r>
      <w:r w:rsidR="00116108">
        <w:rPr>
          <w:rFonts w:ascii="Times New Roman" w:hAnsi="Times New Roman" w:cs="Times New Roman"/>
          <w:sz w:val="24"/>
          <w:szCs w:val="24"/>
        </w:rPr>
        <w:t>aan</w:t>
      </w:r>
      <w:r w:rsidR="00914890">
        <w:rPr>
          <w:rFonts w:ascii="Times New Roman" w:hAnsi="Times New Roman" w:cs="Times New Roman"/>
          <w:sz w:val="24"/>
          <w:szCs w:val="24"/>
        </w:rPr>
        <w:t xml:space="preserve"> </w:t>
      </w:r>
      <w:r w:rsidR="00E74881">
        <w:rPr>
          <w:rFonts w:ascii="Times New Roman" w:hAnsi="Times New Roman" w:cs="Times New Roman"/>
          <w:sz w:val="24"/>
          <w:szCs w:val="24"/>
        </w:rPr>
        <w:t xml:space="preserve">de memorie van toelichting een afzonderlijke paragraaf </w:t>
      </w:r>
      <w:r w:rsidR="00292F08">
        <w:rPr>
          <w:rFonts w:ascii="Times New Roman" w:hAnsi="Times New Roman" w:cs="Times New Roman"/>
          <w:sz w:val="24"/>
          <w:szCs w:val="24"/>
        </w:rPr>
        <w:t>toegevoegd</w:t>
      </w:r>
      <w:r w:rsidR="00E74881">
        <w:rPr>
          <w:rFonts w:ascii="Times New Roman" w:hAnsi="Times New Roman" w:cs="Times New Roman"/>
          <w:sz w:val="24"/>
          <w:szCs w:val="24"/>
        </w:rPr>
        <w:t xml:space="preserve"> waarin wordt ingegaan op de aspecten die wat de initiatiefnemers </w:t>
      </w:r>
      <w:r w:rsidR="00E304F0">
        <w:rPr>
          <w:rFonts w:ascii="Times New Roman" w:hAnsi="Times New Roman" w:cs="Times New Roman"/>
          <w:sz w:val="24"/>
          <w:szCs w:val="24"/>
        </w:rPr>
        <w:t xml:space="preserve">betreft </w:t>
      </w:r>
      <w:r w:rsidR="00E74881">
        <w:rPr>
          <w:rFonts w:ascii="Times New Roman" w:hAnsi="Times New Roman" w:cs="Times New Roman"/>
          <w:sz w:val="24"/>
          <w:szCs w:val="24"/>
        </w:rPr>
        <w:t>in ieder geval moeten worden betrokken bij de evaluatie.</w:t>
      </w:r>
    </w:p>
    <w:p w:rsidRPr="00740235" w:rsidR="00740235" w:rsidP="00CF1EE3" w:rsidRDefault="00740235" w14:paraId="13D14802" w14:textId="77777777">
      <w:pPr>
        <w:widowControl w:val="0"/>
        <w:spacing w:after="0" w:line="240" w:lineRule="auto"/>
        <w:rPr>
          <w:rFonts w:ascii="Times New Roman" w:hAnsi="Times New Roman" w:cs="Times New Roman"/>
          <w:i/>
          <w:iCs/>
          <w:sz w:val="24"/>
          <w:szCs w:val="24"/>
        </w:rPr>
      </w:pPr>
    </w:p>
    <w:p w:rsidRPr="00847506" w:rsidR="00BD78D9" w:rsidP="00CF1EE3" w:rsidRDefault="00BD78D9" w14:paraId="668C0F87" w14:textId="77777777">
      <w:pPr>
        <w:widowControl w:val="0"/>
        <w:spacing w:after="0" w:line="240" w:lineRule="auto"/>
        <w:rPr>
          <w:rFonts w:ascii="Times New Roman" w:hAnsi="Times New Roman" w:cs="Times New Roman"/>
          <w:b/>
          <w:bCs/>
          <w:i/>
          <w:iCs/>
          <w:sz w:val="24"/>
          <w:szCs w:val="24"/>
        </w:rPr>
      </w:pPr>
      <w:r w:rsidRPr="00847506">
        <w:rPr>
          <w:rFonts w:ascii="Times New Roman" w:hAnsi="Times New Roman" w:cs="Times New Roman"/>
          <w:b/>
          <w:bCs/>
          <w:i/>
          <w:iCs/>
          <w:sz w:val="24"/>
          <w:szCs w:val="24"/>
        </w:rPr>
        <w:t>8. Wijziging Wet DNA-onderzoek bij veroordeelden</w:t>
      </w:r>
    </w:p>
    <w:p w:rsidR="00740235" w:rsidP="00CF1EE3" w:rsidRDefault="00740235" w14:paraId="28A88926" w14:textId="77777777">
      <w:pPr>
        <w:widowControl w:val="0"/>
        <w:spacing w:after="0" w:line="240" w:lineRule="auto"/>
        <w:rPr>
          <w:rFonts w:ascii="Times New Roman" w:hAnsi="Times New Roman" w:cs="Times New Roman"/>
          <w:i/>
          <w:iCs/>
          <w:sz w:val="24"/>
          <w:szCs w:val="24"/>
        </w:rPr>
      </w:pPr>
    </w:p>
    <w:p w:rsidR="00BD78D9" w:rsidP="00CF1EE3" w:rsidRDefault="00BD78D9" w14:paraId="37D08E7B" w14:textId="01221513">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In artikel 1, eerste lid, onderdeel c van de Wet DNA-onderzoek bij veroordeelden wordt een</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wijziging voorgesteld van de definitie van ‘veroordeelde’ om ook veroordeelden tot</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elektronische detentie onder de reikwijdte van deze wet te laten vallen. Het gaat onder</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andere om een uitbreiding naar personen die veroordeeld zijn tot de straf van elektronische</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detentie onder artikel 77h, eerste lid, onder a Wetboek van Strafrecht (Sr). Deze uitbreiding</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lijkt per abuis te zijn blijven staan. Artikel 77h Sr bevat immers een opsomming van sancties</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voor jeugdigen en naar aanleiding van de consultatiereacties is besloten om elektronische</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detentie juist niet in het jeugdstrafrecht toe te passen.</w:t>
      </w:r>
      <w:r w:rsidR="00E20571">
        <w:rPr>
          <w:rStyle w:val="Voetnootmarkering"/>
          <w:rFonts w:ascii="Times New Roman" w:hAnsi="Times New Roman" w:cs="Times New Roman"/>
          <w:i/>
          <w:iCs/>
          <w:sz w:val="24"/>
          <w:szCs w:val="24"/>
        </w:rPr>
        <w:footnoteReference w:id="28"/>
      </w:r>
      <w:r w:rsidRPr="00740235">
        <w:rPr>
          <w:rFonts w:ascii="Times New Roman" w:hAnsi="Times New Roman" w:cs="Times New Roman"/>
          <w:i/>
          <w:iCs/>
          <w:sz w:val="24"/>
          <w:szCs w:val="24"/>
        </w:rPr>
        <w:t xml:space="preserve"> </w:t>
      </w:r>
    </w:p>
    <w:p w:rsidRPr="00740235" w:rsidR="00740235" w:rsidP="00CF1EE3" w:rsidRDefault="00740235" w14:paraId="3D790F9A" w14:textId="77777777">
      <w:pPr>
        <w:widowControl w:val="0"/>
        <w:spacing w:after="0" w:line="240" w:lineRule="auto"/>
        <w:rPr>
          <w:rFonts w:ascii="Times New Roman" w:hAnsi="Times New Roman" w:cs="Times New Roman"/>
          <w:i/>
          <w:iCs/>
          <w:sz w:val="24"/>
          <w:szCs w:val="24"/>
        </w:rPr>
      </w:pPr>
    </w:p>
    <w:p w:rsidR="00BD78D9" w:rsidP="00CF1EE3" w:rsidRDefault="00BD78D9" w14:paraId="551A4B00" w14:textId="377DB7D2">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De Afdeling adviseert om de uitbreiding naar elektronische detentie onder artikel 77h Sr in</w:t>
      </w:r>
      <w:r w:rsidR="00E74881">
        <w:rPr>
          <w:rFonts w:ascii="Times New Roman" w:hAnsi="Times New Roman" w:cs="Times New Roman"/>
          <w:i/>
          <w:iCs/>
          <w:sz w:val="24"/>
          <w:szCs w:val="24"/>
        </w:rPr>
        <w:t xml:space="preserve"> </w:t>
      </w:r>
      <w:r w:rsidRPr="00740235">
        <w:rPr>
          <w:rFonts w:ascii="Times New Roman" w:hAnsi="Times New Roman" w:cs="Times New Roman"/>
          <w:i/>
          <w:iCs/>
          <w:sz w:val="24"/>
          <w:szCs w:val="24"/>
        </w:rPr>
        <w:t>artikel 1, eerste lid, onderdeel c van de Wet DNA-onderzoek bij veroordeelden te schrappen.</w:t>
      </w:r>
    </w:p>
    <w:p w:rsidR="00740235" w:rsidP="00CF1EE3" w:rsidRDefault="00740235" w14:paraId="6DFE9B7B" w14:textId="77777777">
      <w:pPr>
        <w:widowControl w:val="0"/>
        <w:spacing w:after="0" w:line="240" w:lineRule="auto"/>
        <w:rPr>
          <w:rFonts w:ascii="Times New Roman" w:hAnsi="Times New Roman" w:cs="Times New Roman"/>
          <w:i/>
          <w:iCs/>
          <w:sz w:val="24"/>
          <w:szCs w:val="24"/>
        </w:rPr>
      </w:pPr>
    </w:p>
    <w:p w:rsidRPr="00740235" w:rsidR="00740235" w:rsidP="00CF1EE3" w:rsidRDefault="00740235" w14:paraId="1A2200C4" w14:textId="4BA489E6">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 </w:t>
      </w:r>
      <w:r w:rsidR="0033147F">
        <w:rPr>
          <w:rFonts w:ascii="Times New Roman" w:hAnsi="Times New Roman" w:cs="Times New Roman"/>
          <w:sz w:val="24"/>
          <w:szCs w:val="24"/>
        </w:rPr>
        <w:t>voorgestelde wijziging</w:t>
      </w:r>
      <w:r>
        <w:rPr>
          <w:rFonts w:ascii="Times New Roman" w:hAnsi="Times New Roman" w:cs="Times New Roman"/>
          <w:sz w:val="24"/>
          <w:szCs w:val="24"/>
        </w:rPr>
        <w:t xml:space="preserve"> van de Wet DNA-onderzoek bij veroordeelden is aangepast en bevat niet langer een verwijzing naar </w:t>
      </w:r>
      <w:r w:rsidR="00847506">
        <w:rPr>
          <w:rFonts w:ascii="Times New Roman" w:hAnsi="Times New Roman" w:cs="Times New Roman"/>
          <w:sz w:val="24"/>
          <w:szCs w:val="24"/>
        </w:rPr>
        <w:t xml:space="preserve">de elektronische detentie in </w:t>
      </w:r>
      <w:r>
        <w:rPr>
          <w:rFonts w:ascii="Times New Roman" w:hAnsi="Times New Roman" w:cs="Times New Roman"/>
          <w:sz w:val="24"/>
          <w:szCs w:val="24"/>
        </w:rPr>
        <w:t xml:space="preserve">het jeugdstrafrecht. Het </w:t>
      </w:r>
      <w:r w:rsidR="00E74881">
        <w:rPr>
          <w:rFonts w:ascii="Times New Roman" w:hAnsi="Times New Roman" w:cs="Times New Roman"/>
          <w:sz w:val="24"/>
          <w:szCs w:val="24"/>
        </w:rPr>
        <w:t>ging</w:t>
      </w:r>
      <w:r>
        <w:rPr>
          <w:rFonts w:ascii="Times New Roman" w:hAnsi="Times New Roman" w:cs="Times New Roman"/>
          <w:sz w:val="24"/>
          <w:szCs w:val="24"/>
        </w:rPr>
        <w:t xml:space="preserve"> inderdaad </w:t>
      </w:r>
      <w:r w:rsidR="00E74881">
        <w:rPr>
          <w:rFonts w:ascii="Times New Roman" w:hAnsi="Times New Roman" w:cs="Times New Roman"/>
          <w:sz w:val="24"/>
          <w:szCs w:val="24"/>
        </w:rPr>
        <w:t xml:space="preserve">om </w:t>
      </w:r>
      <w:r>
        <w:rPr>
          <w:rFonts w:ascii="Times New Roman" w:hAnsi="Times New Roman" w:cs="Times New Roman"/>
          <w:sz w:val="24"/>
          <w:szCs w:val="24"/>
        </w:rPr>
        <w:t>een zinsnede uit de consultatieversie die abusievelijk was blijven staan.</w:t>
      </w:r>
    </w:p>
    <w:p w:rsidRPr="00740235" w:rsidR="00740235" w:rsidP="00CF1EE3" w:rsidRDefault="00740235" w14:paraId="5970F07D" w14:textId="77777777">
      <w:pPr>
        <w:widowControl w:val="0"/>
        <w:spacing w:after="0" w:line="240" w:lineRule="auto"/>
        <w:rPr>
          <w:rFonts w:ascii="Times New Roman" w:hAnsi="Times New Roman" w:cs="Times New Roman"/>
          <w:i/>
          <w:iCs/>
          <w:sz w:val="24"/>
          <w:szCs w:val="24"/>
        </w:rPr>
      </w:pPr>
    </w:p>
    <w:p w:rsidRPr="00740235" w:rsidR="00BD78D9" w:rsidP="00CF1EE3" w:rsidRDefault="00BD78D9" w14:paraId="6CBC29FF" w14:textId="77777777">
      <w:pPr>
        <w:widowControl w:val="0"/>
        <w:spacing w:after="0" w:line="240" w:lineRule="auto"/>
        <w:rPr>
          <w:rFonts w:ascii="Times New Roman" w:hAnsi="Times New Roman" w:cs="Times New Roman"/>
          <w:b/>
          <w:bCs/>
          <w:i/>
          <w:iCs/>
          <w:sz w:val="24"/>
          <w:szCs w:val="24"/>
        </w:rPr>
      </w:pPr>
      <w:r w:rsidRPr="00740235">
        <w:rPr>
          <w:rFonts w:ascii="Times New Roman" w:hAnsi="Times New Roman" w:cs="Times New Roman"/>
          <w:b/>
          <w:bCs/>
          <w:i/>
          <w:iCs/>
          <w:sz w:val="24"/>
          <w:szCs w:val="24"/>
        </w:rPr>
        <w:t>Conclusie</w:t>
      </w:r>
    </w:p>
    <w:p w:rsidR="00740235" w:rsidP="00CF1EE3" w:rsidRDefault="00740235" w14:paraId="7B60AA77" w14:textId="77777777">
      <w:pPr>
        <w:widowControl w:val="0"/>
        <w:spacing w:after="0" w:line="240" w:lineRule="auto"/>
        <w:rPr>
          <w:rFonts w:ascii="Times New Roman" w:hAnsi="Times New Roman" w:cs="Times New Roman"/>
          <w:i/>
          <w:iCs/>
          <w:sz w:val="24"/>
          <w:szCs w:val="24"/>
        </w:rPr>
      </w:pPr>
    </w:p>
    <w:p w:rsidR="00BD78D9" w:rsidP="00CF1EE3" w:rsidRDefault="00BD78D9" w14:paraId="69BD4E1A" w14:textId="232777DC">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De Afdeling advisering van de Raad van State heeft een aantal opmerkingen bij het voorstel</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en adviseert daarmee rekening te houden voordat het voorstel bij de Tweede Kamer der</w:t>
      </w:r>
      <w:r w:rsidR="00740235">
        <w:rPr>
          <w:rFonts w:ascii="Times New Roman" w:hAnsi="Times New Roman" w:cs="Times New Roman"/>
          <w:i/>
          <w:iCs/>
          <w:sz w:val="24"/>
          <w:szCs w:val="24"/>
        </w:rPr>
        <w:t xml:space="preserve"> </w:t>
      </w:r>
      <w:r w:rsidRPr="00740235">
        <w:rPr>
          <w:rFonts w:ascii="Times New Roman" w:hAnsi="Times New Roman" w:cs="Times New Roman"/>
          <w:i/>
          <w:iCs/>
          <w:sz w:val="24"/>
          <w:szCs w:val="24"/>
        </w:rPr>
        <w:t>Staten-Generaal wordt ingediend.</w:t>
      </w:r>
    </w:p>
    <w:p w:rsidRPr="00740235" w:rsidR="00740235" w:rsidP="00CF1EE3" w:rsidRDefault="00740235" w14:paraId="49739723" w14:textId="77777777">
      <w:pPr>
        <w:widowControl w:val="0"/>
        <w:spacing w:after="0" w:line="240" w:lineRule="auto"/>
        <w:rPr>
          <w:rFonts w:ascii="Times New Roman" w:hAnsi="Times New Roman" w:cs="Times New Roman"/>
          <w:i/>
          <w:iCs/>
          <w:sz w:val="24"/>
          <w:szCs w:val="24"/>
        </w:rPr>
      </w:pPr>
    </w:p>
    <w:p w:rsidR="00BD78D9" w:rsidP="00CF1EE3" w:rsidRDefault="00BD78D9" w14:paraId="1E6A28C5" w14:textId="05BAEC25">
      <w:pPr>
        <w:widowControl w:val="0"/>
        <w:spacing w:after="0" w:line="240" w:lineRule="auto"/>
        <w:rPr>
          <w:rFonts w:ascii="Times New Roman" w:hAnsi="Times New Roman" w:cs="Times New Roman"/>
          <w:i/>
          <w:iCs/>
          <w:sz w:val="24"/>
          <w:szCs w:val="24"/>
        </w:rPr>
      </w:pPr>
      <w:r w:rsidRPr="00740235">
        <w:rPr>
          <w:rFonts w:ascii="Times New Roman" w:hAnsi="Times New Roman" w:cs="Times New Roman"/>
          <w:i/>
          <w:iCs/>
          <w:sz w:val="24"/>
          <w:szCs w:val="24"/>
        </w:rPr>
        <w:t xml:space="preserve">De </w:t>
      </w:r>
      <w:proofErr w:type="spellStart"/>
      <w:r w:rsidRPr="00740235">
        <w:rPr>
          <w:rFonts w:ascii="Times New Roman" w:hAnsi="Times New Roman" w:cs="Times New Roman"/>
          <w:i/>
          <w:iCs/>
          <w:sz w:val="24"/>
          <w:szCs w:val="24"/>
        </w:rPr>
        <w:t>vice-president</w:t>
      </w:r>
      <w:proofErr w:type="spellEnd"/>
      <w:r w:rsidRPr="00740235">
        <w:rPr>
          <w:rFonts w:ascii="Times New Roman" w:hAnsi="Times New Roman" w:cs="Times New Roman"/>
          <w:i/>
          <w:iCs/>
          <w:sz w:val="24"/>
          <w:szCs w:val="24"/>
        </w:rPr>
        <w:t xml:space="preserve"> van de Raad van State</w:t>
      </w:r>
      <w:r w:rsidR="00CF1EE3">
        <w:rPr>
          <w:rFonts w:ascii="Times New Roman" w:hAnsi="Times New Roman" w:cs="Times New Roman"/>
          <w:i/>
          <w:iCs/>
          <w:sz w:val="24"/>
          <w:szCs w:val="24"/>
        </w:rPr>
        <w:t>,</w:t>
      </w:r>
    </w:p>
    <w:p w:rsidR="00CF1EE3" w:rsidP="00CF1EE3" w:rsidRDefault="00401EF4" w14:paraId="0233315C" w14:textId="6E91166F">
      <w:pPr>
        <w:widowControl w:val="0"/>
        <w:spacing w:after="0" w:line="240" w:lineRule="auto"/>
        <w:rPr>
          <w:rFonts w:ascii="Times New Roman" w:hAnsi="Times New Roman" w:cs="Times New Roman"/>
          <w:i/>
          <w:iCs/>
          <w:sz w:val="24"/>
          <w:szCs w:val="24"/>
        </w:rPr>
      </w:pPr>
      <w:proofErr w:type="spellStart"/>
      <w:r>
        <w:rPr>
          <w:rFonts w:ascii="Times New Roman" w:hAnsi="Times New Roman" w:cs="Times New Roman"/>
          <w:i/>
          <w:iCs/>
          <w:sz w:val="24"/>
          <w:szCs w:val="24"/>
        </w:rPr>
        <w:t>Th.C</w:t>
      </w:r>
      <w:proofErr w:type="spellEnd"/>
      <w:r>
        <w:rPr>
          <w:rFonts w:ascii="Times New Roman" w:hAnsi="Times New Roman" w:cs="Times New Roman"/>
          <w:i/>
          <w:iCs/>
          <w:sz w:val="24"/>
          <w:szCs w:val="24"/>
        </w:rPr>
        <w:t>. de Graaf</w:t>
      </w:r>
    </w:p>
    <w:p w:rsidR="00CF1EE3" w:rsidP="00CF1EE3" w:rsidRDefault="00CF1EE3" w14:paraId="08CEF7B0" w14:textId="77777777">
      <w:pPr>
        <w:widowControl w:val="0"/>
        <w:spacing w:after="0" w:line="240" w:lineRule="auto"/>
        <w:rPr>
          <w:rFonts w:ascii="Times New Roman" w:hAnsi="Times New Roman" w:cs="Times New Roman"/>
          <w:i/>
          <w:iCs/>
          <w:sz w:val="24"/>
          <w:szCs w:val="24"/>
        </w:rPr>
      </w:pPr>
    </w:p>
    <w:p w:rsidR="00CF1EE3" w:rsidP="00CF1EE3" w:rsidRDefault="00CF1EE3" w14:paraId="1B0AD186" w14:textId="2A3BBBD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De initiatiefnemers,</w:t>
      </w:r>
    </w:p>
    <w:p w:rsidR="00CF1EE3" w:rsidP="00CF1EE3" w:rsidRDefault="00CF1EE3" w14:paraId="34E76505" w14:textId="7F8A3369">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Sneller</w:t>
      </w:r>
    </w:p>
    <w:p w:rsidRPr="00CF1EE3" w:rsidR="00CF1EE3" w:rsidP="00CF1EE3" w:rsidRDefault="00CF1EE3" w14:paraId="7DBB10CE" w14:textId="2F9ABD8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Straatman</w:t>
      </w:r>
    </w:p>
    <w:p w:rsidR="00740235" w:rsidP="00CF1EE3" w:rsidRDefault="00740235" w14:paraId="4DAF072B" w14:textId="77777777">
      <w:pPr>
        <w:widowControl w:val="0"/>
        <w:spacing w:after="0" w:line="240" w:lineRule="auto"/>
        <w:rPr>
          <w:rFonts w:ascii="Times New Roman" w:hAnsi="Times New Roman" w:cs="Times New Roman"/>
          <w:i/>
          <w:iCs/>
          <w:sz w:val="24"/>
          <w:szCs w:val="24"/>
        </w:rPr>
      </w:pPr>
    </w:p>
    <w:p w:rsidR="00CF1EE3" w:rsidP="00CF1EE3" w:rsidRDefault="00CF1EE3" w14:paraId="49E8D4C2" w14:textId="77777777">
      <w:pPr>
        <w:widowControl w:val="0"/>
        <w:spacing w:after="0" w:line="240" w:lineRule="auto"/>
        <w:rPr>
          <w:rFonts w:ascii="Times New Roman" w:hAnsi="Times New Roman" w:cs="Times New Roman"/>
          <w:i/>
          <w:iCs/>
          <w:sz w:val="24"/>
          <w:szCs w:val="24"/>
        </w:rPr>
      </w:pPr>
    </w:p>
    <w:p w:rsidRPr="00740235" w:rsidR="007E43C5" w:rsidP="00CF1EE3" w:rsidRDefault="007E43C5" w14:paraId="37EEED61" w14:textId="5C067F28">
      <w:pPr>
        <w:widowControl w:val="0"/>
        <w:spacing w:after="0" w:line="240" w:lineRule="auto"/>
        <w:rPr>
          <w:rFonts w:ascii="Times New Roman" w:hAnsi="Times New Roman" w:cs="Times New Roman"/>
          <w:i/>
          <w:iCs/>
          <w:sz w:val="24"/>
          <w:szCs w:val="24"/>
        </w:rPr>
      </w:pPr>
    </w:p>
    <w:sectPr w:rsidRPr="00740235" w:rsidR="007E43C5">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B37EF" w14:textId="77777777" w:rsidR="00114228" w:rsidRDefault="00114228" w:rsidP="00E9048A">
      <w:pPr>
        <w:spacing w:after="0" w:line="240" w:lineRule="auto"/>
      </w:pPr>
      <w:r>
        <w:separator/>
      </w:r>
    </w:p>
  </w:endnote>
  <w:endnote w:type="continuationSeparator" w:id="0">
    <w:p w14:paraId="5681765E" w14:textId="77777777" w:rsidR="00114228" w:rsidRDefault="00114228" w:rsidP="00E9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54947927"/>
      <w:docPartObj>
        <w:docPartGallery w:val="Page Numbers (Bottom of Page)"/>
        <w:docPartUnique/>
      </w:docPartObj>
    </w:sdtPr>
    <w:sdtEndPr/>
    <w:sdtContent>
      <w:p w14:paraId="6E88DE46" w14:textId="63BAD080" w:rsidR="00E9048A" w:rsidRPr="00AB7C52" w:rsidRDefault="00E9048A">
        <w:pPr>
          <w:pStyle w:val="Voettekst"/>
          <w:jc w:val="right"/>
          <w:rPr>
            <w:rFonts w:ascii="Times New Roman" w:hAnsi="Times New Roman" w:cs="Times New Roman"/>
            <w:sz w:val="24"/>
            <w:szCs w:val="24"/>
          </w:rPr>
        </w:pPr>
        <w:r w:rsidRPr="00AB7C52">
          <w:rPr>
            <w:rFonts w:ascii="Times New Roman" w:hAnsi="Times New Roman" w:cs="Times New Roman"/>
            <w:sz w:val="24"/>
            <w:szCs w:val="24"/>
          </w:rPr>
          <w:fldChar w:fldCharType="begin"/>
        </w:r>
        <w:r w:rsidRPr="00AB7C52">
          <w:rPr>
            <w:rFonts w:ascii="Times New Roman" w:hAnsi="Times New Roman" w:cs="Times New Roman"/>
            <w:sz w:val="24"/>
            <w:szCs w:val="24"/>
          </w:rPr>
          <w:instrText>PAGE   \* MERGEFORMAT</w:instrText>
        </w:r>
        <w:r w:rsidRPr="00AB7C52">
          <w:rPr>
            <w:rFonts w:ascii="Times New Roman" w:hAnsi="Times New Roman" w:cs="Times New Roman"/>
            <w:sz w:val="24"/>
            <w:szCs w:val="24"/>
          </w:rPr>
          <w:fldChar w:fldCharType="separate"/>
        </w:r>
        <w:r w:rsidRPr="00AB7C52">
          <w:rPr>
            <w:rFonts w:ascii="Times New Roman" w:hAnsi="Times New Roman" w:cs="Times New Roman"/>
            <w:sz w:val="24"/>
            <w:szCs w:val="24"/>
          </w:rPr>
          <w:t>2</w:t>
        </w:r>
        <w:r w:rsidRPr="00AB7C52">
          <w:rPr>
            <w:rFonts w:ascii="Times New Roman" w:hAnsi="Times New Roman" w:cs="Times New Roman"/>
            <w:sz w:val="24"/>
            <w:szCs w:val="24"/>
          </w:rPr>
          <w:fldChar w:fldCharType="end"/>
        </w:r>
      </w:p>
    </w:sdtContent>
  </w:sdt>
  <w:p w14:paraId="23529827" w14:textId="77777777" w:rsidR="00E9048A" w:rsidRPr="00AB7C52" w:rsidRDefault="00E9048A">
    <w:pPr>
      <w:pStyle w:val="Voetteks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DED1" w14:textId="77777777" w:rsidR="00114228" w:rsidRDefault="00114228" w:rsidP="00E9048A">
      <w:pPr>
        <w:spacing w:after="0" w:line="240" w:lineRule="auto"/>
      </w:pPr>
      <w:r>
        <w:separator/>
      </w:r>
    </w:p>
  </w:footnote>
  <w:footnote w:type="continuationSeparator" w:id="0">
    <w:p w14:paraId="482DC5C4" w14:textId="77777777" w:rsidR="00114228" w:rsidRDefault="00114228" w:rsidP="00E9048A">
      <w:pPr>
        <w:spacing w:after="0" w:line="240" w:lineRule="auto"/>
      </w:pPr>
      <w:r>
        <w:continuationSeparator/>
      </w:r>
    </w:p>
  </w:footnote>
  <w:footnote w:id="1">
    <w:p w14:paraId="0101BCEC" w14:textId="08C08FF8" w:rsidR="00225DBD" w:rsidRPr="00386026" w:rsidRDefault="00225DBD">
      <w:pPr>
        <w:pStyle w:val="Voetnoottekst"/>
        <w:rPr>
          <w:rFonts w:ascii="Times New Roman" w:hAnsi="Times New Roman" w:cs="Times New Roman"/>
        </w:rPr>
      </w:pPr>
      <w:r w:rsidRPr="00386026">
        <w:rPr>
          <w:rStyle w:val="Voetnootmarkering"/>
          <w:rFonts w:ascii="Times New Roman" w:hAnsi="Times New Roman" w:cs="Times New Roman"/>
        </w:rPr>
        <w:footnoteRef/>
      </w:r>
      <w:r w:rsidRPr="00386026">
        <w:rPr>
          <w:rFonts w:ascii="Times New Roman" w:hAnsi="Times New Roman" w:cs="Times New Roman"/>
        </w:rPr>
        <w:t xml:space="preserve"> Artikel I, onderdelen A en B.</w:t>
      </w:r>
    </w:p>
  </w:footnote>
  <w:footnote w:id="2">
    <w:p w14:paraId="7D7406C8" w14:textId="27B19EB8" w:rsidR="00D92592" w:rsidRPr="00386026" w:rsidRDefault="00D92592">
      <w:pPr>
        <w:pStyle w:val="Voetnoottekst"/>
        <w:rPr>
          <w:rFonts w:ascii="Times New Roman" w:hAnsi="Times New Roman" w:cs="Times New Roman"/>
        </w:rPr>
      </w:pPr>
      <w:r w:rsidRPr="00386026">
        <w:rPr>
          <w:rStyle w:val="Voetnootmarkering"/>
          <w:rFonts w:ascii="Times New Roman" w:hAnsi="Times New Roman" w:cs="Times New Roman"/>
        </w:rPr>
        <w:footnoteRef/>
      </w:r>
      <w:r w:rsidRPr="00386026">
        <w:rPr>
          <w:rFonts w:ascii="Times New Roman" w:hAnsi="Times New Roman" w:cs="Times New Roman"/>
        </w:rPr>
        <w:t xml:space="preserve"> Memorie van Toelichting, Algemeen deel, paragraaf 3.8 Tenuitvoerlegging en toezicht.</w:t>
      </w:r>
    </w:p>
  </w:footnote>
  <w:footnote w:id="3">
    <w:p w14:paraId="5F12A7DE" w14:textId="78F29267" w:rsidR="00995180" w:rsidRPr="00386026" w:rsidRDefault="00995180">
      <w:pPr>
        <w:pStyle w:val="Voetnoottekst"/>
        <w:rPr>
          <w:rFonts w:ascii="Times New Roman" w:hAnsi="Times New Roman" w:cs="Times New Roman"/>
        </w:rPr>
      </w:pPr>
      <w:r w:rsidRPr="00386026">
        <w:rPr>
          <w:rStyle w:val="Voetnootmarkering"/>
          <w:rFonts w:ascii="Times New Roman" w:hAnsi="Times New Roman" w:cs="Times New Roman"/>
        </w:rPr>
        <w:footnoteRef/>
      </w:r>
      <w:r w:rsidRPr="00386026">
        <w:rPr>
          <w:rFonts w:ascii="Times New Roman" w:hAnsi="Times New Roman" w:cs="Times New Roman"/>
        </w:rPr>
        <w:t xml:space="preserve"> Artikel I, onderdeel C en artikel II, onderdeel A.</w:t>
      </w:r>
    </w:p>
  </w:footnote>
  <w:footnote w:id="4">
    <w:p w14:paraId="6F92A425" w14:textId="2084DC7F" w:rsidR="00995180" w:rsidRPr="00386026" w:rsidRDefault="00995180">
      <w:pPr>
        <w:pStyle w:val="Voetnoottekst"/>
        <w:rPr>
          <w:rFonts w:ascii="Times New Roman" w:hAnsi="Times New Roman" w:cs="Times New Roman"/>
        </w:rPr>
      </w:pPr>
      <w:r w:rsidRPr="00386026">
        <w:rPr>
          <w:rStyle w:val="Voetnootmarkering"/>
          <w:rFonts w:ascii="Times New Roman" w:hAnsi="Times New Roman" w:cs="Times New Roman"/>
        </w:rPr>
        <w:footnoteRef/>
      </w:r>
      <w:r w:rsidRPr="00386026">
        <w:rPr>
          <w:rFonts w:ascii="Times New Roman" w:hAnsi="Times New Roman" w:cs="Times New Roman"/>
        </w:rPr>
        <w:t xml:space="preserve"> Artikel II, onderdeel C en D.</w:t>
      </w:r>
    </w:p>
  </w:footnote>
  <w:footnote w:id="5">
    <w:p w14:paraId="35ECB2FC" w14:textId="5AF46715" w:rsidR="00995180" w:rsidRPr="00386026" w:rsidRDefault="00995180">
      <w:pPr>
        <w:pStyle w:val="Voetnoottekst"/>
        <w:rPr>
          <w:rFonts w:ascii="Times New Roman" w:hAnsi="Times New Roman" w:cs="Times New Roman"/>
        </w:rPr>
      </w:pPr>
      <w:r w:rsidRPr="00386026">
        <w:rPr>
          <w:rStyle w:val="Voetnootmarkering"/>
          <w:rFonts w:ascii="Times New Roman" w:hAnsi="Times New Roman" w:cs="Times New Roman"/>
        </w:rPr>
        <w:footnoteRef/>
      </w:r>
      <w:r w:rsidRPr="00386026">
        <w:rPr>
          <w:rFonts w:ascii="Times New Roman" w:hAnsi="Times New Roman" w:cs="Times New Roman"/>
        </w:rPr>
        <w:t xml:space="preserve"> Artikel I, onderdeel C en I.</w:t>
      </w:r>
    </w:p>
  </w:footnote>
  <w:footnote w:id="6">
    <w:p w14:paraId="661D83AD" w14:textId="74100EB1" w:rsidR="00995180" w:rsidRDefault="00995180">
      <w:pPr>
        <w:pStyle w:val="Voetnoottekst"/>
      </w:pPr>
      <w:r w:rsidRPr="00386026">
        <w:rPr>
          <w:rStyle w:val="Voetnootmarkering"/>
          <w:rFonts w:ascii="Times New Roman" w:hAnsi="Times New Roman" w:cs="Times New Roman"/>
        </w:rPr>
        <w:footnoteRef/>
      </w:r>
      <w:r w:rsidRPr="00386026">
        <w:rPr>
          <w:rFonts w:ascii="Times New Roman" w:hAnsi="Times New Roman" w:cs="Times New Roman"/>
        </w:rPr>
        <w:t xml:space="preserve"> Memorie van toelichting, Algemeen deel, paragraaf 2.3 Aanpak en voorkomen van criminaliteit.</w:t>
      </w:r>
    </w:p>
  </w:footnote>
  <w:footnote w:id="7">
    <w:p w14:paraId="68D20FDF" w14:textId="32E3BA6F" w:rsidR="00995180" w:rsidRPr="00386026" w:rsidRDefault="00995180">
      <w:pPr>
        <w:pStyle w:val="Voetnoottekst"/>
        <w:rPr>
          <w:rFonts w:ascii="Times New Roman" w:hAnsi="Times New Roman" w:cs="Times New Roman"/>
        </w:rPr>
      </w:pPr>
      <w:r w:rsidRPr="00386026">
        <w:rPr>
          <w:rStyle w:val="Voetnootmarkering"/>
          <w:rFonts w:ascii="Times New Roman" w:hAnsi="Times New Roman" w:cs="Times New Roman"/>
        </w:rPr>
        <w:footnoteRef/>
      </w:r>
      <w:r w:rsidRPr="00386026">
        <w:rPr>
          <w:rFonts w:ascii="Times New Roman" w:hAnsi="Times New Roman" w:cs="Times New Roman"/>
        </w:rPr>
        <w:t xml:space="preserve"> Zie ook Advies van de Afdeling van Advisering van 27 september 2023 over de Wijziging van het Wetboek van strafrecht en het Wetboek van Strafvordering in verband met de introductie van de Alcoholmeter als controlemiddel om toezicht te houden op de naleving van een alcoholverbod (W16.23.00180/II), Kamerstukken II 2023/24, 36585, nr. 4, punt 3.</w:t>
      </w:r>
    </w:p>
  </w:footnote>
  <w:footnote w:id="8">
    <w:p w14:paraId="74D13E94" w14:textId="034FF65B" w:rsidR="00995180" w:rsidRPr="00386026" w:rsidRDefault="00995180">
      <w:pPr>
        <w:pStyle w:val="Voetnoottekst"/>
        <w:rPr>
          <w:rFonts w:ascii="Times New Roman" w:hAnsi="Times New Roman" w:cs="Times New Roman"/>
        </w:rPr>
      </w:pPr>
      <w:r w:rsidRPr="00386026">
        <w:rPr>
          <w:rStyle w:val="Voetnootmarkering"/>
          <w:rFonts w:ascii="Times New Roman" w:hAnsi="Times New Roman" w:cs="Times New Roman"/>
        </w:rPr>
        <w:footnoteRef/>
      </w:r>
      <w:r w:rsidRPr="00386026">
        <w:rPr>
          <w:rFonts w:ascii="Times New Roman" w:hAnsi="Times New Roman" w:cs="Times New Roman"/>
        </w:rPr>
        <w:t xml:space="preserve"> Artikel 51a </w:t>
      </w:r>
      <w:r w:rsidRPr="00386026">
        <w:rPr>
          <w:rFonts w:ascii="Times New Roman" w:hAnsi="Times New Roman" w:cs="Times New Roman"/>
        </w:rPr>
        <w:t>Wjsg.</w:t>
      </w:r>
    </w:p>
  </w:footnote>
  <w:footnote w:id="9">
    <w:p w14:paraId="18594370" w14:textId="06A25728" w:rsidR="00995180" w:rsidRDefault="00995180">
      <w:pPr>
        <w:pStyle w:val="Voetnoottekst"/>
      </w:pPr>
      <w:r w:rsidRPr="00386026">
        <w:rPr>
          <w:rStyle w:val="Voetnootmarkering"/>
          <w:rFonts w:ascii="Times New Roman" w:hAnsi="Times New Roman" w:cs="Times New Roman"/>
        </w:rPr>
        <w:footnoteRef/>
      </w:r>
      <w:r w:rsidRPr="00386026">
        <w:rPr>
          <w:rFonts w:ascii="Times New Roman" w:hAnsi="Times New Roman" w:cs="Times New Roman"/>
        </w:rPr>
        <w:t xml:space="preserve"> Artikelsgewijze toelichting bij artikel 6:2:14d.</w:t>
      </w:r>
    </w:p>
  </w:footnote>
  <w:footnote w:id="10">
    <w:p w14:paraId="2642C56F" w14:textId="1EA03304" w:rsidR="00995180" w:rsidRPr="00995180" w:rsidRDefault="00995180">
      <w:pPr>
        <w:pStyle w:val="Voetnoottekst"/>
        <w:rPr>
          <w:rFonts w:ascii="Times New Roman" w:hAnsi="Times New Roman" w:cs="Times New Roman"/>
        </w:rPr>
      </w:pPr>
      <w:r w:rsidRPr="00995180">
        <w:rPr>
          <w:rStyle w:val="Voetnootmarkering"/>
          <w:rFonts w:ascii="Times New Roman" w:hAnsi="Times New Roman" w:cs="Times New Roman"/>
        </w:rPr>
        <w:footnoteRef/>
      </w:r>
      <w:r w:rsidRPr="00995180">
        <w:rPr>
          <w:rFonts w:ascii="Times New Roman" w:hAnsi="Times New Roman" w:cs="Times New Roman"/>
        </w:rPr>
        <w:t xml:space="preserve"> Artikel II, onderdeel B (artikel 6:2:14e).</w:t>
      </w:r>
    </w:p>
  </w:footnote>
  <w:footnote w:id="11">
    <w:p w14:paraId="126ED9B3" w14:textId="19DBFEBA" w:rsidR="00995180" w:rsidRPr="00995180" w:rsidRDefault="00995180">
      <w:pPr>
        <w:pStyle w:val="Voetnoottekst"/>
        <w:rPr>
          <w:rFonts w:ascii="Times New Roman" w:hAnsi="Times New Roman" w:cs="Times New Roman"/>
        </w:rPr>
      </w:pPr>
      <w:r w:rsidRPr="00995180">
        <w:rPr>
          <w:rStyle w:val="Voetnootmarkering"/>
          <w:rFonts w:ascii="Times New Roman" w:hAnsi="Times New Roman" w:cs="Times New Roman"/>
        </w:rPr>
        <w:footnoteRef/>
      </w:r>
      <w:r w:rsidRPr="00995180">
        <w:rPr>
          <w:rFonts w:ascii="Times New Roman" w:hAnsi="Times New Roman" w:cs="Times New Roman"/>
        </w:rPr>
        <w:t xml:space="preserve"> Kamerstukken I 2024/25, 36327, C en Kamerstukken I 2024/25, 36636, A.</w:t>
      </w:r>
    </w:p>
  </w:footnote>
  <w:footnote w:id="12">
    <w:p w14:paraId="5C7A58F0" w14:textId="404A2B66" w:rsidR="00995180" w:rsidRDefault="00995180">
      <w:pPr>
        <w:pStyle w:val="Voetnoottekst"/>
      </w:pPr>
      <w:r w:rsidRPr="00995180">
        <w:rPr>
          <w:rStyle w:val="Voetnootmarkering"/>
          <w:rFonts w:ascii="Times New Roman" w:hAnsi="Times New Roman" w:cs="Times New Roman"/>
        </w:rPr>
        <w:footnoteRef/>
      </w:r>
      <w:r w:rsidRPr="00995180">
        <w:rPr>
          <w:rFonts w:ascii="Times New Roman" w:hAnsi="Times New Roman" w:cs="Times New Roman"/>
        </w:rPr>
        <w:t xml:space="preserve"> Advies van de Afdeling advisering van 12 november 2025 (W16.25.00126/II) over de Eerste aanvullingswet Wetboek van Strafvordering.</w:t>
      </w:r>
    </w:p>
  </w:footnote>
  <w:footnote w:id="13">
    <w:p w14:paraId="0582A6C7" w14:textId="77777777" w:rsidR="00995180" w:rsidRPr="00995180" w:rsidRDefault="00995180" w:rsidP="00995180">
      <w:pPr>
        <w:pStyle w:val="Voetnoottekst"/>
        <w:rPr>
          <w:rFonts w:ascii="Times New Roman" w:hAnsi="Times New Roman" w:cs="Times New Roman"/>
        </w:rPr>
      </w:pPr>
      <w:r w:rsidRPr="00995180">
        <w:rPr>
          <w:rStyle w:val="Voetnootmarkering"/>
          <w:rFonts w:ascii="Times New Roman" w:hAnsi="Times New Roman" w:cs="Times New Roman"/>
        </w:rPr>
        <w:footnoteRef/>
      </w:r>
      <w:r w:rsidRPr="00995180">
        <w:rPr>
          <w:rFonts w:ascii="Times New Roman" w:hAnsi="Times New Roman" w:cs="Times New Roman"/>
        </w:rPr>
        <w:t xml:space="preserve"> Advies van de Afdeling advisering van 12 november 2025 (W16.25.00126/II) over de Eerste aanvullingswet Wetboek van Strafvordering, Bijzonder deel, Onderdeel D.</w:t>
      </w:r>
    </w:p>
    <w:p w14:paraId="26FDB5CC" w14:textId="3F3400FC" w:rsidR="00995180" w:rsidRPr="00995180" w:rsidRDefault="00995180">
      <w:pPr>
        <w:pStyle w:val="Voetnoottekst"/>
        <w:rPr>
          <w:rFonts w:ascii="Times New Roman" w:hAnsi="Times New Roman" w:cs="Times New Roman"/>
        </w:rPr>
      </w:pPr>
      <w:r w:rsidRPr="00995180">
        <w:rPr>
          <w:rFonts w:ascii="Times New Roman" w:hAnsi="Times New Roman" w:cs="Times New Roman"/>
        </w:rPr>
        <w:t>(14) Artikel I, onderdeel B (artikel 22 lid 5).</w:t>
      </w:r>
    </w:p>
  </w:footnote>
  <w:footnote w:id="14">
    <w:p w14:paraId="5B6950C1" w14:textId="4893C5F8" w:rsidR="00995180" w:rsidRPr="00995180" w:rsidRDefault="00995180">
      <w:pPr>
        <w:pStyle w:val="Voetnoottekst"/>
        <w:rPr>
          <w:rFonts w:ascii="Times New Roman" w:hAnsi="Times New Roman" w:cs="Times New Roman"/>
        </w:rPr>
      </w:pPr>
      <w:r w:rsidRPr="00995180">
        <w:rPr>
          <w:rStyle w:val="Voetnootmarkering"/>
          <w:rFonts w:ascii="Times New Roman" w:hAnsi="Times New Roman" w:cs="Times New Roman"/>
        </w:rPr>
        <w:footnoteRef/>
      </w:r>
      <w:r w:rsidRPr="00995180">
        <w:rPr>
          <w:rFonts w:ascii="Times New Roman" w:hAnsi="Times New Roman" w:cs="Times New Roman"/>
        </w:rPr>
        <w:t xml:space="preserve"> Artikel I, onderdeel B (artikel 22 lid 5).</w:t>
      </w:r>
    </w:p>
  </w:footnote>
  <w:footnote w:id="15">
    <w:p w14:paraId="6F5756F1" w14:textId="6271E465" w:rsidR="00995180" w:rsidRPr="00E20571" w:rsidRDefault="00995180">
      <w:pPr>
        <w:pStyle w:val="Voetnoottekst"/>
        <w:rPr>
          <w:rFonts w:ascii="Times New Roman" w:hAnsi="Times New Roman" w:cs="Times New Roman"/>
        </w:rPr>
      </w:pPr>
      <w:r w:rsidRPr="00995180">
        <w:rPr>
          <w:rStyle w:val="Voetnootmarkering"/>
          <w:rFonts w:ascii="Times New Roman" w:hAnsi="Times New Roman" w:cs="Times New Roman"/>
        </w:rPr>
        <w:footnoteRef/>
      </w:r>
      <w:r w:rsidRPr="00995180">
        <w:rPr>
          <w:rFonts w:ascii="Times New Roman" w:hAnsi="Times New Roman" w:cs="Times New Roman"/>
        </w:rPr>
        <w:t xml:space="preserve"> Memorie van Toelichting, Algemeen deel, paragraaf 3.2 Inhoud van de elektronische detentie, en Artikelsgewijze toelichting, Onderdeel B (artikelen 22 en 22a).</w:t>
      </w:r>
    </w:p>
  </w:footnote>
  <w:footnote w:id="16">
    <w:p w14:paraId="110F738D" w14:textId="3080BC62" w:rsidR="00E20571" w:rsidRPr="00386026" w:rsidRDefault="00E20571">
      <w:pPr>
        <w:pStyle w:val="Voetnoottekst"/>
        <w:rPr>
          <w:rFonts w:ascii="Times New Roman" w:hAnsi="Times New Roman" w:cs="Times New Roman"/>
        </w:rPr>
      </w:pPr>
      <w:r w:rsidRPr="00386026">
        <w:rPr>
          <w:rStyle w:val="Voetnootmarkering"/>
          <w:rFonts w:ascii="Times New Roman" w:hAnsi="Times New Roman" w:cs="Times New Roman"/>
        </w:rPr>
        <w:footnoteRef/>
      </w:r>
      <w:r w:rsidRPr="00386026">
        <w:rPr>
          <w:rFonts w:ascii="Times New Roman" w:hAnsi="Times New Roman" w:cs="Times New Roman"/>
        </w:rPr>
        <w:t xml:space="preserve"> Advies </w:t>
      </w:r>
      <w:r w:rsidRPr="00386026">
        <w:rPr>
          <w:rFonts w:ascii="Times New Roman" w:hAnsi="Times New Roman" w:cs="Times New Roman"/>
        </w:rPr>
        <w:t>Rvdr, 22 mei 2025, p. 3-4.</w:t>
      </w:r>
    </w:p>
  </w:footnote>
  <w:footnote w:id="17">
    <w:p w14:paraId="610C4AB4" w14:textId="3A17CAC1" w:rsidR="00E20571" w:rsidRPr="00386026" w:rsidRDefault="00E20571">
      <w:pPr>
        <w:pStyle w:val="Voetnoottekst"/>
        <w:rPr>
          <w:rFonts w:ascii="Times New Roman" w:hAnsi="Times New Roman" w:cs="Times New Roman"/>
        </w:rPr>
      </w:pPr>
      <w:r w:rsidRPr="00386026">
        <w:rPr>
          <w:rStyle w:val="Voetnootmarkering"/>
          <w:rFonts w:ascii="Times New Roman" w:hAnsi="Times New Roman" w:cs="Times New Roman"/>
        </w:rPr>
        <w:footnoteRef/>
      </w:r>
      <w:r w:rsidRPr="00386026">
        <w:rPr>
          <w:rFonts w:ascii="Times New Roman" w:hAnsi="Times New Roman" w:cs="Times New Roman"/>
        </w:rPr>
        <w:t xml:space="preserve"> Kenniscentrum Commissie van Toezicht, dossier Middelengebruik, commissievantoezicht.nl.</w:t>
      </w:r>
    </w:p>
  </w:footnote>
  <w:footnote w:id="18">
    <w:p w14:paraId="48C082EC" w14:textId="599EDC48" w:rsidR="00E20571" w:rsidRPr="00386026" w:rsidRDefault="00E20571">
      <w:pPr>
        <w:pStyle w:val="Voetnoottekst"/>
        <w:rPr>
          <w:rFonts w:ascii="Times New Roman" w:hAnsi="Times New Roman" w:cs="Times New Roman"/>
        </w:rPr>
      </w:pPr>
      <w:r w:rsidRPr="00386026">
        <w:rPr>
          <w:rStyle w:val="Voetnootmarkering"/>
          <w:rFonts w:ascii="Times New Roman" w:hAnsi="Times New Roman" w:cs="Times New Roman"/>
        </w:rPr>
        <w:footnoteRef/>
      </w:r>
      <w:r w:rsidRPr="00386026">
        <w:rPr>
          <w:rFonts w:ascii="Times New Roman" w:hAnsi="Times New Roman" w:cs="Times New Roman"/>
        </w:rPr>
        <w:t xml:space="preserve"> Artikel I, onderdeel B (artikel 22 lid 6).</w:t>
      </w:r>
    </w:p>
  </w:footnote>
  <w:footnote w:id="19">
    <w:p w14:paraId="4C591399" w14:textId="4CD29F0C" w:rsidR="00E20571" w:rsidRPr="00386026" w:rsidRDefault="00E20571">
      <w:pPr>
        <w:pStyle w:val="Voetnoottekst"/>
        <w:rPr>
          <w:rFonts w:ascii="Times New Roman" w:hAnsi="Times New Roman" w:cs="Times New Roman"/>
        </w:rPr>
      </w:pPr>
      <w:r w:rsidRPr="00386026">
        <w:rPr>
          <w:rStyle w:val="Voetnootmarkering"/>
          <w:rFonts w:ascii="Times New Roman" w:hAnsi="Times New Roman" w:cs="Times New Roman"/>
        </w:rPr>
        <w:footnoteRef/>
      </w:r>
      <w:r w:rsidRPr="00386026">
        <w:rPr>
          <w:rFonts w:ascii="Times New Roman" w:hAnsi="Times New Roman" w:cs="Times New Roman"/>
        </w:rPr>
        <w:t xml:space="preserve"> Memorie van Toelichting, Algemeen deel, paragraaf 3.8 Tenuitvoerlegging en toezicht.</w:t>
      </w:r>
    </w:p>
  </w:footnote>
  <w:footnote w:id="20">
    <w:p w14:paraId="3E036903" w14:textId="02F6AE16" w:rsidR="00E20571" w:rsidRDefault="00E20571">
      <w:pPr>
        <w:pStyle w:val="Voetnoottekst"/>
      </w:pPr>
      <w:r w:rsidRPr="00386026">
        <w:rPr>
          <w:rStyle w:val="Voetnootmarkering"/>
          <w:rFonts w:ascii="Times New Roman" w:hAnsi="Times New Roman" w:cs="Times New Roman"/>
        </w:rPr>
        <w:footnoteRef/>
      </w:r>
      <w:r w:rsidRPr="00386026">
        <w:rPr>
          <w:rFonts w:ascii="Times New Roman" w:hAnsi="Times New Roman" w:cs="Times New Roman"/>
        </w:rPr>
        <w:t xml:space="preserve"> Advies DJI, 20 juni 2025, p. 3-4.</w:t>
      </w:r>
    </w:p>
  </w:footnote>
  <w:footnote w:id="21">
    <w:p w14:paraId="53BF1A8D" w14:textId="46731BC9" w:rsidR="00E20571" w:rsidRPr="00386026" w:rsidRDefault="00E20571">
      <w:pPr>
        <w:pStyle w:val="Voetnoottekst"/>
        <w:rPr>
          <w:rFonts w:ascii="Times New Roman" w:hAnsi="Times New Roman" w:cs="Times New Roman"/>
        </w:rPr>
      </w:pPr>
      <w:r w:rsidRPr="00386026">
        <w:rPr>
          <w:rStyle w:val="Voetnootmarkering"/>
          <w:rFonts w:ascii="Times New Roman" w:hAnsi="Times New Roman" w:cs="Times New Roman"/>
        </w:rPr>
        <w:footnoteRef/>
      </w:r>
      <w:r w:rsidRPr="00386026">
        <w:rPr>
          <w:rFonts w:ascii="Times New Roman" w:hAnsi="Times New Roman" w:cs="Times New Roman"/>
        </w:rPr>
        <w:t xml:space="preserve"> Memorie van Toelichting, Algemeen deel, paragraaf 4.1 Verhoging maximumaantal uren.</w:t>
      </w:r>
    </w:p>
  </w:footnote>
  <w:footnote w:id="22">
    <w:p w14:paraId="27257248" w14:textId="0B81B73A" w:rsidR="00E20571" w:rsidRPr="00386026" w:rsidRDefault="00E20571">
      <w:pPr>
        <w:pStyle w:val="Voetnoottekst"/>
        <w:rPr>
          <w:rFonts w:ascii="Times New Roman" w:hAnsi="Times New Roman" w:cs="Times New Roman"/>
        </w:rPr>
      </w:pPr>
      <w:r w:rsidRPr="00386026">
        <w:rPr>
          <w:rStyle w:val="Voetnootmarkering"/>
          <w:rFonts w:ascii="Times New Roman" w:hAnsi="Times New Roman" w:cs="Times New Roman"/>
        </w:rPr>
        <w:footnoteRef/>
      </w:r>
      <w:r w:rsidRPr="00386026">
        <w:rPr>
          <w:rFonts w:ascii="Times New Roman" w:hAnsi="Times New Roman" w:cs="Times New Roman"/>
        </w:rPr>
        <w:t xml:space="preserve"> Artikel II, onderdeel D. Zowel voor het jeugdstrafrecht als voor het algemene strafrecht is de voorgestelde verruiming een derde van de bestaande termijnen: In het jeugdstrafrecht gaat het om een verruiming van 9 maanden naar een jaar bij taakstraffen met een duur onder de 100 uur en van 18 maanden naar twee jaar bij taakstraffen met een duur vanaf 100 uur. In het algemene strafrecht gaat het om een verruiming van 9 maanden naar een jaar indien de taakstraf is opgelegd in een strafbeschikking en van achttien maanden naar twee jaar indien de taakstraf is opgelegd door de rechter.</w:t>
      </w:r>
    </w:p>
  </w:footnote>
  <w:footnote w:id="23">
    <w:p w14:paraId="5CCD00F1" w14:textId="0AF35C7C" w:rsidR="00E20571" w:rsidRPr="00386026" w:rsidRDefault="00E20571">
      <w:pPr>
        <w:pStyle w:val="Voetnoottekst"/>
        <w:rPr>
          <w:rFonts w:ascii="Times New Roman" w:hAnsi="Times New Roman" w:cs="Times New Roman"/>
        </w:rPr>
      </w:pPr>
      <w:r w:rsidRPr="00386026">
        <w:rPr>
          <w:rStyle w:val="Voetnootmarkering"/>
          <w:rFonts w:ascii="Times New Roman" w:hAnsi="Times New Roman" w:cs="Times New Roman"/>
        </w:rPr>
        <w:footnoteRef/>
      </w:r>
      <w:r w:rsidRPr="00386026">
        <w:rPr>
          <w:rFonts w:ascii="Times New Roman" w:hAnsi="Times New Roman" w:cs="Times New Roman"/>
        </w:rPr>
        <w:t xml:space="preserve"> Memorie van Toelichting, Algemeen deel, paragraaf 4.2 Verruiming uitvoeringstermijn.</w:t>
      </w:r>
    </w:p>
  </w:footnote>
  <w:footnote w:id="24">
    <w:p w14:paraId="35E6DA84" w14:textId="513577E9" w:rsidR="00E20571" w:rsidRPr="00386026" w:rsidRDefault="00E20571">
      <w:pPr>
        <w:pStyle w:val="Voetnoottekst"/>
        <w:rPr>
          <w:rFonts w:ascii="Times New Roman" w:hAnsi="Times New Roman" w:cs="Times New Roman"/>
        </w:rPr>
      </w:pPr>
      <w:r w:rsidRPr="00386026">
        <w:rPr>
          <w:rStyle w:val="Voetnootmarkering"/>
          <w:rFonts w:ascii="Times New Roman" w:hAnsi="Times New Roman" w:cs="Times New Roman"/>
        </w:rPr>
        <w:footnoteRef/>
      </w:r>
      <w:r w:rsidRPr="00386026">
        <w:rPr>
          <w:rFonts w:ascii="Times New Roman" w:hAnsi="Times New Roman" w:cs="Times New Roman"/>
        </w:rPr>
        <w:t xml:space="preserve"> Advies </w:t>
      </w:r>
      <w:r w:rsidRPr="00386026">
        <w:rPr>
          <w:rFonts w:ascii="Times New Roman" w:hAnsi="Times New Roman" w:cs="Times New Roman"/>
        </w:rPr>
        <w:t>RvdK, 10 juli 2025, p. 10.</w:t>
      </w:r>
    </w:p>
  </w:footnote>
  <w:footnote w:id="25">
    <w:p w14:paraId="6D73E9B3" w14:textId="3211A091" w:rsidR="00E20571" w:rsidRDefault="00E20571">
      <w:pPr>
        <w:pStyle w:val="Voetnoottekst"/>
      </w:pPr>
      <w:r w:rsidRPr="00386026">
        <w:rPr>
          <w:rStyle w:val="Voetnootmarkering"/>
          <w:rFonts w:ascii="Times New Roman" w:hAnsi="Times New Roman" w:cs="Times New Roman"/>
        </w:rPr>
        <w:footnoteRef/>
      </w:r>
      <w:r w:rsidRPr="00386026">
        <w:rPr>
          <w:rFonts w:ascii="Times New Roman" w:hAnsi="Times New Roman" w:cs="Times New Roman"/>
        </w:rPr>
        <w:t xml:space="preserve"> Verzamelbrief justitiële jeugd, Kamerstukken II 2023/24, 28741, 119, p. 8.</w:t>
      </w:r>
    </w:p>
  </w:footnote>
  <w:footnote w:id="26">
    <w:p w14:paraId="3F17876A" w14:textId="26CCE1DC" w:rsidR="00E20571" w:rsidRPr="00386026" w:rsidRDefault="00E20571">
      <w:pPr>
        <w:pStyle w:val="Voetnoottekst"/>
        <w:rPr>
          <w:rFonts w:ascii="Times New Roman" w:hAnsi="Times New Roman" w:cs="Times New Roman"/>
        </w:rPr>
      </w:pPr>
      <w:r w:rsidRPr="00386026">
        <w:rPr>
          <w:rStyle w:val="Voetnootmarkering"/>
          <w:rFonts w:ascii="Times New Roman" w:hAnsi="Times New Roman" w:cs="Times New Roman"/>
        </w:rPr>
        <w:footnoteRef/>
      </w:r>
      <w:r w:rsidRPr="00386026">
        <w:rPr>
          <w:rFonts w:ascii="Times New Roman" w:hAnsi="Times New Roman" w:cs="Times New Roman"/>
        </w:rPr>
        <w:t xml:space="preserve"> Memorie van Toelichting, Algemeen deel, paragraaf 3.5 Verhouding tot andere hoofdstraffen.</w:t>
      </w:r>
    </w:p>
  </w:footnote>
  <w:footnote w:id="27">
    <w:p w14:paraId="35884A40" w14:textId="6488C23B" w:rsidR="00E20571" w:rsidRDefault="00E20571">
      <w:pPr>
        <w:pStyle w:val="Voetnoottekst"/>
      </w:pPr>
      <w:r w:rsidRPr="00386026">
        <w:rPr>
          <w:rStyle w:val="Voetnootmarkering"/>
          <w:rFonts w:ascii="Times New Roman" w:hAnsi="Times New Roman" w:cs="Times New Roman"/>
        </w:rPr>
        <w:footnoteRef/>
      </w:r>
      <w:r w:rsidRPr="00386026">
        <w:rPr>
          <w:rFonts w:ascii="Times New Roman" w:hAnsi="Times New Roman" w:cs="Times New Roman"/>
        </w:rPr>
        <w:t xml:space="preserve"> Memorie van Toelichting, Algemeen deel, paragraaf 3.4 Meerwaarde ten opzichte van gevangenisstraf. Zie ook de consultatiereactie van het OM, 3 juni 2025, p. 7.</w:t>
      </w:r>
    </w:p>
  </w:footnote>
  <w:footnote w:id="28">
    <w:p w14:paraId="138F3519" w14:textId="710BDBF0" w:rsidR="00E20571" w:rsidRPr="00386026" w:rsidRDefault="00E20571">
      <w:pPr>
        <w:pStyle w:val="Voetnoottekst"/>
        <w:rPr>
          <w:rFonts w:ascii="Times New Roman" w:hAnsi="Times New Roman" w:cs="Times New Roman"/>
        </w:rPr>
      </w:pPr>
      <w:r w:rsidRPr="00386026">
        <w:rPr>
          <w:rStyle w:val="Voetnootmarkering"/>
          <w:rFonts w:ascii="Times New Roman" w:hAnsi="Times New Roman" w:cs="Times New Roman"/>
        </w:rPr>
        <w:footnoteRef/>
      </w:r>
      <w:r w:rsidRPr="00386026">
        <w:rPr>
          <w:rFonts w:ascii="Times New Roman" w:hAnsi="Times New Roman" w:cs="Times New Roman"/>
        </w:rPr>
        <w:t xml:space="preserve"> Memorie van Toelichting, Algemeen deel, paragraaf 5. Adviezen over het wetsvoorstel.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D9"/>
    <w:rsid w:val="0000337B"/>
    <w:rsid w:val="000201A6"/>
    <w:rsid w:val="000456FE"/>
    <w:rsid w:val="00046EDC"/>
    <w:rsid w:val="0006437C"/>
    <w:rsid w:val="000919D3"/>
    <w:rsid w:val="00092541"/>
    <w:rsid w:val="000A6A03"/>
    <w:rsid w:val="000E27A4"/>
    <w:rsid w:val="000F1D86"/>
    <w:rsid w:val="00114228"/>
    <w:rsid w:val="00114B71"/>
    <w:rsid w:val="00116108"/>
    <w:rsid w:val="00130E8F"/>
    <w:rsid w:val="00131EC5"/>
    <w:rsid w:val="001347BB"/>
    <w:rsid w:val="00146D38"/>
    <w:rsid w:val="00171620"/>
    <w:rsid w:val="00180330"/>
    <w:rsid w:val="00185735"/>
    <w:rsid w:val="001A1525"/>
    <w:rsid w:val="001A3174"/>
    <w:rsid w:val="001A38FB"/>
    <w:rsid w:val="001C669D"/>
    <w:rsid w:val="001D0F69"/>
    <w:rsid w:val="001E0F76"/>
    <w:rsid w:val="00204086"/>
    <w:rsid w:val="00207B54"/>
    <w:rsid w:val="00217497"/>
    <w:rsid w:val="00225DBD"/>
    <w:rsid w:val="00243677"/>
    <w:rsid w:val="0026607E"/>
    <w:rsid w:val="002701CD"/>
    <w:rsid w:val="002712D2"/>
    <w:rsid w:val="0029279A"/>
    <w:rsid w:val="00292F08"/>
    <w:rsid w:val="002C5F65"/>
    <w:rsid w:val="002C699D"/>
    <w:rsid w:val="002D7795"/>
    <w:rsid w:val="002E32FF"/>
    <w:rsid w:val="002F5838"/>
    <w:rsid w:val="002F5EEF"/>
    <w:rsid w:val="00301163"/>
    <w:rsid w:val="00306152"/>
    <w:rsid w:val="00307EC7"/>
    <w:rsid w:val="00312656"/>
    <w:rsid w:val="00322648"/>
    <w:rsid w:val="00330748"/>
    <w:rsid w:val="0033147F"/>
    <w:rsid w:val="0036091C"/>
    <w:rsid w:val="003643ED"/>
    <w:rsid w:val="003833D5"/>
    <w:rsid w:val="00386026"/>
    <w:rsid w:val="003B40C1"/>
    <w:rsid w:val="003E639C"/>
    <w:rsid w:val="00401EF4"/>
    <w:rsid w:val="004043DC"/>
    <w:rsid w:val="004070B2"/>
    <w:rsid w:val="00422F84"/>
    <w:rsid w:val="00472CBE"/>
    <w:rsid w:val="00472E6E"/>
    <w:rsid w:val="004829E2"/>
    <w:rsid w:val="00494948"/>
    <w:rsid w:val="004A014F"/>
    <w:rsid w:val="004E5CB9"/>
    <w:rsid w:val="004E6F65"/>
    <w:rsid w:val="004E736E"/>
    <w:rsid w:val="004F4635"/>
    <w:rsid w:val="00507455"/>
    <w:rsid w:val="00515848"/>
    <w:rsid w:val="00555E5C"/>
    <w:rsid w:val="00557602"/>
    <w:rsid w:val="00571CB8"/>
    <w:rsid w:val="005966AA"/>
    <w:rsid w:val="005B0268"/>
    <w:rsid w:val="005B16B2"/>
    <w:rsid w:val="005B7D80"/>
    <w:rsid w:val="005C5090"/>
    <w:rsid w:val="005C7190"/>
    <w:rsid w:val="005D1D19"/>
    <w:rsid w:val="005F50A1"/>
    <w:rsid w:val="006134EC"/>
    <w:rsid w:val="00633E61"/>
    <w:rsid w:val="00641BF8"/>
    <w:rsid w:val="006478BB"/>
    <w:rsid w:val="00654D9D"/>
    <w:rsid w:val="00677608"/>
    <w:rsid w:val="0068432F"/>
    <w:rsid w:val="006A5B1E"/>
    <w:rsid w:val="006D4894"/>
    <w:rsid w:val="006F0674"/>
    <w:rsid w:val="0071446E"/>
    <w:rsid w:val="0071665A"/>
    <w:rsid w:val="00725508"/>
    <w:rsid w:val="0072664A"/>
    <w:rsid w:val="00740235"/>
    <w:rsid w:val="00756FAC"/>
    <w:rsid w:val="0076201A"/>
    <w:rsid w:val="00767A1C"/>
    <w:rsid w:val="007B68CA"/>
    <w:rsid w:val="007C3242"/>
    <w:rsid w:val="007D3F23"/>
    <w:rsid w:val="007E43C5"/>
    <w:rsid w:val="007E522E"/>
    <w:rsid w:val="00801959"/>
    <w:rsid w:val="008028E2"/>
    <w:rsid w:val="00803B2C"/>
    <w:rsid w:val="00811EC9"/>
    <w:rsid w:val="00820993"/>
    <w:rsid w:val="00821669"/>
    <w:rsid w:val="00846F9C"/>
    <w:rsid w:val="00847451"/>
    <w:rsid w:val="00847506"/>
    <w:rsid w:val="0085046D"/>
    <w:rsid w:val="00857196"/>
    <w:rsid w:val="008D73C2"/>
    <w:rsid w:val="008E43C3"/>
    <w:rsid w:val="00900631"/>
    <w:rsid w:val="00914890"/>
    <w:rsid w:val="00923111"/>
    <w:rsid w:val="0099071F"/>
    <w:rsid w:val="00995180"/>
    <w:rsid w:val="009A0573"/>
    <w:rsid w:val="009A553C"/>
    <w:rsid w:val="009B500D"/>
    <w:rsid w:val="009C108D"/>
    <w:rsid w:val="00A048C8"/>
    <w:rsid w:val="00A17F31"/>
    <w:rsid w:val="00A26F85"/>
    <w:rsid w:val="00A43CB7"/>
    <w:rsid w:val="00A525DA"/>
    <w:rsid w:val="00A55CED"/>
    <w:rsid w:val="00A61901"/>
    <w:rsid w:val="00A93A6D"/>
    <w:rsid w:val="00A974D5"/>
    <w:rsid w:val="00AA763A"/>
    <w:rsid w:val="00AB7C52"/>
    <w:rsid w:val="00AE7CA4"/>
    <w:rsid w:val="00AF006E"/>
    <w:rsid w:val="00B04450"/>
    <w:rsid w:val="00B04AF2"/>
    <w:rsid w:val="00B21A84"/>
    <w:rsid w:val="00B25507"/>
    <w:rsid w:val="00B624E7"/>
    <w:rsid w:val="00B77BC2"/>
    <w:rsid w:val="00B92510"/>
    <w:rsid w:val="00BA0B59"/>
    <w:rsid w:val="00BB0E5B"/>
    <w:rsid w:val="00BB4DD3"/>
    <w:rsid w:val="00BD78D9"/>
    <w:rsid w:val="00BF0776"/>
    <w:rsid w:val="00BF1D5E"/>
    <w:rsid w:val="00BF483A"/>
    <w:rsid w:val="00BF76C4"/>
    <w:rsid w:val="00C05929"/>
    <w:rsid w:val="00C1674D"/>
    <w:rsid w:val="00C34A25"/>
    <w:rsid w:val="00C37E01"/>
    <w:rsid w:val="00C62ECB"/>
    <w:rsid w:val="00C76860"/>
    <w:rsid w:val="00C905DC"/>
    <w:rsid w:val="00C95C07"/>
    <w:rsid w:val="00C96CBB"/>
    <w:rsid w:val="00C97002"/>
    <w:rsid w:val="00CB0E88"/>
    <w:rsid w:val="00CD73C8"/>
    <w:rsid w:val="00CF1EE3"/>
    <w:rsid w:val="00D405CA"/>
    <w:rsid w:val="00D614C8"/>
    <w:rsid w:val="00D822CC"/>
    <w:rsid w:val="00D92592"/>
    <w:rsid w:val="00DA3BAD"/>
    <w:rsid w:val="00DB5DB2"/>
    <w:rsid w:val="00DE408A"/>
    <w:rsid w:val="00E0497F"/>
    <w:rsid w:val="00E20571"/>
    <w:rsid w:val="00E304F0"/>
    <w:rsid w:val="00E40EE5"/>
    <w:rsid w:val="00E41480"/>
    <w:rsid w:val="00E630B2"/>
    <w:rsid w:val="00E6450C"/>
    <w:rsid w:val="00E65006"/>
    <w:rsid w:val="00E67053"/>
    <w:rsid w:val="00E74881"/>
    <w:rsid w:val="00E77F50"/>
    <w:rsid w:val="00E83474"/>
    <w:rsid w:val="00E877EA"/>
    <w:rsid w:val="00E9048A"/>
    <w:rsid w:val="00EA4FC2"/>
    <w:rsid w:val="00EC412F"/>
    <w:rsid w:val="00EC7A88"/>
    <w:rsid w:val="00ED0A9B"/>
    <w:rsid w:val="00ED14E5"/>
    <w:rsid w:val="00EE36B0"/>
    <w:rsid w:val="00F00819"/>
    <w:rsid w:val="00F0714E"/>
    <w:rsid w:val="00F21C0F"/>
    <w:rsid w:val="00F24467"/>
    <w:rsid w:val="00F36215"/>
    <w:rsid w:val="00F42687"/>
    <w:rsid w:val="00F700AB"/>
    <w:rsid w:val="00F716C0"/>
    <w:rsid w:val="00F86464"/>
    <w:rsid w:val="00F87755"/>
    <w:rsid w:val="00F94DBF"/>
    <w:rsid w:val="00FA2700"/>
    <w:rsid w:val="00FB37FE"/>
    <w:rsid w:val="00FB6124"/>
    <w:rsid w:val="00FE2259"/>
    <w:rsid w:val="00FF1E9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A704"/>
  <w15:chartTrackingRefBased/>
  <w15:docId w15:val="{DED1E555-799D-42D0-9E30-26D10226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78D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BD78D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BD78D9"/>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BD78D9"/>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BD78D9"/>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BD78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78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78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78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78D9"/>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BD78D9"/>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BD78D9"/>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BD78D9"/>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BD78D9"/>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BD78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78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78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78D9"/>
    <w:rPr>
      <w:rFonts w:eastAsiaTheme="majorEastAsia" w:cstheme="majorBidi"/>
      <w:color w:val="272727" w:themeColor="text1" w:themeTint="D8"/>
    </w:rPr>
  </w:style>
  <w:style w:type="paragraph" w:styleId="Titel">
    <w:name w:val="Title"/>
    <w:basedOn w:val="Standaard"/>
    <w:next w:val="Standaard"/>
    <w:link w:val="TitelChar"/>
    <w:uiPriority w:val="10"/>
    <w:qFormat/>
    <w:rsid w:val="00BD7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78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78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78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78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78D9"/>
    <w:rPr>
      <w:i/>
      <w:iCs/>
      <w:color w:val="404040" w:themeColor="text1" w:themeTint="BF"/>
    </w:rPr>
  </w:style>
  <w:style w:type="paragraph" w:styleId="Lijstalinea">
    <w:name w:val="List Paragraph"/>
    <w:basedOn w:val="Standaard"/>
    <w:uiPriority w:val="34"/>
    <w:qFormat/>
    <w:rsid w:val="00BD78D9"/>
    <w:pPr>
      <w:ind w:left="720"/>
      <w:contextualSpacing/>
    </w:pPr>
  </w:style>
  <w:style w:type="character" w:styleId="Intensievebenadrukking">
    <w:name w:val="Intense Emphasis"/>
    <w:basedOn w:val="Standaardalinea-lettertype"/>
    <w:uiPriority w:val="21"/>
    <w:qFormat/>
    <w:rsid w:val="00BD78D9"/>
    <w:rPr>
      <w:i/>
      <w:iCs/>
      <w:color w:val="2E74B5" w:themeColor="accent1" w:themeShade="BF"/>
    </w:rPr>
  </w:style>
  <w:style w:type="paragraph" w:styleId="Duidelijkcitaat">
    <w:name w:val="Intense Quote"/>
    <w:basedOn w:val="Standaard"/>
    <w:next w:val="Standaard"/>
    <w:link w:val="DuidelijkcitaatChar"/>
    <w:uiPriority w:val="30"/>
    <w:qFormat/>
    <w:rsid w:val="00BD78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BD78D9"/>
    <w:rPr>
      <w:i/>
      <w:iCs/>
      <w:color w:val="2E74B5" w:themeColor="accent1" w:themeShade="BF"/>
    </w:rPr>
  </w:style>
  <w:style w:type="character" w:styleId="Intensieveverwijzing">
    <w:name w:val="Intense Reference"/>
    <w:basedOn w:val="Standaardalinea-lettertype"/>
    <w:uiPriority w:val="32"/>
    <w:qFormat/>
    <w:rsid w:val="00BD78D9"/>
    <w:rPr>
      <w:b/>
      <w:bCs/>
      <w:smallCaps/>
      <w:color w:val="2E74B5" w:themeColor="accent1" w:themeShade="BF"/>
      <w:spacing w:val="5"/>
    </w:rPr>
  </w:style>
  <w:style w:type="paragraph" w:styleId="Koptekst">
    <w:name w:val="header"/>
    <w:basedOn w:val="Standaard"/>
    <w:link w:val="KoptekstChar"/>
    <w:uiPriority w:val="99"/>
    <w:unhideWhenUsed/>
    <w:rsid w:val="00E904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048A"/>
  </w:style>
  <w:style w:type="paragraph" w:styleId="Voettekst">
    <w:name w:val="footer"/>
    <w:basedOn w:val="Standaard"/>
    <w:link w:val="VoettekstChar"/>
    <w:uiPriority w:val="99"/>
    <w:unhideWhenUsed/>
    <w:rsid w:val="00E904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048A"/>
  </w:style>
  <w:style w:type="paragraph" w:customStyle="1" w:styleId="Amendement">
    <w:name w:val="Amendement"/>
    <w:rsid w:val="005C5090"/>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character" w:styleId="Verwijzingopmerking">
    <w:name w:val="annotation reference"/>
    <w:basedOn w:val="Standaardalinea-lettertype"/>
    <w:uiPriority w:val="99"/>
    <w:semiHidden/>
    <w:unhideWhenUsed/>
    <w:rsid w:val="00A61901"/>
    <w:rPr>
      <w:sz w:val="16"/>
      <w:szCs w:val="16"/>
    </w:rPr>
  </w:style>
  <w:style w:type="paragraph" w:styleId="Tekstopmerking">
    <w:name w:val="annotation text"/>
    <w:basedOn w:val="Standaard"/>
    <w:link w:val="TekstopmerkingChar"/>
    <w:uiPriority w:val="99"/>
    <w:unhideWhenUsed/>
    <w:rsid w:val="00A61901"/>
    <w:pPr>
      <w:spacing w:line="240" w:lineRule="auto"/>
    </w:pPr>
    <w:rPr>
      <w:sz w:val="20"/>
      <w:szCs w:val="20"/>
    </w:rPr>
  </w:style>
  <w:style w:type="character" w:customStyle="1" w:styleId="TekstopmerkingChar">
    <w:name w:val="Tekst opmerking Char"/>
    <w:basedOn w:val="Standaardalinea-lettertype"/>
    <w:link w:val="Tekstopmerking"/>
    <w:uiPriority w:val="99"/>
    <w:rsid w:val="00A61901"/>
    <w:rPr>
      <w:sz w:val="20"/>
      <w:szCs w:val="20"/>
    </w:rPr>
  </w:style>
  <w:style w:type="paragraph" w:styleId="Onderwerpvanopmerking">
    <w:name w:val="annotation subject"/>
    <w:basedOn w:val="Tekstopmerking"/>
    <w:next w:val="Tekstopmerking"/>
    <w:link w:val="OnderwerpvanopmerkingChar"/>
    <w:uiPriority w:val="99"/>
    <w:semiHidden/>
    <w:unhideWhenUsed/>
    <w:rsid w:val="00A61901"/>
    <w:rPr>
      <w:b/>
      <w:bCs/>
    </w:rPr>
  </w:style>
  <w:style w:type="character" w:customStyle="1" w:styleId="OnderwerpvanopmerkingChar">
    <w:name w:val="Onderwerp van opmerking Char"/>
    <w:basedOn w:val="TekstopmerkingChar"/>
    <w:link w:val="Onderwerpvanopmerking"/>
    <w:uiPriority w:val="99"/>
    <w:semiHidden/>
    <w:rsid w:val="00A61901"/>
    <w:rPr>
      <w:b/>
      <w:bCs/>
      <w:sz w:val="20"/>
      <w:szCs w:val="20"/>
    </w:rPr>
  </w:style>
  <w:style w:type="paragraph" w:styleId="Revisie">
    <w:name w:val="Revision"/>
    <w:hidden/>
    <w:uiPriority w:val="99"/>
    <w:semiHidden/>
    <w:rsid w:val="00557602"/>
    <w:pPr>
      <w:spacing w:after="0" w:line="240" w:lineRule="auto"/>
    </w:pPr>
  </w:style>
  <w:style w:type="paragraph" w:styleId="Voetnoottekst">
    <w:name w:val="footnote text"/>
    <w:basedOn w:val="Standaard"/>
    <w:link w:val="VoetnoottekstChar"/>
    <w:uiPriority w:val="99"/>
    <w:semiHidden/>
    <w:unhideWhenUsed/>
    <w:rsid w:val="00CF1EE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F1EE3"/>
    <w:rPr>
      <w:sz w:val="20"/>
      <w:szCs w:val="20"/>
    </w:rPr>
  </w:style>
  <w:style w:type="character" w:styleId="Voetnootmarkering">
    <w:name w:val="footnote reference"/>
    <w:basedOn w:val="Standaardalinea-lettertype"/>
    <w:uiPriority w:val="99"/>
    <w:semiHidden/>
    <w:unhideWhenUsed/>
    <w:rsid w:val="00CF1E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5759</ap:Words>
  <ap:Characters>31680</ap:Characters>
  <ap:DocSecurity>4</ap:DocSecurity>
  <ap:Lines>264</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2026-06-11T10:07:00.0000000Z</dcterms:created>
  <dcterms:modified xsi:type="dcterms:W3CDTF">2026-06-11T10:07:00.0000000Z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ies>
</file>