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CEA" w:rsidP="0028481A" w:rsidRDefault="004341F1" w14:paraId="0DAFEB42" w14:textId="0980F40D">
      <w:pPr>
        <w:spacing w:line="276" w:lineRule="auto"/>
      </w:pPr>
      <w:r>
        <w:t>Geachte voorzitter,</w:t>
      </w:r>
    </w:p>
    <w:p w:rsidR="00283CEA" w:rsidP="0028481A" w:rsidRDefault="00283CEA" w14:paraId="30E0FE2C" w14:textId="77777777">
      <w:pPr>
        <w:spacing w:line="276" w:lineRule="auto"/>
      </w:pPr>
    </w:p>
    <w:p w:rsidR="00283CEA" w:rsidP="0028481A" w:rsidRDefault="00FF02C9" w14:paraId="4283A47E" w14:textId="51053F0E">
      <w:pPr>
        <w:spacing w:line="276" w:lineRule="auto"/>
      </w:pPr>
      <w:r>
        <w:t>Tijdens het wetgevingsoverleg over de</w:t>
      </w:r>
      <w:r w:rsidRPr="00FF02C9">
        <w:t xml:space="preserve"> </w:t>
      </w:r>
      <w:r>
        <w:t>w</w:t>
      </w:r>
      <w:r w:rsidRPr="00FF02C9">
        <w:t>ijziging van de begrotingsstaat voor</w:t>
      </w:r>
      <w:r>
        <w:t xml:space="preserve"> </w:t>
      </w:r>
      <w:r w:rsidRPr="00FF02C9">
        <w:t>Buitenlandse Handel en Ontwikkelingshulp voor het jaar 2026</w:t>
      </w:r>
      <w:r>
        <w:t xml:space="preserve"> van 4 ju</w:t>
      </w:r>
      <w:r w:rsidR="002B1710">
        <w:t>n</w:t>
      </w:r>
      <w:r>
        <w:t xml:space="preserve">i 2026 is door de Kamer verzocht om een brief over de relatie tussen terugkeerhubs en de </w:t>
      </w:r>
      <w:r w:rsidR="00D4278E">
        <w:t>BHO-begroting</w:t>
      </w:r>
      <w:r>
        <w:t>, voorafgaand aan het vervolg van dit overleg, op 11 juni 2026. Deze brief doe ik u bij deze</w:t>
      </w:r>
      <w:r w:rsidR="007B61E2">
        <w:t xml:space="preserve"> toekomen</w:t>
      </w:r>
      <w:r w:rsidR="00FE4865">
        <w:t xml:space="preserve">, mede namens de </w:t>
      </w:r>
      <w:r w:rsidR="005211D3">
        <w:t>m</w:t>
      </w:r>
      <w:r w:rsidR="00FE4865">
        <w:t>inister van Buitenlandse Zaken</w:t>
      </w:r>
      <w:r>
        <w:t>.</w:t>
      </w:r>
    </w:p>
    <w:p w:rsidR="00FF02C9" w:rsidP="0028481A" w:rsidRDefault="00FF02C9" w14:paraId="07E72333" w14:textId="77777777">
      <w:pPr>
        <w:spacing w:line="276" w:lineRule="auto"/>
      </w:pPr>
    </w:p>
    <w:p w:rsidR="00C4147C" w:rsidP="0028481A" w:rsidRDefault="00B55E07" w14:paraId="428E714E" w14:textId="6CF6E79D">
      <w:pPr>
        <w:spacing w:line="276" w:lineRule="auto"/>
      </w:pPr>
      <w:r w:rsidRPr="00B55E07">
        <w:t xml:space="preserve">Om te komen tot een modern, humaan en toekomstbestendig asiel- en migratiesysteem </w:t>
      </w:r>
      <w:r w:rsidR="00D4278E">
        <w:t>dat</w:t>
      </w:r>
      <w:r w:rsidRPr="00B55E07">
        <w:t xml:space="preserve"> irreguliere mig</w:t>
      </w:r>
      <w:r w:rsidR="00E43A1A">
        <w:t>r</w:t>
      </w:r>
      <w:r w:rsidRPr="00B55E07">
        <w:t>atie</w:t>
      </w:r>
      <w:r w:rsidR="00D4278E">
        <w:t xml:space="preserve"> effectief tegengaat</w:t>
      </w:r>
      <w:r>
        <w:t xml:space="preserve">, </w:t>
      </w:r>
      <w:r w:rsidRPr="00B55E07">
        <w:t>verkent het kabinet met prioriteit innovatieve oplossingen, zoals de realisatie van terugkeerhubs</w:t>
      </w:r>
      <w:r w:rsidR="00E43A1A">
        <w:t>, binnen de grenzen van het internationaal recht en met borging van de mensenrechten van de betrokken migranten</w:t>
      </w:r>
      <w:r w:rsidRPr="00B55E07">
        <w:t xml:space="preserve">. </w:t>
      </w:r>
      <w:r>
        <w:t xml:space="preserve">Nederland doet </w:t>
      </w:r>
      <w:r w:rsidR="00D4278E">
        <w:t xml:space="preserve">dit </w:t>
      </w:r>
      <w:r>
        <w:t>binnen</w:t>
      </w:r>
      <w:r w:rsidR="00FF02C9">
        <w:t xml:space="preserve"> </w:t>
      </w:r>
      <w:r w:rsidR="00D4278E">
        <w:t xml:space="preserve">een </w:t>
      </w:r>
      <w:r w:rsidR="00FF02C9">
        <w:t>kopgroep</w:t>
      </w:r>
      <w:r w:rsidR="00C4147C">
        <w:t xml:space="preserve"> van </w:t>
      </w:r>
      <w:r w:rsidR="00D4278E">
        <w:t>EU-landen</w:t>
      </w:r>
      <w:r w:rsidR="00C4147C">
        <w:t xml:space="preserve">, </w:t>
      </w:r>
      <w:r>
        <w:t>met</w:t>
      </w:r>
      <w:r w:rsidR="00C4147C">
        <w:t xml:space="preserve"> Duitsland, Oostenrijk, Denemarken en Griekenland. </w:t>
      </w:r>
      <w:r w:rsidRPr="00624235" w:rsidR="00624235">
        <w:t xml:space="preserve">Een terugkeerhub maakt het mogelijk voor personen met een terugkeerbesluit om terug te keren naar een derde land waarmee een regeling of overeenkomst is getroffen, of via een </w:t>
      </w:r>
      <w:proofErr w:type="spellStart"/>
      <w:r w:rsidRPr="00624235" w:rsidR="00624235">
        <w:t>transithub</w:t>
      </w:r>
      <w:proofErr w:type="spellEnd"/>
      <w:r w:rsidRPr="00624235" w:rsidR="00624235">
        <w:t xml:space="preserve"> verder </w:t>
      </w:r>
      <w:r w:rsidR="007C5CBB">
        <w:t xml:space="preserve">te </w:t>
      </w:r>
      <w:r w:rsidRPr="00624235" w:rsidR="00624235">
        <w:t>reizen naar het land van terugkeer</w:t>
      </w:r>
      <w:r w:rsidR="00624235">
        <w:t xml:space="preserve">. </w:t>
      </w:r>
      <w:r w:rsidR="00C4147C">
        <w:t xml:space="preserve">Voor een dergelijke vorm van samenwerking bestaat een </w:t>
      </w:r>
      <w:r w:rsidR="00624235">
        <w:t xml:space="preserve">brede </w:t>
      </w:r>
      <w:r w:rsidR="00C4147C">
        <w:t xml:space="preserve">juridische grondslag na instemming door </w:t>
      </w:r>
      <w:r w:rsidR="00F77C91">
        <w:t xml:space="preserve">de Europese Raad van </w:t>
      </w:r>
      <w:r w:rsidR="0000223D">
        <w:t>m</w:t>
      </w:r>
      <w:r w:rsidR="00F77C91">
        <w:t xml:space="preserve">inisters </w:t>
      </w:r>
      <w:r w:rsidR="00C4147C">
        <w:t>met het onderhandelakkoord over de</w:t>
      </w:r>
      <w:r w:rsidR="00F77C91">
        <w:t xml:space="preserve"> Terugkeerverordening, waarover </w:t>
      </w:r>
      <w:proofErr w:type="spellStart"/>
      <w:r w:rsidRPr="00770F82" w:rsidR="00770F82">
        <w:t>MinAenM</w:t>
      </w:r>
      <w:proofErr w:type="spellEnd"/>
      <w:r w:rsidRPr="00770F82" w:rsidDel="00770F82" w:rsidR="00770F82">
        <w:t xml:space="preserve"> </w:t>
      </w:r>
      <w:r w:rsidR="00F77C91">
        <w:t>uw kamer op 2 juni jl. informeerde.</w:t>
      </w:r>
      <w:r w:rsidR="00F77C91">
        <w:rPr>
          <w:rStyle w:val="FootnoteReference"/>
        </w:rPr>
        <w:footnoteReference w:id="1"/>
      </w:r>
      <w:r w:rsidR="0029016C">
        <w:t xml:space="preserve"> </w:t>
      </w:r>
      <w:r w:rsidRPr="0029016C" w:rsidR="0029016C">
        <w:t>Het kabinet streeft ernaar voor het einde van het jaar met een concreet voorstel te komen</w:t>
      </w:r>
      <w:r w:rsidR="0029016C">
        <w:t>, zoals vermeld in de kabinetsappreciatie van het Clingendael rapport “Grenzen Verleggen”.</w:t>
      </w:r>
      <w:r w:rsidR="0029016C">
        <w:rPr>
          <w:rStyle w:val="FootnoteReference"/>
        </w:rPr>
        <w:footnoteReference w:id="2"/>
      </w:r>
      <w:r w:rsidR="0029016C">
        <w:t xml:space="preserve"> </w:t>
      </w:r>
      <w:bookmarkStart w:name="_Hlk231992036" w:id="0"/>
      <w:r w:rsidR="00624235">
        <w:t>Op dit moment bestaan er nog geen terugkeerhubs.</w:t>
      </w:r>
      <w:r w:rsidR="00E856F7">
        <w:t xml:space="preserve"> </w:t>
      </w:r>
    </w:p>
    <w:p w:rsidR="00F77C91" w:rsidP="0028481A" w:rsidRDefault="00F77C91" w14:paraId="246E0705" w14:textId="77777777">
      <w:pPr>
        <w:spacing w:line="276" w:lineRule="auto"/>
      </w:pPr>
    </w:p>
    <w:p w:rsidR="0087197E" w:rsidP="0028481A" w:rsidRDefault="00F77C91" w14:paraId="0CDF1345" w14:textId="40A28907">
      <w:pPr>
        <w:spacing w:line="276" w:lineRule="auto"/>
      </w:pPr>
      <w:r>
        <w:t xml:space="preserve">De </w:t>
      </w:r>
      <w:r w:rsidR="00624235">
        <w:t xml:space="preserve">ontwikkeling van </w:t>
      </w:r>
      <w:r>
        <w:t xml:space="preserve">terugkeerhubs </w:t>
      </w:r>
      <w:r w:rsidR="00624235">
        <w:t>beoogt het kabinet in te bedden in de brede relaties met de betreffende landen, die gebaseerd zijn op wederzijdse belangen.</w:t>
      </w:r>
      <w:r>
        <w:t xml:space="preserve"> </w:t>
      </w:r>
      <w:bookmarkStart w:name="_Hlk231992187" w:id="1"/>
      <w:r>
        <w:t xml:space="preserve">Om aan gebalanceerde partnerschappen te werken waarin ook oog is voor de belangen van de partner, </w:t>
      </w:r>
      <w:r w:rsidR="00C60D98">
        <w:t>zal</w:t>
      </w:r>
      <w:r w:rsidR="00624235">
        <w:t xml:space="preserve"> ook</w:t>
      </w:r>
      <w:r>
        <w:t xml:space="preserve"> </w:t>
      </w:r>
      <w:r w:rsidR="00D4278E">
        <w:t>BHO</w:t>
      </w:r>
      <w:r w:rsidR="007C5CBB">
        <w:t>S</w:t>
      </w:r>
      <w:r w:rsidR="00D4278E">
        <w:t>-programmering</w:t>
      </w:r>
      <w:r w:rsidR="00624235">
        <w:t xml:space="preserve"> worden ingezet </w:t>
      </w:r>
      <w:r w:rsidR="0087197E">
        <w:t>om in de ontwikkelbelangen van de (beoogde) partners tegemoet te kunnen komen</w:t>
      </w:r>
      <w:bookmarkEnd w:id="1"/>
      <w:r w:rsidR="0087197E">
        <w:t xml:space="preserve">, </w:t>
      </w:r>
      <w:r w:rsidR="00E43A1A">
        <w:lastRenderedPageBreak/>
        <w:t xml:space="preserve">waarbij de inzet wordt bezien in het licht van beleidsprioriteiten, </w:t>
      </w:r>
      <w:r w:rsidR="0087197E">
        <w:t xml:space="preserve">zoals ook </w:t>
      </w:r>
      <w:r w:rsidR="0000223D">
        <w:t xml:space="preserve">gebeurt </w:t>
      </w:r>
      <w:r w:rsidR="0087197E">
        <w:t xml:space="preserve">binnen de context van reguliere partnerschappen waar migratie een onderdeel van is. </w:t>
      </w:r>
      <w:r w:rsidR="00624235">
        <w:t xml:space="preserve">Waar mogelijk sluiten we daarbij aan op bestaande EU-inzet. </w:t>
      </w:r>
      <w:r w:rsidRPr="00F905CC" w:rsidR="00F905CC">
        <w:t>De behoeftestelling moet nog plaatsvinden. Daarom zal middeleninzet vanaf 2027 plaatsvinden. Dat hangt derhalve met name af van de behoeften van potentiële partnerlanden en kan dus ook andere thema’s dan migratie beslaan.</w:t>
      </w:r>
      <w:r w:rsidR="00FE4865">
        <w:t xml:space="preserve"> </w:t>
      </w:r>
      <w:r w:rsidR="0087197E">
        <w:t xml:space="preserve">Daarbij blijft het uitgangspunt dat </w:t>
      </w:r>
      <w:r w:rsidR="005E17F8">
        <w:t>ODA</w:t>
      </w:r>
      <w:r w:rsidR="00D4278E">
        <w:t>-</w:t>
      </w:r>
      <w:r w:rsidR="0087197E">
        <w:t xml:space="preserve">financiering </w:t>
      </w:r>
      <w:r w:rsidR="00944346">
        <w:t>voldoet</w:t>
      </w:r>
      <w:r w:rsidR="0087197E">
        <w:t xml:space="preserve"> aan de OESO-DAC criteria voor ontwikkelingssamenwerking</w:t>
      </w:r>
      <w:r>
        <w:t xml:space="preserve">. </w:t>
      </w:r>
    </w:p>
    <w:bookmarkEnd w:id="0"/>
    <w:p w:rsidR="0029016C" w:rsidP="0028481A" w:rsidRDefault="0029016C" w14:paraId="447752C1" w14:textId="77777777">
      <w:pPr>
        <w:spacing w:line="276" w:lineRule="auto"/>
      </w:pPr>
    </w:p>
    <w:p w:rsidR="00F77C91" w:rsidP="0028481A" w:rsidRDefault="0029016C" w14:paraId="259D98E9" w14:textId="1F614061">
      <w:pPr>
        <w:spacing w:line="276" w:lineRule="auto"/>
      </w:pPr>
      <w:r>
        <w:t>Momenteel word</w:t>
      </w:r>
      <w:r w:rsidR="00141CCD">
        <w:t xml:space="preserve">t samen met de kopgroep van </w:t>
      </w:r>
      <w:r w:rsidR="00D4278E">
        <w:t>EU-landen</w:t>
      </w:r>
      <w:r w:rsidR="00141CCD">
        <w:t xml:space="preserve"> een verkenning uitgevoerd naar potentiële partnerlanden. Dit is een sensitief en diplomatiek vertrouwelijk proces. In de besloten technische briefing over migratiepartnerschappen</w:t>
      </w:r>
      <w:r w:rsidR="006652AB">
        <w:t xml:space="preserve">, recent toegezegd door de </w:t>
      </w:r>
      <w:r w:rsidR="00E41E40">
        <w:t>m</w:t>
      </w:r>
      <w:r w:rsidR="006652AB">
        <w:t xml:space="preserve">inister van </w:t>
      </w:r>
      <w:r w:rsidR="001E3F87">
        <w:t>Asiel en Migratie</w:t>
      </w:r>
      <w:r w:rsidR="006652AB">
        <w:t xml:space="preserve"> in het C</w:t>
      </w:r>
      <w:r w:rsidR="001E3F87">
        <w:t>ommissiedebat</w:t>
      </w:r>
      <w:r w:rsidR="006652AB">
        <w:t xml:space="preserve"> JBZ van 27 mei,</w:t>
      </w:r>
      <w:r w:rsidR="00141CCD">
        <w:t xml:space="preserve"> zult u nader worden geïnformeerd over de stand van zaken. </w:t>
      </w:r>
    </w:p>
    <w:p w:rsidR="00151980" w:rsidP="0028481A" w:rsidRDefault="00151980" w14:paraId="7A58F4A3" w14:textId="77777777">
      <w:pPr>
        <w:spacing w:line="276" w:lineRule="auto"/>
      </w:pPr>
    </w:p>
    <w:p w:rsidR="0000223D" w:rsidP="0028481A" w:rsidRDefault="0000223D" w14:paraId="5CCA593A" w14:textId="77777777">
      <w:pPr>
        <w:spacing w:line="276" w:lineRule="auto"/>
      </w:pPr>
    </w:p>
    <w:p w:rsidRPr="00E70B3E" w:rsidR="00E70B3E" w:rsidP="0028481A" w:rsidRDefault="00E70B3E" w14:paraId="51B5CC78" w14:textId="57C1C0AF">
      <w:pPr>
        <w:spacing w:line="276" w:lineRule="auto"/>
      </w:pPr>
      <w:r w:rsidRPr="00E70B3E">
        <w:t xml:space="preserve">De minister van Buitenlandse Handel </w:t>
      </w:r>
      <w:r w:rsidR="00151980">
        <w:br/>
      </w:r>
      <w:r w:rsidRPr="00E70B3E">
        <w:t xml:space="preserve">en Ontwikkelingssamenwerking, </w:t>
      </w:r>
    </w:p>
    <w:p w:rsidR="00151980" w:rsidP="0028481A" w:rsidRDefault="00151980" w14:paraId="4DBC892B" w14:textId="77777777">
      <w:pPr>
        <w:spacing w:line="276" w:lineRule="auto"/>
      </w:pPr>
    </w:p>
    <w:p w:rsidR="00151980" w:rsidP="0028481A" w:rsidRDefault="00151980" w14:paraId="4212D226" w14:textId="77777777">
      <w:pPr>
        <w:spacing w:line="276" w:lineRule="auto"/>
      </w:pPr>
    </w:p>
    <w:p w:rsidR="00151980" w:rsidP="0028481A" w:rsidRDefault="00151980" w14:paraId="23DC5D8F" w14:textId="77777777">
      <w:pPr>
        <w:spacing w:line="276" w:lineRule="auto"/>
      </w:pPr>
    </w:p>
    <w:p w:rsidR="00151980" w:rsidP="0028481A" w:rsidRDefault="00151980" w14:paraId="43704543" w14:textId="77777777">
      <w:pPr>
        <w:spacing w:line="276" w:lineRule="auto"/>
      </w:pPr>
    </w:p>
    <w:p w:rsidRPr="00E70B3E" w:rsidR="00151980" w:rsidP="0028481A" w:rsidRDefault="00151980" w14:paraId="275CAE04" w14:textId="77777777">
      <w:pPr>
        <w:spacing w:line="276" w:lineRule="auto"/>
      </w:pPr>
    </w:p>
    <w:p w:rsidRPr="00E70B3E" w:rsidR="00E70B3E" w:rsidP="0028481A" w:rsidRDefault="00E70B3E" w14:paraId="4671F9AD" w14:textId="77777777">
      <w:pPr>
        <w:spacing w:line="276" w:lineRule="auto"/>
      </w:pPr>
      <w:r w:rsidRPr="00E70B3E">
        <w:t>S.W. Sjoerdsma</w:t>
      </w:r>
    </w:p>
    <w:p w:rsidRPr="00E70B3E" w:rsidR="00E70B3E" w:rsidP="0028481A" w:rsidRDefault="00E70B3E" w14:paraId="1D8432C6" w14:textId="77777777">
      <w:pPr>
        <w:spacing w:line="276" w:lineRule="auto"/>
      </w:pPr>
    </w:p>
    <w:p w:rsidR="00283CEA" w:rsidP="0028481A" w:rsidRDefault="00283CEA" w14:paraId="706CF0C0" w14:textId="77777777">
      <w:pPr>
        <w:spacing w:line="276" w:lineRule="auto"/>
      </w:pPr>
    </w:p>
    <w:p w:rsidR="00283CEA" w:rsidP="0028481A" w:rsidRDefault="00283CEA" w14:paraId="1E5CD669" w14:textId="77777777">
      <w:pPr>
        <w:spacing w:line="276" w:lineRule="auto"/>
      </w:pPr>
    </w:p>
    <w:p w:rsidR="00283CEA" w:rsidP="0028481A" w:rsidRDefault="00283CEA" w14:paraId="6A9A39E8" w14:textId="77777777">
      <w:pPr>
        <w:spacing w:line="276" w:lineRule="auto"/>
      </w:pPr>
    </w:p>
    <w:p w:rsidR="00283CEA" w:rsidP="0028481A" w:rsidRDefault="00283CEA" w14:paraId="39AC693A" w14:textId="77777777">
      <w:pPr>
        <w:spacing w:line="276" w:lineRule="auto"/>
      </w:pPr>
    </w:p>
    <w:p w:rsidR="00283CEA" w:rsidP="0028481A" w:rsidRDefault="00283CEA" w14:paraId="264D97C9" w14:textId="77777777">
      <w:pPr>
        <w:spacing w:line="276" w:lineRule="auto"/>
      </w:pPr>
    </w:p>
    <w:sectPr w:rsidR="00283CEA" w:rsidSect="00DB57E9">
      <w:headerReference w:type="default" r:id="rId13"/>
      <w:footerReference w:type="default" r:id="rId14"/>
      <w:headerReference w:type="first" r:id="rId15"/>
      <w:footerReference w:type="first" r:id="rId16"/>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1B32" w14:textId="77777777" w:rsidR="00945B61" w:rsidRDefault="00945B61">
      <w:pPr>
        <w:spacing w:line="240" w:lineRule="auto"/>
      </w:pPr>
      <w:r>
        <w:separator/>
      </w:r>
    </w:p>
  </w:endnote>
  <w:endnote w:type="continuationSeparator" w:id="0">
    <w:p w14:paraId="3CA3A065" w14:textId="77777777" w:rsidR="00945B61" w:rsidRDefault="00945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984201"/>
      <w:docPartObj>
        <w:docPartGallery w:val="Page Numbers (Bottom of Page)"/>
        <w:docPartUnique/>
      </w:docPartObj>
    </w:sdtPr>
    <w:sdtContent>
      <w:p w14:paraId="4CD0FF0B" w14:textId="424892DA" w:rsidR="0028481A" w:rsidRDefault="0028481A">
        <w:pPr>
          <w:pStyle w:val="Footer"/>
          <w:jc w:val="center"/>
        </w:pPr>
        <w:r>
          <w:fldChar w:fldCharType="begin"/>
        </w:r>
        <w:r>
          <w:instrText>PAGE   \* MERGEFORMAT</w:instrText>
        </w:r>
        <w:r>
          <w:fldChar w:fldCharType="separate"/>
        </w:r>
        <w:r>
          <w:t>2</w:t>
        </w:r>
        <w:r>
          <w:fldChar w:fldCharType="end"/>
        </w:r>
      </w:p>
    </w:sdtContent>
  </w:sdt>
  <w:p w14:paraId="34877CF1" w14:textId="77777777" w:rsidR="0028481A" w:rsidRDefault="0028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069511"/>
      <w:docPartObj>
        <w:docPartGallery w:val="Page Numbers (Bottom of Page)"/>
        <w:docPartUnique/>
      </w:docPartObj>
    </w:sdtPr>
    <w:sdtContent>
      <w:p w14:paraId="7E1C828A" w14:textId="64F0716F" w:rsidR="0028481A" w:rsidRDefault="0028481A">
        <w:pPr>
          <w:pStyle w:val="Footer"/>
          <w:jc w:val="center"/>
        </w:pPr>
        <w:r>
          <w:fldChar w:fldCharType="begin"/>
        </w:r>
        <w:r>
          <w:instrText>PAGE   \* MERGEFORMAT</w:instrText>
        </w:r>
        <w:r>
          <w:fldChar w:fldCharType="separate"/>
        </w:r>
        <w:r>
          <w:t>2</w:t>
        </w:r>
        <w:r>
          <w:fldChar w:fldCharType="end"/>
        </w:r>
      </w:p>
    </w:sdtContent>
  </w:sdt>
  <w:p w14:paraId="4DAA1928" w14:textId="77777777" w:rsidR="0028481A" w:rsidRDefault="0028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0DA6" w14:textId="77777777" w:rsidR="00945B61" w:rsidRDefault="00945B61">
      <w:pPr>
        <w:spacing w:line="240" w:lineRule="auto"/>
      </w:pPr>
      <w:r>
        <w:separator/>
      </w:r>
    </w:p>
  </w:footnote>
  <w:footnote w:type="continuationSeparator" w:id="0">
    <w:p w14:paraId="06D91382" w14:textId="77777777" w:rsidR="00945B61" w:rsidRDefault="00945B61">
      <w:pPr>
        <w:spacing w:line="240" w:lineRule="auto"/>
      </w:pPr>
      <w:r>
        <w:continuationSeparator/>
      </w:r>
    </w:p>
  </w:footnote>
  <w:footnote w:id="1">
    <w:p w14:paraId="78FBB100" w14:textId="20AF7729" w:rsidR="00F77C91" w:rsidRPr="00F77C91" w:rsidRDefault="00F77C91">
      <w:pPr>
        <w:pStyle w:val="FootnoteText"/>
        <w:rPr>
          <w:sz w:val="16"/>
          <w:szCs w:val="16"/>
        </w:rPr>
      </w:pPr>
      <w:r w:rsidRPr="00F77C91">
        <w:rPr>
          <w:rStyle w:val="FootnoteReference"/>
          <w:sz w:val="16"/>
          <w:szCs w:val="16"/>
        </w:rPr>
        <w:footnoteRef/>
      </w:r>
      <w:r w:rsidRPr="00F77C91">
        <w:rPr>
          <w:sz w:val="16"/>
          <w:szCs w:val="16"/>
        </w:rPr>
        <w:t xml:space="preserve"> Kamerstukken II, 2025/26, 22112 nr. 4363</w:t>
      </w:r>
    </w:p>
  </w:footnote>
  <w:footnote w:id="2">
    <w:p w14:paraId="79CD32D4" w14:textId="50D80D73" w:rsidR="0029016C" w:rsidRPr="0029016C" w:rsidRDefault="0029016C">
      <w:pPr>
        <w:pStyle w:val="FootnoteText"/>
        <w:rPr>
          <w:sz w:val="16"/>
          <w:szCs w:val="16"/>
        </w:rPr>
      </w:pPr>
      <w:r w:rsidRPr="0029016C">
        <w:rPr>
          <w:rStyle w:val="FootnoteReference"/>
          <w:sz w:val="16"/>
          <w:szCs w:val="16"/>
        </w:rPr>
        <w:footnoteRef/>
      </w:r>
      <w:r w:rsidRPr="0029016C">
        <w:rPr>
          <w:sz w:val="16"/>
          <w:szCs w:val="16"/>
        </w:rPr>
        <w:t xml:space="preserve"> Kamerstukken II 2025/26, 19637 nr. 3560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A86E" w14:textId="21E5B2F7" w:rsidR="00283CEA" w:rsidRDefault="004341F1">
    <w:r>
      <w:rPr>
        <w:noProof/>
      </w:rPr>
      <mc:AlternateContent>
        <mc:Choice Requires="wps">
          <w:drawing>
            <wp:anchor distT="0" distB="0" distL="0" distR="0" simplePos="0" relativeHeight="251658240" behindDoc="0" locked="1" layoutInCell="1" allowOverlap="1" wp14:anchorId="0DE01286" wp14:editId="3739DDCE">
              <wp:simplePos x="0" y="0"/>
              <wp:positionH relativeFrom="page">
                <wp:posOffset>5920740</wp:posOffset>
              </wp:positionH>
              <wp:positionV relativeFrom="page">
                <wp:posOffset>1965960</wp:posOffset>
              </wp:positionV>
              <wp:extent cx="139446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4460" cy="8009890"/>
                      </a:xfrm>
                      <a:prstGeom prst="rect">
                        <a:avLst/>
                      </a:prstGeom>
                      <a:noFill/>
                    </wps:spPr>
                    <wps:txbx>
                      <w:txbxContent>
                        <w:p w14:paraId="6A38870C" w14:textId="77777777" w:rsidR="00283CEA" w:rsidRDefault="004341F1">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0DE01286" id="_x0000_t202" coordsize="21600,21600" o:spt="202" path="m,l,21600r21600,l21600,xe">
              <v:stroke joinstyle="miter"/>
              <v:path gradientshapeok="t" o:connecttype="rect"/>
            </v:shapetype>
            <v:shape id="41b1110a-80a4-11ea-b356-6230a4311406" o:spid="_x0000_s1026" type="#_x0000_t202" style="position:absolute;margin-left:466.2pt;margin-top:154.8pt;width:109.8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6rkAEAAA4DAAAOAAAAZHJzL2Uyb0RvYy54bWysUttOIzEMfV+Jf4jyTme4CLWjTpEAgVZa&#10;sSuxfECaSTojTeJgh86Ur18ndNoVvCFeHCeOj4+PvbweXS+2BqkDX8uzWSmF8Rqazm9q+fz3/nQu&#10;BUXlG9WDN7XcGZLXq5MfyyFU5hxa6BuDgkE8VUOoZRtjqIqCdGucohkE4zloAZ2KfMVN0aAaGN31&#10;xXlZXhUDYBMQtCHi17v3oFxlfGuNjr+tJRNFX0vmFrPFbNfJFqulqjaoQtvpPQ31BRZOdZ6LHqDu&#10;VFTiFbtPUK7TCAQ2zjS4AqzttMk9cDdn5YdunloVTO6FxaFwkIm+D1Y/bp/CHxRxvIGRB5gEGQJV&#10;xI+pn9GiSyczFRxnCXcH2cwYhU5JF4vLyysOaY7Ny3IxX2Rhi2N6QIoPBpxITi2R55LlUttfFLkk&#10;f52+pGoe7ru+T+9HLsmL43rcE1xDs2PevHqM1wK+STHwGGtJL68KjRT9T886pZlPDk7OenKU15xa&#10;yyjFu3sb825MlVn0zG2/IGmq/98zv+Mar/4BAAD//wMAUEsDBBQABgAIAAAAIQDIJ5Ui4gAAAA0B&#10;AAAPAAAAZHJzL2Rvd25yZXYueG1sTI/BTsMwDIbvSLxDZKTdWNKOFVqaTtMEJyREVw4c0zZrozVO&#10;abKtvD3eCW62/On39+eb2Q7srCdvHEqIlgKYxsa1BjsJn9Xr/RMwHxS2anCoJfxoD5vi9iZXWesu&#10;WOrzPnSMQtBnSkIfwphx7pteW+WXbtRIt4ObrAq0Th1vJ3WhcDvwWIiEW2WQPvRq1LteN8f9yUrY&#10;fmH5Yr7f64/yUJqqSgW+JUcpF3fz9hlY0HP4g+GqT+pQkFPtTth6NkhIV/EDoRJWIk2AXYloHVO9&#10;mqb1YySAFzn/36L4BQAA//8DAFBLAQItABQABgAIAAAAIQC2gziS/gAAAOEBAAATAAAAAAAAAAAA&#10;AAAAAAAAAABbQ29udGVudF9UeXBlc10ueG1sUEsBAi0AFAAGAAgAAAAhADj9If/WAAAAlAEAAAsA&#10;AAAAAAAAAAAAAAAALwEAAF9yZWxzLy5yZWxzUEsBAi0AFAAGAAgAAAAhALkgHquQAQAADgMAAA4A&#10;AAAAAAAAAAAAAAAALgIAAGRycy9lMm9Eb2MueG1sUEsBAi0AFAAGAAgAAAAhAMgnlSLiAAAADQEA&#10;AA8AAAAAAAAAAAAAAAAA6gMAAGRycy9kb3ducmV2LnhtbFBLBQYAAAAABAAEAPMAAAD5BAAAAAA=&#10;" filled="f" stroked="f">
              <v:textbox inset="0,0,0,0">
                <w:txbxContent>
                  <w:p w14:paraId="6A38870C" w14:textId="77777777" w:rsidR="00283CEA" w:rsidRDefault="004341F1">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7772831" wp14:editId="040F6D9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53B231" w14:textId="77777777" w:rsidR="0026115E" w:rsidRDefault="0026115E"/>
                      </w:txbxContent>
                    </wps:txbx>
                    <wps:bodyPr vert="horz" wrap="square" lIns="0" tIns="0" rIns="0" bIns="0" anchor="t" anchorCtr="0"/>
                  </wps:wsp>
                </a:graphicData>
              </a:graphic>
            </wp:anchor>
          </w:drawing>
        </mc:Choice>
        <mc:Fallback>
          <w:pict>
            <v:shape w14:anchorId="27772831"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053B231" w14:textId="77777777" w:rsidR="0026115E" w:rsidRDefault="0026115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2CCA" w14:textId="01881CAA" w:rsidR="00283CEA" w:rsidRDefault="004341F1">
    <w:pPr>
      <w:spacing w:after="7131" w:line="14" w:lineRule="exact"/>
    </w:pPr>
    <w:r>
      <w:rPr>
        <w:noProof/>
      </w:rPr>
      <mc:AlternateContent>
        <mc:Choice Requires="wps">
          <w:drawing>
            <wp:anchor distT="0" distB="0" distL="0" distR="0" simplePos="0" relativeHeight="251658243" behindDoc="0" locked="1" layoutInCell="1" allowOverlap="1" wp14:anchorId="3873D854" wp14:editId="4F3ED71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4E8B90D" w14:textId="77777777" w:rsidR="0026115E" w:rsidRDefault="0026115E"/>
                      </w:txbxContent>
                    </wps:txbx>
                    <wps:bodyPr vert="horz" wrap="square" lIns="0" tIns="0" rIns="0" bIns="0" anchor="t" anchorCtr="0"/>
                  </wps:wsp>
                </a:graphicData>
              </a:graphic>
            </wp:anchor>
          </w:drawing>
        </mc:Choice>
        <mc:Fallback>
          <w:pict>
            <v:shapetype w14:anchorId="3873D85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4E8B90D" w14:textId="77777777" w:rsidR="0026115E" w:rsidRDefault="0026115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8CF9A7A" wp14:editId="0F66087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8CADF36" w14:textId="77777777" w:rsidR="00283CEA" w:rsidRDefault="004341F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8CF9A7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8CADF36" w14:textId="77777777" w:rsidR="00283CEA" w:rsidRDefault="004341F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85FCEBD" wp14:editId="6E8B1F1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83CEA" w14:paraId="508FE92B" w14:textId="77777777">
                            <w:tc>
                              <w:tcPr>
                                <w:tcW w:w="678" w:type="dxa"/>
                              </w:tcPr>
                              <w:p w14:paraId="00CFEB9D" w14:textId="77777777" w:rsidR="00283CEA" w:rsidRDefault="004341F1">
                                <w:r>
                                  <w:t>Datum</w:t>
                                </w:r>
                              </w:p>
                            </w:tc>
                            <w:tc>
                              <w:tcPr>
                                <w:tcW w:w="6851" w:type="dxa"/>
                              </w:tcPr>
                              <w:p w14:paraId="438E98FD" w14:textId="0A5AF283" w:rsidR="00283CEA" w:rsidRDefault="0028481A">
                                <w:r>
                                  <w:t xml:space="preserve">11 </w:t>
                                </w:r>
                                <w:r w:rsidR="004341F1">
                                  <w:t>juni 2026</w:t>
                                </w:r>
                              </w:p>
                            </w:tc>
                          </w:tr>
                          <w:tr w:rsidR="00283CEA" w14:paraId="5F18EC69" w14:textId="77777777">
                            <w:tc>
                              <w:tcPr>
                                <w:tcW w:w="678" w:type="dxa"/>
                              </w:tcPr>
                              <w:p w14:paraId="3BF0F1F6" w14:textId="77777777" w:rsidR="00283CEA" w:rsidRDefault="004341F1">
                                <w:r>
                                  <w:t>Betreft</w:t>
                                </w:r>
                              </w:p>
                              <w:p w14:paraId="257F2DF4" w14:textId="77777777" w:rsidR="00283CEA" w:rsidRDefault="00283CEA"/>
                            </w:tc>
                            <w:tc>
                              <w:tcPr>
                                <w:tcW w:w="6851" w:type="dxa"/>
                              </w:tcPr>
                              <w:p w14:paraId="1B12BD57" w14:textId="1D64C7B9" w:rsidR="00283CEA" w:rsidRDefault="004341F1">
                                <w:r>
                                  <w:t>Terugkeerhubs</w:t>
                                </w:r>
                                <w:r w:rsidR="001E3F87">
                                  <w:t xml:space="preserve"> en de BHO-begroting</w:t>
                                </w:r>
                              </w:p>
                              <w:p w14:paraId="38F661F6" w14:textId="77777777" w:rsidR="00283CEA" w:rsidRDefault="00283CEA"/>
                            </w:tc>
                          </w:tr>
                        </w:tbl>
                        <w:p w14:paraId="5A327460" w14:textId="77777777" w:rsidR="00283CEA" w:rsidRDefault="00283CEA"/>
                        <w:p w14:paraId="5CA766DB" w14:textId="77777777" w:rsidR="00283CEA" w:rsidRDefault="00283CEA"/>
                      </w:txbxContent>
                    </wps:txbx>
                    <wps:bodyPr vert="horz" wrap="square" lIns="0" tIns="0" rIns="0" bIns="0" anchor="t" anchorCtr="0"/>
                  </wps:wsp>
                </a:graphicData>
              </a:graphic>
            </wp:anchor>
          </w:drawing>
        </mc:Choice>
        <mc:Fallback>
          <w:pict>
            <v:shape w14:anchorId="585FCEBD"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83CEA" w14:paraId="508FE92B" w14:textId="77777777">
                      <w:tc>
                        <w:tcPr>
                          <w:tcW w:w="678" w:type="dxa"/>
                        </w:tcPr>
                        <w:p w14:paraId="00CFEB9D" w14:textId="77777777" w:rsidR="00283CEA" w:rsidRDefault="004341F1">
                          <w:r>
                            <w:t>Datum</w:t>
                          </w:r>
                        </w:p>
                      </w:tc>
                      <w:tc>
                        <w:tcPr>
                          <w:tcW w:w="6851" w:type="dxa"/>
                        </w:tcPr>
                        <w:p w14:paraId="438E98FD" w14:textId="0A5AF283" w:rsidR="00283CEA" w:rsidRDefault="0028481A">
                          <w:r>
                            <w:t xml:space="preserve">11 </w:t>
                          </w:r>
                          <w:r w:rsidR="004341F1">
                            <w:t>juni 2026</w:t>
                          </w:r>
                        </w:p>
                      </w:tc>
                    </w:tr>
                    <w:tr w:rsidR="00283CEA" w14:paraId="5F18EC69" w14:textId="77777777">
                      <w:tc>
                        <w:tcPr>
                          <w:tcW w:w="678" w:type="dxa"/>
                        </w:tcPr>
                        <w:p w14:paraId="3BF0F1F6" w14:textId="77777777" w:rsidR="00283CEA" w:rsidRDefault="004341F1">
                          <w:r>
                            <w:t>Betreft</w:t>
                          </w:r>
                        </w:p>
                        <w:p w14:paraId="257F2DF4" w14:textId="77777777" w:rsidR="00283CEA" w:rsidRDefault="00283CEA"/>
                      </w:tc>
                      <w:tc>
                        <w:tcPr>
                          <w:tcW w:w="6851" w:type="dxa"/>
                        </w:tcPr>
                        <w:p w14:paraId="1B12BD57" w14:textId="1D64C7B9" w:rsidR="00283CEA" w:rsidRDefault="004341F1">
                          <w:r>
                            <w:t>Terugkeerhubs</w:t>
                          </w:r>
                          <w:r w:rsidR="001E3F87">
                            <w:t xml:space="preserve"> en de BHO-begroting</w:t>
                          </w:r>
                        </w:p>
                        <w:p w14:paraId="38F661F6" w14:textId="77777777" w:rsidR="00283CEA" w:rsidRDefault="00283CEA"/>
                      </w:tc>
                    </w:tr>
                  </w:tbl>
                  <w:p w14:paraId="5A327460" w14:textId="77777777" w:rsidR="00283CEA" w:rsidRDefault="00283CEA"/>
                  <w:p w14:paraId="5CA766DB" w14:textId="77777777" w:rsidR="00283CEA" w:rsidRDefault="00283CE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A35C8C4" wp14:editId="14C521ED">
              <wp:simplePos x="0" y="0"/>
              <wp:positionH relativeFrom="page">
                <wp:posOffset>5920740</wp:posOffset>
              </wp:positionH>
              <wp:positionV relativeFrom="page">
                <wp:posOffset>1965960</wp:posOffset>
              </wp:positionV>
              <wp:extent cx="14173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732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2E6C254" w14:textId="77777777" w:rsidR="0028481A" w:rsidRPr="00F51C07" w:rsidRDefault="0028481A" w:rsidP="0028481A">
                              <w:pPr>
                                <w:rPr>
                                  <w:b/>
                                  <w:sz w:val="13"/>
                                  <w:szCs w:val="13"/>
                                </w:rPr>
                              </w:pPr>
                              <w:r w:rsidRPr="00FC13FA">
                                <w:rPr>
                                  <w:b/>
                                  <w:sz w:val="13"/>
                                  <w:szCs w:val="13"/>
                                </w:rPr>
                                <w:t>Ministerie van Buitenlandse Zaken</w:t>
                              </w:r>
                            </w:p>
                          </w:sdtContent>
                        </w:sdt>
                        <w:p w14:paraId="69B9BA40" w14:textId="77777777" w:rsidR="0028481A" w:rsidRPr="00EE5E5D" w:rsidRDefault="0028481A" w:rsidP="0028481A">
                          <w:pPr>
                            <w:rPr>
                              <w:sz w:val="13"/>
                              <w:szCs w:val="13"/>
                            </w:rPr>
                          </w:pPr>
                          <w:r>
                            <w:rPr>
                              <w:sz w:val="13"/>
                              <w:szCs w:val="13"/>
                            </w:rPr>
                            <w:t>Rijnstraat 8</w:t>
                          </w:r>
                        </w:p>
                        <w:p w14:paraId="152B09C3" w14:textId="77777777" w:rsidR="0028481A" w:rsidRPr="0059764A" w:rsidRDefault="0028481A" w:rsidP="0028481A">
                          <w:pPr>
                            <w:rPr>
                              <w:sz w:val="13"/>
                              <w:szCs w:val="13"/>
                              <w:lang w:val="da-DK"/>
                            </w:rPr>
                          </w:pPr>
                          <w:r w:rsidRPr="0059764A">
                            <w:rPr>
                              <w:sz w:val="13"/>
                              <w:szCs w:val="13"/>
                              <w:lang w:val="da-DK"/>
                            </w:rPr>
                            <w:t>2515 XP Den Haag</w:t>
                          </w:r>
                        </w:p>
                        <w:p w14:paraId="2F224686" w14:textId="77777777" w:rsidR="0028481A" w:rsidRPr="0059764A" w:rsidRDefault="0028481A" w:rsidP="0028481A">
                          <w:pPr>
                            <w:rPr>
                              <w:sz w:val="13"/>
                              <w:szCs w:val="13"/>
                              <w:lang w:val="da-DK"/>
                            </w:rPr>
                          </w:pPr>
                          <w:r w:rsidRPr="0059764A">
                            <w:rPr>
                              <w:sz w:val="13"/>
                              <w:szCs w:val="13"/>
                              <w:lang w:val="da-DK"/>
                            </w:rPr>
                            <w:t>Postbus 20061</w:t>
                          </w:r>
                        </w:p>
                        <w:p w14:paraId="50F83D7F" w14:textId="77777777" w:rsidR="0028481A" w:rsidRPr="0059764A" w:rsidRDefault="0028481A" w:rsidP="0028481A">
                          <w:pPr>
                            <w:rPr>
                              <w:sz w:val="13"/>
                              <w:szCs w:val="13"/>
                              <w:lang w:val="da-DK"/>
                            </w:rPr>
                          </w:pPr>
                          <w:r w:rsidRPr="0059764A">
                            <w:rPr>
                              <w:sz w:val="13"/>
                              <w:szCs w:val="13"/>
                              <w:lang w:val="da-DK"/>
                            </w:rPr>
                            <w:t>Nederland</w:t>
                          </w:r>
                        </w:p>
                        <w:p w14:paraId="2AD51899" w14:textId="77777777" w:rsidR="00151980" w:rsidRPr="00151980" w:rsidRDefault="00151980" w:rsidP="00151980">
                          <w:pPr>
                            <w:rPr>
                              <w:lang w:val="da-DK"/>
                            </w:rPr>
                          </w:pPr>
                        </w:p>
                        <w:p w14:paraId="3678B6C8" w14:textId="77777777" w:rsidR="00283CEA" w:rsidRPr="006652AB" w:rsidRDefault="004341F1">
                          <w:pPr>
                            <w:pStyle w:val="Referentiegegevens"/>
                            <w:rPr>
                              <w:lang w:val="da-DK"/>
                            </w:rPr>
                          </w:pPr>
                          <w:r w:rsidRPr="006652AB">
                            <w:rPr>
                              <w:lang w:val="da-DK"/>
                            </w:rPr>
                            <w:t>www.minbuza.nl</w:t>
                          </w:r>
                        </w:p>
                        <w:p w14:paraId="5008F930" w14:textId="77777777" w:rsidR="00283CEA" w:rsidRPr="006652AB" w:rsidRDefault="00283CEA">
                          <w:pPr>
                            <w:pStyle w:val="WitregelW2"/>
                            <w:rPr>
                              <w:lang w:val="da-DK"/>
                            </w:rPr>
                          </w:pPr>
                        </w:p>
                        <w:p w14:paraId="034C7AD0" w14:textId="77777777" w:rsidR="00283CEA" w:rsidRPr="00480B63" w:rsidRDefault="004341F1">
                          <w:pPr>
                            <w:pStyle w:val="Referentiegegevensbold"/>
                            <w:rPr>
                              <w:lang w:val="da-DK"/>
                            </w:rPr>
                          </w:pPr>
                          <w:proofErr w:type="spellStart"/>
                          <w:r w:rsidRPr="00480B63">
                            <w:rPr>
                              <w:lang w:val="da-DK"/>
                            </w:rPr>
                            <w:t>Bijlage</w:t>
                          </w:r>
                          <w:proofErr w:type="spellEnd"/>
                          <w:r w:rsidRPr="00480B63">
                            <w:rPr>
                              <w:lang w:val="da-DK"/>
                            </w:rPr>
                            <w:t>(n)</w:t>
                          </w:r>
                        </w:p>
                        <w:p w14:paraId="28101EE8" w14:textId="77777777" w:rsidR="00283CEA" w:rsidRPr="00480B63" w:rsidRDefault="004341F1">
                          <w:pPr>
                            <w:pStyle w:val="Referentiegegevens"/>
                            <w:rPr>
                              <w:lang w:val="da-DK"/>
                            </w:rPr>
                          </w:pPr>
                          <w:r w:rsidRPr="00480B63">
                            <w:rPr>
                              <w:lang w:val="da-DK"/>
                            </w:rPr>
                            <w:t>-</w:t>
                          </w:r>
                        </w:p>
                      </w:txbxContent>
                    </wps:txbx>
                    <wps:bodyPr vert="horz" wrap="square" lIns="0" tIns="0" rIns="0" bIns="0" anchor="t" anchorCtr="0"/>
                  </wps:wsp>
                </a:graphicData>
              </a:graphic>
              <wp14:sizeRelH relativeFrom="margin">
                <wp14:pctWidth>0</wp14:pctWidth>
              </wp14:sizeRelH>
            </wp:anchor>
          </w:drawing>
        </mc:Choice>
        <mc:Fallback>
          <w:pict>
            <v:shape w14:anchorId="6A35C8C4" id="41b10cd4-80a4-11ea-b356-6230a4311406" o:spid="_x0000_s1031" type="#_x0000_t202" style="position:absolute;margin-left:466.2pt;margin-top:154.8pt;width:111.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BXlAEAABUDAAAOAAAAZHJzL2Uyb0RvYy54bWysUsFOIzEMva/EP0S505kWxJZRUyRAICS0&#10;uxK7H5Bmkk6kSRyc0Jnu168TmBYtN8TFceL4+fnZq6vR9WynMVrwgs9nNWfaK2it3wr+5/fd6ZKz&#10;mKRvZQ9eC77XkV+tT76thtDoBXTQtxoZgfjYDEHwLqXQVFVUnXYyziBoT0ED6GSiK26rFuVA6K6v&#10;FnV9UQ2AbUBQOkZ6vX0N8nXBN0ar9NOYqBPrBSduqVgsdpNttV7JZosydFa90ZCfYOGk9VT0AHUr&#10;k2QvaD9AOasQIpg0U+AqMMYqXXqgbub1f908dTLo0guJE8NBpvh1sOrH7in8QpbGaxhpgFmQIcQm&#10;0mPuZzTo8klMGcVJwv1BNj0mpnLS+fz72YJCimLLur5cXhZhq2N6wJjuNTiWHcGR5lLkkrvHmKgk&#10;fZ2+5Goe7mzf5/cjl+ylcTMy2wp+MfHcQLsn+rSBBNsB/uVsoGkKHp9fJGrO+gdPcuXRTw5OzmZy&#10;pFeUKnji7NW9SWVFJgKkfaH4tid5uO/vheZxm9f/AAAA//8DAFBLAwQUAAYACAAAACEAaV7WBuIA&#10;AAANAQAADwAAAGRycy9kb3ducmV2LnhtbEyPwU7DMAyG70i8Q2QkbizpthZamk4TghMSoisHjmnr&#10;tdEapzTZ1r092Qluv+VPvz/nm9kM7IST05YkRAsBDKmxraZOwlf19vAEzHlFrRosoYQLOtgUtze5&#10;ylp7phJPO9+xUEIuUxJ678eMc9f0aJRb2BEp7PZ2MsqHcep4O6lzKDcDXwqRcKM0hQu9GvGlx+aw&#10;OxoJ228qX/XPR/1Z7ktdVamg9+Qg5f3dvH0G5nH2fzBc9YM6FMGptkdqHRskpKvlOqASViJNgF2J&#10;KI5DqkOKHyMBvMj5/y+KXwAAAP//AwBQSwECLQAUAAYACAAAACEAtoM4kv4AAADhAQAAEwAAAAAA&#10;AAAAAAAAAAAAAAAAW0NvbnRlbnRfVHlwZXNdLnhtbFBLAQItABQABgAIAAAAIQA4/SH/1gAAAJQB&#10;AAALAAAAAAAAAAAAAAAAAC8BAABfcmVscy8ucmVsc1BLAQItABQABgAIAAAAIQAYalBXlAEAABUD&#10;AAAOAAAAAAAAAAAAAAAAAC4CAABkcnMvZTJvRG9jLnhtbFBLAQItABQABgAIAAAAIQBpXtYG4gAA&#10;AA0BAAAPAAAAAAAAAAAAAAAAAO4DAABkcnMvZG93bnJldi54bWxQSwUGAAAAAAQABADzAAAA/QQA&#10;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2E6C254" w14:textId="77777777" w:rsidR="0028481A" w:rsidRPr="00F51C07" w:rsidRDefault="0028481A" w:rsidP="0028481A">
                        <w:pPr>
                          <w:rPr>
                            <w:b/>
                            <w:sz w:val="13"/>
                            <w:szCs w:val="13"/>
                          </w:rPr>
                        </w:pPr>
                        <w:r w:rsidRPr="00FC13FA">
                          <w:rPr>
                            <w:b/>
                            <w:sz w:val="13"/>
                            <w:szCs w:val="13"/>
                          </w:rPr>
                          <w:t>Ministerie van Buitenlandse Zaken</w:t>
                        </w:r>
                      </w:p>
                    </w:sdtContent>
                  </w:sdt>
                  <w:p w14:paraId="69B9BA40" w14:textId="77777777" w:rsidR="0028481A" w:rsidRPr="00EE5E5D" w:rsidRDefault="0028481A" w:rsidP="0028481A">
                    <w:pPr>
                      <w:rPr>
                        <w:sz w:val="13"/>
                        <w:szCs w:val="13"/>
                      </w:rPr>
                    </w:pPr>
                    <w:r>
                      <w:rPr>
                        <w:sz w:val="13"/>
                        <w:szCs w:val="13"/>
                      </w:rPr>
                      <w:t>Rijnstraat 8</w:t>
                    </w:r>
                  </w:p>
                  <w:p w14:paraId="152B09C3" w14:textId="77777777" w:rsidR="0028481A" w:rsidRPr="0059764A" w:rsidRDefault="0028481A" w:rsidP="0028481A">
                    <w:pPr>
                      <w:rPr>
                        <w:sz w:val="13"/>
                        <w:szCs w:val="13"/>
                        <w:lang w:val="da-DK"/>
                      </w:rPr>
                    </w:pPr>
                    <w:r w:rsidRPr="0059764A">
                      <w:rPr>
                        <w:sz w:val="13"/>
                        <w:szCs w:val="13"/>
                        <w:lang w:val="da-DK"/>
                      </w:rPr>
                      <w:t>2515 XP Den Haag</w:t>
                    </w:r>
                  </w:p>
                  <w:p w14:paraId="2F224686" w14:textId="77777777" w:rsidR="0028481A" w:rsidRPr="0059764A" w:rsidRDefault="0028481A" w:rsidP="0028481A">
                    <w:pPr>
                      <w:rPr>
                        <w:sz w:val="13"/>
                        <w:szCs w:val="13"/>
                        <w:lang w:val="da-DK"/>
                      </w:rPr>
                    </w:pPr>
                    <w:r w:rsidRPr="0059764A">
                      <w:rPr>
                        <w:sz w:val="13"/>
                        <w:szCs w:val="13"/>
                        <w:lang w:val="da-DK"/>
                      </w:rPr>
                      <w:t>Postbus 20061</w:t>
                    </w:r>
                  </w:p>
                  <w:p w14:paraId="50F83D7F" w14:textId="77777777" w:rsidR="0028481A" w:rsidRPr="0059764A" w:rsidRDefault="0028481A" w:rsidP="0028481A">
                    <w:pPr>
                      <w:rPr>
                        <w:sz w:val="13"/>
                        <w:szCs w:val="13"/>
                        <w:lang w:val="da-DK"/>
                      </w:rPr>
                    </w:pPr>
                    <w:r w:rsidRPr="0059764A">
                      <w:rPr>
                        <w:sz w:val="13"/>
                        <w:szCs w:val="13"/>
                        <w:lang w:val="da-DK"/>
                      </w:rPr>
                      <w:t>Nederland</w:t>
                    </w:r>
                  </w:p>
                  <w:p w14:paraId="2AD51899" w14:textId="77777777" w:rsidR="00151980" w:rsidRPr="00151980" w:rsidRDefault="00151980" w:rsidP="00151980">
                    <w:pPr>
                      <w:rPr>
                        <w:lang w:val="da-DK"/>
                      </w:rPr>
                    </w:pPr>
                  </w:p>
                  <w:p w14:paraId="3678B6C8" w14:textId="77777777" w:rsidR="00283CEA" w:rsidRPr="006652AB" w:rsidRDefault="004341F1">
                    <w:pPr>
                      <w:pStyle w:val="Referentiegegevens"/>
                      <w:rPr>
                        <w:lang w:val="da-DK"/>
                      </w:rPr>
                    </w:pPr>
                    <w:r w:rsidRPr="006652AB">
                      <w:rPr>
                        <w:lang w:val="da-DK"/>
                      </w:rPr>
                      <w:t>www.minbuza.nl</w:t>
                    </w:r>
                  </w:p>
                  <w:p w14:paraId="5008F930" w14:textId="77777777" w:rsidR="00283CEA" w:rsidRPr="006652AB" w:rsidRDefault="00283CEA">
                    <w:pPr>
                      <w:pStyle w:val="WitregelW2"/>
                      <w:rPr>
                        <w:lang w:val="da-DK"/>
                      </w:rPr>
                    </w:pPr>
                  </w:p>
                  <w:p w14:paraId="034C7AD0" w14:textId="77777777" w:rsidR="00283CEA" w:rsidRPr="00480B63" w:rsidRDefault="004341F1">
                    <w:pPr>
                      <w:pStyle w:val="Referentiegegevensbold"/>
                      <w:rPr>
                        <w:lang w:val="da-DK"/>
                      </w:rPr>
                    </w:pPr>
                    <w:proofErr w:type="spellStart"/>
                    <w:r w:rsidRPr="00480B63">
                      <w:rPr>
                        <w:lang w:val="da-DK"/>
                      </w:rPr>
                      <w:t>Bijlage</w:t>
                    </w:r>
                    <w:proofErr w:type="spellEnd"/>
                    <w:r w:rsidRPr="00480B63">
                      <w:rPr>
                        <w:lang w:val="da-DK"/>
                      </w:rPr>
                      <w:t>(n)</w:t>
                    </w:r>
                  </w:p>
                  <w:p w14:paraId="28101EE8" w14:textId="77777777" w:rsidR="00283CEA" w:rsidRPr="00480B63" w:rsidRDefault="004341F1">
                    <w:pPr>
                      <w:pStyle w:val="Referentiegegevens"/>
                      <w:rPr>
                        <w:lang w:val="da-DK"/>
                      </w:rPr>
                    </w:pPr>
                    <w:r w:rsidRPr="00480B63">
                      <w:rPr>
                        <w:lang w:val="da-DK"/>
                      </w:rP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57B1BC5" wp14:editId="5DC05E0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ECC2FF" w14:textId="77777777" w:rsidR="0026115E" w:rsidRDefault="0026115E"/>
                      </w:txbxContent>
                    </wps:txbx>
                    <wps:bodyPr vert="horz" wrap="square" lIns="0" tIns="0" rIns="0" bIns="0" anchor="t" anchorCtr="0"/>
                  </wps:wsp>
                </a:graphicData>
              </a:graphic>
            </wp:anchor>
          </w:drawing>
        </mc:Choice>
        <mc:Fallback>
          <w:pict>
            <v:shape w14:anchorId="057B1BC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9ECC2FF" w14:textId="77777777" w:rsidR="0026115E" w:rsidRDefault="0026115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280EA89" wp14:editId="76B23DB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B69320" w14:textId="77777777" w:rsidR="0026115E" w:rsidRDefault="0026115E"/>
                      </w:txbxContent>
                    </wps:txbx>
                    <wps:bodyPr vert="horz" wrap="square" lIns="0" tIns="0" rIns="0" bIns="0" anchor="t" anchorCtr="0"/>
                  </wps:wsp>
                </a:graphicData>
              </a:graphic>
            </wp:anchor>
          </w:drawing>
        </mc:Choice>
        <mc:Fallback>
          <w:pict>
            <v:shape w14:anchorId="1280EA8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8B69320" w14:textId="77777777" w:rsidR="0026115E" w:rsidRDefault="0026115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EF5AAC9" wp14:editId="21A5A1A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25400F" w14:textId="77777777" w:rsidR="00283CEA" w:rsidRDefault="004341F1">
                          <w:pPr>
                            <w:spacing w:line="240" w:lineRule="auto"/>
                          </w:pPr>
                          <w:r>
                            <w:rPr>
                              <w:noProof/>
                            </w:rPr>
                            <w:drawing>
                              <wp:inline distT="0" distB="0" distL="0" distR="0" wp14:anchorId="467BDEF8" wp14:editId="1925A31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F5AAC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E25400F" w14:textId="77777777" w:rsidR="00283CEA" w:rsidRDefault="004341F1">
                    <w:pPr>
                      <w:spacing w:line="240" w:lineRule="auto"/>
                    </w:pPr>
                    <w:r>
                      <w:rPr>
                        <w:noProof/>
                      </w:rPr>
                      <w:drawing>
                        <wp:inline distT="0" distB="0" distL="0" distR="0" wp14:anchorId="467BDEF8" wp14:editId="1925A31E">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3630EB"/>
    <w:multiLevelType w:val="multilevel"/>
    <w:tmpl w:val="37349F9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9CAA7A9C"/>
    <w:multiLevelType w:val="multilevel"/>
    <w:tmpl w:val="05FC21A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D419159"/>
    <w:multiLevelType w:val="multilevel"/>
    <w:tmpl w:val="1B66361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7AF55F9"/>
    <w:multiLevelType w:val="multilevel"/>
    <w:tmpl w:val="76A9EF8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C2B326F1"/>
    <w:multiLevelType w:val="multilevel"/>
    <w:tmpl w:val="546304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95645620">
    <w:abstractNumId w:val="0"/>
  </w:num>
  <w:num w:numId="2" w16cid:durableId="502205777">
    <w:abstractNumId w:val="3"/>
  </w:num>
  <w:num w:numId="3" w16cid:durableId="1932156003">
    <w:abstractNumId w:val="4"/>
  </w:num>
  <w:num w:numId="4" w16cid:durableId="1441991508">
    <w:abstractNumId w:val="1"/>
  </w:num>
  <w:num w:numId="5" w16cid:durableId="1169518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2C9"/>
    <w:rsid w:val="0000223D"/>
    <w:rsid w:val="00024BE4"/>
    <w:rsid w:val="00096153"/>
    <w:rsid w:val="000F6DC9"/>
    <w:rsid w:val="00141CCD"/>
    <w:rsid w:val="00151980"/>
    <w:rsid w:val="00163430"/>
    <w:rsid w:val="00197FA1"/>
    <w:rsid w:val="001C5C66"/>
    <w:rsid w:val="001E3F87"/>
    <w:rsid w:val="0026115E"/>
    <w:rsid w:val="00272C11"/>
    <w:rsid w:val="00283CEA"/>
    <w:rsid w:val="0028481A"/>
    <w:rsid w:val="00287C00"/>
    <w:rsid w:val="0029016C"/>
    <w:rsid w:val="0029171F"/>
    <w:rsid w:val="002A0FE0"/>
    <w:rsid w:val="002B1710"/>
    <w:rsid w:val="003B4D9A"/>
    <w:rsid w:val="00411823"/>
    <w:rsid w:val="004341F1"/>
    <w:rsid w:val="00480B63"/>
    <w:rsid w:val="00491A31"/>
    <w:rsid w:val="004C1A17"/>
    <w:rsid w:val="004E2FD9"/>
    <w:rsid w:val="004F439E"/>
    <w:rsid w:val="005211D3"/>
    <w:rsid w:val="0054313B"/>
    <w:rsid w:val="005B3C25"/>
    <w:rsid w:val="005D2854"/>
    <w:rsid w:val="005E17F8"/>
    <w:rsid w:val="005F25C3"/>
    <w:rsid w:val="00624235"/>
    <w:rsid w:val="00637FFB"/>
    <w:rsid w:val="0064703E"/>
    <w:rsid w:val="006652AB"/>
    <w:rsid w:val="006D14C7"/>
    <w:rsid w:val="00770F82"/>
    <w:rsid w:val="00784370"/>
    <w:rsid w:val="007A43F4"/>
    <w:rsid w:val="007B61E2"/>
    <w:rsid w:val="007C1AD1"/>
    <w:rsid w:val="007C5CBB"/>
    <w:rsid w:val="00811F3F"/>
    <w:rsid w:val="0087197E"/>
    <w:rsid w:val="008B559E"/>
    <w:rsid w:val="008C0DA5"/>
    <w:rsid w:val="008D5086"/>
    <w:rsid w:val="00917301"/>
    <w:rsid w:val="00944346"/>
    <w:rsid w:val="00945B61"/>
    <w:rsid w:val="009F5F8D"/>
    <w:rsid w:val="00A123C7"/>
    <w:rsid w:val="00A20FD9"/>
    <w:rsid w:val="00A54689"/>
    <w:rsid w:val="00A63411"/>
    <w:rsid w:val="00AE1185"/>
    <w:rsid w:val="00B55E07"/>
    <w:rsid w:val="00B74809"/>
    <w:rsid w:val="00BF405C"/>
    <w:rsid w:val="00C204B1"/>
    <w:rsid w:val="00C36238"/>
    <w:rsid w:val="00C4147C"/>
    <w:rsid w:val="00C60D98"/>
    <w:rsid w:val="00C678E9"/>
    <w:rsid w:val="00C67985"/>
    <w:rsid w:val="00CF7A44"/>
    <w:rsid w:val="00D234A1"/>
    <w:rsid w:val="00D4278E"/>
    <w:rsid w:val="00DB4394"/>
    <w:rsid w:val="00DB57E9"/>
    <w:rsid w:val="00DB5A0E"/>
    <w:rsid w:val="00DB6537"/>
    <w:rsid w:val="00E24BCF"/>
    <w:rsid w:val="00E24C9F"/>
    <w:rsid w:val="00E41E40"/>
    <w:rsid w:val="00E43A1A"/>
    <w:rsid w:val="00E4756A"/>
    <w:rsid w:val="00E50AE6"/>
    <w:rsid w:val="00E70B3E"/>
    <w:rsid w:val="00E856F7"/>
    <w:rsid w:val="00E93FDF"/>
    <w:rsid w:val="00ED1441"/>
    <w:rsid w:val="00EE4DF8"/>
    <w:rsid w:val="00F27B72"/>
    <w:rsid w:val="00F569FF"/>
    <w:rsid w:val="00F77C91"/>
    <w:rsid w:val="00F905CC"/>
    <w:rsid w:val="00FE4865"/>
    <w:rsid w:val="00FF0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5C87A"/>
  <w15:docId w15:val="{628DBC59-B332-424F-8F2E-23919F61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F02C9"/>
    <w:pPr>
      <w:tabs>
        <w:tab w:val="center" w:pos="4513"/>
        <w:tab w:val="right" w:pos="9026"/>
      </w:tabs>
      <w:spacing w:line="240" w:lineRule="auto"/>
    </w:pPr>
  </w:style>
  <w:style w:type="character" w:customStyle="1" w:styleId="HeaderChar">
    <w:name w:val="Header Char"/>
    <w:basedOn w:val="DefaultParagraphFont"/>
    <w:link w:val="Header"/>
    <w:uiPriority w:val="99"/>
    <w:rsid w:val="00FF02C9"/>
    <w:rPr>
      <w:rFonts w:ascii="Verdana" w:hAnsi="Verdana"/>
      <w:color w:val="000000"/>
      <w:sz w:val="18"/>
      <w:szCs w:val="18"/>
    </w:rPr>
  </w:style>
  <w:style w:type="paragraph" w:styleId="Footer">
    <w:name w:val="footer"/>
    <w:basedOn w:val="Normal"/>
    <w:link w:val="FooterChar"/>
    <w:uiPriority w:val="99"/>
    <w:unhideWhenUsed/>
    <w:rsid w:val="00FF02C9"/>
    <w:pPr>
      <w:tabs>
        <w:tab w:val="center" w:pos="4513"/>
        <w:tab w:val="right" w:pos="9026"/>
      </w:tabs>
      <w:spacing w:line="240" w:lineRule="auto"/>
    </w:pPr>
  </w:style>
  <w:style w:type="character" w:customStyle="1" w:styleId="FooterChar">
    <w:name w:val="Footer Char"/>
    <w:basedOn w:val="DefaultParagraphFont"/>
    <w:link w:val="Footer"/>
    <w:uiPriority w:val="99"/>
    <w:rsid w:val="00FF02C9"/>
    <w:rPr>
      <w:rFonts w:ascii="Verdana" w:hAnsi="Verdana"/>
      <w:color w:val="000000"/>
      <w:sz w:val="18"/>
      <w:szCs w:val="18"/>
    </w:rPr>
  </w:style>
  <w:style w:type="paragraph" w:styleId="FootnoteText">
    <w:name w:val="footnote text"/>
    <w:basedOn w:val="Normal"/>
    <w:link w:val="FootnoteTextChar"/>
    <w:uiPriority w:val="99"/>
    <w:semiHidden/>
    <w:unhideWhenUsed/>
    <w:rsid w:val="00F77C91"/>
    <w:pPr>
      <w:spacing w:line="240" w:lineRule="auto"/>
    </w:pPr>
    <w:rPr>
      <w:sz w:val="20"/>
      <w:szCs w:val="20"/>
    </w:rPr>
  </w:style>
  <w:style w:type="character" w:customStyle="1" w:styleId="FootnoteTextChar">
    <w:name w:val="Footnote Text Char"/>
    <w:basedOn w:val="DefaultParagraphFont"/>
    <w:link w:val="FootnoteText"/>
    <w:uiPriority w:val="99"/>
    <w:semiHidden/>
    <w:rsid w:val="00F77C91"/>
    <w:rPr>
      <w:rFonts w:ascii="Verdana" w:hAnsi="Verdana"/>
      <w:color w:val="000000"/>
    </w:rPr>
  </w:style>
  <w:style w:type="character" w:styleId="FootnoteReference">
    <w:name w:val="footnote reference"/>
    <w:basedOn w:val="DefaultParagraphFont"/>
    <w:uiPriority w:val="99"/>
    <w:semiHidden/>
    <w:unhideWhenUsed/>
    <w:rsid w:val="00F77C91"/>
    <w:rPr>
      <w:vertAlign w:val="superscript"/>
    </w:rPr>
  </w:style>
  <w:style w:type="character" w:styleId="UnresolvedMention">
    <w:name w:val="Unresolved Mention"/>
    <w:basedOn w:val="DefaultParagraphFont"/>
    <w:uiPriority w:val="99"/>
    <w:semiHidden/>
    <w:unhideWhenUsed/>
    <w:rsid w:val="00F77C91"/>
    <w:rPr>
      <w:color w:val="605E5C"/>
      <w:shd w:val="clear" w:color="auto" w:fill="E1DFDD"/>
    </w:rPr>
  </w:style>
  <w:style w:type="paragraph" w:styleId="Revision">
    <w:name w:val="Revision"/>
    <w:hidden/>
    <w:uiPriority w:val="99"/>
    <w:semiHidden/>
    <w:rsid w:val="00F27B7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24235"/>
    <w:rPr>
      <w:sz w:val="16"/>
      <w:szCs w:val="16"/>
    </w:rPr>
  </w:style>
  <w:style w:type="paragraph" w:styleId="CommentText">
    <w:name w:val="annotation text"/>
    <w:basedOn w:val="Normal"/>
    <w:link w:val="CommentTextChar"/>
    <w:uiPriority w:val="99"/>
    <w:unhideWhenUsed/>
    <w:rsid w:val="00624235"/>
    <w:pPr>
      <w:spacing w:line="240" w:lineRule="auto"/>
    </w:pPr>
    <w:rPr>
      <w:sz w:val="20"/>
      <w:szCs w:val="20"/>
    </w:rPr>
  </w:style>
  <w:style w:type="character" w:customStyle="1" w:styleId="CommentTextChar">
    <w:name w:val="Comment Text Char"/>
    <w:basedOn w:val="DefaultParagraphFont"/>
    <w:link w:val="CommentText"/>
    <w:uiPriority w:val="99"/>
    <w:rsid w:val="0062423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24235"/>
    <w:rPr>
      <w:b/>
      <w:bCs/>
    </w:rPr>
  </w:style>
  <w:style w:type="character" w:customStyle="1" w:styleId="CommentSubjectChar">
    <w:name w:val="Comment Subject Char"/>
    <w:basedOn w:val="CommentTextChar"/>
    <w:link w:val="CommentSubject"/>
    <w:uiPriority w:val="99"/>
    <w:semiHidden/>
    <w:rsid w:val="006242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229380">
      <w:bodyDiv w:val="1"/>
      <w:marLeft w:val="0"/>
      <w:marRight w:val="0"/>
      <w:marTop w:val="0"/>
      <w:marBottom w:val="0"/>
      <w:divBdr>
        <w:top w:val="none" w:sz="0" w:space="0" w:color="auto"/>
        <w:left w:val="none" w:sz="0" w:space="0" w:color="auto"/>
        <w:bottom w:val="none" w:sz="0" w:space="0" w:color="auto"/>
        <w:right w:val="none" w:sz="0" w:space="0" w:color="auto"/>
      </w:divBdr>
    </w:div>
    <w:div w:id="104644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461</ap:Words>
  <ap:Characters>2541</ap:Characters>
  <ap:DocSecurity>0</ap:DocSecurity>
  <ap:Lines>21</ap:Lines>
  <ap:Paragraphs>5</ap:Paragraphs>
  <ap:ScaleCrop>false</ap:ScaleCrop>
  <ap:HeadingPairs>
    <vt:vector baseType="variant" size="2">
      <vt:variant>
        <vt:lpstr>Title</vt:lpstr>
      </vt:variant>
      <vt:variant>
        <vt:i4>1</vt:i4>
      </vt:variant>
    </vt:vector>
  </ap:HeadingPairs>
  <ap:TitlesOfParts>
    <vt:vector baseType="lpstr" size="1">
      <vt:lpstr>BHOS en Terugkeerhubs</vt:lpstr>
    </vt:vector>
  </ap:TitlesOfParts>
  <ap:LinksUpToDate>false</ap:LinksUpToDate>
  <ap:CharactersWithSpaces>2997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2026-06-11T07:36:00.0000000Z</dcterms:created>
  <dcterms:modified xsi:type="dcterms:W3CDTF">2026-06-11T07:36:00.0000000Z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0x0101009C7CE436063D44E9BE7DC0259EF7C32F006EB9F9836A634AE58B6169785FD3936F0055F681836368544EB396FE51FDFF647E</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af4779b0-c665-4eb6-a3ee-319d2c78310f</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https://247.plaza.buzaservices.nl/subject/PV-RK2026042026/BZ2628988/Kamerbrief%20BHO%20en%20Terugkeerhubs.docx, </vt:lpwstr>
  </property>
  <property fmtid="{D5CDD505-2E9C-101B-9397-08002B2CF9AE}" pid="25" name="_docset_NoMedatataSyncRequired">
    <vt:lpwstr>False</vt:lpwstr>
  </property>
</Properties>
</file>