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281" w:rsidP="002B2281" w:rsidRDefault="002B2281" w14:paraId="7C19769E" w14:textId="77777777">
      <w:pPr>
        <w:rPr>
          <w:szCs w:val="18"/>
        </w:rPr>
      </w:pPr>
      <w:r>
        <w:t xml:space="preserve">Geachte Voorzitter, </w:t>
      </w:r>
    </w:p>
    <w:p w:rsidR="002B2281" w:rsidP="002B2281" w:rsidRDefault="002B2281" w14:paraId="77E898EF" w14:textId="77777777">
      <w:pPr>
        <w:rPr>
          <w:szCs w:val="18"/>
        </w:rPr>
      </w:pPr>
    </w:p>
    <w:p w:rsidR="002B2281" w:rsidP="002B2281" w:rsidRDefault="002B2281" w14:paraId="31400DAC" w14:textId="28B4E974">
      <w:pPr>
        <w:rPr>
          <w:szCs w:val="18"/>
        </w:rPr>
      </w:pPr>
      <w:r>
        <w:t xml:space="preserve">Op 22 </w:t>
      </w:r>
      <w:r w:rsidDel="00104B7D">
        <w:t xml:space="preserve">en </w:t>
      </w:r>
      <w:r>
        <w:t xml:space="preserve">23 juni </w:t>
      </w:r>
      <w:r w:rsidR="00104B7D">
        <w:t xml:space="preserve">a.s. </w:t>
      </w:r>
      <w:r>
        <w:t xml:space="preserve">vindt de Landbouw- en Visserijraad (hierna: Raad) plaats in </w:t>
      </w:r>
      <w:r w:rsidR="00104B7D">
        <w:t>Luxemburg</w:t>
      </w:r>
      <w:r>
        <w:t>. Met deze brief informeren wij de Kamer over de agenda en de Nederlandse inbreng.</w:t>
      </w:r>
      <w:r w:rsidR="006630E8">
        <w:t xml:space="preserve"> </w:t>
      </w:r>
      <w:r w:rsidRPr="006630E8" w:rsidR="006630E8">
        <w:t xml:space="preserve">Daarnaast </w:t>
      </w:r>
      <w:r w:rsidR="00910B3C">
        <w:t>informeert de minister</w:t>
      </w:r>
      <w:r w:rsidRPr="006630E8" w:rsidR="006630E8">
        <w:t xml:space="preserve"> de Kamer over de ontwikkelingen ten aanzien van de onderhandelingen over het Gemeenschappelijk Landbouwbeleid 2028-2034.</w:t>
      </w:r>
    </w:p>
    <w:p w:rsidR="002B2281" w:rsidP="002B2281" w:rsidRDefault="002B2281" w14:paraId="01595B47" w14:textId="77777777">
      <w:pPr>
        <w:rPr>
          <w:szCs w:val="18"/>
        </w:rPr>
      </w:pPr>
    </w:p>
    <w:p w:rsidRPr="00BE650F" w:rsidR="002B2281" w:rsidP="002B2281" w:rsidRDefault="002B2281" w14:paraId="5C0F5376" w14:textId="72B91AF5">
      <w:pPr>
        <w:pStyle w:val="Lijstalinea"/>
        <w:numPr>
          <w:ilvl w:val="0"/>
          <w:numId w:val="16"/>
        </w:numPr>
        <w:rPr>
          <w:b/>
        </w:rPr>
      </w:pPr>
      <w:r w:rsidRPr="2A2CA330">
        <w:rPr>
          <w:b/>
        </w:rPr>
        <w:t>Geannoteerde agenda Landbouw- en Visserijraad 22-23 juni 2026</w:t>
      </w:r>
    </w:p>
    <w:p w:rsidR="0060398F" w:rsidP="002B2281" w:rsidRDefault="0060398F" w14:paraId="513861A6" w14:textId="77777777">
      <w:pPr>
        <w:rPr>
          <w:szCs w:val="18"/>
        </w:rPr>
      </w:pPr>
    </w:p>
    <w:p w:rsidRPr="0092337E" w:rsidR="0092337E" w:rsidP="5CBC64A1" w:rsidRDefault="5CBC64A1" w14:paraId="7DD68BA1" w14:textId="0927B5F8">
      <w:pPr>
        <w:rPr>
          <w:u w:val="single"/>
        </w:rPr>
      </w:pPr>
      <w:r w:rsidRPr="5CBC64A1">
        <w:rPr>
          <w:u w:val="single"/>
        </w:rPr>
        <w:t>Voorstellen voor het gemeenschappelijk landbouwbeleid na 2027</w:t>
      </w:r>
    </w:p>
    <w:p w:rsidR="5CBC64A1" w:rsidP="5CBC64A1" w:rsidRDefault="00CF13EF" w14:paraId="27202E14" w14:textId="5E3763AE">
      <w:pPr>
        <w:rPr>
          <w:rStyle w:val="normaltextrun"/>
          <w:color w:val="000000"/>
          <w:shd w:val="clear" w:color="auto" w:fill="FFFFFF"/>
        </w:rPr>
      </w:pPr>
      <w:r w:rsidRPr="2A2CA330">
        <w:rPr>
          <w:rStyle w:val="normaltextrun"/>
          <w:color w:val="000000"/>
          <w:shd w:val="clear" w:color="auto" w:fill="FFFFFF"/>
        </w:rPr>
        <w:t xml:space="preserve">Tijdens de Raad zal een beleidsdiscussie plaatsvinden over de voorstellen voor het GLB na 2027. </w:t>
      </w:r>
      <w:r w:rsidR="00B328C9">
        <w:t xml:space="preserve">Op het moment van schrijven is er nog geen achtergronddocument beschikbaar. </w:t>
      </w:r>
      <w:r w:rsidR="00B328C9">
        <w:rPr>
          <w:rStyle w:val="normaltextrun"/>
          <w:color w:val="000000"/>
          <w:shd w:val="clear" w:color="auto" w:fill="FFFFFF"/>
        </w:rPr>
        <w:t xml:space="preserve">Onder dit agendapunt zal het </w:t>
      </w:r>
      <w:r w:rsidR="00C856EA">
        <w:rPr>
          <w:rStyle w:val="normaltextrun"/>
          <w:color w:val="000000"/>
          <w:shd w:val="clear" w:color="auto" w:fill="FFFFFF"/>
        </w:rPr>
        <w:t xml:space="preserve">Cypriotisch </w:t>
      </w:r>
      <w:r w:rsidR="00B328C9">
        <w:rPr>
          <w:rStyle w:val="normaltextrun"/>
          <w:color w:val="000000"/>
          <w:shd w:val="clear" w:color="auto" w:fill="FFFFFF"/>
        </w:rPr>
        <w:t>voorzitterschap middels</w:t>
      </w:r>
      <w:r w:rsidR="00EA1064">
        <w:rPr>
          <w:rStyle w:val="normaltextrun"/>
          <w:color w:val="000000"/>
          <w:shd w:val="clear" w:color="auto" w:fill="FFFFFF"/>
        </w:rPr>
        <w:t xml:space="preserve"> een diversenpunt</w:t>
      </w:r>
      <w:r w:rsidRPr="2A2CA330">
        <w:rPr>
          <w:rStyle w:val="normaltextrun"/>
          <w:color w:val="000000"/>
          <w:shd w:val="clear" w:color="auto" w:fill="FFFFFF"/>
        </w:rPr>
        <w:t xml:space="preserve"> de Raad </w:t>
      </w:r>
      <w:r w:rsidR="00E171CA">
        <w:rPr>
          <w:rStyle w:val="normaltextrun"/>
          <w:color w:val="000000"/>
          <w:shd w:val="clear" w:color="auto" w:fill="FFFFFF"/>
        </w:rPr>
        <w:t>ook</w:t>
      </w:r>
      <w:r w:rsidRPr="2A2CA330">
        <w:rPr>
          <w:rStyle w:val="normaltextrun"/>
          <w:color w:val="000000"/>
          <w:shd w:val="clear" w:color="auto" w:fill="FFFFFF"/>
        </w:rPr>
        <w:t xml:space="preserve"> informeren over de voortgang van de wetgevende voorstellen voor de wijziging van de </w:t>
      </w:r>
      <w:r w:rsidR="00C856EA">
        <w:rPr>
          <w:rStyle w:val="normaltextrun"/>
          <w:color w:val="000000"/>
          <w:shd w:val="clear" w:color="auto" w:fill="FFFFFF"/>
        </w:rPr>
        <w:t>V</w:t>
      </w:r>
      <w:r w:rsidRPr="2A2CA330">
        <w:rPr>
          <w:rStyle w:val="normaltextrun"/>
          <w:color w:val="000000"/>
          <w:shd w:val="clear" w:color="auto" w:fill="FFFFFF"/>
        </w:rPr>
        <w:t>erordening Gemeenschappelijke Marktordening (Kamerstuk 22112, nr</w:t>
      </w:r>
      <w:r w:rsidR="00A14062">
        <w:rPr>
          <w:rStyle w:val="normaltextrun"/>
          <w:color w:val="000000"/>
          <w:shd w:val="clear" w:color="auto" w:fill="FFFFFF"/>
        </w:rPr>
        <w:t>.</w:t>
      </w:r>
      <w:r w:rsidRPr="2A2CA330">
        <w:rPr>
          <w:rStyle w:val="normaltextrun"/>
          <w:color w:val="000000"/>
          <w:shd w:val="clear" w:color="auto" w:fill="FFFFFF"/>
        </w:rPr>
        <w:t> 4145). Het betreft voorstellen over schoolfruit, -groenten en -melk (‘EU-schoolregeling’), sectorale interventies, de eiwitsector, eisen voor hennep, de mogelijkheid van handelsnormen voor kaas, eiwithoudende gewassen en vlees, de toepassing van aanvullende invoerrechten</w:t>
      </w:r>
      <w:r w:rsidR="00C856EA">
        <w:rPr>
          <w:rStyle w:val="normaltextrun"/>
          <w:color w:val="000000"/>
          <w:shd w:val="clear" w:color="auto" w:fill="FFFFFF"/>
        </w:rPr>
        <w:t xml:space="preserve"> en</w:t>
      </w:r>
      <w:r w:rsidRPr="2A2CA330">
        <w:rPr>
          <w:rStyle w:val="normaltextrun"/>
          <w:color w:val="000000"/>
          <w:shd w:val="clear" w:color="auto" w:fill="FFFFFF"/>
        </w:rPr>
        <w:t xml:space="preserve"> regels over de beschikbaarheid van voorraden in noodsituaties en ernstige crises.</w:t>
      </w:r>
    </w:p>
    <w:p w:rsidRPr="0024325F" w:rsidR="006630E8" w:rsidP="5CBC64A1" w:rsidRDefault="006630E8" w14:paraId="0EF67F25" w14:textId="77777777">
      <w:pPr>
        <w:rPr>
          <w:color w:val="000000" w:themeColor="text1"/>
        </w:rPr>
      </w:pPr>
    </w:p>
    <w:p w:rsidRPr="0092337E" w:rsidR="0092337E" w:rsidP="002B2281" w:rsidRDefault="0092337E" w14:paraId="6A54E27F" w14:textId="534AF8A9">
      <w:pPr>
        <w:rPr>
          <w:u w:val="single"/>
        </w:rPr>
      </w:pPr>
      <w:r w:rsidRPr="0092337E">
        <w:rPr>
          <w:u w:val="single"/>
        </w:rPr>
        <w:t>Marktsituatie, in het bijzonder na de invasie van Oekraïne</w:t>
      </w:r>
    </w:p>
    <w:p w:rsidR="0092337E" w:rsidP="0092337E" w:rsidRDefault="0092337E" w14:paraId="42FB7BE8" w14:textId="0129ECBF">
      <w:r>
        <w:t xml:space="preserve">De komende Raad staat de marktsituatie in de verschillende landbouwsectoren opnieuw op de agenda. </w:t>
      </w:r>
      <w:r w:rsidR="009C09C9">
        <w:t>Op het moment van schrijven</w:t>
      </w:r>
      <w:r>
        <w:t xml:space="preserve"> is</w:t>
      </w:r>
      <w:r w:rsidR="009C09C9">
        <w:t xml:space="preserve"> </w:t>
      </w:r>
      <w:r>
        <w:t>nog geen achtergronddocument beschikbaar. Naar verwachting zal de aandacht uitgaan naar de ontwikkelingen in Oekraïne en de import en export van landbouwgoederen na de inwerkingtreding van de nieuwe diepe en brede vrijhandelsovereenkomst (DCFTA) tussen de EU en Oekraïne</w:t>
      </w:r>
      <w:r w:rsidRPr="00BD17E7" w:rsidR="00BD17E7">
        <w:t xml:space="preserve"> </w:t>
      </w:r>
      <w:r w:rsidR="00BD17E7">
        <w:t>op 29 oktober 2025</w:t>
      </w:r>
      <w:r>
        <w:t>. De Oekraïense vicepremier voor Europese en Euro-Atlantische integratie is uitgenodigd om een presentatie te geven voorafgaand aan de bespreking</w:t>
      </w:r>
      <w:r w:rsidR="00BD17E7">
        <w:t>.</w:t>
      </w:r>
      <w:r>
        <w:t xml:space="preserve"> </w:t>
      </w:r>
      <w:r w:rsidR="00BD17E7">
        <w:t>Deze presentatie stond eerder</w:t>
      </w:r>
      <w:r>
        <w:t xml:space="preserve"> gepland voor de Raad van april jl., maar kon </w:t>
      </w:r>
      <w:r w:rsidR="009C09C9">
        <w:t xml:space="preserve">destijds </w:t>
      </w:r>
      <w:r>
        <w:t xml:space="preserve">op het laatste moment geen doorgang vinden. Naar verwachting zal de Commissie ook ingaan op de actuele ontwikkelingen rond de landbouwmarkten, zoals de </w:t>
      </w:r>
      <w:r>
        <w:lastRenderedPageBreak/>
        <w:t>stijging van energie-, transport</w:t>
      </w:r>
      <w:r w:rsidR="009A32BA">
        <w:t>-</w:t>
      </w:r>
      <w:r>
        <w:t xml:space="preserve"> en kunstmestprijzen als gevolg van de voortdurende afsluiting van de straat van Hormuz. Mogelijk dat de Commissie verwijst naar het Actieplan Meststoffen. Ondanks de gestegen inputprijzen zal de Commissie naar verwachting er ook op wijzen dat de EU-landbouwmarkten over het algemeen veerkrachtig zijn, met voor dit moment nog goede (productie)vooruitzichten in veel sectoren.</w:t>
      </w:r>
    </w:p>
    <w:p w:rsidR="002B2281" w:rsidP="0092337E" w:rsidRDefault="6E1A8447" w14:paraId="6BC5275C" w14:textId="1C6438FA">
      <w:r>
        <w:t xml:space="preserve">Nederland zal tijdens de Raad </w:t>
      </w:r>
      <w:r w:rsidR="00BD17E7">
        <w:t xml:space="preserve">onderschrijven dat </w:t>
      </w:r>
      <w:r>
        <w:t xml:space="preserve">de landbouw- en voedselsector </w:t>
      </w:r>
      <w:r w:rsidR="00BD17E7">
        <w:t>te maken he</w:t>
      </w:r>
      <w:r w:rsidR="0039073B">
        <w:t>eft</w:t>
      </w:r>
      <w:r w:rsidR="00BD17E7">
        <w:t xml:space="preserve"> met grote onzekerheid </w:t>
      </w:r>
      <w:r>
        <w:t xml:space="preserve">en </w:t>
      </w:r>
      <w:r w:rsidR="00BD17E7">
        <w:t>zal</w:t>
      </w:r>
      <w:r>
        <w:t xml:space="preserve"> opnieuw steun uitspreken voor Oekraïne. Tot slot zal Nederland </w:t>
      </w:r>
      <w:r w:rsidR="00BD17E7">
        <w:t xml:space="preserve">wederom </w:t>
      </w:r>
      <w:r>
        <w:t xml:space="preserve">het belang </w:t>
      </w:r>
      <w:r w:rsidR="001E6DB0">
        <w:t>benadrukken</w:t>
      </w:r>
      <w:r>
        <w:t xml:space="preserve"> van het vergroten van de weerbaarheid van de landbouwsector.</w:t>
      </w:r>
    </w:p>
    <w:p w:rsidR="00463D3E" w:rsidP="0092337E" w:rsidRDefault="00463D3E" w14:paraId="51B8B686" w14:textId="402D318F"/>
    <w:p w:rsidR="00463D3E" w:rsidP="48B29549" w:rsidRDefault="48B29549" w14:paraId="4A82860C" w14:textId="7C118C2C">
      <w:pPr>
        <w:rPr>
          <w:u w:val="single"/>
        </w:rPr>
      </w:pPr>
      <w:r w:rsidRPr="48B29549">
        <w:rPr>
          <w:u w:val="single"/>
        </w:rPr>
        <w:t>Verordening betreffende de voorwaarden voor steun van de Unie voor visserij, aquacultuur en maritiem beleid voor de periode 2028-2034</w:t>
      </w:r>
    </w:p>
    <w:p w:rsidR="48B29549" w:rsidP="48B29549" w:rsidRDefault="00846420" w14:paraId="0E3C803C" w14:textId="18D59713">
      <w:pPr>
        <w:rPr>
          <w:rFonts w:eastAsia="Verdana" w:cs="Verdana"/>
        </w:rPr>
      </w:pPr>
      <w:r>
        <w:rPr>
          <w:rFonts w:eastAsia="Verdana" w:cs="Verdana"/>
        </w:rPr>
        <w:t>In het kader van de onderhandelingen over het Europese Meerjarig Financieel Kader (MFK</w:t>
      </w:r>
      <w:r w:rsidR="0039073B">
        <w:rPr>
          <w:rFonts w:eastAsia="Verdana" w:cs="Verdana"/>
        </w:rPr>
        <w:t xml:space="preserve"> </w:t>
      </w:r>
      <w:r>
        <w:rPr>
          <w:rFonts w:eastAsia="Verdana" w:cs="Verdana"/>
        </w:rPr>
        <w:t xml:space="preserve">2028-2034), beoogt het </w:t>
      </w:r>
      <w:r w:rsidR="0039073B">
        <w:rPr>
          <w:rFonts w:eastAsia="Verdana" w:cs="Verdana"/>
        </w:rPr>
        <w:t>Cypriotisch v</w:t>
      </w:r>
      <w:r>
        <w:rPr>
          <w:rFonts w:eastAsia="Verdana" w:cs="Verdana"/>
        </w:rPr>
        <w:t xml:space="preserve">oorzitterschap in de Raad tot een deelakkoord te komen over de sectorale verordening betreffende de voorwaarden voor steun van de Unie voor visserij, aquacultuur en maritiem beleid voor de periode 2028-2034 (hierna: de sectorale verordening). Deze verordening valt onder het fonds van Nationale Regionale Partnerschapsplannen. </w:t>
      </w:r>
      <w:r w:rsidRPr="2A2CA330">
        <w:rPr>
          <w:rFonts w:eastAsia="Verdana" w:cs="Verdana"/>
        </w:rPr>
        <w:t>Op het moment van schrijven wordt nog over</w:t>
      </w:r>
      <w:r>
        <w:rPr>
          <w:rFonts w:eastAsia="Verdana" w:cs="Verdana"/>
        </w:rPr>
        <w:t xml:space="preserve"> de sectorale verordening</w:t>
      </w:r>
      <w:r w:rsidRPr="2A2CA330">
        <w:rPr>
          <w:rFonts w:eastAsia="Verdana" w:cs="Verdana"/>
        </w:rPr>
        <w:t xml:space="preserve"> onderhandeld</w:t>
      </w:r>
      <w:r>
        <w:rPr>
          <w:rFonts w:eastAsia="Verdana" w:cs="Verdana"/>
        </w:rPr>
        <w:t xml:space="preserve">. Het kabinet zal het voorliggende akkoord beoordelen conform het BNC-fiche (Kamerstuk 22112, nr. 4146) en de kabinetslijn zoals uiteen is gezet in de Kamerbrief van 22 mei jl. (Kamerstuk 22112, nr. 4357). </w:t>
      </w:r>
    </w:p>
    <w:p w:rsidR="00855247" w:rsidP="48B29549" w:rsidRDefault="00855247" w14:paraId="372394AC" w14:textId="77777777"/>
    <w:p w:rsidR="00463D3E" w:rsidP="6E1A8447" w:rsidRDefault="6E1A8447" w14:paraId="7268A639" w14:textId="17AB3A15">
      <w:pPr>
        <w:rPr>
          <w:u w:val="single"/>
        </w:rPr>
      </w:pPr>
      <w:r w:rsidRPr="6E1A8447">
        <w:rPr>
          <w:u w:val="single"/>
        </w:rPr>
        <w:t>Duurzame visserij in de EU: stand van zaken en oriëntatie voor 2027</w:t>
      </w:r>
      <w:r w:rsidR="00D663C9">
        <w:rPr>
          <w:u w:val="single"/>
        </w:rPr>
        <w:t xml:space="preserve"> (vangstmogelijkheden)</w:t>
      </w:r>
    </w:p>
    <w:p w:rsidR="00A14062" w:rsidP="00A14062" w:rsidRDefault="00A14062" w14:paraId="66D110B3" w14:textId="77777777">
      <w:r w:rsidRPr="0033672A">
        <w:t xml:space="preserve">De Raad zal van gedachten wisselen over de jaarlijkse mededeling van de </w:t>
      </w:r>
      <w:r>
        <w:t>Commissie</w:t>
      </w:r>
      <w:r w:rsidRPr="0033672A">
        <w:t xml:space="preserve"> over het Gemeenschappelijk Visserijbeleid (GVB) en de vangstmogelijkheden 2027. Op het moment van schrijven heeft de Commissie haar mededeling nog niet gedeeld.</w:t>
      </w:r>
    </w:p>
    <w:p w:rsidR="00A14062" w:rsidP="00A14062" w:rsidRDefault="00A14062" w14:paraId="7D7AA2A0" w14:textId="77777777"/>
    <w:p w:rsidR="00A14062" w:rsidP="00A14062" w:rsidRDefault="00A14062" w14:paraId="64BDE123" w14:textId="74FE2C51">
      <w:r>
        <w:t xml:space="preserve">In de komende maanden publiceert de Internationale Raad voor het Onderzoek van de Zee (ICES) de jaarlijkse wetenschappelijke vangstadviezen. De </w:t>
      </w:r>
      <w:r w:rsidR="006630E8">
        <w:t>ICES-vangstadviezen</w:t>
      </w:r>
      <w:r>
        <w:t xml:space="preserve"> zijn gebruikelijk de start van de onderhandelingen over de vangstmogelijkheden</w:t>
      </w:r>
      <w:r w:rsidR="00EE614C">
        <w:t xml:space="preserve"> </w:t>
      </w:r>
      <w:r>
        <w:t>(</w:t>
      </w:r>
      <w:r w:rsidRPr="002E6A69">
        <w:rPr>
          <w:i/>
          <w:iCs/>
        </w:rPr>
        <w:t>Total Allowable Catches</w:t>
      </w:r>
      <w:r>
        <w:t xml:space="preserve">, TAC’s). Na de publicatie van deze adviezen, die per vissoort in de komende maanden verschijnen, zal de Kamer steeds via de reguliere Kamerbrieven over de Raad worden geïnformeerd over de Nederlandse onderhandelingsinzet. </w:t>
      </w:r>
    </w:p>
    <w:p w:rsidR="00EE614C" w:rsidP="00A14062" w:rsidRDefault="00EE614C" w14:paraId="014D33C8" w14:textId="77777777"/>
    <w:p w:rsidR="008E7077" w:rsidP="00463D3E" w:rsidRDefault="00A14062" w14:paraId="4AE1CF29" w14:textId="6E2B9979">
      <w:r>
        <w:t>In beginsel zet Nederland zich er tijdens de onderhandelingen over de TAC’s voor in dat vangstmogelijkheden worden vastgesteld op het niveau dat overeenkomt met de GVB-doelstellingen. Zo wordt onder meer beoogd dat bij bestanden het niveau van maximale duurzame opbrengst (</w:t>
      </w:r>
      <w:r w:rsidRPr="00C7574B">
        <w:rPr>
          <w:i/>
          <w:iCs/>
        </w:rPr>
        <w:t>Maximum Sustainable Yield</w:t>
      </w:r>
      <w:r>
        <w:t>, MSY) wordt bereikt, om ervoor te zorgen dat de visbestanden op een duurzaam niveau worden beheerd. De praktijk laat zien dat het lastig is om de drie pijlers van het GVB (ecologische, sociale en economische)</w:t>
      </w:r>
      <w:r w:rsidR="00913594">
        <w:t xml:space="preserve"> </w:t>
      </w:r>
      <w:r>
        <w:t>met elkaar in evenwicht te brengen bij het vaststellen van de vangstmogelijkheden. Nederland zet zich dan ook in om dit beter mogelijk te maken en zo ook meer stabiliteit in de vangstmogelijkheden te creëren. Onder andere door</w:t>
      </w:r>
      <w:r w:rsidR="00BD17E7">
        <w:t>:</w:t>
      </w:r>
      <w:r>
        <w:t xml:space="preserve"> 1) </w:t>
      </w:r>
      <w:r w:rsidR="00BD17E7">
        <w:t>de</w:t>
      </w:r>
      <w:r>
        <w:t xml:space="preserve"> juridische onduidelijkheden, zoals de 5%-regel in de meerjarenplannen, te verduidelijken, 2) toe te werken naar een systeem dat een meerjarige aanpak mogelijk maakt om de MSY te bereiken en 3) de mogelijkheid te onderzoeken om waar passend meer meerjarige vangstmogelijkheden vast te stellen. Dit zou helpen om schommelingen op te vangen, zowel wanneer het wetenschappelijk advies zeer positief is als wanneer het zeer negatief is. Ten slotte </w:t>
      </w:r>
      <w:r w:rsidR="0039073B">
        <w:t>(</w:t>
      </w:r>
      <w:r>
        <w:t>4)</w:t>
      </w:r>
      <w:r w:rsidR="0039073B">
        <w:t>)</w:t>
      </w:r>
      <w:r>
        <w:t>, blijft het essentieel om deze evenwichtige aanpak te bevorderen in onderhandelingen met derde landen, bijvoorbeeld bij het opstellen van langetermijnbeheerplannen.</w:t>
      </w:r>
    </w:p>
    <w:p w:rsidRPr="0099585D" w:rsidR="00882A68" w:rsidP="00463D3E" w:rsidRDefault="00882A68" w14:paraId="245A03F6" w14:textId="48F16DF3"/>
    <w:p w:rsidR="00463D3E" w:rsidP="6E1A8447" w:rsidRDefault="48B29549" w14:paraId="44D85405" w14:textId="48F16DF3">
      <w:pPr>
        <w:rPr>
          <w:u w:val="single"/>
        </w:rPr>
      </w:pPr>
      <w:r w:rsidRPr="48B29549">
        <w:rPr>
          <w:u w:val="single"/>
        </w:rPr>
        <w:t>Evaluatie van het Gemeenschappelijk Visserijbeleid</w:t>
      </w:r>
    </w:p>
    <w:p w:rsidR="48B29549" w:rsidP="00DE5516" w:rsidRDefault="00DE5516" w14:paraId="593C0A5C" w14:textId="550A1BAC">
      <w:pPr>
        <w:rPr>
          <w:rFonts w:eastAsia="Verdana" w:cs="Verdana"/>
        </w:rPr>
      </w:pPr>
      <w:r w:rsidRPr="2A2CA330">
        <w:rPr>
          <w:rFonts w:eastAsia="Verdana" w:cs="Verdana"/>
        </w:rPr>
        <w:t xml:space="preserve">De Commissie </w:t>
      </w:r>
      <w:r>
        <w:rPr>
          <w:rFonts w:eastAsia="Verdana" w:cs="Verdana"/>
        </w:rPr>
        <w:t>geeft tijdens de Raad</w:t>
      </w:r>
      <w:r w:rsidRPr="2A2CA330">
        <w:rPr>
          <w:rFonts w:eastAsia="Verdana" w:cs="Verdana"/>
        </w:rPr>
        <w:t xml:space="preserve"> een presentatie over de evaluatie van het </w:t>
      </w:r>
      <w:r w:rsidR="00623273">
        <w:rPr>
          <w:rFonts w:eastAsia="Verdana" w:cs="Verdana"/>
        </w:rPr>
        <w:t>GVB</w:t>
      </w:r>
      <w:r>
        <w:rPr>
          <w:rFonts w:eastAsia="Verdana" w:cs="Verdana"/>
        </w:rPr>
        <w:t>. V</w:t>
      </w:r>
      <w:r w:rsidRPr="2A2CA330">
        <w:rPr>
          <w:rFonts w:eastAsia="Verdana" w:cs="Verdana"/>
        </w:rPr>
        <w:t>ervolgens zal e</w:t>
      </w:r>
      <w:r w:rsidR="00066BEA">
        <w:rPr>
          <w:rFonts w:eastAsia="Verdana" w:cs="Verdana"/>
        </w:rPr>
        <w:t xml:space="preserve">en gedachtewisseling plaatsvinden. </w:t>
      </w:r>
      <w:r w:rsidRPr="0992FAB2">
        <w:rPr>
          <w:rFonts w:eastAsia="Verdana" w:cs="Verdana"/>
        </w:rPr>
        <w:t>De</w:t>
      </w:r>
      <w:r w:rsidRPr="2A2CA330">
        <w:rPr>
          <w:rFonts w:eastAsia="Verdana" w:cs="Verdana"/>
        </w:rPr>
        <w:t xml:space="preserve"> appreciatie van de </w:t>
      </w:r>
      <w:r>
        <w:rPr>
          <w:rFonts w:eastAsia="Verdana" w:cs="Verdana"/>
        </w:rPr>
        <w:t>GVB-evaluatie</w:t>
      </w:r>
      <w:r w:rsidRPr="2A2CA330">
        <w:rPr>
          <w:rFonts w:eastAsia="Verdana" w:cs="Verdana"/>
        </w:rPr>
        <w:t xml:space="preserve"> en de Nederlandse inzet hierop </w:t>
      </w:r>
      <w:r>
        <w:rPr>
          <w:rFonts w:eastAsia="Verdana" w:cs="Verdana"/>
        </w:rPr>
        <w:t xml:space="preserve">tijdens de Raad </w:t>
      </w:r>
      <w:r w:rsidRPr="0992FAB2">
        <w:rPr>
          <w:rFonts w:eastAsia="Verdana" w:cs="Verdana"/>
        </w:rPr>
        <w:t>zal in de Kamerbrief voorafgaand aan het Commissiedebat Visserij en</w:t>
      </w:r>
      <w:r w:rsidR="00A604F7">
        <w:rPr>
          <w:rFonts w:eastAsia="Verdana" w:cs="Verdana"/>
        </w:rPr>
        <w:t xml:space="preserve"> Landbouw- en Visserijraad (</w:t>
      </w:r>
      <w:r w:rsidR="00962BF8">
        <w:rPr>
          <w:rFonts w:eastAsia="Verdana" w:cs="Verdana"/>
        </w:rPr>
        <w:t xml:space="preserve">16 </w:t>
      </w:r>
      <w:r w:rsidR="00A604F7">
        <w:rPr>
          <w:rFonts w:eastAsia="Verdana" w:cs="Verdana"/>
        </w:rPr>
        <w:t xml:space="preserve">juni) </w:t>
      </w:r>
      <w:r w:rsidRPr="2A2CA330">
        <w:rPr>
          <w:rFonts w:eastAsia="Verdana" w:cs="Verdana"/>
        </w:rPr>
        <w:t xml:space="preserve">met de Kamer </w:t>
      </w:r>
      <w:r w:rsidRPr="0992FAB2">
        <w:rPr>
          <w:rFonts w:eastAsia="Verdana" w:cs="Verdana"/>
        </w:rPr>
        <w:t>worden gedeeld</w:t>
      </w:r>
      <w:r w:rsidRPr="00B26106">
        <w:rPr>
          <w:rFonts w:eastAsia="Verdana" w:cs="Verdana"/>
        </w:rPr>
        <w:t>.</w:t>
      </w:r>
    </w:p>
    <w:p w:rsidR="002118C2" w:rsidP="0092337E" w:rsidRDefault="002118C2" w14:paraId="2F841921" w14:textId="5504324C"/>
    <w:p w:rsidR="3B523888" w:rsidP="3B523888" w:rsidRDefault="70560551" w14:paraId="482B7414" w14:textId="5E2CE307">
      <w:pPr>
        <w:rPr>
          <w:u w:val="single"/>
        </w:rPr>
      </w:pPr>
      <w:r w:rsidRPr="70560551">
        <w:rPr>
          <w:u w:val="single"/>
        </w:rPr>
        <w:t>Lopende wetgevingsvoorstellen</w:t>
      </w:r>
    </w:p>
    <w:p w:rsidR="002B2281" w:rsidP="002B2281" w:rsidRDefault="70560551" w14:paraId="7DD5D0E2" w14:textId="11A5FF60">
      <w:r>
        <w:t xml:space="preserve">Het voorzitterschap zal een stand van zaken geven </w:t>
      </w:r>
      <w:r w:rsidR="002C2979">
        <w:t xml:space="preserve">van </w:t>
      </w:r>
      <w:r w:rsidR="00A604F7">
        <w:t xml:space="preserve">de </w:t>
      </w:r>
      <w:r w:rsidR="002C2979">
        <w:t xml:space="preserve">lopende </w:t>
      </w:r>
      <w:r>
        <w:t>wetgevingsvoorstellen</w:t>
      </w:r>
      <w:r w:rsidR="00A604F7">
        <w:t xml:space="preserve">, zijnde </w:t>
      </w:r>
      <w:r w:rsidR="002C2979">
        <w:t>de</w:t>
      </w:r>
      <w:r w:rsidRPr="00913594">
        <w:t xml:space="preserve"> </w:t>
      </w:r>
      <w:r w:rsidR="0039073B">
        <w:t>V</w:t>
      </w:r>
      <w:r w:rsidRPr="00962BF8" w:rsidR="002C2979">
        <w:t>erordening plantaardig uitgangsmateriaal</w:t>
      </w:r>
      <w:r w:rsidR="00A604F7">
        <w:t xml:space="preserve"> (PRM)</w:t>
      </w:r>
      <w:r w:rsidRPr="00913594">
        <w:t xml:space="preserve"> en de herziening van de </w:t>
      </w:r>
      <w:r w:rsidR="0039073B">
        <w:t>D</w:t>
      </w:r>
      <w:r w:rsidRPr="00913594">
        <w:t>iertransportverordening.</w:t>
      </w:r>
      <w:r>
        <w:t xml:space="preserve">  </w:t>
      </w:r>
    </w:p>
    <w:p w:rsidR="0092337E" w:rsidP="002B2281" w:rsidRDefault="0092337E" w14:paraId="663311AB" w14:textId="534AF8A9"/>
    <w:p w:rsidRPr="0060398F" w:rsidR="00855247" w:rsidP="00855247" w:rsidRDefault="00855247" w14:paraId="56410E65" w14:textId="77777777">
      <w:r w:rsidRPr="00962BF8">
        <w:rPr>
          <w:i/>
          <w:iCs/>
        </w:rPr>
        <w:t>Verordening plantaardig uitgangsmateriaal</w:t>
      </w:r>
    </w:p>
    <w:p w:rsidR="00855247" w:rsidP="00855247" w:rsidRDefault="00855247" w14:paraId="18D2239E" w14:textId="4ED1C716">
      <w:pPr>
        <w:rPr>
          <w:rFonts w:eastAsia="Verdana" w:cs="Verdana"/>
        </w:rPr>
      </w:pPr>
      <w:r w:rsidRPr="2A2CA330">
        <w:rPr>
          <w:rFonts w:eastAsia="Verdana" w:cs="Verdana"/>
        </w:rPr>
        <w:t xml:space="preserve">Momenteel </w:t>
      </w:r>
      <w:r>
        <w:rPr>
          <w:rFonts w:eastAsia="Verdana" w:cs="Verdana"/>
        </w:rPr>
        <w:t>zijn</w:t>
      </w:r>
      <w:r w:rsidRPr="2A2CA330">
        <w:rPr>
          <w:rFonts w:eastAsia="Verdana" w:cs="Verdana"/>
        </w:rPr>
        <w:t xml:space="preserve"> de triloog</w:t>
      </w:r>
      <w:r>
        <w:rPr>
          <w:rFonts w:eastAsia="Verdana" w:cs="Verdana"/>
        </w:rPr>
        <w:t>besprekingen</w:t>
      </w:r>
      <w:r w:rsidRPr="2A2CA330">
        <w:rPr>
          <w:rFonts w:eastAsia="Verdana" w:cs="Verdana"/>
        </w:rPr>
        <w:t xml:space="preserve"> over de </w:t>
      </w:r>
      <w:r>
        <w:rPr>
          <w:rFonts w:eastAsia="Verdana" w:cs="Verdana"/>
        </w:rPr>
        <w:t>PRM-v</w:t>
      </w:r>
      <w:r w:rsidRPr="2A2CA330">
        <w:rPr>
          <w:rFonts w:eastAsia="Verdana" w:cs="Verdana"/>
        </w:rPr>
        <w:t xml:space="preserve">erordening </w:t>
      </w:r>
      <w:r>
        <w:rPr>
          <w:rFonts w:eastAsia="Verdana" w:cs="Verdana"/>
        </w:rPr>
        <w:t>gaande</w:t>
      </w:r>
      <w:r w:rsidRPr="2A2CA330">
        <w:rPr>
          <w:rFonts w:eastAsia="Verdana" w:cs="Verdana"/>
        </w:rPr>
        <w:t xml:space="preserve">. In deze </w:t>
      </w:r>
      <w:r>
        <w:rPr>
          <w:rFonts w:eastAsia="Verdana" w:cs="Verdana"/>
        </w:rPr>
        <w:t>v</w:t>
      </w:r>
      <w:r w:rsidRPr="2A2CA330">
        <w:rPr>
          <w:rFonts w:eastAsia="Verdana" w:cs="Verdana"/>
        </w:rPr>
        <w:t xml:space="preserve">erordening worden </w:t>
      </w:r>
      <w:r>
        <w:rPr>
          <w:rFonts w:eastAsia="Verdana" w:cs="Verdana"/>
        </w:rPr>
        <w:t>tien</w:t>
      </w:r>
      <w:r w:rsidRPr="2A2CA330">
        <w:rPr>
          <w:rFonts w:eastAsia="Verdana" w:cs="Verdana"/>
        </w:rPr>
        <w:t xml:space="preserve"> bestaande richtlijnen voor plantaardig uitgangsmateriaal samengevoegd. Sierteelt is hiervan uitgezonderd en voor </w:t>
      </w:r>
      <w:r w:rsidRPr="00237F05">
        <w:rPr>
          <w:rFonts w:eastAsia="Verdana" w:cs="Verdana"/>
        </w:rPr>
        <w:t>bosbouwkundig teeltmateriaal</w:t>
      </w:r>
      <w:r>
        <w:rPr>
          <w:rFonts w:eastAsia="Verdana" w:cs="Verdana"/>
          <w:b/>
          <w:bCs/>
        </w:rPr>
        <w:t xml:space="preserve"> </w:t>
      </w:r>
      <w:r w:rsidRPr="2A2CA330">
        <w:rPr>
          <w:rFonts w:eastAsia="Verdana" w:cs="Verdana"/>
        </w:rPr>
        <w:t>is een aparte verordening gekomen.</w:t>
      </w:r>
      <w:r w:rsidR="00CB1C94">
        <w:rPr>
          <w:rStyle w:val="Voetnootmarkering"/>
          <w:rFonts w:eastAsia="Verdana" w:cs="Verdana"/>
        </w:rPr>
        <w:footnoteReference w:id="1"/>
      </w:r>
      <w:r>
        <w:rPr>
          <w:rFonts w:eastAsia="Verdana" w:cs="Verdana"/>
        </w:rPr>
        <w:t xml:space="preserve"> </w:t>
      </w:r>
      <w:r w:rsidRPr="2A2CA330">
        <w:rPr>
          <w:rFonts w:eastAsia="Verdana" w:cs="Verdana"/>
        </w:rPr>
        <w:t xml:space="preserve">In belangrijke mate betreft </w:t>
      </w:r>
      <w:r>
        <w:rPr>
          <w:rFonts w:eastAsia="Verdana" w:cs="Verdana"/>
        </w:rPr>
        <w:t>de PRM-verordening een</w:t>
      </w:r>
      <w:r w:rsidRPr="2A2CA330">
        <w:rPr>
          <w:rFonts w:eastAsia="Verdana" w:cs="Verdana"/>
        </w:rPr>
        <w:t xml:space="preserve"> modernisering van de regelgeving zonder ingrijpende wijzigingen. Voor Nederland zijn een aantal belangrijke verbeteringen in de Raadspositie opgenomen: </w:t>
      </w:r>
    </w:p>
    <w:p w:rsidR="00855247" w:rsidP="00855247" w:rsidRDefault="00855247" w14:paraId="50AD1F97" w14:textId="3E31F156">
      <w:pPr>
        <w:pStyle w:val="Lijstalinea"/>
        <w:numPr>
          <w:ilvl w:val="0"/>
          <w:numId w:val="1"/>
        </w:numPr>
      </w:pPr>
      <w:r>
        <w:rPr>
          <w:rFonts w:eastAsia="Verdana" w:cs="Verdana"/>
        </w:rPr>
        <w:t>Groenten en fruit</w:t>
      </w:r>
      <w:r w:rsidRPr="2A2CA330">
        <w:rPr>
          <w:rFonts w:eastAsia="Verdana" w:cs="Verdana"/>
        </w:rPr>
        <w:t xml:space="preserve"> </w:t>
      </w:r>
      <w:r w:rsidR="0039073B">
        <w:rPr>
          <w:rFonts w:eastAsia="Verdana" w:cs="Verdana"/>
        </w:rPr>
        <w:t xml:space="preserve">worden </w:t>
      </w:r>
      <w:r w:rsidRPr="2A2CA330">
        <w:rPr>
          <w:rFonts w:eastAsia="Verdana" w:cs="Verdana"/>
        </w:rPr>
        <w:t xml:space="preserve">buiten het verplichte gebruikswaarde-onderzoek </w:t>
      </w:r>
      <w:r w:rsidR="0039073B">
        <w:rPr>
          <w:rFonts w:eastAsia="Verdana" w:cs="Verdana"/>
        </w:rPr>
        <w:t>ge</w:t>
      </w:r>
      <w:r w:rsidRPr="2A2CA330">
        <w:rPr>
          <w:rFonts w:eastAsia="Verdana" w:cs="Verdana"/>
        </w:rPr>
        <w:t xml:space="preserve">houden, zodat de administratieve lasten beperkt blijven; </w:t>
      </w:r>
    </w:p>
    <w:p w:rsidR="00855247" w:rsidP="00855247" w:rsidRDefault="00163552" w14:paraId="1CA1D0BB" w14:textId="147BD952">
      <w:pPr>
        <w:pStyle w:val="Lijstalinea"/>
        <w:numPr>
          <w:ilvl w:val="0"/>
          <w:numId w:val="1"/>
        </w:numPr>
      </w:pPr>
      <w:r>
        <w:rPr>
          <w:rFonts w:eastAsia="Verdana" w:cs="Verdana"/>
        </w:rPr>
        <w:t>G</w:t>
      </w:r>
      <w:r w:rsidRPr="2A2CA330" w:rsidR="00855247">
        <w:rPr>
          <w:rFonts w:eastAsia="Verdana" w:cs="Verdana"/>
        </w:rPr>
        <w:t xml:space="preserve">roentezaden uit derde landen </w:t>
      </w:r>
      <w:r>
        <w:rPr>
          <w:rFonts w:eastAsia="Verdana" w:cs="Verdana"/>
        </w:rPr>
        <w:t xml:space="preserve">kunnen </w:t>
      </w:r>
      <w:r w:rsidRPr="2A2CA330" w:rsidR="00855247">
        <w:rPr>
          <w:rFonts w:eastAsia="Verdana" w:cs="Verdana"/>
        </w:rPr>
        <w:t>onder vergelijkbare voorwaarden als nu het geval is</w:t>
      </w:r>
      <w:r>
        <w:rPr>
          <w:rFonts w:eastAsia="Verdana" w:cs="Verdana"/>
        </w:rPr>
        <w:t xml:space="preserve"> worden geïmporteerd</w:t>
      </w:r>
      <w:r w:rsidRPr="2A2CA330" w:rsidR="00855247">
        <w:rPr>
          <w:rFonts w:eastAsia="Verdana" w:cs="Verdana"/>
        </w:rPr>
        <w:t xml:space="preserve">; </w:t>
      </w:r>
    </w:p>
    <w:p w:rsidR="00855247" w:rsidP="00855247" w:rsidRDefault="00163552" w14:paraId="06D1467E" w14:textId="2E604391">
      <w:pPr>
        <w:pStyle w:val="Lijstalinea"/>
        <w:numPr>
          <w:ilvl w:val="0"/>
          <w:numId w:val="1"/>
        </w:numPr>
      </w:pPr>
      <w:r>
        <w:rPr>
          <w:rFonts w:eastAsia="Verdana" w:cs="Verdana"/>
        </w:rPr>
        <w:t>N</w:t>
      </w:r>
      <w:r w:rsidRPr="2A2CA330" w:rsidR="00855247">
        <w:rPr>
          <w:rFonts w:eastAsia="Verdana" w:cs="Verdana"/>
        </w:rPr>
        <w:t>ieuwe rassen waarvan de registratie nog niet helemaal is afgerond</w:t>
      </w:r>
      <w:r>
        <w:rPr>
          <w:rFonts w:eastAsia="Verdana" w:cs="Verdana"/>
        </w:rPr>
        <w:t xml:space="preserve"> kunnen op de markt worden gebracht</w:t>
      </w:r>
      <w:r w:rsidR="00855247">
        <w:rPr>
          <w:rFonts w:eastAsia="Verdana" w:cs="Verdana"/>
        </w:rPr>
        <w:t>,</w:t>
      </w:r>
      <w:r w:rsidRPr="2A2CA330" w:rsidR="00855247">
        <w:rPr>
          <w:rFonts w:eastAsia="Verdana" w:cs="Verdana"/>
        </w:rPr>
        <w:t xml:space="preserve"> zodat de teelt snel met deze rassen kan inspelen op veranderingen.</w:t>
      </w:r>
    </w:p>
    <w:p w:rsidR="00855247" w:rsidP="00855247" w:rsidRDefault="00855247" w14:paraId="2589F7DD" w14:textId="71E06C9A">
      <w:pPr>
        <w:rPr>
          <w:rFonts w:eastAsia="Verdana" w:cs="Verdana"/>
        </w:rPr>
      </w:pPr>
      <w:r w:rsidRPr="2A2CA330">
        <w:rPr>
          <w:rFonts w:eastAsia="Verdana" w:cs="Verdana"/>
        </w:rPr>
        <w:t>Deze wijzigingen zijn in lijn met de inzet zoals beschreven in het BNC-fiche</w:t>
      </w:r>
      <w:r>
        <w:rPr>
          <w:rFonts w:eastAsia="Verdana" w:cs="Verdana"/>
        </w:rPr>
        <w:t xml:space="preserve"> (Kamerstuk 22112, nr. 3771)</w:t>
      </w:r>
      <w:r w:rsidRPr="2A2CA330">
        <w:rPr>
          <w:rFonts w:eastAsia="Verdana" w:cs="Verdana"/>
        </w:rPr>
        <w:t xml:space="preserve">. </w:t>
      </w:r>
      <w:r>
        <w:rPr>
          <w:rFonts w:eastAsia="Verdana" w:cs="Verdana"/>
        </w:rPr>
        <w:t xml:space="preserve">Er is een reële </w:t>
      </w:r>
      <w:r w:rsidRPr="2A2CA330">
        <w:rPr>
          <w:rFonts w:eastAsia="Verdana" w:cs="Verdana"/>
        </w:rPr>
        <w:t xml:space="preserve">mogelijkheid dat onder het huidige </w:t>
      </w:r>
      <w:r>
        <w:rPr>
          <w:rFonts w:eastAsia="Verdana" w:cs="Verdana"/>
        </w:rPr>
        <w:t xml:space="preserve">Cypriotisch </w:t>
      </w:r>
      <w:r w:rsidRPr="2A2CA330">
        <w:rPr>
          <w:rFonts w:eastAsia="Verdana" w:cs="Verdana"/>
        </w:rPr>
        <w:t xml:space="preserve">voorzitterschap </w:t>
      </w:r>
      <w:r>
        <w:rPr>
          <w:rFonts w:eastAsia="Verdana" w:cs="Verdana"/>
        </w:rPr>
        <w:t>de triloogbesprekingen succesvol worden afgerond en er</w:t>
      </w:r>
      <w:r w:rsidRPr="2A2CA330">
        <w:rPr>
          <w:rFonts w:eastAsia="Verdana" w:cs="Verdana"/>
        </w:rPr>
        <w:t xml:space="preserve"> een overeenstemming komt.</w:t>
      </w:r>
    </w:p>
    <w:p w:rsidR="00855247" w:rsidP="00855247" w:rsidRDefault="00855247" w14:paraId="38F69395" w14:textId="77777777">
      <w:pPr>
        <w:rPr>
          <w:rFonts w:eastAsia="Verdana" w:cs="Verdana"/>
        </w:rPr>
      </w:pPr>
    </w:p>
    <w:p w:rsidRPr="00B26106" w:rsidR="00855247" w:rsidP="00855247" w:rsidRDefault="00855247" w14:paraId="66887ABE" w14:textId="498A3898">
      <w:pPr>
        <w:rPr>
          <w:rFonts w:eastAsia="Verdana" w:cs="Verdana"/>
          <w:i/>
        </w:rPr>
      </w:pPr>
      <w:r>
        <w:rPr>
          <w:rFonts w:eastAsia="Verdana" w:cs="Verdana"/>
          <w:i/>
          <w:iCs/>
        </w:rPr>
        <w:t xml:space="preserve">Herziening </w:t>
      </w:r>
      <w:r w:rsidR="00163552">
        <w:rPr>
          <w:rFonts w:eastAsia="Verdana" w:cs="Verdana"/>
          <w:i/>
          <w:iCs/>
        </w:rPr>
        <w:t>D</w:t>
      </w:r>
      <w:r>
        <w:rPr>
          <w:rFonts w:eastAsia="Verdana" w:cs="Verdana"/>
          <w:i/>
          <w:iCs/>
        </w:rPr>
        <w:t>iertransportverordening</w:t>
      </w:r>
    </w:p>
    <w:p w:rsidR="2580B3B6" w:rsidP="00190CE9" w:rsidRDefault="00855247" w14:paraId="642CAF7A" w14:textId="2A2DBC55">
      <w:pPr>
        <w:rPr>
          <w:rFonts w:eastAsia="Verdana" w:cs="Verdana"/>
        </w:rPr>
      </w:pPr>
      <w:r>
        <w:rPr>
          <w:rFonts w:eastAsia="Verdana" w:cs="Verdana"/>
        </w:rPr>
        <w:t>D</w:t>
      </w:r>
      <w:r w:rsidRPr="55281602">
        <w:rPr>
          <w:rFonts w:eastAsia="Verdana" w:cs="Verdana"/>
        </w:rPr>
        <w:t xml:space="preserve">e herziening van de </w:t>
      </w:r>
      <w:r w:rsidR="00163552">
        <w:rPr>
          <w:rFonts w:eastAsia="Verdana" w:cs="Verdana"/>
        </w:rPr>
        <w:t>D</w:t>
      </w:r>
      <w:r w:rsidRPr="55281602">
        <w:rPr>
          <w:rFonts w:eastAsia="Verdana" w:cs="Verdana"/>
        </w:rPr>
        <w:t xml:space="preserve">iertransportverordening </w:t>
      </w:r>
      <w:r w:rsidRPr="41D55948">
        <w:rPr>
          <w:rFonts w:eastAsia="Verdana" w:cs="Verdana"/>
        </w:rPr>
        <w:t xml:space="preserve">bevat </w:t>
      </w:r>
      <w:r>
        <w:rPr>
          <w:rFonts w:eastAsia="Verdana" w:cs="Verdana"/>
        </w:rPr>
        <w:t xml:space="preserve">regels </w:t>
      </w:r>
      <w:r w:rsidRPr="41D55948">
        <w:rPr>
          <w:rFonts w:eastAsia="Verdana" w:cs="Verdana"/>
        </w:rPr>
        <w:t>omtrent dierenwelzijn tijdens transport.</w:t>
      </w:r>
      <w:r>
        <w:rPr>
          <w:rFonts w:eastAsia="Verdana" w:cs="Verdana"/>
        </w:rPr>
        <w:t xml:space="preserve"> De onderhandelingen hierover verlopen moeizaam.</w:t>
      </w:r>
      <w:r w:rsidRPr="41D55948">
        <w:rPr>
          <w:rFonts w:eastAsia="Verdana" w:cs="Verdana"/>
        </w:rPr>
        <w:t xml:space="preserve"> </w:t>
      </w:r>
      <w:r w:rsidRPr="02B7169E">
        <w:rPr>
          <w:rFonts w:eastAsia="Verdana" w:cs="Verdana"/>
        </w:rPr>
        <w:t>De</w:t>
      </w:r>
      <w:r>
        <w:rPr>
          <w:rFonts w:eastAsia="Verdana" w:cs="Verdana"/>
        </w:rPr>
        <w:t xml:space="preserve"> Nederlandse</w:t>
      </w:r>
      <w:r w:rsidRPr="02B7169E">
        <w:rPr>
          <w:rFonts w:eastAsia="Verdana" w:cs="Verdana"/>
        </w:rPr>
        <w:t xml:space="preserve"> inzet </w:t>
      </w:r>
      <w:r>
        <w:rPr>
          <w:rFonts w:eastAsia="Verdana" w:cs="Verdana"/>
        </w:rPr>
        <w:t>in deze onderhandelingen is</w:t>
      </w:r>
      <w:r w:rsidRPr="02B7169E">
        <w:rPr>
          <w:rFonts w:eastAsia="Verdana" w:cs="Verdana"/>
        </w:rPr>
        <w:t xml:space="preserve"> conform het BNC</w:t>
      </w:r>
      <w:r>
        <w:rPr>
          <w:rFonts w:eastAsia="Verdana" w:cs="Verdana"/>
        </w:rPr>
        <w:t>-</w:t>
      </w:r>
      <w:r w:rsidRPr="02B7169E">
        <w:rPr>
          <w:rFonts w:eastAsia="Verdana" w:cs="Verdana"/>
        </w:rPr>
        <w:t xml:space="preserve">fiche (Kamerstuk 22112, nr. </w:t>
      </w:r>
      <w:r w:rsidRPr="0B1FE328">
        <w:rPr>
          <w:rFonts w:eastAsia="Verdana" w:cs="Verdana"/>
        </w:rPr>
        <w:t xml:space="preserve">3861). </w:t>
      </w:r>
      <w:r w:rsidRPr="41D55948">
        <w:rPr>
          <w:rFonts w:eastAsia="Verdana" w:cs="Verdana"/>
        </w:rPr>
        <w:t>Ierland</w:t>
      </w:r>
      <w:r w:rsidR="00163552">
        <w:rPr>
          <w:rFonts w:eastAsia="Verdana" w:cs="Verdana"/>
        </w:rPr>
        <w:t>,</w:t>
      </w:r>
      <w:r w:rsidRPr="41D55948">
        <w:rPr>
          <w:rFonts w:eastAsia="Verdana" w:cs="Verdana"/>
        </w:rPr>
        <w:t xml:space="preserve"> </w:t>
      </w:r>
      <w:r w:rsidR="00163552">
        <w:rPr>
          <w:rFonts w:eastAsia="Verdana" w:cs="Verdana"/>
        </w:rPr>
        <w:t>dat</w:t>
      </w:r>
      <w:r w:rsidRPr="41D55948">
        <w:rPr>
          <w:rFonts w:eastAsia="Verdana" w:cs="Verdana"/>
        </w:rPr>
        <w:t xml:space="preserve"> het voorzitterschap in juli overneemt van Cyprus</w:t>
      </w:r>
      <w:r w:rsidR="00163552">
        <w:rPr>
          <w:rFonts w:eastAsia="Verdana" w:cs="Verdana"/>
        </w:rPr>
        <w:t>,</w:t>
      </w:r>
      <w:r w:rsidRPr="41D55948">
        <w:rPr>
          <w:rFonts w:eastAsia="Verdana" w:cs="Verdana"/>
        </w:rPr>
        <w:t xml:space="preserve"> heeft reeds aangegeven </w:t>
      </w:r>
      <w:r>
        <w:rPr>
          <w:rFonts w:eastAsia="Verdana" w:cs="Verdana"/>
        </w:rPr>
        <w:t>de onderhandelingen voort te zetten</w:t>
      </w:r>
      <w:r w:rsidRPr="41D55948">
        <w:rPr>
          <w:rFonts w:eastAsia="Verdana" w:cs="Verdana"/>
        </w:rPr>
        <w:t xml:space="preserve">. </w:t>
      </w:r>
    </w:p>
    <w:p w:rsidRPr="002E08D5" w:rsidR="004E7329" w:rsidP="004E7329" w:rsidRDefault="004E7329" w14:paraId="0DC809D1" w14:textId="77777777">
      <w:pPr>
        <w:rPr>
          <w:u w:val="single"/>
        </w:rPr>
      </w:pPr>
      <w:r w:rsidRPr="2A2CA330">
        <w:rPr>
          <w:u w:val="single"/>
        </w:rPr>
        <w:t>(mogelijk) Verordening tot wijziging van de strategische plannen van het GLB en de horizontale verordeningen betreffende meststoffen</w:t>
      </w:r>
    </w:p>
    <w:p w:rsidRPr="00B26106" w:rsidR="004E7329" w:rsidP="004E7329" w:rsidRDefault="004E7329" w14:paraId="4E2D429C" w14:textId="77777777">
      <w:pPr>
        <w:rPr>
          <w:highlight w:val="yellow"/>
        </w:rPr>
      </w:pPr>
      <w:r>
        <w:t xml:space="preserve">Dit agendapunt is als ‘mogelijk’ geagendeerd. Het is nog onduidelijk of deze bespreking zal plaatsvinden. Op 19 mei 2026 presenteerde de Europese Commissie (hierna: Commissie) het Actieplan Meststoffen (hierna: Actieplan). Dit Actieplan heeft als doel </w:t>
      </w:r>
      <w:r w:rsidRPr="11769328">
        <w:rPr>
          <w:rFonts w:eastAsia="Verdana" w:cs="Verdana"/>
        </w:rPr>
        <w:t xml:space="preserve">om de beschikbaarheid, betaalbaarheid en strategische autonomie van in de </w:t>
      </w:r>
      <w:r>
        <w:rPr>
          <w:rFonts w:eastAsia="Verdana" w:cs="Verdana"/>
        </w:rPr>
        <w:t>Europese Unie (</w:t>
      </w:r>
      <w:r w:rsidRPr="11769328">
        <w:rPr>
          <w:rFonts w:eastAsia="Verdana" w:cs="Verdana"/>
        </w:rPr>
        <w:t>EU</w:t>
      </w:r>
      <w:r>
        <w:rPr>
          <w:rFonts w:eastAsia="Verdana" w:cs="Verdana"/>
        </w:rPr>
        <w:t xml:space="preserve">) </w:t>
      </w:r>
      <w:r w:rsidRPr="11769328">
        <w:rPr>
          <w:rFonts w:eastAsia="Verdana" w:cs="Verdana"/>
        </w:rPr>
        <w:t xml:space="preserve">geproduceerde meststoffen te verstevigen. </w:t>
      </w:r>
      <w:r>
        <w:rPr>
          <w:rFonts w:eastAsia="Verdana" w:cs="Verdana"/>
        </w:rPr>
        <w:t>H</w:t>
      </w:r>
      <w:r>
        <w:t>et kabinet zal de Kamer voor het zomerreces via het BNC-traject voorzien van een appreciatie</w:t>
      </w:r>
      <w:r w:rsidDel="009A32BA">
        <w:t xml:space="preserve"> </w:t>
      </w:r>
      <w:r>
        <w:t>van het Actieplan.</w:t>
      </w:r>
      <w:r w:rsidRPr="11769328">
        <w:rPr>
          <w:rFonts w:eastAsia="Verdana" w:cs="Verdana"/>
        </w:rPr>
        <w:t xml:space="preserve"> In het </w:t>
      </w:r>
      <w:r>
        <w:rPr>
          <w:rFonts w:eastAsia="Verdana" w:cs="Verdana"/>
        </w:rPr>
        <w:t>A</w:t>
      </w:r>
      <w:r w:rsidRPr="11769328">
        <w:rPr>
          <w:rFonts w:eastAsia="Verdana" w:cs="Verdana"/>
        </w:rPr>
        <w:t>ctieplan zijn onder andere aanpassingen voorgesteld met betrekking tot het G</w:t>
      </w:r>
      <w:r>
        <w:rPr>
          <w:rFonts w:eastAsia="Verdana" w:cs="Verdana"/>
        </w:rPr>
        <w:t>emeenschappelijk Landbouwbeleid (G</w:t>
      </w:r>
      <w:r w:rsidRPr="11769328">
        <w:rPr>
          <w:rFonts w:eastAsia="Verdana" w:cs="Verdana"/>
        </w:rPr>
        <w:t>LB</w:t>
      </w:r>
      <w:r>
        <w:rPr>
          <w:rFonts w:eastAsia="Verdana" w:cs="Verdana"/>
        </w:rPr>
        <w:t>)</w:t>
      </w:r>
      <w:r w:rsidRPr="11769328">
        <w:rPr>
          <w:rFonts w:eastAsia="Verdana" w:cs="Verdana"/>
        </w:rPr>
        <w:t xml:space="preserve">. </w:t>
      </w:r>
      <w:r>
        <w:rPr>
          <w:rFonts w:eastAsia="Verdana" w:cs="Verdana"/>
          <w:szCs w:val="18"/>
        </w:rPr>
        <w:t>Een eerste aanpassing ziet op het</w:t>
      </w:r>
      <w:r w:rsidRPr="00CB18B7">
        <w:rPr>
          <w:rFonts w:eastAsia="Verdana" w:cs="Verdana"/>
          <w:szCs w:val="18"/>
        </w:rPr>
        <w:t xml:space="preserve"> inzetten van de landbouwreserve. Aanvullend is het voorstel om betalingsvoorwaarden te verruimen voor het verstrekken van voorschotten. </w:t>
      </w:r>
      <w:r>
        <w:rPr>
          <w:rFonts w:eastAsia="Verdana" w:cs="Verdana"/>
          <w:szCs w:val="18"/>
        </w:rPr>
        <w:t>T</w:t>
      </w:r>
      <w:r w:rsidRPr="00CB18B7">
        <w:rPr>
          <w:rFonts w:eastAsia="Verdana" w:cs="Verdana"/>
          <w:szCs w:val="18"/>
        </w:rPr>
        <w:t xml:space="preserve">ot slot </w:t>
      </w:r>
      <w:r>
        <w:rPr>
          <w:rFonts w:eastAsia="Verdana" w:cs="Verdana"/>
          <w:szCs w:val="18"/>
        </w:rPr>
        <w:t xml:space="preserve">wordt voorgesteld </w:t>
      </w:r>
      <w:r w:rsidRPr="00CB18B7">
        <w:rPr>
          <w:rFonts w:eastAsia="Verdana" w:cs="Verdana"/>
          <w:szCs w:val="18"/>
        </w:rPr>
        <w:t xml:space="preserve">om de lidstaten te bewegen hun eigen Nationaal Strategische Plannen </w:t>
      </w:r>
      <w:r>
        <w:rPr>
          <w:rFonts w:eastAsia="Verdana" w:cs="Verdana"/>
          <w:szCs w:val="18"/>
        </w:rPr>
        <w:t xml:space="preserve">voor het GLB </w:t>
      </w:r>
      <w:r w:rsidRPr="00CB18B7">
        <w:rPr>
          <w:rFonts w:eastAsia="Verdana" w:cs="Verdana"/>
          <w:szCs w:val="18"/>
        </w:rPr>
        <w:t xml:space="preserve">aan te passen. </w:t>
      </w:r>
      <w:r>
        <w:rPr>
          <w:rFonts w:eastAsia="Verdana" w:cs="Verdana"/>
          <w:szCs w:val="18"/>
        </w:rPr>
        <w:t>Voor dat laatste punt betekent dit concreet het inzetten van b</w:t>
      </w:r>
      <w:r w:rsidRPr="002506BD">
        <w:rPr>
          <w:rFonts w:eastAsia="Verdana" w:cs="Verdana"/>
          <w:szCs w:val="18"/>
        </w:rPr>
        <w:t xml:space="preserve">udgetten van de eco-regeling en investeringen in de tweede pijler </w:t>
      </w:r>
      <w:r>
        <w:rPr>
          <w:rFonts w:eastAsia="Verdana" w:cs="Verdana"/>
          <w:szCs w:val="18"/>
        </w:rPr>
        <w:t>van het GLB</w:t>
      </w:r>
      <w:r w:rsidRPr="002506BD">
        <w:rPr>
          <w:rFonts w:eastAsia="Verdana" w:cs="Verdana"/>
          <w:szCs w:val="18"/>
        </w:rPr>
        <w:t xml:space="preserve"> voor hergebruik van nutriënten en andere maatregelen die de druk op de markt kunnen verminderen.</w:t>
      </w:r>
      <w:r>
        <w:rPr>
          <w:rFonts w:eastAsia="Verdana" w:cs="Verdana"/>
          <w:szCs w:val="18"/>
        </w:rPr>
        <w:t xml:space="preserve"> Mogelijk zal er tijdens de Raad al gesproken worden over de voorgestelde aanpassingen binnen het GLB. Dit is op het moment van schrijven nog niet duidelijk. </w:t>
      </w:r>
    </w:p>
    <w:p w:rsidR="2580B3B6" w:rsidP="2580B3B6" w:rsidRDefault="2580B3B6" w14:paraId="2F2ED8E5" w14:textId="4067F940"/>
    <w:p w:rsidRPr="001E7AB0" w:rsidR="00855247" w:rsidP="00CB1C94" w:rsidRDefault="00855247" w14:paraId="34B5B2A5" w14:textId="77777777">
      <w:pPr>
        <w:pStyle w:val="Lijstalinea"/>
        <w:numPr>
          <w:ilvl w:val="0"/>
          <w:numId w:val="16"/>
        </w:numPr>
        <w:rPr>
          <w:b/>
          <w:bCs/>
        </w:rPr>
      </w:pPr>
      <w:r w:rsidRPr="001E7AB0">
        <w:rPr>
          <w:b/>
          <w:bCs/>
        </w:rPr>
        <w:t>Maandelijkse voortgangsrapportage over voortgang onderhandelingen Gemeenschappelijk Landbouwbeleid 2028-2034 </w:t>
      </w:r>
    </w:p>
    <w:p w:rsidR="00163552" w:rsidP="00855247" w:rsidRDefault="00855247" w14:paraId="28876E99" w14:textId="04C6EA41">
      <w:r w:rsidRPr="001E7AB0">
        <w:t>In Europees verband is er gesproken over</w:t>
      </w:r>
      <w:r>
        <w:t xml:space="preserve"> </w:t>
      </w:r>
      <w:r w:rsidRPr="001E7AB0">
        <w:t>de</w:t>
      </w:r>
      <w:r>
        <w:t xml:space="preserve"> </w:t>
      </w:r>
      <w:r w:rsidRPr="001E7AB0">
        <w:t>Degressieve</w:t>
      </w:r>
      <w:r>
        <w:t xml:space="preserve"> </w:t>
      </w:r>
      <w:r w:rsidRPr="001E7AB0">
        <w:t>Areaalgebonden</w:t>
      </w:r>
      <w:r>
        <w:t xml:space="preserve"> </w:t>
      </w:r>
      <w:r w:rsidRPr="001E7AB0">
        <w:t>Inkomensteun</w:t>
      </w:r>
      <w:r>
        <w:t xml:space="preserve"> </w:t>
      </w:r>
      <w:r w:rsidRPr="001E7AB0">
        <w:t>(DABIS). Daarbij heeft Nederland, in lijn met de motie van de leden</w:t>
      </w:r>
      <w:r>
        <w:t xml:space="preserve"> </w:t>
      </w:r>
      <w:r w:rsidRPr="001E7AB0">
        <w:t>Bromet</w:t>
      </w:r>
      <w:r>
        <w:t xml:space="preserve"> </w:t>
      </w:r>
      <w:r w:rsidRPr="001E7AB0">
        <w:t>en</w:t>
      </w:r>
      <w:r>
        <w:t xml:space="preserve"> </w:t>
      </w:r>
      <w:r w:rsidRPr="001E7AB0">
        <w:t>Podt</w:t>
      </w:r>
      <w:r>
        <w:t xml:space="preserve"> </w:t>
      </w:r>
      <w:r w:rsidRPr="001E7AB0">
        <w:t>(</w:t>
      </w:r>
      <w:r w:rsidR="00163552">
        <w:t xml:space="preserve">Kamerstuk </w:t>
      </w:r>
      <w:r w:rsidRPr="001E7AB0">
        <w:t>21501-32, nr. 1780),</w:t>
      </w:r>
      <w:r>
        <w:t xml:space="preserve"> </w:t>
      </w:r>
      <w:r w:rsidRPr="001E7AB0">
        <w:t>opnieuw</w:t>
      </w:r>
      <w:r>
        <w:t xml:space="preserve"> </w:t>
      </w:r>
      <w:r w:rsidRPr="001E7AB0">
        <w:t>gepleit voor het verlagen van zowel de ondergrens als de bovengrens van de bandbreedte.</w:t>
      </w:r>
      <w:r>
        <w:t xml:space="preserve"> </w:t>
      </w:r>
      <w:r w:rsidRPr="001E7AB0">
        <w:t>Gerelateerd hieraan</w:t>
      </w:r>
      <w:r>
        <w:t xml:space="preserve"> </w:t>
      </w:r>
      <w:r w:rsidRPr="001E7AB0">
        <w:t>gaf Nederland aan</w:t>
      </w:r>
      <w:r>
        <w:t xml:space="preserve"> </w:t>
      </w:r>
      <w:r w:rsidRPr="001E7AB0">
        <w:t>de</w:t>
      </w:r>
      <w:r>
        <w:t xml:space="preserve"> </w:t>
      </w:r>
      <w:r w:rsidRPr="001E7AB0">
        <w:t>voorgestelde</w:t>
      </w:r>
      <w:r>
        <w:t xml:space="preserve"> </w:t>
      </w:r>
      <w:r w:rsidRPr="001E7AB0">
        <w:t>verplichting om jonge boeren een hogere DABIS te geven</w:t>
      </w:r>
      <w:r>
        <w:t xml:space="preserve"> </w:t>
      </w:r>
      <w:r w:rsidRPr="001E7AB0">
        <w:t>bij voorkeur te vervangen door een</w:t>
      </w:r>
      <w:r>
        <w:t xml:space="preserve"> </w:t>
      </w:r>
      <w:r w:rsidRPr="001E7AB0">
        <w:t>6%</w:t>
      </w:r>
      <w:r>
        <w:t xml:space="preserve"> </w:t>
      </w:r>
      <w:r w:rsidRPr="001E7AB0">
        <w:t>oormerking</w:t>
      </w:r>
      <w:r>
        <w:t xml:space="preserve"> </w:t>
      </w:r>
      <w:r w:rsidRPr="001E7AB0">
        <w:t>voor</w:t>
      </w:r>
      <w:r>
        <w:t xml:space="preserve"> </w:t>
      </w:r>
      <w:r w:rsidRPr="001E7AB0">
        <w:t>generatievernieuwing</w:t>
      </w:r>
      <w:r>
        <w:t xml:space="preserve"> </w:t>
      </w:r>
      <w:r w:rsidRPr="001E7AB0">
        <w:t>binnen</w:t>
      </w:r>
      <w:r>
        <w:t xml:space="preserve"> </w:t>
      </w:r>
      <w:r w:rsidRPr="001E7AB0">
        <w:t>het GLB,</w:t>
      </w:r>
      <w:r>
        <w:t xml:space="preserve"> </w:t>
      </w:r>
      <w:r w:rsidRPr="001E7AB0">
        <w:t>zodat</w:t>
      </w:r>
      <w:r>
        <w:t xml:space="preserve"> </w:t>
      </w:r>
      <w:r w:rsidRPr="001E7AB0">
        <w:t>lidstaten</w:t>
      </w:r>
      <w:r>
        <w:t xml:space="preserve"> </w:t>
      </w:r>
      <w:r w:rsidRPr="001E7AB0">
        <w:t>zelf</w:t>
      </w:r>
      <w:r>
        <w:t xml:space="preserve"> </w:t>
      </w:r>
      <w:r w:rsidRPr="001E7AB0">
        <w:t>kunnen</w:t>
      </w:r>
      <w:r>
        <w:t xml:space="preserve"> </w:t>
      </w:r>
      <w:r w:rsidRPr="001E7AB0">
        <w:t>bepalen</w:t>
      </w:r>
      <w:r>
        <w:t xml:space="preserve"> </w:t>
      </w:r>
      <w:r w:rsidRPr="001E7AB0">
        <w:t>hoe</w:t>
      </w:r>
      <w:r>
        <w:t xml:space="preserve"> </w:t>
      </w:r>
      <w:r w:rsidRPr="001E7AB0">
        <w:t>dat</w:t>
      </w:r>
      <w:r>
        <w:t xml:space="preserve"> </w:t>
      </w:r>
      <w:r w:rsidRPr="001E7AB0">
        <w:t>budget</w:t>
      </w:r>
      <w:r>
        <w:t xml:space="preserve"> </w:t>
      </w:r>
      <w:r w:rsidRPr="001E7AB0">
        <w:t>effectief</w:t>
      </w:r>
      <w:r>
        <w:t xml:space="preserve"> </w:t>
      </w:r>
      <w:r w:rsidRPr="001E7AB0">
        <w:t>kan</w:t>
      </w:r>
      <w:r>
        <w:t xml:space="preserve"> </w:t>
      </w:r>
      <w:r w:rsidRPr="001E7AB0">
        <w:t>worden</w:t>
      </w:r>
      <w:r>
        <w:t xml:space="preserve"> </w:t>
      </w:r>
      <w:r w:rsidRPr="001E7AB0">
        <w:t>ingezet.</w:t>
      </w:r>
      <w:r>
        <w:t xml:space="preserve"> </w:t>
      </w:r>
      <w:r w:rsidRPr="001E7AB0">
        <w:t>Met betrekking</w:t>
      </w:r>
      <w:r>
        <w:t xml:space="preserve"> tot </w:t>
      </w:r>
      <w:r w:rsidRPr="001E7AB0">
        <w:t>het</w:t>
      </w:r>
      <w:r>
        <w:t xml:space="preserve"> </w:t>
      </w:r>
      <w:r w:rsidRPr="001E7AB0">
        <w:t>thema milieuverplichtingen</w:t>
      </w:r>
      <w:r>
        <w:t xml:space="preserve"> </w:t>
      </w:r>
      <w:r w:rsidRPr="001E7AB0">
        <w:t>zijn er geen recente ontwikkelingen.</w:t>
      </w:r>
      <w:r>
        <w:t xml:space="preserve"> </w:t>
      </w:r>
    </w:p>
    <w:p w:rsidR="00EC28AB" w:rsidP="00855247" w:rsidRDefault="00855247" w14:paraId="453BE169" w14:textId="77777777">
      <w:r w:rsidRPr="001E7AB0">
        <w:t>Het onderzoeksbureau</w:t>
      </w:r>
      <w:r>
        <w:t xml:space="preserve"> </w:t>
      </w:r>
      <w:r w:rsidRPr="001E7AB0">
        <w:t>Populytics</w:t>
      </w:r>
      <w:r>
        <w:t xml:space="preserve"> </w:t>
      </w:r>
      <w:r w:rsidRPr="001E7AB0">
        <w:t>heeft in opdracht van LVVN</w:t>
      </w:r>
      <w:r w:rsidR="00163552">
        <w:t xml:space="preserve"> </w:t>
      </w:r>
      <w:r w:rsidRPr="001E7AB0">
        <w:t>onderzoek gedaan naar de verschillende opvattingen over verdelingsprincipes voor het toekomstige GLB in de samenleving</w:t>
      </w:r>
      <w:r w:rsidR="00163552">
        <w:t>.</w:t>
      </w:r>
      <w:r w:rsidRPr="001E7AB0">
        <w:t xml:space="preserve"> </w:t>
      </w:r>
      <w:r w:rsidR="00163552">
        <w:t>Z</w:t>
      </w:r>
      <w:r w:rsidRPr="001E7AB0">
        <w:t xml:space="preserve">owel burgers als </w:t>
      </w:r>
      <w:r>
        <w:t>ondernemers uit de agrarische sector</w:t>
      </w:r>
      <w:r w:rsidRPr="001E7AB0">
        <w:t xml:space="preserve"> deden mee. </w:t>
      </w:r>
      <w:r w:rsidR="00163552">
        <w:t>D</w:t>
      </w:r>
      <w:r w:rsidRPr="001E7AB0">
        <w:t>e resultaten</w:t>
      </w:r>
      <w:r w:rsidR="00163552">
        <w:t xml:space="preserve"> van dit onderzoek zijn te</w:t>
      </w:r>
      <w:r w:rsidRPr="001E7AB0">
        <w:t xml:space="preserve"> vinden op de website van Populytics.</w:t>
      </w:r>
      <w:r>
        <w:rPr>
          <w:rStyle w:val="Voetnootmarkering"/>
        </w:rPr>
        <w:footnoteReference w:id="2"/>
      </w:r>
      <w:r w:rsidRPr="001E7AB0">
        <w:t xml:space="preserve"> </w:t>
      </w:r>
    </w:p>
    <w:p w:rsidR="00EC28AB" w:rsidRDefault="00EC28AB" w14:paraId="245A4DA2" w14:textId="77777777">
      <w:pPr>
        <w:spacing w:line="240" w:lineRule="auto"/>
      </w:pPr>
      <w:r>
        <w:br w:type="page"/>
      </w:r>
    </w:p>
    <w:p w:rsidRPr="001E7AB0" w:rsidR="00855247" w:rsidP="00855247" w:rsidRDefault="00855247" w14:paraId="39933264" w14:textId="25435D2D">
      <w:r w:rsidRPr="001E7AB0">
        <w:t>Dit digitale onderzoeks- en participatietraject vormt een waardevolle aanvulling op andere onderzoeken en methoden om belanghebbenden te betrekken bij de ontwikkeling van het toekomstige GLB-programma.</w:t>
      </w:r>
    </w:p>
    <w:p w:rsidRPr="002B60CB" w:rsidR="002B60CB" w:rsidP="002B2281" w:rsidRDefault="002B60CB" w14:paraId="32C7B07E" w14:textId="4C88AC8D">
      <w:pPr>
        <w:rPr>
          <w:color w:val="000000" w:themeColor="text1"/>
        </w:rPr>
      </w:pPr>
    </w:p>
    <w:p w:rsidRPr="000752D6" w:rsidR="002B2281" w:rsidP="002B2281" w:rsidRDefault="002B2281" w14:paraId="6F0DBAB0" w14:textId="77777777"/>
    <w:p w:rsidR="002B2281" w:rsidP="002B2281" w:rsidRDefault="002B2281" w14:paraId="7CBFEBFE" w14:textId="77777777"/>
    <w:p w:rsidR="00EC28AB" w:rsidP="002B2281" w:rsidRDefault="00EC28AB" w14:paraId="3033D15F" w14:textId="77777777"/>
    <w:p w:rsidRPr="000752D6" w:rsidR="002B2281" w:rsidP="002B2281" w:rsidRDefault="002B2281" w14:paraId="69CD6B6D" w14:textId="77777777">
      <w:r w:rsidRPr="00640234">
        <w:t>Jaimi van Essen</w:t>
      </w:r>
    </w:p>
    <w:p w:rsidRPr="00006C01" w:rsidR="002B2281" w:rsidP="002B2281" w:rsidRDefault="002B2281" w14:paraId="089F340E" w14:textId="77777777">
      <w:r w:rsidRPr="000752D6">
        <w:t>Minister van Landbouw, Visserij, Voedselzekerheid en Natuur</w:t>
      </w:r>
    </w:p>
    <w:p w:rsidR="002B2281" w:rsidP="002B2281" w:rsidRDefault="002B2281" w14:paraId="5E9CAF70" w14:textId="77777777"/>
    <w:p w:rsidR="002B2281" w:rsidP="002B2281" w:rsidRDefault="002B2281" w14:paraId="3C0337ED" w14:textId="77777777"/>
    <w:p w:rsidR="002B2281" w:rsidP="002B2281" w:rsidRDefault="002B2281" w14:paraId="62854993" w14:textId="77777777"/>
    <w:p w:rsidR="002B2281" w:rsidP="002B2281" w:rsidRDefault="002B2281" w14:paraId="2E647B5F" w14:textId="77777777"/>
    <w:p w:rsidR="002B2281" w:rsidP="002B2281" w:rsidRDefault="002B2281" w14:paraId="5FDDC5B9" w14:textId="03C12A0B">
      <w:r>
        <w:t xml:space="preserve">Silvio </w:t>
      </w:r>
      <w:r w:rsidR="00867882">
        <w:t xml:space="preserve">P.A. </w:t>
      </w:r>
      <w:r>
        <w:t>Erkens</w:t>
      </w:r>
    </w:p>
    <w:p w:rsidR="00144B73" w:rsidP="00810C93" w:rsidRDefault="002B2281" w14:paraId="6A4FBA23" w14:textId="4135E982">
      <w:r>
        <w:t>Staatssecretaris van Landbouw, Visserij, Voedselzekerheid en Natuur</w:t>
      </w:r>
    </w:p>
    <w:p w:rsidRPr="002B2281" w:rsidR="0060398F" w:rsidP="00810C93" w:rsidRDefault="0060398F" w14:paraId="0B607FF8" w14:textId="77777777"/>
    <w:sectPr w:rsidRPr="002B2281" w:rsidR="0060398F" w:rsidSect="00B26106">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8A97" w14:textId="77777777" w:rsidR="009B6A82" w:rsidRDefault="009B6A82">
      <w:r>
        <w:separator/>
      </w:r>
    </w:p>
    <w:p w14:paraId="7646A5C2" w14:textId="77777777" w:rsidR="009B6A82" w:rsidRDefault="009B6A82"/>
  </w:endnote>
  <w:endnote w:type="continuationSeparator" w:id="0">
    <w:p w14:paraId="570B0B7A" w14:textId="77777777" w:rsidR="009B6A82" w:rsidRDefault="009B6A82">
      <w:r>
        <w:continuationSeparator/>
      </w:r>
    </w:p>
    <w:p w14:paraId="5DC4237B" w14:textId="77777777" w:rsidR="009B6A82" w:rsidRDefault="009B6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A5FA1"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46D06030" w:rsidR="00527BD4" w:rsidRPr="00645414" w:rsidRDefault="00463D3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15DD8">
            <w:t>5</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5FA1"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422854C7" w:rsidR="00527BD4" w:rsidRPr="00ED539E" w:rsidRDefault="00463D3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9B6A82">
            <w:t>1</w:t>
          </w:r>
          <w:r w:rsidR="003F2647">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064F" w14:textId="77777777" w:rsidR="009B6A82" w:rsidRDefault="009B6A82">
      <w:r>
        <w:separator/>
      </w:r>
    </w:p>
    <w:p w14:paraId="7FC9CC54" w14:textId="77777777" w:rsidR="009B6A82" w:rsidRDefault="009B6A82"/>
  </w:footnote>
  <w:footnote w:type="continuationSeparator" w:id="0">
    <w:p w14:paraId="42BFA5DF" w14:textId="77777777" w:rsidR="009B6A82" w:rsidRDefault="009B6A82">
      <w:r>
        <w:continuationSeparator/>
      </w:r>
    </w:p>
    <w:p w14:paraId="4D4B22F8" w14:textId="77777777" w:rsidR="009B6A82" w:rsidRDefault="009B6A82"/>
  </w:footnote>
  <w:footnote w:id="1">
    <w:p w14:paraId="60CF8429" w14:textId="21ABB661" w:rsidR="00CB1C94" w:rsidRPr="00EC28AB" w:rsidRDefault="00CB1C94">
      <w:pPr>
        <w:pStyle w:val="Voetnoottekst"/>
        <w:rPr>
          <w:szCs w:val="13"/>
        </w:rPr>
      </w:pPr>
      <w:r w:rsidRPr="00EC28AB">
        <w:rPr>
          <w:rStyle w:val="Voetnootmarkering"/>
          <w:szCs w:val="13"/>
        </w:rPr>
        <w:footnoteRef/>
      </w:r>
      <w:r w:rsidRPr="00EC28AB">
        <w:rPr>
          <w:szCs w:val="13"/>
        </w:rPr>
        <w:t xml:space="preserve"> </w:t>
      </w:r>
      <w:hyperlink r:id="rId1" w:history="1">
        <w:r w:rsidRPr="00EC28AB">
          <w:rPr>
            <w:rStyle w:val="Hyperlink"/>
            <w:szCs w:val="13"/>
          </w:rPr>
          <w:t>Verordening betreffende de productie en het in de handel brengen van bosbouwkundig teeltmateriaal</w:t>
        </w:r>
      </w:hyperlink>
      <w:r w:rsidRPr="00EC28AB">
        <w:rPr>
          <w:szCs w:val="13"/>
        </w:rPr>
        <w:t xml:space="preserve"> </w:t>
      </w:r>
    </w:p>
  </w:footnote>
  <w:footnote w:id="2">
    <w:p w14:paraId="5F0106FC" w14:textId="77777777" w:rsidR="00855247" w:rsidRPr="00EC28AB" w:rsidRDefault="00855247" w:rsidP="00855247">
      <w:pPr>
        <w:pStyle w:val="Voetnoottekst"/>
        <w:rPr>
          <w:szCs w:val="13"/>
        </w:rPr>
      </w:pPr>
      <w:r w:rsidRPr="00EC28AB">
        <w:rPr>
          <w:rStyle w:val="Voetnootmarkering"/>
          <w:szCs w:val="13"/>
        </w:rPr>
        <w:footnoteRef/>
      </w:r>
      <w:r w:rsidRPr="00EC28AB">
        <w:rPr>
          <w:szCs w:val="13"/>
        </w:rPr>
        <w:t xml:space="preserve"> </w:t>
      </w:r>
      <w:hyperlink r:id="rId2" w:history="1">
        <w:r w:rsidRPr="00EC28AB">
          <w:rPr>
            <w:color w:val="0000FF"/>
            <w:szCs w:val="13"/>
            <w:u w:val="single"/>
          </w:rPr>
          <w:t>Populytics — Rapport: Uitkomsten van de PWE-raadpleging over de toekomst van het Gemeenschappelijk Landbouw Beleid (GLB)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5FA1" w14:paraId="19F0A88A" w14:textId="77777777" w:rsidTr="00A50CF6">
      <w:tc>
        <w:tcPr>
          <w:tcW w:w="2156" w:type="dxa"/>
        </w:tcPr>
        <w:p w14:paraId="43EDEED8" w14:textId="76A0EAFF" w:rsidR="00527BD4" w:rsidRPr="005819CE" w:rsidRDefault="00463D3E" w:rsidP="00A50CF6">
          <w:pPr>
            <w:pStyle w:val="Huisstijl-Adres"/>
            <w:rPr>
              <w:b/>
            </w:rPr>
          </w:pPr>
          <w:r>
            <w:rPr>
              <w:b/>
            </w:rPr>
            <w:t>Directoraat-generaal Agro</w:t>
          </w:r>
          <w:r w:rsidRPr="005819CE">
            <w:rPr>
              <w:b/>
            </w:rPr>
            <w:br/>
          </w:r>
          <w:r>
            <w:t xml:space="preserve">Directie Europees, Internationaal en Agro economisch beleid </w:t>
          </w:r>
        </w:p>
      </w:tc>
    </w:tr>
    <w:tr w:rsidR="00AA5FA1" w14:paraId="5140E252" w14:textId="77777777" w:rsidTr="00A50CF6">
      <w:trPr>
        <w:trHeight w:hRule="exact" w:val="200"/>
      </w:trPr>
      <w:tc>
        <w:tcPr>
          <w:tcW w:w="2156" w:type="dxa"/>
        </w:tcPr>
        <w:p w14:paraId="407E8854" w14:textId="77777777" w:rsidR="00527BD4" w:rsidRPr="005819CE" w:rsidRDefault="00527BD4" w:rsidP="00A50CF6"/>
      </w:tc>
    </w:tr>
    <w:tr w:rsidR="00AA5FA1" w14:paraId="631F3858" w14:textId="77777777" w:rsidTr="00502512">
      <w:trPr>
        <w:trHeight w:hRule="exact" w:val="774"/>
      </w:trPr>
      <w:tc>
        <w:tcPr>
          <w:tcW w:w="2156" w:type="dxa"/>
        </w:tcPr>
        <w:p w14:paraId="41373B88" w14:textId="163792A7" w:rsidR="00527BD4" w:rsidRDefault="00463D3E" w:rsidP="003A5290">
          <w:pPr>
            <w:pStyle w:val="Huisstijl-Kopje"/>
          </w:pPr>
          <w:r>
            <w:t>Ons kenmerk</w:t>
          </w:r>
        </w:p>
        <w:p w14:paraId="7EF39EC7" w14:textId="58FA89A0" w:rsidR="00527BD4" w:rsidRPr="005819CE" w:rsidRDefault="00463D3E" w:rsidP="001E6117">
          <w:pPr>
            <w:pStyle w:val="Huisstijl-Kopje"/>
          </w:pPr>
          <w:r>
            <w:rPr>
              <w:b w:val="0"/>
            </w:rPr>
            <w:t>DGA-EIA</w:t>
          </w:r>
          <w:r w:rsidRPr="00502512">
            <w:rPr>
              <w:b w:val="0"/>
            </w:rPr>
            <w:t xml:space="preserve"> / </w:t>
          </w:r>
          <w:r>
            <w:rPr>
              <w:b w:val="0"/>
            </w:rPr>
            <w:t>106694481</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5FA1"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011A5399" w:rsidR="00527BD4" w:rsidRDefault="00463D3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BF63B48" wp14:editId="204D065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5FA1" w:rsidRPr="00EC28AB" w14:paraId="58A5BFD2" w14:textId="77777777" w:rsidTr="00A50CF6">
      <w:tc>
        <w:tcPr>
          <w:tcW w:w="2160" w:type="dxa"/>
        </w:tcPr>
        <w:p w14:paraId="7DD5C239" w14:textId="5CBBE047" w:rsidR="00527BD4" w:rsidRPr="005819CE" w:rsidRDefault="00463D3E" w:rsidP="00A50CF6">
          <w:pPr>
            <w:pStyle w:val="Huisstijl-Adres"/>
            <w:rPr>
              <w:b/>
            </w:rPr>
          </w:pPr>
          <w:r>
            <w:rPr>
              <w:b/>
            </w:rPr>
            <w:t>Directoraat-generaal Agro</w:t>
          </w:r>
          <w:r w:rsidRPr="005819CE">
            <w:rPr>
              <w:b/>
            </w:rPr>
            <w:br/>
          </w:r>
          <w:r>
            <w:t xml:space="preserve">Directie Europees, Internationaal en Agro economisch beleid </w:t>
          </w:r>
        </w:p>
        <w:p w14:paraId="0C890C2E" w14:textId="1E234F3D" w:rsidR="00527BD4" w:rsidRPr="00BE5ED9" w:rsidRDefault="00463D3E" w:rsidP="00A50CF6">
          <w:pPr>
            <w:pStyle w:val="Huisstijl-Adres"/>
          </w:pPr>
          <w:r>
            <w:rPr>
              <w:b/>
            </w:rPr>
            <w:t>Bezoekadres</w:t>
          </w:r>
          <w:r>
            <w:rPr>
              <w:b/>
            </w:rPr>
            <w:br/>
          </w:r>
          <w:r>
            <w:t>Bezuidenhoutseweg 73</w:t>
          </w:r>
          <w:r w:rsidRPr="005819CE">
            <w:br/>
          </w:r>
          <w:r>
            <w:t>2594 AC Den Haag</w:t>
          </w:r>
        </w:p>
        <w:p w14:paraId="7B072AF6" w14:textId="77777777" w:rsidR="00EF495B" w:rsidRDefault="00463D3E" w:rsidP="0098788A">
          <w:pPr>
            <w:pStyle w:val="Huisstijl-Adres"/>
          </w:pPr>
          <w:r>
            <w:rPr>
              <w:b/>
            </w:rPr>
            <w:t>Postadres</w:t>
          </w:r>
          <w:r>
            <w:rPr>
              <w:b/>
            </w:rPr>
            <w:br/>
          </w:r>
          <w:r>
            <w:t>Postbus 20401</w:t>
          </w:r>
          <w:r w:rsidRPr="005819CE">
            <w:br/>
            <w:t>2500 E</w:t>
          </w:r>
          <w:r>
            <w:t>K</w:t>
          </w:r>
          <w:r w:rsidRPr="005819CE">
            <w:t xml:space="preserve"> Den Haag</w:t>
          </w:r>
        </w:p>
        <w:p w14:paraId="5D0818D3" w14:textId="77777777" w:rsidR="00556BEE" w:rsidRPr="005B3814" w:rsidRDefault="00463D3E" w:rsidP="0098788A">
          <w:pPr>
            <w:pStyle w:val="Huisstijl-Adres"/>
          </w:pPr>
          <w:r>
            <w:rPr>
              <w:b/>
            </w:rPr>
            <w:t>Overheidsidentificatienr</w:t>
          </w:r>
          <w:r>
            <w:rPr>
              <w:b/>
            </w:rPr>
            <w:br/>
          </w:r>
          <w:r w:rsidR="00BA129E">
            <w:rPr>
              <w:rFonts w:cs="Agrofont"/>
              <w:iCs/>
            </w:rPr>
            <w:t>00000001858272854000</w:t>
          </w:r>
        </w:p>
        <w:p w14:paraId="558E8C35" w14:textId="138A7AA7" w:rsidR="00527BD4" w:rsidRPr="00EC28AB" w:rsidRDefault="00463D3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A5FA1" w:rsidRPr="00EC28AB" w14:paraId="07A5C2DA" w14:textId="77777777" w:rsidTr="00A50CF6">
      <w:trPr>
        <w:trHeight w:hRule="exact" w:val="200"/>
      </w:trPr>
      <w:tc>
        <w:tcPr>
          <w:tcW w:w="2160" w:type="dxa"/>
        </w:tcPr>
        <w:p w14:paraId="69BCB62D" w14:textId="77777777" w:rsidR="00527BD4" w:rsidRPr="00815DD8" w:rsidRDefault="00527BD4" w:rsidP="00A50CF6"/>
      </w:tc>
    </w:tr>
    <w:tr w:rsidR="00AA5FA1" w14:paraId="005BC617" w14:textId="77777777" w:rsidTr="00A50CF6">
      <w:tc>
        <w:tcPr>
          <w:tcW w:w="2160" w:type="dxa"/>
        </w:tcPr>
        <w:p w14:paraId="7D30EB40" w14:textId="7987D56A" w:rsidR="000C0163" w:rsidRPr="005819CE" w:rsidRDefault="00463D3E" w:rsidP="000C0163">
          <w:pPr>
            <w:pStyle w:val="Huisstijl-Kopje"/>
          </w:pPr>
          <w:r>
            <w:t>Ons kenmerk</w:t>
          </w:r>
          <w:r w:rsidRPr="005819CE">
            <w:t xml:space="preserve"> </w:t>
          </w:r>
        </w:p>
        <w:p w14:paraId="3D444D71" w14:textId="1BE900FF" w:rsidR="00527BD4" w:rsidRPr="005819CE" w:rsidRDefault="00463D3E" w:rsidP="00EC28AB">
          <w:pPr>
            <w:pStyle w:val="Huisstijl-Gegeven"/>
          </w:pPr>
          <w:r>
            <w:t>DGA-EIA /</w:t>
          </w:r>
          <w:r w:rsidR="00486354">
            <w:t xml:space="preserve"> </w:t>
          </w:r>
          <w:r w:rsidR="00EC28AB" w:rsidRPr="00EC28AB">
            <w:t>106773872</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A5FA1" w14:paraId="3F0FBECB" w14:textId="77777777" w:rsidTr="009E2051">
      <w:trPr>
        <w:trHeight w:val="400"/>
      </w:trPr>
      <w:tc>
        <w:tcPr>
          <w:tcW w:w="7520" w:type="dxa"/>
          <w:gridSpan w:val="2"/>
        </w:tcPr>
        <w:p w14:paraId="188846C5" w14:textId="2385FD24" w:rsidR="00527BD4" w:rsidRPr="00BC3B53" w:rsidRDefault="00463D3E" w:rsidP="00A50CF6">
          <w:pPr>
            <w:pStyle w:val="Huisstijl-Retouradres"/>
          </w:pPr>
          <w:r>
            <w:t>&gt; Retouradres Postbus 20401 2500 EK Den Haag</w:t>
          </w:r>
        </w:p>
      </w:tc>
    </w:tr>
    <w:tr w:rsidR="00AA5FA1"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AA5FA1" w14:paraId="0C5BCBA7" w14:textId="77777777" w:rsidTr="009E2051">
      <w:trPr>
        <w:trHeight w:hRule="exact" w:val="2440"/>
      </w:trPr>
      <w:tc>
        <w:tcPr>
          <w:tcW w:w="7520" w:type="dxa"/>
          <w:gridSpan w:val="2"/>
        </w:tcPr>
        <w:p w14:paraId="138C6718" w14:textId="5990908C" w:rsidR="00527BD4" w:rsidRDefault="00463D3E" w:rsidP="00A50CF6">
          <w:pPr>
            <w:pStyle w:val="Huisstijl-NAW"/>
          </w:pPr>
          <w:r>
            <w:t xml:space="preserve">De Voorzitter van de Tweede Kamer </w:t>
          </w:r>
        </w:p>
        <w:p w14:paraId="03B3C639" w14:textId="77777777" w:rsidR="00AA5FA1" w:rsidRDefault="00463D3E">
          <w:pPr>
            <w:pStyle w:val="Huisstijl-NAW"/>
          </w:pPr>
          <w:r>
            <w:t>der Staten-Generaal</w:t>
          </w:r>
        </w:p>
        <w:p w14:paraId="22C82118" w14:textId="77777777" w:rsidR="00AA5FA1" w:rsidRDefault="00463D3E">
          <w:pPr>
            <w:pStyle w:val="Huisstijl-NAW"/>
          </w:pPr>
          <w:r>
            <w:t>Prinses Irenestraat 6</w:t>
          </w:r>
        </w:p>
        <w:p w14:paraId="72AA6BE2" w14:textId="0D177281" w:rsidR="00AA5FA1" w:rsidRDefault="00463D3E">
          <w:pPr>
            <w:pStyle w:val="Huisstijl-NAW"/>
          </w:pPr>
          <w:r>
            <w:t xml:space="preserve">2595 BD </w:t>
          </w:r>
          <w:r w:rsidR="00EC28AB">
            <w:t xml:space="preserve"> </w:t>
          </w:r>
          <w:r>
            <w:t xml:space="preserve">DEN HAAG </w:t>
          </w:r>
        </w:p>
        <w:p w14:paraId="0EF9B8F6" w14:textId="77777777" w:rsidR="00AA5FA1" w:rsidRDefault="00486354">
          <w:pPr>
            <w:pStyle w:val="Huisstijl-NAW"/>
          </w:pPr>
          <w:r>
            <w:t xml:space="preserve"> </w:t>
          </w:r>
        </w:p>
      </w:tc>
    </w:tr>
    <w:tr w:rsidR="00AA5FA1"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5FA1" w14:paraId="13D6AB42" w14:textId="77777777" w:rsidTr="009E2051">
      <w:trPr>
        <w:trHeight w:val="240"/>
      </w:trPr>
      <w:tc>
        <w:tcPr>
          <w:tcW w:w="900" w:type="dxa"/>
        </w:tcPr>
        <w:p w14:paraId="15AE66EF" w14:textId="55418D48" w:rsidR="00527BD4" w:rsidRPr="007709EF" w:rsidRDefault="00463D3E" w:rsidP="00A50CF6">
          <w:pPr>
            <w:rPr>
              <w:szCs w:val="18"/>
            </w:rPr>
          </w:pPr>
          <w:r>
            <w:t>Datum</w:t>
          </w:r>
        </w:p>
      </w:tc>
      <w:tc>
        <w:tcPr>
          <w:tcW w:w="6620" w:type="dxa"/>
        </w:tcPr>
        <w:p w14:paraId="5EAFA841" w14:textId="6BD58D0C" w:rsidR="00527BD4" w:rsidRPr="007709EF" w:rsidRDefault="00815DD8" w:rsidP="00A50CF6">
          <w:r>
            <w:t>11 juni 2026</w:t>
          </w:r>
        </w:p>
      </w:tc>
    </w:tr>
    <w:tr w:rsidR="00AA5FA1" w14:paraId="412385BF" w14:textId="77777777" w:rsidTr="009E2051">
      <w:trPr>
        <w:trHeight w:val="240"/>
      </w:trPr>
      <w:tc>
        <w:tcPr>
          <w:tcW w:w="900" w:type="dxa"/>
        </w:tcPr>
        <w:p w14:paraId="2D74B27C" w14:textId="42A00B1B" w:rsidR="00527BD4" w:rsidRPr="007709EF" w:rsidRDefault="00463D3E" w:rsidP="00A50CF6">
          <w:pPr>
            <w:rPr>
              <w:szCs w:val="18"/>
            </w:rPr>
          </w:pPr>
          <w:r>
            <w:t>Betreft</w:t>
          </w:r>
        </w:p>
      </w:tc>
      <w:tc>
        <w:tcPr>
          <w:tcW w:w="6620" w:type="dxa"/>
        </w:tcPr>
        <w:p w14:paraId="70EFF8AA" w14:textId="69C0879E" w:rsidR="00527BD4" w:rsidRPr="007709EF" w:rsidRDefault="00463D3E" w:rsidP="00A50CF6">
          <w:r>
            <w:t>Geannoteerde agenda Landbouw- en Visserijraad 22-23 juni 2026</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8C6B3A">
      <w:start w:val="1"/>
      <w:numFmt w:val="bullet"/>
      <w:pStyle w:val="Lijstopsomteken"/>
      <w:lvlText w:val="•"/>
      <w:lvlJc w:val="left"/>
      <w:pPr>
        <w:tabs>
          <w:tab w:val="num" w:pos="227"/>
        </w:tabs>
        <w:ind w:left="227" w:hanging="227"/>
      </w:pPr>
      <w:rPr>
        <w:rFonts w:ascii="Verdana" w:hAnsi="Verdana" w:hint="default"/>
        <w:sz w:val="18"/>
        <w:szCs w:val="18"/>
      </w:rPr>
    </w:lvl>
    <w:lvl w:ilvl="1" w:tplc="0772EB24" w:tentative="1">
      <w:start w:val="1"/>
      <w:numFmt w:val="bullet"/>
      <w:lvlText w:val="o"/>
      <w:lvlJc w:val="left"/>
      <w:pPr>
        <w:tabs>
          <w:tab w:val="num" w:pos="1440"/>
        </w:tabs>
        <w:ind w:left="1440" w:hanging="360"/>
      </w:pPr>
      <w:rPr>
        <w:rFonts w:ascii="Courier New" w:hAnsi="Courier New" w:cs="Courier New" w:hint="default"/>
      </w:rPr>
    </w:lvl>
    <w:lvl w:ilvl="2" w:tplc="43AC76A4" w:tentative="1">
      <w:start w:val="1"/>
      <w:numFmt w:val="bullet"/>
      <w:lvlText w:val=""/>
      <w:lvlJc w:val="left"/>
      <w:pPr>
        <w:tabs>
          <w:tab w:val="num" w:pos="2160"/>
        </w:tabs>
        <w:ind w:left="2160" w:hanging="360"/>
      </w:pPr>
      <w:rPr>
        <w:rFonts w:ascii="Wingdings" w:hAnsi="Wingdings" w:hint="default"/>
      </w:rPr>
    </w:lvl>
    <w:lvl w:ilvl="3" w:tplc="D882AD88" w:tentative="1">
      <w:start w:val="1"/>
      <w:numFmt w:val="bullet"/>
      <w:lvlText w:val=""/>
      <w:lvlJc w:val="left"/>
      <w:pPr>
        <w:tabs>
          <w:tab w:val="num" w:pos="2880"/>
        </w:tabs>
        <w:ind w:left="2880" w:hanging="360"/>
      </w:pPr>
      <w:rPr>
        <w:rFonts w:ascii="Symbol" w:hAnsi="Symbol" w:hint="default"/>
      </w:rPr>
    </w:lvl>
    <w:lvl w:ilvl="4" w:tplc="E6E2FAFE" w:tentative="1">
      <w:start w:val="1"/>
      <w:numFmt w:val="bullet"/>
      <w:lvlText w:val="o"/>
      <w:lvlJc w:val="left"/>
      <w:pPr>
        <w:tabs>
          <w:tab w:val="num" w:pos="3600"/>
        </w:tabs>
        <w:ind w:left="3600" w:hanging="360"/>
      </w:pPr>
      <w:rPr>
        <w:rFonts w:ascii="Courier New" w:hAnsi="Courier New" w:cs="Courier New" w:hint="default"/>
      </w:rPr>
    </w:lvl>
    <w:lvl w:ilvl="5" w:tplc="7EBEC1BE" w:tentative="1">
      <w:start w:val="1"/>
      <w:numFmt w:val="bullet"/>
      <w:lvlText w:val=""/>
      <w:lvlJc w:val="left"/>
      <w:pPr>
        <w:tabs>
          <w:tab w:val="num" w:pos="4320"/>
        </w:tabs>
        <w:ind w:left="4320" w:hanging="360"/>
      </w:pPr>
      <w:rPr>
        <w:rFonts w:ascii="Wingdings" w:hAnsi="Wingdings" w:hint="default"/>
      </w:rPr>
    </w:lvl>
    <w:lvl w:ilvl="6" w:tplc="4C76C53A" w:tentative="1">
      <w:start w:val="1"/>
      <w:numFmt w:val="bullet"/>
      <w:lvlText w:val=""/>
      <w:lvlJc w:val="left"/>
      <w:pPr>
        <w:tabs>
          <w:tab w:val="num" w:pos="5040"/>
        </w:tabs>
        <w:ind w:left="5040" w:hanging="360"/>
      </w:pPr>
      <w:rPr>
        <w:rFonts w:ascii="Symbol" w:hAnsi="Symbol" w:hint="default"/>
      </w:rPr>
    </w:lvl>
    <w:lvl w:ilvl="7" w:tplc="B3CC1BF6" w:tentative="1">
      <w:start w:val="1"/>
      <w:numFmt w:val="bullet"/>
      <w:lvlText w:val="o"/>
      <w:lvlJc w:val="left"/>
      <w:pPr>
        <w:tabs>
          <w:tab w:val="num" w:pos="5760"/>
        </w:tabs>
        <w:ind w:left="5760" w:hanging="360"/>
      </w:pPr>
      <w:rPr>
        <w:rFonts w:ascii="Courier New" w:hAnsi="Courier New" w:cs="Courier New" w:hint="default"/>
      </w:rPr>
    </w:lvl>
    <w:lvl w:ilvl="8" w:tplc="062620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F7BF9"/>
    <w:multiLevelType w:val="hybridMultilevel"/>
    <w:tmpl w:val="AA12E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ACF6DB82">
      <w:start w:val="1"/>
      <w:numFmt w:val="bullet"/>
      <w:pStyle w:val="Lijstopsomteken2"/>
      <w:lvlText w:val="–"/>
      <w:lvlJc w:val="left"/>
      <w:pPr>
        <w:tabs>
          <w:tab w:val="num" w:pos="227"/>
        </w:tabs>
        <w:ind w:left="227" w:firstLine="0"/>
      </w:pPr>
      <w:rPr>
        <w:rFonts w:ascii="Verdana" w:hAnsi="Verdana" w:hint="default"/>
      </w:rPr>
    </w:lvl>
    <w:lvl w:ilvl="1" w:tplc="C8C81494" w:tentative="1">
      <w:start w:val="1"/>
      <w:numFmt w:val="bullet"/>
      <w:lvlText w:val="o"/>
      <w:lvlJc w:val="left"/>
      <w:pPr>
        <w:tabs>
          <w:tab w:val="num" w:pos="1440"/>
        </w:tabs>
        <w:ind w:left="1440" w:hanging="360"/>
      </w:pPr>
      <w:rPr>
        <w:rFonts w:ascii="Courier New" w:hAnsi="Courier New" w:cs="Courier New" w:hint="default"/>
      </w:rPr>
    </w:lvl>
    <w:lvl w:ilvl="2" w:tplc="CD524340" w:tentative="1">
      <w:start w:val="1"/>
      <w:numFmt w:val="bullet"/>
      <w:lvlText w:val=""/>
      <w:lvlJc w:val="left"/>
      <w:pPr>
        <w:tabs>
          <w:tab w:val="num" w:pos="2160"/>
        </w:tabs>
        <w:ind w:left="2160" w:hanging="360"/>
      </w:pPr>
      <w:rPr>
        <w:rFonts w:ascii="Wingdings" w:hAnsi="Wingdings" w:hint="default"/>
      </w:rPr>
    </w:lvl>
    <w:lvl w:ilvl="3" w:tplc="7C125D70" w:tentative="1">
      <w:start w:val="1"/>
      <w:numFmt w:val="bullet"/>
      <w:lvlText w:val=""/>
      <w:lvlJc w:val="left"/>
      <w:pPr>
        <w:tabs>
          <w:tab w:val="num" w:pos="2880"/>
        </w:tabs>
        <w:ind w:left="2880" w:hanging="360"/>
      </w:pPr>
      <w:rPr>
        <w:rFonts w:ascii="Symbol" w:hAnsi="Symbol" w:hint="default"/>
      </w:rPr>
    </w:lvl>
    <w:lvl w:ilvl="4" w:tplc="206401E2" w:tentative="1">
      <w:start w:val="1"/>
      <w:numFmt w:val="bullet"/>
      <w:lvlText w:val="o"/>
      <w:lvlJc w:val="left"/>
      <w:pPr>
        <w:tabs>
          <w:tab w:val="num" w:pos="3600"/>
        </w:tabs>
        <w:ind w:left="3600" w:hanging="360"/>
      </w:pPr>
      <w:rPr>
        <w:rFonts w:ascii="Courier New" w:hAnsi="Courier New" w:cs="Courier New" w:hint="default"/>
      </w:rPr>
    </w:lvl>
    <w:lvl w:ilvl="5" w:tplc="7D48ADF4" w:tentative="1">
      <w:start w:val="1"/>
      <w:numFmt w:val="bullet"/>
      <w:lvlText w:val=""/>
      <w:lvlJc w:val="left"/>
      <w:pPr>
        <w:tabs>
          <w:tab w:val="num" w:pos="4320"/>
        </w:tabs>
        <w:ind w:left="4320" w:hanging="360"/>
      </w:pPr>
      <w:rPr>
        <w:rFonts w:ascii="Wingdings" w:hAnsi="Wingdings" w:hint="default"/>
      </w:rPr>
    </w:lvl>
    <w:lvl w:ilvl="6" w:tplc="16F04242" w:tentative="1">
      <w:start w:val="1"/>
      <w:numFmt w:val="bullet"/>
      <w:lvlText w:val=""/>
      <w:lvlJc w:val="left"/>
      <w:pPr>
        <w:tabs>
          <w:tab w:val="num" w:pos="5040"/>
        </w:tabs>
        <w:ind w:left="5040" w:hanging="360"/>
      </w:pPr>
      <w:rPr>
        <w:rFonts w:ascii="Symbol" w:hAnsi="Symbol" w:hint="default"/>
      </w:rPr>
    </w:lvl>
    <w:lvl w:ilvl="7" w:tplc="675C8C22" w:tentative="1">
      <w:start w:val="1"/>
      <w:numFmt w:val="bullet"/>
      <w:lvlText w:val="o"/>
      <w:lvlJc w:val="left"/>
      <w:pPr>
        <w:tabs>
          <w:tab w:val="num" w:pos="5760"/>
        </w:tabs>
        <w:ind w:left="5760" w:hanging="360"/>
      </w:pPr>
      <w:rPr>
        <w:rFonts w:ascii="Courier New" w:hAnsi="Courier New" w:cs="Courier New" w:hint="default"/>
      </w:rPr>
    </w:lvl>
    <w:lvl w:ilvl="8" w:tplc="76EA4E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375F2"/>
    <w:multiLevelType w:val="hybridMultilevel"/>
    <w:tmpl w:val="42AC27F6"/>
    <w:lvl w:ilvl="0" w:tplc="6C322D28">
      <w:start w:val="1"/>
      <w:numFmt w:val="bullet"/>
      <w:lvlText w:val=""/>
      <w:lvlJc w:val="left"/>
      <w:pPr>
        <w:ind w:left="720" w:hanging="360"/>
      </w:pPr>
      <w:rPr>
        <w:rFonts w:ascii="Symbol" w:hAnsi="Symbol" w:hint="default"/>
      </w:rPr>
    </w:lvl>
    <w:lvl w:ilvl="1" w:tplc="E35A9EF0">
      <w:start w:val="1"/>
      <w:numFmt w:val="bullet"/>
      <w:lvlText w:val="o"/>
      <w:lvlJc w:val="left"/>
      <w:pPr>
        <w:ind w:left="1440" w:hanging="360"/>
      </w:pPr>
      <w:rPr>
        <w:rFonts w:ascii="Courier New" w:hAnsi="Courier New" w:hint="default"/>
      </w:rPr>
    </w:lvl>
    <w:lvl w:ilvl="2" w:tplc="F1CCE7FC">
      <w:start w:val="1"/>
      <w:numFmt w:val="bullet"/>
      <w:lvlText w:val=""/>
      <w:lvlJc w:val="left"/>
      <w:pPr>
        <w:ind w:left="2160" w:hanging="360"/>
      </w:pPr>
      <w:rPr>
        <w:rFonts w:ascii="Wingdings" w:hAnsi="Wingdings" w:hint="default"/>
      </w:rPr>
    </w:lvl>
    <w:lvl w:ilvl="3" w:tplc="538EEF0E">
      <w:start w:val="1"/>
      <w:numFmt w:val="bullet"/>
      <w:lvlText w:val=""/>
      <w:lvlJc w:val="left"/>
      <w:pPr>
        <w:ind w:left="2880" w:hanging="360"/>
      </w:pPr>
      <w:rPr>
        <w:rFonts w:ascii="Symbol" w:hAnsi="Symbol" w:hint="default"/>
      </w:rPr>
    </w:lvl>
    <w:lvl w:ilvl="4" w:tplc="A56A75E2">
      <w:start w:val="1"/>
      <w:numFmt w:val="bullet"/>
      <w:lvlText w:val="o"/>
      <w:lvlJc w:val="left"/>
      <w:pPr>
        <w:ind w:left="3600" w:hanging="360"/>
      </w:pPr>
      <w:rPr>
        <w:rFonts w:ascii="Courier New" w:hAnsi="Courier New" w:hint="default"/>
      </w:rPr>
    </w:lvl>
    <w:lvl w:ilvl="5" w:tplc="CF745036">
      <w:start w:val="1"/>
      <w:numFmt w:val="bullet"/>
      <w:lvlText w:val=""/>
      <w:lvlJc w:val="left"/>
      <w:pPr>
        <w:ind w:left="4320" w:hanging="360"/>
      </w:pPr>
      <w:rPr>
        <w:rFonts w:ascii="Wingdings" w:hAnsi="Wingdings" w:hint="default"/>
      </w:rPr>
    </w:lvl>
    <w:lvl w:ilvl="6" w:tplc="BBBC8F5A">
      <w:start w:val="1"/>
      <w:numFmt w:val="bullet"/>
      <w:lvlText w:val=""/>
      <w:lvlJc w:val="left"/>
      <w:pPr>
        <w:ind w:left="5040" w:hanging="360"/>
      </w:pPr>
      <w:rPr>
        <w:rFonts w:ascii="Symbol" w:hAnsi="Symbol" w:hint="default"/>
      </w:rPr>
    </w:lvl>
    <w:lvl w:ilvl="7" w:tplc="EFF0642E">
      <w:start w:val="1"/>
      <w:numFmt w:val="bullet"/>
      <w:lvlText w:val="o"/>
      <w:lvlJc w:val="left"/>
      <w:pPr>
        <w:ind w:left="5760" w:hanging="360"/>
      </w:pPr>
      <w:rPr>
        <w:rFonts w:ascii="Courier New" w:hAnsi="Courier New" w:hint="default"/>
      </w:rPr>
    </w:lvl>
    <w:lvl w:ilvl="8" w:tplc="ABD0C6D6">
      <w:start w:val="1"/>
      <w:numFmt w:val="bullet"/>
      <w:lvlText w:val=""/>
      <w:lvlJc w:val="left"/>
      <w:pPr>
        <w:ind w:left="6480" w:hanging="360"/>
      </w:pPr>
      <w:rPr>
        <w:rFonts w:ascii="Wingdings" w:hAnsi="Wingdings" w:hint="default"/>
      </w:rPr>
    </w:lvl>
  </w:abstractNum>
  <w:abstractNum w:abstractNumId="15" w15:restartNumberingAfterBreak="0">
    <w:nsid w:val="39A368B4"/>
    <w:multiLevelType w:val="hybridMultilevel"/>
    <w:tmpl w:val="E3C205AC"/>
    <w:lvl w:ilvl="0" w:tplc="64DEF1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B2D8E"/>
    <w:multiLevelType w:val="hybridMultilevel"/>
    <w:tmpl w:val="43E8AB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BF75C1"/>
    <w:multiLevelType w:val="hybridMultilevel"/>
    <w:tmpl w:val="101A22A4"/>
    <w:lvl w:ilvl="0" w:tplc="7114ADF8">
      <w:start w:val="1"/>
      <w:numFmt w:val="bullet"/>
      <w:lvlText w:val=""/>
      <w:lvlJc w:val="left"/>
      <w:pPr>
        <w:ind w:left="720" w:hanging="360"/>
      </w:pPr>
      <w:rPr>
        <w:rFonts w:ascii="Symbol" w:hAnsi="Symbol" w:hint="default"/>
      </w:rPr>
    </w:lvl>
    <w:lvl w:ilvl="1" w:tplc="B65C9D26">
      <w:start w:val="1"/>
      <w:numFmt w:val="bullet"/>
      <w:lvlText w:val="o"/>
      <w:lvlJc w:val="left"/>
      <w:pPr>
        <w:ind w:left="1440" w:hanging="360"/>
      </w:pPr>
      <w:rPr>
        <w:rFonts w:ascii="Courier New" w:hAnsi="Courier New" w:hint="default"/>
      </w:rPr>
    </w:lvl>
    <w:lvl w:ilvl="2" w:tplc="4CA6D420">
      <w:start w:val="1"/>
      <w:numFmt w:val="bullet"/>
      <w:lvlText w:val=""/>
      <w:lvlJc w:val="left"/>
      <w:pPr>
        <w:ind w:left="2160" w:hanging="360"/>
      </w:pPr>
      <w:rPr>
        <w:rFonts w:ascii="Wingdings" w:hAnsi="Wingdings" w:hint="default"/>
      </w:rPr>
    </w:lvl>
    <w:lvl w:ilvl="3" w:tplc="482EA090">
      <w:start w:val="1"/>
      <w:numFmt w:val="bullet"/>
      <w:lvlText w:val=""/>
      <w:lvlJc w:val="left"/>
      <w:pPr>
        <w:ind w:left="2880" w:hanging="360"/>
      </w:pPr>
      <w:rPr>
        <w:rFonts w:ascii="Symbol" w:hAnsi="Symbol" w:hint="default"/>
      </w:rPr>
    </w:lvl>
    <w:lvl w:ilvl="4" w:tplc="4F1E9A24">
      <w:start w:val="1"/>
      <w:numFmt w:val="bullet"/>
      <w:lvlText w:val="o"/>
      <w:lvlJc w:val="left"/>
      <w:pPr>
        <w:ind w:left="3600" w:hanging="360"/>
      </w:pPr>
      <w:rPr>
        <w:rFonts w:ascii="Courier New" w:hAnsi="Courier New" w:hint="default"/>
      </w:rPr>
    </w:lvl>
    <w:lvl w:ilvl="5" w:tplc="EF644F80">
      <w:start w:val="1"/>
      <w:numFmt w:val="bullet"/>
      <w:lvlText w:val=""/>
      <w:lvlJc w:val="left"/>
      <w:pPr>
        <w:ind w:left="4320" w:hanging="360"/>
      </w:pPr>
      <w:rPr>
        <w:rFonts w:ascii="Wingdings" w:hAnsi="Wingdings" w:hint="default"/>
      </w:rPr>
    </w:lvl>
    <w:lvl w:ilvl="6" w:tplc="6ACA6386">
      <w:start w:val="1"/>
      <w:numFmt w:val="bullet"/>
      <w:lvlText w:val=""/>
      <w:lvlJc w:val="left"/>
      <w:pPr>
        <w:ind w:left="5040" w:hanging="360"/>
      </w:pPr>
      <w:rPr>
        <w:rFonts w:ascii="Symbol" w:hAnsi="Symbol" w:hint="default"/>
      </w:rPr>
    </w:lvl>
    <w:lvl w:ilvl="7" w:tplc="9B7A2CF4">
      <w:start w:val="1"/>
      <w:numFmt w:val="bullet"/>
      <w:lvlText w:val="o"/>
      <w:lvlJc w:val="left"/>
      <w:pPr>
        <w:ind w:left="5760" w:hanging="360"/>
      </w:pPr>
      <w:rPr>
        <w:rFonts w:ascii="Courier New" w:hAnsi="Courier New" w:hint="default"/>
      </w:rPr>
    </w:lvl>
    <w:lvl w:ilvl="8" w:tplc="DAA45A00">
      <w:start w:val="1"/>
      <w:numFmt w:val="bullet"/>
      <w:lvlText w:val=""/>
      <w:lvlJc w:val="left"/>
      <w:pPr>
        <w:ind w:left="6480" w:hanging="360"/>
      </w:pPr>
      <w:rPr>
        <w:rFonts w:ascii="Wingdings" w:hAnsi="Wingdings" w:hint="default"/>
      </w:rPr>
    </w:lvl>
  </w:abstractNum>
  <w:num w:numId="1" w16cid:durableId="1259371495">
    <w:abstractNumId w:val="18"/>
  </w:num>
  <w:num w:numId="2" w16cid:durableId="467162263">
    <w:abstractNumId w:val="10"/>
  </w:num>
  <w:num w:numId="3" w16cid:durableId="1593049610">
    <w:abstractNumId w:val="7"/>
  </w:num>
  <w:num w:numId="4" w16cid:durableId="322590010">
    <w:abstractNumId w:val="6"/>
  </w:num>
  <w:num w:numId="5" w16cid:durableId="1066998589">
    <w:abstractNumId w:val="5"/>
  </w:num>
  <w:num w:numId="6" w16cid:durableId="837844124">
    <w:abstractNumId w:val="4"/>
  </w:num>
  <w:num w:numId="7" w16cid:durableId="1275281790">
    <w:abstractNumId w:val="8"/>
  </w:num>
  <w:num w:numId="8" w16cid:durableId="721635743">
    <w:abstractNumId w:val="3"/>
  </w:num>
  <w:num w:numId="9" w16cid:durableId="468134649">
    <w:abstractNumId w:val="2"/>
  </w:num>
  <w:num w:numId="10" w16cid:durableId="862089317">
    <w:abstractNumId w:val="1"/>
  </w:num>
  <w:num w:numId="11" w16cid:durableId="12660049">
    <w:abstractNumId w:val="0"/>
  </w:num>
  <w:num w:numId="12" w16cid:durableId="1921014380">
    <w:abstractNumId w:val="9"/>
  </w:num>
  <w:num w:numId="13" w16cid:durableId="1187868541">
    <w:abstractNumId w:val="11"/>
  </w:num>
  <w:num w:numId="14" w16cid:durableId="1566524348">
    <w:abstractNumId w:val="16"/>
  </w:num>
  <w:num w:numId="15" w16cid:durableId="1303654274">
    <w:abstractNumId w:val="13"/>
  </w:num>
  <w:num w:numId="16" w16cid:durableId="983585318">
    <w:abstractNumId w:val="15"/>
  </w:num>
  <w:num w:numId="17" w16cid:durableId="327173225">
    <w:abstractNumId w:val="14"/>
  </w:num>
  <w:num w:numId="18" w16cid:durableId="1294796637">
    <w:abstractNumId w:val="12"/>
  </w:num>
  <w:num w:numId="19" w16cid:durableId="170945343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36760"/>
    <w:rsid w:val="0006024D"/>
    <w:rsid w:val="00064021"/>
    <w:rsid w:val="00066BEA"/>
    <w:rsid w:val="00071F28"/>
    <w:rsid w:val="00074079"/>
    <w:rsid w:val="000752D6"/>
    <w:rsid w:val="00082685"/>
    <w:rsid w:val="00083CC0"/>
    <w:rsid w:val="0008669D"/>
    <w:rsid w:val="00092799"/>
    <w:rsid w:val="00092C5F"/>
    <w:rsid w:val="000938C7"/>
    <w:rsid w:val="00096680"/>
    <w:rsid w:val="000A0F36"/>
    <w:rsid w:val="000A174A"/>
    <w:rsid w:val="000A3E0A"/>
    <w:rsid w:val="000A65AC"/>
    <w:rsid w:val="000B7281"/>
    <w:rsid w:val="000B7FAB"/>
    <w:rsid w:val="000C0163"/>
    <w:rsid w:val="000C1BA1"/>
    <w:rsid w:val="000C3EA9"/>
    <w:rsid w:val="000D0225"/>
    <w:rsid w:val="000D73D7"/>
    <w:rsid w:val="000E3B51"/>
    <w:rsid w:val="000E7895"/>
    <w:rsid w:val="000F1558"/>
    <w:rsid w:val="000F161D"/>
    <w:rsid w:val="00104B7D"/>
    <w:rsid w:val="00107782"/>
    <w:rsid w:val="00111281"/>
    <w:rsid w:val="00121BF0"/>
    <w:rsid w:val="00123704"/>
    <w:rsid w:val="001251A6"/>
    <w:rsid w:val="001270C7"/>
    <w:rsid w:val="00132540"/>
    <w:rsid w:val="0013730E"/>
    <w:rsid w:val="00144B73"/>
    <w:rsid w:val="0014786A"/>
    <w:rsid w:val="001516A4"/>
    <w:rsid w:val="00151E5F"/>
    <w:rsid w:val="00151FDC"/>
    <w:rsid w:val="001536B3"/>
    <w:rsid w:val="001569AB"/>
    <w:rsid w:val="00163552"/>
    <w:rsid w:val="00164D63"/>
    <w:rsid w:val="00165254"/>
    <w:rsid w:val="0016725C"/>
    <w:rsid w:val="00167B89"/>
    <w:rsid w:val="001726F3"/>
    <w:rsid w:val="00173C51"/>
    <w:rsid w:val="00174CC2"/>
    <w:rsid w:val="00176CC6"/>
    <w:rsid w:val="00181BE4"/>
    <w:rsid w:val="00185576"/>
    <w:rsid w:val="00185951"/>
    <w:rsid w:val="00190CE9"/>
    <w:rsid w:val="00196B8B"/>
    <w:rsid w:val="001A0D03"/>
    <w:rsid w:val="001A2BEA"/>
    <w:rsid w:val="001A6D93"/>
    <w:rsid w:val="001B36C9"/>
    <w:rsid w:val="001C32EC"/>
    <w:rsid w:val="001C38BD"/>
    <w:rsid w:val="001C3E47"/>
    <w:rsid w:val="001C4D5A"/>
    <w:rsid w:val="001D1D45"/>
    <w:rsid w:val="001D2CF3"/>
    <w:rsid w:val="001E34C6"/>
    <w:rsid w:val="001E5581"/>
    <w:rsid w:val="001E6117"/>
    <w:rsid w:val="001E6DB0"/>
    <w:rsid w:val="001E7AB0"/>
    <w:rsid w:val="001F31FC"/>
    <w:rsid w:val="001F3C70"/>
    <w:rsid w:val="00200D88"/>
    <w:rsid w:val="00201F68"/>
    <w:rsid w:val="002118C2"/>
    <w:rsid w:val="00212F2A"/>
    <w:rsid w:val="00214F2B"/>
    <w:rsid w:val="00217880"/>
    <w:rsid w:val="00222D66"/>
    <w:rsid w:val="00224A8A"/>
    <w:rsid w:val="00225022"/>
    <w:rsid w:val="002309A8"/>
    <w:rsid w:val="00236CFE"/>
    <w:rsid w:val="002428E3"/>
    <w:rsid w:val="00243031"/>
    <w:rsid w:val="0024325F"/>
    <w:rsid w:val="002506BD"/>
    <w:rsid w:val="002563BF"/>
    <w:rsid w:val="00260BAF"/>
    <w:rsid w:val="002650F7"/>
    <w:rsid w:val="002659CC"/>
    <w:rsid w:val="002717D0"/>
    <w:rsid w:val="002720A9"/>
    <w:rsid w:val="00272946"/>
    <w:rsid w:val="002730C5"/>
    <w:rsid w:val="00273F3B"/>
    <w:rsid w:val="00274DB7"/>
    <w:rsid w:val="00275984"/>
    <w:rsid w:val="00280F74"/>
    <w:rsid w:val="002847F4"/>
    <w:rsid w:val="00286152"/>
    <w:rsid w:val="00286998"/>
    <w:rsid w:val="002911C0"/>
    <w:rsid w:val="00291AB7"/>
    <w:rsid w:val="0029422B"/>
    <w:rsid w:val="002B153C"/>
    <w:rsid w:val="002B2281"/>
    <w:rsid w:val="002B52FC"/>
    <w:rsid w:val="002B60CB"/>
    <w:rsid w:val="002C2830"/>
    <w:rsid w:val="002C2979"/>
    <w:rsid w:val="002C5A00"/>
    <w:rsid w:val="002D001A"/>
    <w:rsid w:val="002D28E2"/>
    <w:rsid w:val="002D317B"/>
    <w:rsid w:val="002D3587"/>
    <w:rsid w:val="002D502D"/>
    <w:rsid w:val="002E08D5"/>
    <w:rsid w:val="002E0A6B"/>
    <w:rsid w:val="002E0F69"/>
    <w:rsid w:val="002F5147"/>
    <w:rsid w:val="002F7ABD"/>
    <w:rsid w:val="00301C59"/>
    <w:rsid w:val="00312597"/>
    <w:rsid w:val="00327BA5"/>
    <w:rsid w:val="00330359"/>
    <w:rsid w:val="00334154"/>
    <w:rsid w:val="0033672A"/>
    <w:rsid w:val="003372C4"/>
    <w:rsid w:val="00340ECA"/>
    <w:rsid w:val="00341FA0"/>
    <w:rsid w:val="00344F3D"/>
    <w:rsid w:val="00345299"/>
    <w:rsid w:val="00351A8D"/>
    <w:rsid w:val="003526BB"/>
    <w:rsid w:val="00352BCF"/>
    <w:rsid w:val="00352E9E"/>
    <w:rsid w:val="00353932"/>
    <w:rsid w:val="0035464B"/>
    <w:rsid w:val="0035550C"/>
    <w:rsid w:val="00361A56"/>
    <w:rsid w:val="0036252A"/>
    <w:rsid w:val="00364D9D"/>
    <w:rsid w:val="00365278"/>
    <w:rsid w:val="003668BE"/>
    <w:rsid w:val="00371048"/>
    <w:rsid w:val="0037396C"/>
    <w:rsid w:val="0037421D"/>
    <w:rsid w:val="00374D58"/>
    <w:rsid w:val="00376093"/>
    <w:rsid w:val="00377C58"/>
    <w:rsid w:val="0038181A"/>
    <w:rsid w:val="00383DA1"/>
    <w:rsid w:val="00385F30"/>
    <w:rsid w:val="0039073B"/>
    <w:rsid w:val="0039201D"/>
    <w:rsid w:val="00393696"/>
    <w:rsid w:val="00393963"/>
    <w:rsid w:val="00395575"/>
    <w:rsid w:val="00395672"/>
    <w:rsid w:val="003A06C8"/>
    <w:rsid w:val="003A0D7C"/>
    <w:rsid w:val="003A1B16"/>
    <w:rsid w:val="003A5290"/>
    <w:rsid w:val="003B0155"/>
    <w:rsid w:val="003B62FF"/>
    <w:rsid w:val="003B7EE7"/>
    <w:rsid w:val="003C2CCB"/>
    <w:rsid w:val="003D39EC"/>
    <w:rsid w:val="003D692E"/>
    <w:rsid w:val="003E0447"/>
    <w:rsid w:val="003E3DD5"/>
    <w:rsid w:val="003E6447"/>
    <w:rsid w:val="003F07C6"/>
    <w:rsid w:val="003F196E"/>
    <w:rsid w:val="003F1F6B"/>
    <w:rsid w:val="003F2647"/>
    <w:rsid w:val="003F3757"/>
    <w:rsid w:val="003F38BD"/>
    <w:rsid w:val="003F44B7"/>
    <w:rsid w:val="004008E9"/>
    <w:rsid w:val="00413D48"/>
    <w:rsid w:val="00437A9B"/>
    <w:rsid w:val="00441AC2"/>
    <w:rsid w:val="0044249B"/>
    <w:rsid w:val="0045023C"/>
    <w:rsid w:val="00451A5B"/>
    <w:rsid w:val="00452BCD"/>
    <w:rsid w:val="00452CEA"/>
    <w:rsid w:val="00456CA7"/>
    <w:rsid w:val="00463D3E"/>
    <w:rsid w:val="00465B52"/>
    <w:rsid w:val="0046708E"/>
    <w:rsid w:val="00472A65"/>
    <w:rsid w:val="00474463"/>
    <w:rsid w:val="00474B75"/>
    <w:rsid w:val="00481085"/>
    <w:rsid w:val="00483984"/>
    <w:rsid w:val="00483F0B"/>
    <w:rsid w:val="00486354"/>
    <w:rsid w:val="004929F1"/>
    <w:rsid w:val="00494237"/>
    <w:rsid w:val="004946BC"/>
    <w:rsid w:val="00496319"/>
    <w:rsid w:val="00497279"/>
    <w:rsid w:val="004A670A"/>
    <w:rsid w:val="004B5465"/>
    <w:rsid w:val="004B70F0"/>
    <w:rsid w:val="004D505E"/>
    <w:rsid w:val="004D72CA"/>
    <w:rsid w:val="004E2242"/>
    <w:rsid w:val="004E7329"/>
    <w:rsid w:val="004F04C7"/>
    <w:rsid w:val="004F42FF"/>
    <w:rsid w:val="004F44C2"/>
    <w:rsid w:val="00502512"/>
    <w:rsid w:val="00505262"/>
    <w:rsid w:val="0051132F"/>
    <w:rsid w:val="00516022"/>
    <w:rsid w:val="00521CEE"/>
    <w:rsid w:val="00524FB4"/>
    <w:rsid w:val="00527BD4"/>
    <w:rsid w:val="00535A1A"/>
    <w:rsid w:val="005403C8"/>
    <w:rsid w:val="005429DC"/>
    <w:rsid w:val="00546A1A"/>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D7B1A"/>
    <w:rsid w:val="005E63DB"/>
    <w:rsid w:val="005F4792"/>
    <w:rsid w:val="005F62D3"/>
    <w:rsid w:val="005F6D11"/>
    <w:rsid w:val="00600B1B"/>
    <w:rsid w:val="00600CF0"/>
    <w:rsid w:val="0060398F"/>
    <w:rsid w:val="006048F4"/>
    <w:rsid w:val="0060660A"/>
    <w:rsid w:val="00613B1D"/>
    <w:rsid w:val="00613E4F"/>
    <w:rsid w:val="00617A44"/>
    <w:rsid w:val="006202B6"/>
    <w:rsid w:val="00623273"/>
    <w:rsid w:val="006247BE"/>
    <w:rsid w:val="00625B77"/>
    <w:rsid w:val="00625CD0"/>
    <w:rsid w:val="0062627D"/>
    <w:rsid w:val="00627432"/>
    <w:rsid w:val="00640234"/>
    <w:rsid w:val="006448E4"/>
    <w:rsid w:val="00645414"/>
    <w:rsid w:val="00653606"/>
    <w:rsid w:val="006552AF"/>
    <w:rsid w:val="006600E1"/>
    <w:rsid w:val="006610E9"/>
    <w:rsid w:val="00661591"/>
    <w:rsid w:val="006626B4"/>
    <w:rsid w:val="006630E8"/>
    <w:rsid w:val="0066632F"/>
    <w:rsid w:val="00674A89"/>
    <w:rsid w:val="00674F3D"/>
    <w:rsid w:val="00685545"/>
    <w:rsid w:val="006864B3"/>
    <w:rsid w:val="00692AB8"/>
    <w:rsid w:val="00692D64"/>
    <w:rsid w:val="006A10F8"/>
    <w:rsid w:val="006A2100"/>
    <w:rsid w:val="006A24F0"/>
    <w:rsid w:val="006A5C3B"/>
    <w:rsid w:val="006A72E0"/>
    <w:rsid w:val="006B0BF3"/>
    <w:rsid w:val="006B4F8F"/>
    <w:rsid w:val="006B6490"/>
    <w:rsid w:val="006B775E"/>
    <w:rsid w:val="006B7BC7"/>
    <w:rsid w:val="006C2147"/>
    <w:rsid w:val="006C2535"/>
    <w:rsid w:val="006C441E"/>
    <w:rsid w:val="006C4B90"/>
    <w:rsid w:val="006C4CB9"/>
    <w:rsid w:val="006D1016"/>
    <w:rsid w:val="006D17F2"/>
    <w:rsid w:val="006D5D6F"/>
    <w:rsid w:val="006E0A2F"/>
    <w:rsid w:val="006E3546"/>
    <w:rsid w:val="006E3FA9"/>
    <w:rsid w:val="006E4BA0"/>
    <w:rsid w:val="006E7D82"/>
    <w:rsid w:val="006F038F"/>
    <w:rsid w:val="006F0F93"/>
    <w:rsid w:val="006F31F2"/>
    <w:rsid w:val="006F5F49"/>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0933"/>
    <w:rsid w:val="007709EF"/>
    <w:rsid w:val="007722D0"/>
    <w:rsid w:val="00783559"/>
    <w:rsid w:val="00785347"/>
    <w:rsid w:val="0079551B"/>
    <w:rsid w:val="00797AA5"/>
    <w:rsid w:val="007A26BD"/>
    <w:rsid w:val="007A4105"/>
    <w:rsid w:val="007A4A63"/>
    <w:rsid w:val="007B4503"/>
    <w:rsid w:val="007B7348"/>
    <w:rsid w:val="007C23B5"/>
    <w:rsid w:val="007C406E"/>
    <w:rsid w:val="007C5183"/>
    <w:rsid w:val="007C7573"/>
    <w:rsid w:val="007E0443"/>
    <w:rsid w:val="007E2B20"/>
    <w:rsid w:val="007E2B88"/>
    <w:rsid w:val="007E747A"/>
    <w:rsid w:val="007F2583"/>
    <w:rsid w:val="007F5331"/>
    <w:rsid w:val="007F6FC7"/>
    <w:rsid w:val="00800CCA"/>
    <w:rsid w:val="00806120"/>
    <w:rsid w:val="00810C93"/>
    <w:rsid w:val="00812028"/>
    <w:rsid w:val="00812DD8"/>
    <w:rsid w:val="00813082"/>
    <w:rsid w:val="008131C3"/>
    <w:rsid w:val="00814D03"/>
    <w:rsid w:val="00815DD8"/>
    <w:rsid w:val="00821FC1"/>
    <w:rsid w:val="00823AE2"/>
    <w:rsid w:val="00830D22"/>
    <w:rsid w:val="0083178B"/>
    <w:rsid w:val="00833695"/>
    <w:rsid w:val="008336B7"/>
    <w:rsid w:val="00833A8E"/>
    <w:rsid w:val="00841E24"/>
    <w:rsid w:val="00842CD8"/>
    <w:rsid w:val="008431FA"/>
    <w:rsid w:val="00846420"/>
    <w:rsid w:val="00846BAA"/>
    <w:rsid w:val="00847444"/>
    <w:rsid w:val="008547BA"/>
    <w:rsid w:val="00855247"/>
    <w:rsid w:val="008553C7"/>
    <w:rsid w:val="00857FEB"/>
    <w:rsid w:val="008601AF"/>
    <w:rsid w:val="00865F98"/>
    <w:rsid w:val="00867882"/>
    <w:rsid w:val="00872271"/>
    <w:rsid w:val="00882A68"/>
    <w:rsid w:val="00883137"/>
    <w:rsid w:val="00892352"/>
    <w:rsid w:val="008A1F5D"/>
    <w:rsid w:val="008A28F5"/>
    <w:rsid w:val="008A386F"/>
    <w:rsid w:val="008A5716"/>
    <w:rsid w:val="008A5C6D"/>
    <w:rsid w:val="008B1198"/>
    <w:rsid w:val="008B3471"/>
    <w:rsid w:val="008B3929"/>
    <w:rsid w:val="008B4125"/>
    <w:rsid w:val="008B4CB3"/>
    <w:rsid w:val="008B567B"/>
    <w:rsid w:val="008B7B24"/>
    <w:rsid w:val="008C29E3"/>
    <w:rsid w:val="008C356D"/>
    <w:rsid w:val="008C5118"/>
    <w:rsid w:val="008D7D7C"/>
    <w:rsid w:val="008E0043"/>
    <w:rsid w:val="008E0B3F"/>
    <w:rsid w:val="008E49AD"/>
    <w:rsid w:val="008E698E"/>
    <w:rsid w:val="008E7077"/>
    <w:rsid w:val="008F2584"/>
    <w:rsid w:val="008F3246"/>
    <w:rsid w:val="008F3C1B"/>
    <w:rsid w:val="008F4D37"/>
    <w:rsid w:val="008F508C"/>
    <w:rsid w:val="0090271B"/>
    <w:rsid w:val="00906368"/>
    <w:rsid w:val="00910642"/>
    <w:rsid w:val="00910B3C"/>
    <w:rsid w:val="00910DDF"/>
    <w:rsid w:val="00913594"/>
    <w:rsid w:val="009143D7"/>
    <w:rsid w:val="00914C14"/>
    <w:rsid w:val="0092337E"/>
    <w:rsid w:val="00930B13"/>
    <w:rsid w:val="009311C8"/>
    <w:rsid w:val="00932697"/>
    <w:rsid w:val="00933376"/>
    <w:rsid w:val="00933A2F"/>
    <w:rsid w:val="00962B89"/>
    <w:rsid w:val="00962BF8"/>
    <w:rsid w:val="009716D8"/>
    <w:rsid w:val="009718F9"/>
    <w:rsid w:val="00972FB9"/>
    <w:rsid w:val="00975112"/>
    <w:rsid w:val="00981768"/>
    <w:rsid w:val="00983E8F"/>
    <w:rsid w:val="0098788A"/>
    <w:rsid w:val="00994FDA"/>
    <w:rsid w:val="0099585D"/>
    <w:rsid w:val="009A31BF"/>
    <w:rsid w:val="009A32BA"/>
    <w:rsid w:val="009A3B71"/>
    <w:rsid w:val="009A61BC"/>
    <w:rsid w:val="009A7E90"/>
    <w:rsid w:val="009B0138"/>
    <w:rsid w:val="009B031D"/>
    <w:rsid w:val="009B0EC1"/>
    <w:rsid w:val="009B0FE9"/>
    <w:rsid w:val="009B173A"/>
    <w:rsid w:val="009B4566"/>
    <w:rsid w:val="009B6A82"/>
    <w:rsid w:val="009B6F5E"/>
    <w:rsid w:val="009C09C9"/>
    <w:rsid w:val="009C3F20"/>
    <w:rsid w:val="009C7CA1"/>
    <w:rsid w:val="009D043D"/>
    <w:rsid w:val="009E2051"/>
    <w:rsid w:val="009E56F1"/>
    <w:rsid w:val="009F2D5F"/>
    <w:rsid w:val="009F3259"/>
    <w:rsid w:val="009F3FEE"/>
    <w:rsid w:val="00A056DE"/>
    <w:rsid w:val="00A06370"/>
    <w:rsid w:val="00A113F4"/>
    <w:rsid w:val="00A128AD"/>
    <w:rsid w:val="00A14062"/>
    <w:rsid w:val="00A1488C"/>
    <w:rsid w:val="00A16C71"/>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04F7"/>
    <w:rsid w:val="00A6170E"/>
    <w:rsid w:val="00A63B8C"/>
    <w:rsid w:val="00A715F8"/>
    <w:rsid w:val="00A75525"/>
    <w:rsid w:val="00A77F6F"/>
    <w:rsid w:val="00A831FD"/>
    <w:rsid w:val="00A83352"/>
    <w:rsid w:val="00A846EB"/>
    <w:rsid w:val="00A850A2"/>
    <w:rsid w:val="00A85F0A"/>
    <w:rsid w:val="00A91FA3"/>
    <w:rsid w:val="00A927D3"/>
    <w:rsid w:val="00A957CA"/>
    <w:rsid w:val="00AA008F"/>
    <w:rsid w:val="00AA3DED"/>
    <w:rsid w:val="00AA5FA1"/>
    <w:rsid w:val="00AA7B89"/>
    <w:rsid w:val="00AA7FC9"/>
    <w:rsid w:val="00AB237D"/>
    <w:rsid w:val="00AB5933"/>
    <w:rsid w:val="00AE013D"/>
    <w:rsid w:val="00AE11B7"/>
    <w:rsid w:val="00AE3030"/>
    <w:rsid w:val="00AE7F68"/>
    <w:rsid w:val="00AF2321"/>
    <w:rsid w:val="00AF52F6"/>
    <w:rsid w:val="00AF52FD"/>
    <w:rsid w:val="00AF54A8"/>
    <w:rsid w:val="00AF7237"/>
    <w:rsid w:val="00B0043A"/>
    <w:rsid w:val="00B00D75"/>
    <w:rsid w:val="00B070CB"/>
    <w:rsid w:val="00B11257"/>
    <w:rsid w:val="00B12456"/>
    <w:rsid w:val="00B13294"/>
    <w:rsid w:val="00B145F0"/>
    <w:rsid w:val="00B259C8"/>
    <w:rsid w:val="00B26106"/>
    <w:rsid w:val="00B26A91"/>
    <w:rsid w:val="00B26CCF"/>
    <w:rsid w:val="00B30FC2"/>
    <w:rsid w:val="00B328C9"/>
    <w:rsid w:val="00B331A2"/>
    <w:rsid w:val="00B40183"/>
    <w:rsid w:val="00B425F0"/>
    <w:rsid w:val="00B42DFA"/>
    <w:rsid w:val="00B42E33"/>
    <w:rsid w:val="00B531DD"/>
    <w:rsid w:val="00B54FBF"/>
    <w:rsid w:val="00B55014"/>
    <w:rsid w:val="00B62232"/>
    <w:rsid w:val="00B7021A"/>
    <w:rsid w:val="00B70BF3"/>
    <w:rsid w:val="00B71DC2"/>
    <w:rsid w:val="00B733BA"/>
    <w:rsid w:val="00B751CF"/>
    <w:rsid w:val="00B80B00"/>
    <w:rsid w:val="00B91CFC"/>
    <w:rsid w:val="00B9300F"/>
    <w:rsid w:val="00B934F9"/>
    <w:rsid w:val="00B93893"/>
    <w:rsid w:val="00BA11F9"/>
    <w:rsid w:val="00BA129E"/>
    <w:rsid w:val="00BA6EB2"/>
    <w:rsid w:val="00BA7E0A"/>
    <w:rsid w:val="00BB6F7C"/>
    <w:rsid w:val="00BB7243"/>
    <w:rsid w:val="00BC3B53"/>
    <w:rsid w:val="00BC3B96"/>
    <w:rsid w:val="00BC4AE3"/>
    <w:rsid w:val="00BC5B28"/>
    <w:rsid w:val="00BD17E7"/>
    <w:rsid w:val="00BE3F88"/>
    <w:rsid w:val="00BE4756"/>
    <w:rsid w:val="00BE5ED9"/>
    <w:rsid w:val="00BE7B41"/>
    <w:rsid w:val="00BF72EF"/>
    <w:rsid w:val="00BF76F0"/>
    <w:rsid w:val="00C15A91"/>
    <w:rsid w:val="00C1780E"/>
    <w:rsid w:val="00C206F1"/>
    <w:rsid w:val="00C20850"/>
    <w:rsid w:val="00C20891"/>
    <w:rsid w:val="00C217E1"/>
    <w:rsid w:val="00C219B1"/>
    <w:rsid w:val="00C24568"/>
    <w:rsid w:val="00C3668D"/>
    <w:rsid w:val="00C4015B"/>
    <w:rsid w:val="00C40C60"/>
    <w:rsid w:val="00C5258E"/>
    <w:rsid w:val="00C530C9"/>
    <w:rsid w:val="00C558E6"/>
    <w:rsid w:val="00C619A7"/>
    <w:rsid w:val="00C662E1"/>
    <w:rsid w:val="00C73D5F"/>
    <w:rsid w:val="00C84628"/>
    <w:rsid w:val="00C856EA"/>
    <w:rsid w:val="00C8584E"/>
    <w:rsid w:val="00C97C80"/>
    <w:rsid w:val="00CA47D3"/>
    <w:rsid w:val="00CA6533"/>
    <w:rsid w:val="00CA6A25"/>
    <w:rsid w:val="00CA6A3F"/>
    <w:rsid w:val="00CA7C99"/>
    <w:rsid w:val="00CB1856"/>
    <w:rsid w:val="00CB18B7"/>
    <w:rsid w:val="00CB1C94"/>
    <w:rsid w:val="00CC6290"/>
    <w:rsid w:val="00CC7BA8"/>
    <w:rsid w:val="00CD233D"/>
    <w:rsid w:val="00CD362D"/>
    <w:rsid w:val="00CD72A0"/>
    <w:rsid w:val="00CE101D"/>
    <w:rsid w:val="00CE1814"/>
    <w:rsid w:val="00CE1C84"/>
    <w:rsid w:val="00CE5055"/>
    <w:rsid w:val="00CE6D02"/>
    <w:rsid w:val="00CF053F"/>
    <w:rsid w:val="00CF13EF"/>
    <w:rsid w:val="00CF1A17"/>
    <w:rsid w:val="00CF6278"/>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63C9"/>
    <w:rsid w:val="00D75078"/>
    <w:rsid w:val="00D762CB"/>
    <w:rsid w:val="00D77870"/>
    <w:rsid w:val="00D80977"/>
    <w:rsid w:val="00D80CCE"/>
    <w:rsid w:val="00D86EEA"/>
    <w:rsid w:val="00D87D03"/>
    <w:rsid w:val="00D95C88"/>
    <w:rsid w:val="00D97B2E"/>
    <w:rsid w:val="00DA1FAE"/>
    <w:rsid w:val="00DA241E"/>
    <w:rsid w:val="00DB36FE"/>
    <w:rsid w:val="00DB533A"/>
    <w:rsid w:val="00DB6307"/>
    <w:rsid w:val="00DC4DCC"/>
    <w:rsid w:val="00DC5759"/>
    <w:rsid w:val="00DC58D7"/>
    <w:rsid w:val="00DD1DCD"/>
    <w:rsid w:val="00DD338F"/>
    <w:rsid w:val="00DD66F2"/>
    <w:rsid w:val="00DE35B7"/>
    <w:rsid w:val="00DE3FE0"/>
    <w:rsid w:val="00DE5516"/>
    <w:rsid w:val="00DE578A"/>
    <w:rsid w:val="00DF2583"/>
    <w:rsid w:val="00DF54D9"/>
    <w:rsid w:val="00DF7283"/>
    <w:rsid w:val="00E01A59"/>
    <w:rsid w:val="00E10DC6"/>
    <w:rsid w:val="00E11F8E"/>
    <w:rsid w:val="00E1470D"/>
    <w:rsid w:val="00E15881"/>
    <w:rsid w:val="00E1682F"/>
    <w:rsid w:val="00E16A8F"/>
    <w:rsid w:val="00E171CA"/>
    <w:rsid w:val="00E21DE3"/>
    <w:rsid w:val="00E2727C"/>
    <w:rsid w:val="00E307D1"/>
    <w:rsid w:val="00E3731D"/>
    <w:rsid w:val="00E50D56"/>
    <w:rsid w:val="00E51469"/>
    <w:rsid w:val="00E634E3"/>
    <w:rsid w:val="00E65CA7"/>
    <w:rsid w:val="00E70D61"/>
    <w:rsid w:val="00E717C4"/>
    <w:rsid w:val="00E77E18"/>
    <w:rsid w:val="00E77F89"/>
    <w:rsid w:val="00E80330"/>
    <w:rsid w:val="00E806C5"/>
    <w:rsid w:val="00E80E71"/>
    <w:rsid w:val="00E850D3"/>
    <w:rsid w:val="00E853D6"/>
    <w:rsid w:val="00E876B9"/>
    <w:rsid w:val="00E91848"/>
    <w:rsid w:val="00E97098"/>
    <w:rsid w:val="00EA1064"/>
    <w:rsid w:val="00EC0DFF"/>
    <w:rsid w:val="00EC237D"/>
    <w:rsid w:val="00EC28AB"/>
    <w:rsid w:val="00EC4D0E"/>
    <w:rsid w:val="00EC4E2B"/>
    <w:rsid w:val="00ED072A"/>
    <w:rsid w:val="00ED3002"/>
    <w:rsid w:val="00ED406F"/>
    <w:rsid w:val="00ED539E"/>
    <w:rsid w:val="00ED62CF"/>
    <w:rsid w:val="00EE1A22"/>
    <w:rsid w:val="00EE4A1F"/>
    <w:rsid w:val="00EE4C2D"/>
    <w:rsid w:val="00EE614C"/>
    <w:rsid w:val="00EF0951"/>
    <w:rsid w:val="00EF1B5A"/>
    <w:rsid w:val="00EF24FB"/>
    <w:rsid w:val="00EF2CCA"/>
    <w:rsid w:val="00EF495B"/>
    <w:rsid w:val="00EF60DC"/>
    <w:rsid w:val="00EF78E1"/>
    <w:rsid w:val="00F00F54"/>
    <w:rsid w:val="00F03028"/>
    <w:rsid w:val="00F03963"/>
    <w:rsid w:val="00F06404"/>
    <w:rsid w:val="00F11068"/>
    <w:rsid w:val="00F1256D"/>
    <w:rsid w:val="00F13A4E"/>
    <w:rsid w:val="00F172BB"/>
    <w:rsid w:val="00F17B10"/>
    <w:rsid w:val="00F21BEF"/>
    <w:rsid w:val="00F2315B"/>
    <w:rsid w:val="00F41A6F"/>
    <w:rsid w:val="00F45331"/>
    <w:rsid w:val="00F45A25"/>
    <w:rsid w:val="00F50F86"/>
    <w:rsid w:val="00F53F91"/>
    <w:rsid w:val="00F60BC5"/>
    <w:rsid w:val="00F61569"/>
    <w:rsid w:val="00F61A72"/>
    <w:rsid w:val="00F62B67"/>
    <w:rsid w:val="00F63FAE"/>
    <w:rsid w:val="00F66F13"/>
    <w:rsid w:val="00F67395"/>
    <w:rsid w:val="00F73EC9"/>
    <w:rsid w:val="00F74073"/>
    <w:rsid w:val="00F75603"/>
    <w:rsid w:val="00F845B4"/>
    <w:rsid w:val="00F84DB6"/>
    <w:rsid w:val="00F8713B"/>
    <w:rsid w:val="00F90A14"/>
    <w:rsid w:val="00F93F9E"/>
    <w:rsid w:val="00F9468A"/>
    <w:rsid w:val="00FA2CD7"/>
    <w:rsid w:val="00FB06ED"/>
    <w:rsid w:val="00FC02F0"/>
    <w:rsid w:val="00FC3165"/>
    <w:rsid w:val="00FC36AB"/>
    <w:rsid w:val="00FC4300"/>
    <w:rsid w:val="00FC6B1E"/>
    <w:rsid w:val="00FC7F66"/>
    <w:rsid w:val="00FD5776"/>
    <w:rsid w:val="00FD6F5A"/>
    <w:rsid w:val="00FE1CB6"/>
    <w:rsid w:val="00FE486B"/>
    <w:rsid w:val="00FE4F08"/>
    <w:rsid w:val="00FF192E"/>
    <w:rsid w:val="02B7169E"/>
    <w:rsid w:val="0992FAB2"/>
    <w:rsid w:val="0B1FE328"/>
    <w:rsid w:val="11769328"/>
    <w:rsid w:val="2580B3B6"/>
    <w:rsid w:val="2A2CA330"/>
    <w:rsid w:val="34D138C5"/>
    <w:rsid w:val="396B009D"/>
    <w:rsid w:val="3B523888"/>
    <w:rsid w:val="41D55948"/>
    <w:rsid w:val="48B29549"/>
    <w:rsid w:val="48ED135C"/>
    <w:rsid w:val="4ABECAE4"/>
    <w:rsid w:val="4F3E1A26"/>
    <w:rsid w:val="55281602"/>
    <w:rsid w:val="5CBC64A1"/>
    <w:rsid w:val="5EF85546"/>
    <w:rsid w:val="61ED3E38"/>
    <w:rsid w:val="62D9D2FA"/>
    <w:rsid w:val="6E1A8447"/>
    <w:rsid w:val="70560551"/>
    <w:rsid w:val="76618137"/>
    <w:rsid w:val="7A75FF45"/>
    <w:rsid w:val="7B81F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B2281"/>
    <w:pPr>
      <w:ind w:left="720"/>
      <w:contextualSpacing/>
    </w:pPr>
  </w:style>
  <w:style w:type="paragraph" w:styleId="Revisie">
    <w:name w:val="Revision"/>
    <w:hidden/>
    <w:uiPriority w:val="99"/>
    <w:semiHidden/>
    <w:rsid w:val="0092337E"/>
    <w:rPr>
      <w:rFonts w:ascii="Verdana" w:hAnsi="Verdana"/>
      <w:sz w:val="18"/>
      <w:szCs w:val="24"/>
      <w:lang w:val="nl-NL" w:eastAsia="nl-NL"/>
    </w:rPr>
  </w:style>
  <w:style w:type="character" w:styleId="Verwijzingopmerking">
    <w:name w:val="annotation reference"/>
    <w:basedOn w:val="Standaardalinea-lettertype"/>
    <w:semiHidden/>
    <w:unhideWhenUsed/>
    <w:rsid w:val="0092337E"/>
    <w:rPr>
      <w:sz w:val="16"/>
      <w:szCs w:val="16"/>
    </w:rPr>
  </w:style>
  <w:style w:type="paragraph" w:styleId="Tekstopmerking">
    <w:name w:val="annotation text"/>
    <w:basedOn w:val="Standaard"/>
    <w:link w:val="TekstopmerkingChar"/>
    <w:unhideWhenUsed/>
    <w:rsid w:val="0092337E"/>
    <w:pPr>
      <w:spacing w:line="240" w:lineRule="auto"/>
    </w:pPr>
    <w:rPr>
      <w:sz w:val="20"/>
      <w:szCs w:val="20"/>
    </w:rPr>
  </w:style>
  <w:style w:type="character" w:customStyle="1" w:styleId="TekstopmerkingChar">
    <w:name w:val="Tekst opmerking Char"/>
    <w:basedOn w:val="Standaardalinea-lettertype"/>
    <w:link w:val="Tekstopmerking"/>
    <w:rsid w:val="0092337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2337E"/>
    <w:rPr>
      <w:b/>
      <w:bCs/>
    </w:rPr>
  </w:style>
  <w:style w:type="character" w:customStyle="1" w:styleId="OnderwerpvanopmerkingChar">
    <w:name w:val="Onderwerp van opmerking Char"/>
    <w:basedOn w:val="TekstopmerkingChar"/>
    <w:link w:val="Onderwerpvanopmerking"/>
    <w:semiHidden/>
    <w:rsid w:val="0092337E"/>
    <w:rPr>
      <w:rFonts w:ascii="Verdana" w:hAnsi="Verdana"/>
      <w:b/>
      <w:bCs/>
      <w:lang w:val="nl-NL" w:eastAsia="nl-NL"/>
    </w:rPr>
  </w:style>
  <w:style w:type="character" w:customStyle="1" w:styleId="normaltextrun">
    <w:name w:val="normaltextrun"/>
    <w:basedOn w:val="Standaardalinea-lettertype"/>
    <w:rsid w:val="008A5C6D"/>
  </w:style>
  <w:style w:type="character" w:customStyle="1" w:styleId="scxw59596151">
    <w:name w:val="scxw59596151"/>
    <w:basedOn w:val="Standaardalinea-lettertype"/>
    <w:rsid w:val="008A5C6D"/>
  </w:style>
  <w:style w:type="character" w:customStyle="1" w:styleId="superscript">
    <w:name w:val="superscript"/>
    <w:basedOn w:val="Standaardalinea-lettertype"/>
    <w:rsid w:val="008A5C6D"/>
  </w:style>
  <w:style w:type="character" w:styleId="Voetnootmarkering">
    <w:name w:val="footnote reference"/>
    <w:basedOn w:val="Standaardalinea-lettertype"/>
    <w:semiHidden/>
    <w:unhideWhenUsed/>
    <w:rsid w:val="008A5C6D"/>
    <w:rPr>
      <w:vertAlign w:val="superscript"/>
    </w:rPr>
  </w:style>
  <w:style w:type="character" w:styleId="Onopgelostemelding">
    <w:name w:val="Unresolved Mention"/>
    <w:basedOn w:val="Standaardalinea-lettertype"/>
    <w:uiPriority w:val="99"/>
    <w:semiHidden/>
    <w:unhideWhenUsed/>
    <w:rsid w:val="00CB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populytics.nl/nieuws/rapport-pwe-toekomst-gemeenschappelijk-landbouw-beleid/" TargetMode="External"/><Relationship Id="rId1" Type="http://schemas.openxmlformats.org/officeDocument/2006/relationships/hyperlink" Target="https://eur-lex.europa.eu/legal-content/NL/TXT/?uri=CELEX:52023PC04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1694</ap:Words>
  <ap:Characters>9323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2026-06-10T20:31:00.0000000Z</dcterms:created>
  <dcterms:modified xsi:type="dcterms:W3CDTF">2026-06-10T20:31:00.0000000Z</dcterms:modified>
  <dc:description>------------------------</dc:description>
  <dc:subject/>
  <keywords/>
  <version/>
  <category/>
</coreProperties>
</file>