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4A83" w:rsidR="00150C2A" w:rsidP="00604A83" w:rsidRDefault="00332C97" w14:paraId="731E175C" w14:textId="1232DEFD">
      <w:pPr>
        <w:spacing w:after="280" w:line="280" w:lineRule="atLeast"/>
        <w:ind w:right="-1021"/>
        <w:contextualSpacing/>
        <w:rPr>
          <w:rFonts w:eastAsia="Times New Roman" w:cs="Open Sans"/>
          <w:b/>
          <w:bCs/>
          <w:color w:val="0070C0"/>
          <w:kern w:val="0"/>
          <w:sz w:val="18"/>
          <w:szCs w:val="18"/>
          <w:lang w:eastAsia="nl-NL"/>
          <w14:ligatures w14:val="none"/>
        </w:rPr>
      </w:pPr>
      <w:r w:rsidRPr="00604A83">
        <w:rPr>
          <w:rFonts w:eastAsia="Times New Roman" w:cs="Open Sans"/>
          <w:b/>
          <w:bCs/>
          <w:color w:val="0070C0"/>
          <w:kern w:val="0"/>
          <w:sz w:val="18"/>
          <w:szCs w:val="18"/>
          <w:lang w:eastAsia="nl-NL"/>
          <w14:ligatures w14:val="none"/>
        </w:rPr>
        <w:t>Bijlage 3 -</w:t>
      </w:r>
      <w:r w:rsidRPr="00604A83" w:rsidR="00150C2A">
        <w:rPr>
          <w:rFonts w:eastAsia="Times New Roman" w:cs="Open Sans"/>
          <w:b/>
          <w:bCs/>
          <w:color w:val="0070C0"/>
          <w:kern w:val="0"/>
          <w:sz w:val="18"/>
          <w:szCs w:val="18"/>
          <w:lang w:eastAsia="nl-NL"/>
          <w14:ligatures w14:val="none"/>
        </w:rPr>
        <w:t xml:space="preserve"> Voortgang op overige dossiers</w:t>
      </w:r>
    </w:p>
    <w:p w:rsidR="00150C2A" w:rsidP="00150C2A" w:rsidRDefault="00150C2A" w14:paraId="415330BF" w14:textId="77777777">
      <w:pPr>
        <w:spacing w:line="276" w:lineRule="auto"/>
        <w:rPr>
          <w:sz w:val="18"/>
          <w:szCs w:val="18"/>
        </w:rPr>
      </w:pPr>
    </w:p>
    <w:p w:rsidRPr="00150C2A" w:rsidR="00150C2A" w:rsidP="00150C2A" w:rsidRDefault="00150C2A" w14:paraId="64731D48" w14:textId="20FDBD48">
      <w:pPr>
        <w:spacing w:line="276" w:lineRule="auto"/>
        <w:rPr>
          <w:sz w:val="18"/>
          <w:szCs w:val="18"/>
        </w:rPr>
      </w:pPr>
      <w:r w:rsidRPr="00150C2A">
        <w:rPr>
          <w:sz w:val="18"/>
          <w:szCs w:val="18"/>
        </w:rPr>
        <w:t xml:space="preserve">Zonder hierbij volledigheid te beogen, ga ik in </w:t>
      </w:r>
      <w:r>
        <w:rPr>
          <w:sz w:val="18"/>
          <w:szCs w:val="18"/>
        </w:rPr>
        <w:t>deze bijlage</w:t>
      </w:r>
      <w:r w:rsidRPr="00150C2A">
        <w:rPr>
          <w:sz w:val="18"/>
          <w:szCs w:val="18"/>
        </w:rPr>
        <w:t xml:space="preserve"> in op een aantal actuele onderwerpen die gedurende de huidige kabinetsperiode onderwerp van gesprek met uw Kamer kunnen zijn. </w:t>
      </w:r>
    </w:p>
    <w:p w:rsidRPr="00150C2A" w:rsidR="00150C2A" w:rsidP="00150C2A" w:rsidRDefault="00150C2A" w14:paraId="2F372C8C" w14:textId="77777777">
      <w:pPr>
        <w:spacing w:line="276" w:lineRule="auto"/>
        <w:rPr>
          <w:sz w:val="18"/>
          <w:szCs w:val="18"/>
        </w:rPr>
      </w:pPr>
    </w:p>
    <w:p w:rsidRPr="00150C2A" w:rsidR="00150C2A" w:rsidP="00150C2A" w:rsidRDefault="00150C2A" w14:paraId="72B4C515" w14:textId="77777777">
      <w:pPr>
        <w:spacing w:line="276" w:lineRule="auto"/>
        <w:rPr>
          <w:i/>
          <w:iCs/>
          <w:sz w:val="18"/>
          <w:szCs w:val="18"/>
        </w:rPr>
      </w:pPr>
      <w:r w:rsidRPr="00150C2A">
        <w:rPr>
          <w:i/>
          <w:iCs/>
          <w:sz w:val="18"/>
          <w:szCs w:val="18"/>
        </w:rPr>
        <w:t>Internationaal</w:t>
      </w:r>
    </w:p>
    <w:p w:rsidRPr="00150C2A" w:rsidR="00150C2A" w:rsidP="00150C2A" w:rsidRDefault="00150C2A" w14:paraId="1BF9A8BF" w14:textId="77777777">
      <w:pPr>
        <w:spacing w:line="276" w:lineRule="auto"/>
        <w:rPr>
          <w:sz w:val="18"/>
          <w:szCs w:val="18"/>
        </w:rPr>
      </w:pPr>
      <w:r w:rsidRPr="00150C2A">
        <w:rPr>
          <w:sz w:val="18"/>
          <w:szCs w:val="18"/>
        </w:rPr>
        <w:t>Voor stabiel en voorspelbaar fiscaal beleid is internationale samenwerking noodzakelijk. Juist in een veranderende geopolitieke context is samenwerking cruciaal en moeten we fragmentatie zien te voorkomen. Het kabinet zet daarom in op gecoördineerde afspraken binnen onder meer de Europese Unie (EU) en de Organisatie voor Economische Samenwerking en Ontwikkeling (OESO), en op bilaterale afspraken zoals belastingverdragen.</w:t>
      </w:r>
    </w:p>
    <w:p w:rsidRPr="00150C2A" w:rsidR="00150C2A" w:rsidP="00150C2A" w:rsidRDefault="00150C2A" w14:paraId="53CB7370" w14:textId="77777777">
      <w:pPr>
        <w:spacing w:line="276" w:lineRule="auto"/>
        <w:rPr>
          <w:sz w:val="18"/>
          <w:szCs w:val="18"/>
        </w:rPr>
      </w:pPr>
      <w:r w:rsidRPr="00150C2A">
        <w:rPr>
          <w:sz w:val="18"/>
          <w:szCs w:val="18"/>
        </w:rPr>
        <w:t>Een belangrijk voorbeeld van deze gecoördineerde internationale samenwerking is het Side-</w:t>
      </w:r>
      <w:proofErr w:type="spellStart"/>
      <w:r w:rsidRPr="00150C2A">
        <w:rPr>
          <w:sz w:val="18"/>
          <w:szCs w:val="18"/>
        </w:rPr>
        <w:t>by</w:t>
      </w:r>
      <w:proofErr w:type="spellEnd"/>
      <w:r w:rsidRPr="00150C2A">
        <w:rPr>
          <w:sz w:val="18"/>
          <w:szCs w:val="18"/>
        </w:rPr>
        <w:t xml:space="preserve">-Side-akkoord over de wereldwijde minimumbelasting. Door dit akkoord wordt een ondergrens gesteld aan belastingconcurrentie en worden winstverschuivingen naar </w:t>
      </w:r>
      <w:proofErr w:type="spellStart"/>
      <w:r w:rsidRPr="00150C2A">
        <w:rPr>
          <w:sz w:val="18"/>
          <w:szCs w:val="18"/>
        </w:rPr>
        <w:t>laagbelastende</w:t>
      </w:r>
      <w:proofErr w:type="spellEnd"/>
      <w:r w:rsidRPr="00150C2A">
        <w:rPr>
          <w:sz w:val="18"/>
          <w:szCs w:val="18"/>
        </w:rPr>
        <w:t xml:space="preserve"> staten tegengegaan. Tegelijkertijd heeft het kabinet aandacht voor mogelijke verstoringen van de concurrentiepositie. In dat verband monitort het kabinet de uitwerking en gevolgen van het Side-</w:t>
      </w:r>
      <w:proofErr w:type="spellStart"/>
      <w:r w:rsidRPr="00150C2A">
        <w:rPr>
          <w:sz w:val="18"/>
          <w:szCs w:val="18"/>
        </w:rPr>
        <w:t>by</w:t>
      </w:r>
      <w:proofErr w:type="spellEnd"/>
      <w:r w:rsidRPr="00150C2A">
        <w:rPr>
          <w:sz w:val="18"/>
          <w:szCs w:val="18"/>
        </w:rPr>
        <w:t>-Side-pakket nauwgezet. Zo blijft het kabinet in gesprek met het bedrijfsleven zodat vroegtijdig signalen van concurrentieverstoring kunnen worden geadresseerd. Wanneer daar aanleiding toe is, zal het kabinet uw Kamer daarover informeren.</w:t>
      </w:r>
    </w:p>
    <w:p w:rsidRPr="00150C2A" w:rsidR="00150C2A" w:rsidP="00150C2A" w:rsidRDefault="00150C2A" w14:paraId="3F18778A" w14:textId="77777777">
      <w:pPr>
        <w:spacing w:line="276" w:lineRule="auto"/>
        <w:rPr>
          <w:sz w:val="18"/>
          <w:szCs w:val="18"/>
        </w:rPr>
      </w:pPr>
      <w:r w:rsidRPr="00150C2A">
        <w:rPr>
          <w:sz w:val="18"/>
          <w:szCs w:val="18"/>
        </w:rPr>
        <w:t xml:space="preserve">Het concurrentievermogen van de EU, en in het bijzonder Nederland, is in de huidige geopolitiek onrustige tijden van groot belang. Hiervoor is het noodzakelijk dat de interne markt wordt versterkt. Dit kan door het wegnemen van barrières, het verminderen van regeldruk en het stroomlijnen van procedures. Dergelijke maatregelen zorgen voor een aantrekkelijker ondernemingsklimaat waar bedrijven kunnen investeren, innoveren en groeien. Nederland kan deze stappen niet unilateraal zetten; samenwerking binnen de EU is hiervoor essentieel. Het nieuwe Douanewetboek van de Unie vormt hiervoor een belangrijke stap in de goede richting. Met deze hervorming worden douaneprocessen nog meer </w:t>
      </w:r>
      <w:proofErr w:type="spellStart"/>
      <w:r w:rsidRPr="00150C2A">
        <w:rPr>
          <w:sz w:val="18"/>
          <w:szCs w:val="18"/>
        </w:rPr>
        <w:t>datagedreven</w:t>
      </w:r>
      <w:proofErr w:type="spellEnd"/>
      <w:r w:rsidRPr="00150C2A">
        <w:rPr>
          <w:sz w:val="18"/>
          <w:szCs w:val="18"/>
        </w:rPr>
        <w:t xml:space="preserve"> ingericht, wordt de sterk toenemende stroom e-commercezendingen beter beheersbaar, ontstaat een gelijker speelveld voor Europese bedrijven en wordt het bedrijfsleven verder gefaciliteerd. De komende periode heeft de operationalisering van het nieuwe Douanewetboek van de Unie hoge prioriteit. Dit betreft zowel de verankering in nationale wetgeving als de implementatie in de werkwijzen en processen van de Douane.</w:t>
      </w:r>
    </w:p>
    <w:p w:rsidR="007036F2" w:rsidP="00150C2A" w:rsidRDefault="00150C2A" w14:paraId="4B6EF098" w14:textId="703D454C">
      <w:pPr>
        <w:spacing w:line="276" w:lineRule="auto"/>
        <w:rPr>
          <w:sz w:val="18"/>
          <w:szCs w:val="18"/>
        </w:rPr>
      </w:pPr>
      <w:r w:rsidRPr="00150C2A">
        <w:rPr>
          <w:sz w:val="18"/>
          <w:szCs w:val="18"/>
        </w:rPr>
        <w:t xml:space="preserve">Daarnaast komt de EC binnenkort met een aantal voorstellen die gericht zijn op het versimpelen van het EU fiscaal </w:t>
      </w:r>
      <w:proofErr w:type="spellStart"/>
      <w:r w:rsidRPr="00150C2A">
        <w:rPr>
          <w:sz w:val="18"/>
          <w:szCs w:val="18"/>
        </w:rPr>
        <w:t>acquis</w:t>
      </w:r>
      <w:proofErr w:type="spellEnd"/>
      <w:r w:rsidRPr="00150C2A">
        <w:rPr>
          <w:sz w:val="18"/>
          <w:szCs w:val="18"/>
        </w:rPr>
        <w:t xml:space="preserve"> en het versterken van het EU-concurrentievermogen. Concreet gaat het om een fiscaal omnibuspakket op het gebied van directe belastingen en een herziening van de administratieve samenwerkingsrichtlijn (DAC). Het kabinet verwelkomt deze voorstellen en wil ambitieus inzetten op een versterking van het EU-concurrentievermogen in deze onderhandelingen. Het kabinet zal u, te zijner tijd, via de BNC-fiches informeren over de kabinetspositie op deze richtlijnen. </w:t>
      </w:r>
    </w:p>
    <w:p w:rsidRPr="00150C2A" w:rsidR="007036F2" w:rsidP="00150C2A" w:rsidRDefault="007036F2" w14:paraId="7578585B" w14:textId="77777777">
      <w:pPr>
        <w:spacing w:line="276" w:lineRule="auto"/>
        <w:rPr>
          <w:sz w:val="18"/>
          <w:szCs w:val="18"/>
        </w:rPr>
      </w:pPr>
    </w:p>
    <w:p w:rsidRPr="007036F2" w:rsidR="007036F2" w:rsidP="007036F2" w:rsidRDefault="007036F2" w14:paraId="4657CEC1" w14:textId="5A43A5D2">
      <w:pPr>
        <w:spacing w:line="276" w:lineRule="auto"/>
        <w:rPr>
          <w:i/>
          <w:iCs/>
          <w:sz w:val="18"/>
          <w:szCs w:val="18"/>
          <w:lang w:val="en-US"/>
        </w:rPr>
      </w:pPr>
      <w:r w:rsidRPr="007036F2">
        <w:rPr>
          <w:i/>
          <w:iCs/>
          <w:sz w:val="18"/>
          <w:szCs w:val="18"/>
          <w:lang w:val="en-US"/>
        </w:rPr>
        <w:t>VAT in the Digital Age (</w:t>
      </w:r>
      <w:proofErr w:type="spellStart"/>
      <w:r w:rsidRPr="007036F2">
        <w:rPr>
          <w:i/>
          <w:iCs/>
          <w:sz w:val="18"/>
          <w:szCs w:val="18"/>
          <w:lang w:val="en-US"/>
        </w:rPr>
        <w:t>ViDA</w:t>
      </w:r>
      <w:proofErr w:type="spellEnd"/>
      <w:r w:rsidRPr="007036F2">
        <w:rPr>
          <w:i/>
          <w:iCs/>
          <w:sz w:val="18"/>
          <w:szCs w:val="18"/>
          <w:lang w:val="en-US"/>
        </w:rPr>
        <w:t>)</w:t>
      </w:r>
    </w:p>
    <w:p w:rsidRPr="007036F2" w:rsidR="007036F2" w:rsidP="007036F2" w:rsidRDefault="007036F2" w14:paraId="224343EB" w14:textId="77777777">
      <w:pPr>
        <w:spacing w:line="276" w:lineRule="auto"/>
        <w:rPr>
          <w:sz w:val="18"/>
          <w:szCs w:val="18"/>
        </w:rPr>
      </w:pPr>
      <w:r w:rsidRPr="007036F2">
        <w:rPr>
          <w:sz w:val="18"/>
          <w:szCs w:val="18"/>
        </w:rPr>
        <w:t>Op 26 juni 2025 heeft mijn voorganger een Kamerbrief gedeeld over de implementatie van de btw-richtlijn (</w:t>
      </w:r>
      <w:proofErr w:type="spellStart"/>
      <w:r w:rsidRPr="007036F2">
        <w:rPr>
          <w:sz w:val="18"/>
          <w:szCs w:val="18"/>
        </w:rPr>
        <w:t>ViDA</w:t>
      </w:r>
      <w:proofErr w:type="spellEnd"/>
      <w:r w:rsidRPr="007036F2">
        <w:rPr>
          <w:sz w:val="18"/>
          <w:szCs w:val="18"/>
        </w:rPr>
        <w:t xml:space="preserve">). In deze brief is aangegeven dat de </w:t>
      </w:r>
      <w:proofErr w:type="spellStart"/>
      <w:r w:rsidRPr="007036F2">
        <w:rPr>
          <w:sz w:val="18"/>
          <w:szCs w:val="18"/>
        </w:rPr>
        <w:t>ViDA</w:t>
      </w:r>
      <w:proofErr w:type="spellEnd"/>
      <w:r w:rsidRPr="007036F2">
        <w:rPr>
          <w:sz w:val="18"/>
          <w:szCs w:val="18"/>
        </w:rPr>
        <w:t xml:space="preserve">-richtlijn verplichte B2B e-facturatie en digitale rapportageverplichtingen naar de Belastingdienst vaststelt voor grensoverschrijdende prestaties binnen de EU. Voor binnenlandse prestaties biedt de richtlijn lidstaten de mogelijkheid om af te zien van een verplichting tot binnenlandse B2B e-facturatie en rapportageverplichting aan de Belastingdienst (een zogenoemde </w:t>
      </w:r>
      <w:proofErr w:type="spellStart"/>
      <w:r w:rsidRPr="007036F2">
        <w:rPr>
          <w:sz w:val="18"/>
          <w:szCs w:val="18"/>
        </w:rPr>
        <w:t>opt</w:t>
      </w:r>
      <w:proofErr w:type="spellEnd"/>
      <w:r w:rsidRPr="007036F2">
        <w:rPr>
          <w:sz w:val="18"/>
          <w:szCs w:val="18"/>
        </w:rPr>
        <w:t xml:space="preserve">-out). De doelstelling van deze maatregelen is het verminderen van btw-fraude en het verminderen van administratieve lasten. In de Kamerbrief is aangekondigd dat een beleidsonderzoek wordt gestart naar deze nationale verplichting. EY is als onderzoeksbureau geselecteerd om dit beleidsonderzoek uit te voeren. De aanbiedingsbrief met het onderzoeksrapport is op 10 maart met de Kamer gedeeld. Het onderzoek van EY adviseert om in Nederland toe te werken naar een verplichting tot nationale elektronische facturatie en rapportage. In de aanbiedingsbrief is aangegeven dat momenteel randvoorwaarden worden uitgewerkt en onderzocht. Mijn voornemen is om deze zomer een Kamerbrief over de besluitvorming en een </w:t>
      </w:r>
      <w:proofErr w:type="spellStart"/>
      <w:r w:rsidRPr="007036F2">
        <w:rPr>
          <w:i/>
          <w:iCs/>
          <w:sz w:val="18"/>
          <w:szCs w:val="18"/>
        </w:rPr>
        <w:t>roadmap</w:t>
      </w:r>
      <w:proofErr w:type="spellEnd"/>
      <w:r w:rsidRPr="007036F2">
        <w:rPr>
          <w:i/>
          <w:iCs/>
          <w:sz w:val="18"/>
          <w:szCs w:val="18"/>
        </w:rPr>
        <w:t xml:space="preserve"> </w:t>
      </w:r>
      <w:r w:rsidRPr="007036F2">
        <w:rPr>
          <w:sz w:val="18"/>
          <w:szCs w:val="18"/>
        </w:rPr>
        <w:t xml:space="preserve">met uw Kamer te delen. Volledigheidshalve wordt opgemerkt dat de VIDA-richtlijn nog </w:t>
      </w:r>
      <w:r w:rsidRPr="007036F2">
        <w:rPr>
          <w:sz w:val="18"/>
          <w:szCs w:val="18"/>
        </w:rPr>
        <w:lastRenderedPageBreak/>
        <w:t xml:space="preserve">andere onderdelen bevat die </w:t>
      </w:r>
      <w:proofErr w:type="gramStart"/>
      <w:r w:rsidRPr="007036F2">
        <w:rPr>
          <w:sz w:val="18"/>
          <w:szCs w:val="18"/>
        </w:rPr>
        <w:t>middels</w:t>
      </w:r>
      <w:proofErr w:type="gramEnd"/>
      <w:r w:rsidRPr="007036F2">
        <w:rPr>
          <w:sz w:val="18"/>
          <w:szCs w:val="18"/>
        </w:rPr>
        <w:t xml:space="preserve"> twee andere wetsvoorstellen worden geïmplementeerd. Het Wetsvoorstel enkele btw-registratie die de mogelijkheid om als ondernemer slechts in één lidstaat te registreren uitbreidt (het </w:t>
      </w:r>
      <w:proofErr w:type="spellStart"/>
      <w:r w:rsidRPr="007036F2">
        <w:rPr>
          <w:sz w:val="18"/>
          <w:szCs w:val="18"/>
        </w:rPr>
        <w:t>éénloketsysteem</w:t>
      </w:r>
      <w:proofErr w:type="spellEnd"/>
      <w:r w:rsidRPr="007036F2">
        <w:rPr>
          <w:sz w:val="18"/>
          <w:szCs w:val="18"/>
        </w:rPr>
        <w:t xml:space="preserve">). Dit zijn technische aanpassingen. Het wetsvoorstel is 26 maart richting de Kamer verzonden. Daarnaast wordt er gewerkt aan het Wetsvoorstel voor implementatie van de btw-richtlijn </w:t>
      </w:r>
      <w:proofErr w:type="gramStart"/>
      <w:r w:rsidRPr="007036F2">
        <w:rPr>
          <w:sz w:val="18"/>
          <w:szCs w:val="18"/>
        </w:rPr>
        <w:t>inzake</w:t>
      </w:r>
      <w:proofErr w:type="gramEnd"/>
      <w:r w:rsidRPr="007036F2">
        <w:rPr>
          <w:sz w:val="18"/>
          <w:szCs w:val="18"/>
        </w:rPr>
        <w:t xml:space="preserve"> de platformeconomie. Deze zal naar verwachting eind 2026 aan de Kamer worden toegezonden. </w:t>
      </w:r>
    </w:p>
    <w:p w:rsidRPr="00150C2A" w:rsidR="007036F2" w:rsidRDefault="007036F2" w14:paraId="6ABFC709" w14:textId="77777777">
      <w:pPr>
        <w:spacing w:line="276" w:lineRule="auto"/>
        <w:rPr>
          <w:i/>
          <w:iCs/>
          <w:sz w:val="18"/>
          <w:szCs w:val="18"/>
        </w:rPr>
      </w:pPr>
    </w:p>
    <w:p w:rsidRPr="00150C2A" w:rsidR="00150C2A" w:rsidP="00150C2A" w:rsidRDefault="00150C2A" w14:paraId="5B1C5927" w14:textId="77777777">
      <w:pPr>
        <w:spacing w:line="276" w:lineRule="auto"/>
        <w:rPr>
          <w:i/>
          <w:iCs/>
          <w:sz w:val="18"/>
          <w:szCs w:val="18"/>
        </w:rPr>
      </w:pPr>
      <w:r w:rsidRPr="00150C2A">
        <w:rPr>
          <w:i/>
          <w:iCs/>
          <w:sz w:val="18"/>
          <w:szCs w:val="18"/>
        </w:rPr>
        <w:t>Werkkostenregeling</w:t>
      </w:r>
    </w:p>
    <w:p w:rsidRPr="00150C2A" w:rsidR="00150C2A" w:rsidP="00150C2A" w:rsidRDefault="00150C2A" w14:paraId="699518EA" w14:textId="77777777">
      <w:pPr>
        <w:spacing w:line="276" w:lineRule="auto"/>
        <w:rPr>
          <w:sz w:val="18"/>
          <w:szCs w:val="18"/>
        </w:rPr>
      </w:pPr>
      <w:r w:rsidRPr="00150C2A">
        <w:rPr>
          <w:sz w:val="18"/>
          <w:szCs w:val="18"/>
        </w:rPr>
        <w:t>Op 10 juli 2025 heeft staatssecretaris Van Oostenbruggen de meest recente evaluatie van de werkkostenregeling met uw Kamer gedeeld.</w:t>
      </w:r>
      <w:r w:rsidRPr="00150C2A">
        <w:rPr>
          <w:sz w:val="18"/>
          <w:szCs w:val="18"/>
          <w:vertAlign w:val="superscript"/>
        </w:rPr>
        <w:footnoteReference w:id="1"/>
      </w:r>
      <w:r w:rsidRPr="00150C2A">
        <w:rPr>
          <w:sz w:val="18"/>
          <w:szCs w:val="18"/>
        </w:rPr>
        <w:t xml:space="preserve"> Het kabinet is zich ervan bewust dat de WKR in de praktijk als complex wordt ervaren en ziet de evaluatie, met haar concrete aanbevelingen, als een goede stap richting een toekomstbestendig en werkbaarder systeem voor werkgevers en werknemers. Voor de zomer zal ik een uitgebreide reactie op deze evaluatie met uw Kamer delen. Een deel van de aanbevelingen heeft indien opgevolgd budgettaire consequenties. Het kabinet zal deze aanbevelingen integraal wegen in augustus en uw Kamer op Prinsjesdag over de uitkomst daarvan informeren.</w:t>
      </w:r>
    </w:p>
    <w:p w:rsidRPr="00150C2A" w:rsidR="00150C2A" w:rsidP="00150C2A" w:rsidRDefault="00150C2A" w14:paraId="17E9AA7E" w14:textId="77777777">
      <w:pPr>
        <w:spacing w:line="276" w:lineRule="auto"/>
        <w:rPr>
          <w:i/>
          <w:iCs/>
          <w:sz w:val="18"/>
          <w:szCs w:val="18"/>
        </w:rPr>
      </w:pPr>
    </w:p>
    <w:p w:rsidRPr="00150C2A" w:rsidR="00150C2A" w:rsidP="00150C2A" w:rsidRDefault="00150C2A" w14:paraId="7A3E634F" w14:textId="77777777">
      <w:pPr>
        <w:spacing w:line="276" w:lineRule="auto"/>
        <w:rPr>
          <w:i/>
          <w:iCs/>
          <w:sz w:val="18"/>
          <w:szCs w:val="18"/>
        </w:rPr>
      </w:pPr>
      <w:proofErr w:type="spellStart"/>
      <w:r w:rsidRPr="00150C2A">
        <w:rPr>
          <w:i/>
          <w:iCs/>
          <w:sz w:val="18"/>
          <w:szCs w:val="18"/>
        </w:rPr>
        <w:t>ANBI’s</w:t>
      </w:r>
      <w:proofErr w:type="spellEnd"/>
    </w:p>
    <w:p w:rsidRPr="00150C2A" w:rsidR="00150C2A" w:rsidP="00150C2A" w:rsidRDefault="00150C2A" w14:paraId="4674CF1A" w14:textId="4A8E3DD7">
      <w:pPr>
        <w:spacing w:line="276" w:lineRule="auto"/>
        <w:rPr>
          <w:bCs/>
          <w:sz w:val="18"/>
          <w:szCs w:val="18"/>
        </w:rPr>
      </w:pPr>
      <w:r w:rsidRPr="00150C2A">
        <w:rPr>
          <w:bCs/>
          <w:sz w:val="18"/>
          <w:szCs w:val="18"/>
        </w:rPr>
        <w:t xml:space="preserve">De toegezegde brief over de stand van zaken van het vervolgonderzoek naar verbetermogelijkheden </w:t>
      </w:r>
      <w:proofErr w:type="gramStart"/>
      <w:r w:rsidRPr="00150C2A">
        <w:rPr>
          <w:bCs/>
          <w:sz w:val="18"/>
          <w:szCs w:val="18"/>
        </w:rPr>
        <w:t>inzake</w:t>
      </w:r>
      <w:proofErr w:type="gramEnd"/>
      <w:r w:rsidRPr="00150C2A">
        <w:rPr>
          <w:bCs/>
          <w:sz w:val="18"/>
          <w:szCs w:val="18"/>
        </w:rPr>
        <w:t xml:space="preserve"> de ANBI-regeling </w:t>
      </w:r>
      <w:r w:rsidR="008E2D9B">
        <w:rPr>
          <w:bCs/>
          <w:sz w:val="18"/>
          <w:szCs w:val="18"/>
        </w:rPr>
        <w:t>zal ik binnenkort naar uw kamer sturen</w:t>
      </w:r>
      <w:r w:rsidRPr="00150C2A">
        <w:rPr>
          <w:bCs/>
          <w:sz w:val="18"/>
          <w:szCs w:val="18"/>
        </w:rPr>
        <w:t>.</w:t>
      </w:r>
    </w:p>
    <w:p w:rsidRPr="00150C2A" w:rsidR="00150C2A" w:rsidP="00150C2A" w:rsidRDefault="00150C2A" w14:paraId="0A39E699" w14:textId="77777777">
      <w:pPr>
        <w:spacing w:line="276" w:lineRule="auto"/>
        <w:rPr>
          <w:bCs/>
          <w:sz w:val="18"/>
          <w:szCs w:val="18"/>
        </w:rPr>
      </w:pPr>
      <w:r w:rsidRPr="00150C2A">
        <w:rPr>
          <w:bCs/>
          <w:sz w:val="18"/>
          <w:szCs w:val="18"/>
        </w:rPr>
        <w:t>Daarnaast ben ik, zoals aangekondigd in het commissiedebat fiscaliteit op 11 maart jl., voornemens om voor de zomer met een reactie te komen op het adviesrapport ‘Beter Geven III’ over alternatieven voor de per 2025 afgeschafte regeling ‘geven uit de vennootschap’ en daarbij ook nader in te gaan op het voornemen van het kabinet om rentmeestervennootschappen in de wet als rechtsvorm op te nemen.</w:t>
      </w:r>
      <w:r w:rsidRPr="00150C2A">
        <w:rPr>
          <w:sz w:val="18"/>
          <w:szCs w:val="18"/>
          <w:vertAlign w:val="superscript"/>
        </w:rPr>
        <w:footnoteReference w:id="2"/>
      </w:r>
    </w:p>
    <w:p w:rsidRPr="00150C2A" w:rsidR="00150C2A" w:rsidP="00150C2A" w:rsidRDefault="00150C2A" w14:paraId="6A50405D" w14:textId="77777777">
      <w:pPr>
        <w:spacing w:line="276" w:lineRule="auto"/>
        <w:rPr>
          <w:i/>
          <w:iCs/>
          <w:sz w:val="18"/>
          <w:szCs w:val="18"/>
        </w:rPr>
      </w:pPr>
    </w:p>
    <w:p w:rsidRPr="00150C2A" w:rsidR="00150C2A" w:rsidP="00150C2A" w:rsidRDefault="00150C2A" w14:paraId="7B3C192E" w14:textId="77777777">
      <w:pPr>
        <w:spacing w:line="276" w:lineRule="auto"/>
        <w:rPr>
          <w:i/>
          <w:iCs/>
          <w:sz w:val="18"/>
          <w:szCs w:val="18"/>
        </w:rPr>
      </w:pPr>
      <w:r w:rsidRPr="00150C2A">
        <w:rPr>
          <w:i/>
          <w:iCs/>
          <w:sz w:val="18"/>
          <w:szCs w:val="18"/>
        </w:rPr>
        <w:t>Indexeren alcoholaccijns</w:t>
      </w:r>
    </w:p>
    <w:p w:rsidRPr="00150C2A" w:rsidR="00150C2A" w:rsidP="00150C2A" w:rsidRDefault="00150C2A" w14:paraId="4B9EE947" w14:textId="77777777">
      <w:pPr>
        <w:spacing w:line="276" w:lineRule="auto"/>
        <w:rPr>
          <w:sz w:val="18"/>
          <w:szCs w:val="18"/>
        </w:rPr>
      </w:pPr>
      <w:r w:rsidRPr="00150C2A">
        <w:rPr>
          <w:sz w:val="18"/>
          <w:szCs w:val="18"/>
        </w:rPr>
        <w:t>Het kabinet heeft in de Kamerbrief acties weerbaarheid energieschok</w:t>
      </w:r>
      <w:r w:rsidRPr="00150C2A">
        <w:rPr>
          <w:sz w:val="18"/>
          <w:szCs w:val="18"/>
          <w:vertAlign w:val="superscript"/>
        </w:rPr>
        <w:footnoteReference w:id="3"/>
      </w:r>
      <w:r w:rsidRPr="00150C2A">
        <w:rPr>
          <w:sz w:val="18"/>
          <w:szCs w:val="18"/>
        </w:rPr>
        <w:t xml:space="preserve"> aangekondigd dat het binnen de accijns op alcoholhoudende dranken een indexatiesystematiek introduceert. In tegenstelling tot bijvoorbeeld de brandstofaccijns, wordt de alcoholaccijns niet jaarlijks geïndexeerd. Het jaarlijks indexeren van de accijns op alcoholhoudende dranken zorgt ervoor dat de reële waarde van de accijns gelijk blijft, waardoor ook het beoogde gezondheidseffect van deze accijns niet verwatert.</w:t>
      </w:r>
    </w:p>
    <w:p w:rsidRPr="00150C2A" w:rsidR="00150C2A" w:rsidP="00150C2A" w:rsidRDefault="00150C2A" w14:paraId="2A683477" w14:textId="77777777">
      <w:pPr>
        <w:spacing w:line="276" w:lineRule="auto"/>
        <w:rPr>
          <w:i/>
          <w:iCs/>
          <w:sz w:val="18"/>
          <w:szCs w:val="18"/>
        </w:rPr>
      </w:pPr>
    </w:p>
    <w:p w:rsidRPr="00150C2A" w:rsidR="00150C2A" w:rsidP="00150C2A" w:rsidRDefault="00150C2A" w14:paraId="7AB193BE" w14:textId="77777777">
      <w:pPr>
        <w:spacing w:line="276" w:lineRule="auto"/>
        <w:rPr>
          <w:i/>
          <w:iCs/>
          <w:sz w:val="18"/>
          <w:szCs w:val="18"/>
        </w:rPr>
      </w:pPr>
      <w:r w:rsidRPr="00150C2A">
        <w:rPr>
          <w:i/>
          <w:iCs/>
          <w:sz w:val="18"/>
          <w:szCs w:val="18"/>
        </w:rPr>
        <w:t>BES eilanden</w:t>
      </w:r>
    </w:p>
    <w:p w:rsidRPr="00150C2A" w:rsidR="00150C2A" w:rsidP="00150C2A" w:rsidRDefault="00150C2A" w14:paraId="097DCA0D" w14:textId="77777777">
      <w:pPr>
        <w:spacing w:line="276" w:lineRule="auto"/>
        <w:rPr>
          <w:sz w:val="18"/>
          <w:szCs w:val="18"/>
        </w:rPr>
      </w:pPr>
      <w:r w:rsidRPr="00150C2A">
        <w:rPr>
          <w:sz w:val="18"/>
          <w:szCs w:val="18"/>
        </w:rPr>
        <w:t xml:space="preserve">Het kabinet wil de samenspraak met Bonaire, </w:t>
      </w:r>
      <w:proofErr w:type="gramStart"/>
      <w:r w:rsidRPr="00150C2A">
        <w:rPr>
          <w:sz w:val="18"/>
          <w:szCs w:val="18"/>
        </w:rPr>
        <w:t>Sint Eustatius</w:t>
      </w:r>
      <w:proofErr w:type="gramEnd"/>
      <w:r w:rsidRPr="00150C2A">
        <w:rPr>
          <w:sz w:val="18"/>
          <w:szCs w:val="18"/>
        </w:rPr>
        <w:t xml:space="preserve"> en Saba (BES eilanden) versterken. Daarom zet het kabinet zich in om de wezenlijke samenspraak te verstevigen en met de eilanden toe te werken naar een meerjarige beleidsagenda. De BES eilanden zijn recent uitgenodigd voor een eerste bijeenkomst om deze agenda vorm te geven. Een meerjarige beleidsagenda draagt bij aan voorspelbaarheid en een betere uitvoerbaarheid van maatregelen. Ook kan beter worden ingespeeld op de lokale sociaaleconomische situatie en behoeften van de eilanden.</w:t>
      </w:r>
    </w:p>
    <w:p w:rsidR="00113C89" w:rsidRDefault="00113C89" w14:paraId="118AE776" w14:textId="77777777"/>
    <w:sectPr w:rsidR="00113C8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334A6" w14:textId="77777777" w:rsidR="00150C2A" w:rsidRDefault="00150C2A" w:rsidP="00150C2A">
      <w:r>
        <w:separator/>
      </w:r>
    </w:p>
  </w:endnote>
  <w:endnote w:type="continuationSeparator" w:id="0">
    <w:p w14:paraId="322FE983" w14:textId="77777777" w:rsidR="00150C2A" w:rsidRDefault="00150C2A" w:rsidP="0015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C8D66" w14:textId="77777777" w:rsidR="00150C2A" w:rsidRDefault="00150C2A" w:rsidP="00150C2A">
      <w:r>
        <w:separator/>
      </w:r>
    </w:p>
  </w:footnote>
  <w:footnote w:type="continuationSeparator" w:id="0">
    <w:p w14:paraId="34DBC350" w14:textId="77777777" w:rsidR="00150C2A" w:rsidRDefault="00150C2A" w:rsidP="00150C2A">
      <w:r>
        <w:continuationSeparator/>
      </w:r>
    </w:p>
  </w:footnote>
  <w:footnote w:id="1">
    <w:p w14:paraId="39BD0919" w14:textId="77777777" w:rsidR="00150C2A" w:rsidRPr="003820E9" w:rsidRDefault="00150C2A" w:rsidP="00150C2A">
      <w:pPr>
        <w:pStyle w:val="Voetnoottekst"/>
        <w:rPr>
          <w:sz w:val="13"/>
          <w:szCs w:val="13"/>
        </w:rPr>
      </w:pPr>
      <w:r w:rsidRPr="003820E9">
        <w:rPr>
          <w:rStyle w:val="Voetnootmarkering"/>
          <w:sz w:val="13"/>
          <w:szCs w:val="13"/>
        </w:rPr>
        <w:footnoteRef/>
      </w:r>
      <w:r w:rsidRPr="003820E9">
        <w:rPr>
          <w:sz w:val="13"/>
          <w:szCs w:val="13"/>
        </w:rPr>
        <w:t xml:space="preserve"> Kamerstukken II 2024/25, 36602, nr. 163</w:t>
      </w:r>
      <w:r>
        <w:rPr>
          <w:sz w:val="13"/>
          <w:szCs w:val="13"/>
        </w:rPr>
        <w:t>.</w:t>
      </w:r>
    </w:p>
  </w:footnote>
  <w:footnote w:id="2">
    <w:p w14:paraId="02A79A9C" w14:textId="77777777" w:rsidR="00150C2A" w:rsidRPr="003820E9" w:rsidRDefault="00150C2A" w:rsidP="00150C2A">
      <w:pPr>
        <w:pStyle w:val="Voetnoottekst"/>
        <w:rPr>
          <w:sz w:val="13"/>
          <w:szCs w:val="13"/>
        </w:rPr>
      </w:pPr>
      <w:r w:rsidRPr="003820E9">
        <w:rPr>
          <w:rStyle w:val="Voetnootmarkering"/>
          <w:sz w:val="13"/>
          <w:szCs w:val="13"/>
        </w:rPr>
        <w:footnoteRef/>
      </w:r>
      <w:r w:rsidRPr="003820E9">
        <w:rPr>
          <w:sz w:val="13"/>
          <w:szCs w:val="13"/>
        </w:rPr>
        <w:t xml:space="preserve"> Kamerstukken II 2025/26, 36812, 123. </w:t>
      </w:r>
    </w:p>
  </w:footnote>
  <w:footnote w:id="3">
    <w:p w14:paraId="72E2FF07" w14:textId="77777777" w:rsidR="00150C2A" w:rsidRPr="003820E9" w:rsidRDefault="00150C2A" w:rsidP="00150C2A">
      <w:pPr>
        <w:pStyle w:val="Voetnoottekst"/>
        <w:rPr>
          <w:sz w:val="13"/>
          <w:szCs w:val="13"/>
        </w:rPr>
      </w:pPr>
      <w:r w:rsidRPr="003820E9">
        <w:rPr>
          <w:rStyle w:val="Voetnootmarkering"/>
          <w:sz w:val="13"/>
          <w:szCs w:val="13"/>
        </w:rPr>
        <w:footnoteRef/>
      </w:r>
      <w:r w:rsidRPr="003820E9">
        <w:rPr>
          <w:sz w:val="13"/>
          <w:szCs w:val="13"/>
        </w:rPr>
        <w:t xml:space="preserve"> </w:t>
      </w:r>
      <w:r>
        <w:rPr>
          <w:sz w:val="13"/>
          <w:szCs w:val="13"/>
        </w:rPr>
        <w:t xml:space="preserve">Kamerstukken II 2025/26, 36933, nr. 1. </w:t>
      </w:r>
      <w:r w:rsidRPr="003820E9">
        <w:rPr>
          <w:sz w:val="13"/>
          <w:szCs w:val="13"/>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69C"/>
    <w:rsid w:val="00113C89"/>
    <w:rsid w:val="00150C2A"/>
    <w:rsid w:val="002318C8"/>
    <w:rsid w:val="00331CE1"/>
    <w:rsid w:val="00332C97"/>
    <w:rsid w:val="00364889"/>
    <w:rsid w:val="00604A83"/>
    <w:rsid w:val="007036F2"/>
    <w:rsid w:val="008014AD"/>
    <w:rsid w:val="008E2D9B"/>
    <w:rsid w:val="009C108E"/>
    <w:rsid w:val="00C76501"/>
    <w:rsid w:val="00DE269C"/>
    <w:rsid w:val="00F71F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419C0"/>
  <w15:chartTrackingRefBased/>
  <w15:docId w15:val="{49261C9B-4366-4005-B683-A695BA64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14AD"/>
    <w:rPr>
      <w:rFonts w:ascii="Verdana" w:hAnsi="Verdana"/>
    </w:rPr>
  </w:style>
  <w:style w:type="paragraph" w:styleId="Kop1">
    <w:name w:val="heading 1"/>
    <w:basedOn w:val="Standaard"/>
    <w:next w:val="Standaard"/>
    <w:link w:val="Kop1Char"/>
    <w:uiPriority w:val="9"/>
    <w:qFormat/>
    <w:rsid w:val="00DE26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E26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E269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E269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DE269C"/>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DE269C"/>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E269C"/>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E269C"/>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E269C"/>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269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E269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E269C"/>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DE269C"/>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DE269C"/>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DE269C"/>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DE269C"/>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DE269C"/>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DE269C"/>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DE26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26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269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269C"/>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DE269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E269C"/>
    <w:rPr>
      <w:rFonts w:ascii="Verdana" w:hAnsi="Verdana"/>
      <w:i/>
      <w:iCs/>
      <w:color w:val="404040" w:themeColor="text1" w:themeTint="BF"/>
    </w:rPr>
  </w:style>
  <w:style w:type="paragraph" w:styleId="Lijstalinea">
    <w:name w:val="List Paragraph"/>
    <w:basedOn w:val="Standaard"/>
    <w:uiPriority w:val="34"/>
    <w:qFormat/>
    <w:rsid w:val="00DE269C"/>
    <w:pPr>
      <w:ind w:left="720"/>
      <w:contextualSpacing/>
    </w:pPr>
  </w:style>
  <w:style w:type="character" w:styleId="Intensievebenadrukking">
    <w:name w:val="Intense Emphasis"/>
    <w:basedOn w:val="Standaardalinea-lettertype"/>
    <w:uiPriority w:val="21"/>
    <w:qFormat/>
    <w:rsid w:val="00DE269C"/>
    <w:rPr>
      <w:i/>
      <w:iCs/>
      <w:color w:val="2F5496" w:themeColor="accent1" w:themeShade="BF"/>
    </w:rPr>
  </w:style>
  <w:style w:type="paragraph" w:styleId="Duidelijkcitaat">
    <w:name w:val="Intense Quote"/>
    <w:basedOn w:val="Standaard"/>
    <w:next w:val="Standaard"/>
    <w:link w:val="DuidelijkcitaatChar"/>
    <w:uiPriority w:val="30"/>
    <w:qFormat/>
    <w:rsid w:val="00DE26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E269C"/>
    <w:rPr>
      <w:rFonts w:ascii="Verdana" w:hAnsi="Verdana"/>
      <w:i/>
      <w:iCs/>
      <w:color w:val="2F5496" w:themeColor="accent1" w:themeShade="BF"/>
    </w:rPr>
  </w:style>
  <w:style w:type="character" w:styleId="Intensieveverwijzing">
    <w:name w:val="Intense Reference"/>
    <w:basedOn w:val="Standaardalinea-lettertype"/>
    <w:uiPriority w:val="32"/>
    <w:qFormat/>
    <w:rsid w:val="00DE269C"/>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150C2A"/>
  </w:style>
  <w:style w:type="character" w:customStyle="1" w:styleId="VoetnoottekstChar">
    <w:name w:val="Voetnoottekst Char"/>
    <w:basedOn w:val="Standaardalinea-lettertype"/>
    <w:link w:val="Voetnoottekst"/>
    <w:uiPriority w:val="99"/>
    <w:semiHidden/>
    <w:rsid w:val="00150C2A"/>
    <w:rPr>
      <w:rFonts w:ascii="Verdana" w:hAnsi="Verdana"/>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150C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1117</ap:Words>
  <ap:Characters>6144</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2026-06-10T14:08:00.0000000Z</dcterms:created>
  <dcterms:modified xsi:type="dcterms:W3CDTF">2026-06-10T14:08:00.0000000Z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2026-05-20T08:44:54Z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0a856b7d-e4b8-4737-b5fc-664634a8f0c4</vt:lpwstr>
  </property>
  <property fmtid="{D5CDD505-2E9C-101B-9397-08002B2CF9AE}" pid="8" name="MSIP_Label_b2aa6e22-2c82-48c6-bf24-1790f4b9c128_ContentBits">
    <vt:lpwstr>0</vt:lpwstr>
  </property>
  <property fmtid="{D5CDD505-2E9C-101B-9397-08002B2CF9AE}" pid="9" name="MSIP_Label_b2aa6e22-2c82-48c6-bf24-1790f4b9c128_Tag">
    <vt:lpwstr>10, 3, 0, 1</vt:lpwstr>
  </property>
</Properties>
</file>