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C8B" w:rsidR="00B21615" w:rsidP="00511C8B" w:rsidRDefault="00B21615" w14:paraId="3DF90753" w14:textId="1BDE1FE5">
      <w:pPr>
        <w:spacing w:after="280" w:line="280" w:lineRule="atLeast"/>
        <w:ind w:right="-1021"/>
        <w:contextualSpacing/>
        <w:rPr>
          <w:rFonts w:eastAsia="Times New Roman" w:cs="Open Sans"/>
          <w:b/>
          <w:bCs/>
          <w:color w:val="0070C0"/>
          <w:kern w:val="0"/>
          <w:sz w:val="18"/>
          <w:szCs w:val="18"/>
          <w:lang w:eastAsia="nl-NL"/>
          <w14:ligatures w14:val="none"/>
        </w:rPr>
      </w:pPr>
      <w:r w:rsidRPr="00511C8B">
        <w:rPr>
          <w:rFonts w:eastAsia="Times New Roman" w:cs="Open Sans"/>
          <w:b/>
          <w:bCs/>
          <w:color w:val="0070C0"/>
          <w:kern w:val="0"/>
          <w:sz w:val="18"/>
          <w:szCs w:val="18"/>
          <w:lang w:eastAsia="nl-NL"/>
          <w14:ligatures w14:val="none"/>
        </w:rPr>
        <w:t>Bijlage 2: Overzicht Fiscale wetten die in werking treden per Koninklijk Besluit</w:t>
      </w:r>
    </w:p>
    <w:p w:rsidR="00113C89" w:rsidRDefault="00113C89" w14:paraId="6C7B2F3E" w14:textId="159ADA9D"/>
    <w:tbl>
      <w:tblPr>
        <w:tblStyle w:val="Lijsttabel4-Accent5"/>
        <w:tblW w:w="0" w:type="auto"/>
        <w:tblLook w:val="04A0" w:firstRow="1" w:lastRow="0" w:firstColumn="1" w:lastColumn="0" w:noHBand="0" w:noVBand="1"/>
      </w:tblPr>
      <w:tblGrid>
        <w:gridCol w:w="3437"/>
        <w:gridCol w:w="953"/>
        <w:gridCol w:w="4672"/>
      </w:tblGrid>
      <w:tr w:rsidRPr="00592999" w:rsidR="00592999" w:rsidTr="00511C8B" w14:paraId="437C00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hideMark/>
          </w:tcPr>
          <w:p w:rsidRPr="00592999" w:rsidR="00592999" w:rsidP="00592999" w:rsidRDefault="00592999" w14:paraId="497D959D"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t>Wet</w:t>
            </w:r>
          </w:p>
        </w:tc>
        <w:tc>
          <w:tcPr>
            <w:tcW w:w="953" w:type="dxa"/>
            <w:hideMark/>
          </w:tcPr>
          <w:p w:rsidRPr="00592999" w:rsidR="00592999" w:rsidP="00592999" w:rsidRDefault="00592999" w14:paraId="71E191D5"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Jaar</w:t>
            </w:r>
          </w:p>
        </w:tc>
        <w:tc>
          <w:tcPr>
            <w:tcW w:w="4672" w:type="dxa"/>
            <w:hideMark/>
          </w:tcPr>
          <w:p w:rsidRPr="00592999" w:rsidR="00592999" w:rsidP="00592999" w:rsidRDefault="00592999" w14:paraId="75A4847F"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Toelichting</w:t>
            </w:r>
          </w:p>
        </w:tc>
      </w:tr>
      <w:tr w:rsidRPr="00592999" w:rsidR="00592999" w:rsidTr="00511C8B" w14:paraId="71D864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072D601D"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t>Wet aanpassing fiscale bedrijfsopvolgingsfaciliteiten 2024 (WAFB 2024)</w:t>
            </w:r>
          </w:p>
          <w:p w:rsidRPr="00592999" w:rsidR="00592999" w:rsidP="00592999" w:rsidRDefault="00592999" w14:paraId="72CCF1ED" w14:textId="77777777">
            <w:pPr>
              <w:spacing w:line="276" w:lineRule="auto"/>
              <w:rPr>
                <w:rFonts w:eastAsia="Times New Roman"/>
                <w:kern w:val="0"/>
                <w:sz w:val="18"/>
                <w:szCs w:val="18"/>
                <w14:ligatures w14:val="none"/>
              </w:rPr>
            </w:pPr>
          </w:p>
          <w:p w:rsidRPr="00592999" w:rsidR="00592999" w:rsidP="00592999" w:rsidRDefault="00592999" w14:paraId="3B6A168C"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Nog niet inwerking getreden:</w:t>
            </w:r>
          </w:p>
          <w:p w:rsidRPr="00592999" w:rsidR="00592999" w:rsidP="00592999" w:rsidRDefault="00592999" w14:paraId="6FEFBFAA" w14:textId="77777777">
            <w:pPr>
              <w:spacing w:line="276" w:lineRule="auto"/>
              <w:rPr>
                <w:rFonts w:eastAsia="Times New Roman"/>
                <w:b w:val="0"/>
                <w:bCs w:val="0"/>
                <w:kern w:val="0"/>
                <w:sz w:val="18"/>
                <w:szCs w:val="18"/>
                <w14:ligatures w14:val="none"/>
              </w:rPr>
            </w:pPr>
          </w:p>
          <w:p w:rsidRPr="00592999" w:rsidR="00592999" w:rsidP="00592999" w:rsidRDefault="00592999" w14:paraId="5B98CF8C"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Artikel I, onderdeel B</w:t>
            </w:r>
          </w:p>
          <w:p w:rsidRPr="00592999" w:rsidR="00592999" w:rsidP="00592999" w:rsidRDefault="00592999" w14:paraId="105F1231" w14:textId="77777777">
            <w:pPr>
              <w:spacing w:line="276" w:lineRule="auto"/>
              <w:rPr>
                <w:rFonts w:eastAsia="Times New Roman"/>
                <w:kern w:val="0"/>
                <w:sz w:val="18"/>
                <w:szCs w:val="18"/>
                <w14:ligatures w14:val="none"/>
              </w:rPr>
            </w:pPr>
          </w:p>
        </w:tc>
        <w:tc>
          <w:tcPr>
            <w:tcW w:w="953" w:type="dxa"/>
            <w:vMerge w:val="restart"/>
            <w:hideMark/>
          </w:tcPr>
          <w:p w:rsidRPr="00592999" w:rsidR="00592999" w:rsidP="00592999" w:rsidRDefault="00592999" w14:paraId="2A499D9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2023</w:t>
            </w:r>
          </w:p>
        </w:tc>
        <w:tc>
          <w:tcPr>
            <w:tcW w:w="4672" w:type="dxa"/>
          </w:tcPr>
          <w:p w:rsidRPr="000F5069" w:rsidR="00592999" w:rsidP="00592999" w:rsidRDefault="00592999" w14:paraId="652FA81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Maatregel en toelichting KB:</w:t>
            </w:r>
          </w:p>
          <w:p w:rsidR="00592999" w:rsidP="00592999" w:rsidRDefault="00592999" w14:paraId="065EE245"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De doelmatigheidsmarge voor de BOR is per 1 januari 2025 afgeschaft. Voor de DSR </w:t>
            </w:r>
            <w:proofErr w:type="spellStart"/>
            <w:r w:rsidRPr="00592999">
              <w:rPr>
                <w:rFonts w:eastAsia="Times New Roman"/>
                <w:kern w:val="0"/>
                <w:sz w:val="18"/>
                <w:szCs w:val="18"/>
                <w14:ligatures w14:val="none"/>
              </w:rPr>
              <w:t>ab</w:t>
            </w:r>
            <w:proofErr w:type="spellEnd"/>
            <w:r w:rsidRPr="00592999">
              <w:rPr>
                <w:rFonts w:eastAsia="Times New Roman"/>
                <w:kern w:val="0"/>
                <w:sz w:val="18"/>
                <w:szCs w:val="18"/>
                <w14:ligatures w14:val="none"/>
              </w:rPr>
              <w:t xml:space="preserve"> kan afschaffing van de doelmatigheidsmarge vanwege IV-gevolgen voor de IH-keten van de Belastingdienst pas later plaatsvinden. Daarom is inwerkingtreding van afschaffing van de doelmatigheidsmarge voor de DSR </w:t>
            </w:r>
            <w:proofErr w:type="spellStart"/>
            <w:r w:rsidRPr="00592999">
              <w:rPr>
                <w:rFonts w:eastAsia="Times New Roman"/>
                <w:kern w:val="0"/>
                <w:sz w:val="18"/>
                <w:szCs w:val="18"/>
                <w14:ligatures w14:val="none"/>
              </w:rPr>
              <w:t>ab</w:t>
            </w:r>
            <w:proofErr w:type="spellEnd"/>
            <w:r w:rsidRPr="00592999">
              <w:rPr>
                <w:rFonts w:eastAsia="Times New Roman"/>
                <w:kern w:val="0"/>
                <w:sz w:val="18"/>
                <w:szCs w:val="18"/>
                <w14:ligatures w14:val="none"/>
              </w:rPr>
              <w:t xml:space="preserve"> voorzien op een bij KB te bepalen tijdstip.</w:t>
            </w:r>
          </w:p>
          <w:p w:rsidRPr="00592999" w:rsidR="000F5069" w:rsidP="00592999" w:rsidRDefault="000F5069" w14:paraId="7051167B"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352F18F3" w14:textId="77777777">
        <w:tc>
          <w:tcPr>
            <w:cnfStyle w:val="001000000000" w:firstRow="0" w:lastRow="0" w:firstColumn="1" w:lastColumn="0" w:oddVBand="0" w:evenVBand="0" w:oddHBand="0" w:evenHBand="0" w:firstRowFirstColumn="0" w:firstRowLastColumn="0" w:lastRowFirstColumn="0" w:lastRowLastColumn="0"/>
            <w:tcW w:w="3437" w:type="dxa"/>
            <w:vMerge/>
          </w:tcPr>
          <w:p w:rsidRPr="00592999" w:rsidR="00592999" w:rsidP="00592999" w:rsidRDefault="00592999" w14:paraId="159420B3" w14:textId="77777777">
            <w:pPr>
              <w:spacing w:line="276" w:lineRule="auto"/>
              <w:rPr>
                <w:rFonts w:eastAsia="Times New Roman"/>
                <w:kern w:val="0"/>
                <w:sz w:val="18"/>
                <w:szCs w:val="18"/>
                <w14:ligatures w14:val="none"/>
              </w:rPr>
            </w:pPr>
          </w:p>
        </w:tc>
        <w:tc>
          <w:tcPr>
            <w:tcW w:w="953" w:type="dxa"/>
            <w:vMerge/>
          </w:tcPr>
          <w:p w:rsidRPr="00592999" w:rsidR="00592999" w:rsidP="00592999" w:rsidRDefault="00592999" w14:paraId="6EB72E4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F5069" w:rsidR="00592999" w:rsidP="00592999" w:rsidRDefault="00592999" w14:paraId="0477E71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Informatie Kamer &amp; stand van zaken:</w:t>
            </w:r>
          </w:p>
          <w:p w:rsidR="00592999" w:rsidP="00592999" w:rsidRDefault="00592999" w14:paraId="7B8F598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Calibri"/>
                <w:kern w:val="0"/>
                <w:sz w:val="18"/>
                <w:szCs w:val="18"/>
                <w14:ligatures w14:val="none"/>
              </w:rPr>
            </w:pPr>
            <w:r w:rsidRPr="00592999">
              <w:rPr>
                <w:rFonts w:eastAsia="Calibri" w:cs="Calibri"/>
                <w:kern w:val="0"/>
                <w:sz w:val="18"/>
                <w:szCs w:val="18"/>
                <w14:ligatures w14:val="none"/>
              </w:rPr>
              <w:t xml:space="preserve">De regelingen staan in de wettekst en de uitleg staat in de memorie van toelichting. De systemen voor de inkomensheffingen worden gemoderniseerd. Daarnaast drukken </w:t>
            </w:r>
            <w:proofErr w:type="gramStart"/>
            <w:r w:rsidRPr="00592999">
              <w:rPr>
                <w:rFonts w:eastAsia="Calibri" w:cs="Calibri"/>
                <w:kern w:val="0"/>
                <w:sz w:val="18"/>
                <w:szCs w:val="18"/>
                <w14:ligatures w14:val="none"/>
              </w:rPr>
              <w:t>reeds</w:t>
            </w:r>
            <w:proofErr w:type="gramEnd"/>
            <w:r w:rsidRPr="00592999">
              <w:rPr>
                <w:rFonts w:eastAsia="Calibri" w:cs="Calibri"/>
                <w:kern w:val="0"/>
                <w:sz w:val="18"/>
                <w:szCs w:val="18"/>
                <w14:ligatures w14:val="none"/>
              </w:rPr>
              <w:t xml:space="preserve"> meerdere (grote) wetgevingsopgaven op het iv-portfolio voor de inkomensheffingen. Naar verwachting kan de maatregel in ieder geval niet eerder dan per 1 januari 2028 in werking treden.</w:t>
            </w:r>
          </w:p>
          <w:p w:rsidR="005E55CE" w:rsidP="00592999" w:rsidRDefault="005E55CE" w14:paraId="622039E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Calibri"/>
                <w:kern w:val="0"/>
                <w:sz w:val="18"/>
                <w:szCs w:val="18"/>
                <w14:ligatures w14:val="none"/>
              </w:rPr>
            </w:pPr>
          </w:p>
          <w:p w:rsidRPr="00592999" w:rsidR="000F5069" w:rsidP="00592999" w:rsidRDefault="000F5069" w14:paraId="06E909F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05EE2F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0C42ABAE"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t>Belastingplan 2023</w:t>
            </w:r>
          </w:p>
          <w:p w:rsidRPr="00592999" w:rsidR="00592999" w:rsidP="00592999" w:rsidRDefault="00592999" w14:paraId="74C0F665" w14:textId="77777777">
            <w:pPr>
              <w:spacing w:line="276" w:lineRule="auto"/>
              <w:rPr>
                <w:rFonts w:eastAsia="Times New Roman"/>
                <w:kern w:val="0"/>
                <w:sz w:val="18"/>
                <w:szCs w:val="18"/>
                <w14:ligatures w14:val="none"/>
              </w:rPr>
            </w:pPr>
          </w:p>
          <w:p w:rsidRPr="00592999" w:rsidR="00592999" w:rsidP="00592999" w:rsidRDefault="00592999" w14:paraId="29B965C5"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Nog niet inwerking getreden:</w:t>
            </w:r>
          </w:p>
          <w:p w:rsidRPr="00592999" w:rsidR="00592999" w:rsidP="00592999" w:rsidRDefault="00592999" w14:paraId="488211C1" w14:textId="77777777">
            <w:pPr>
              <w:spacing w:line="276" w:lineRule="auto"/>
              <w:rPr>
                <w:rFonts w:eastAsia="Times New Roman"/>
                <w:b w:val="0"/>
                <w:bCs w:val="0"/>
                <w:kern w:val="0"/>
                <w:sz w:val="18"/>
                <w:szCs w:val="18"/>
                <w14:ligatures w14:val="none"/>
              </w:rPr>
            </w:pPr>
          </w:p>
          <w:p w:rsidRPr="00592999" w:rsidR="00592999" w:rsidP="00592999" w:rsidRDefault="00592999" w14:paraId="40EFF520" w14:textId="77777777">
            <w:pPr>
              <w:spacing w:line="276" w:lineRule="auto"/>
              <w:rPr>
                <w:rFonts w:eastAsia="Times New Roman"/>
                <w:kern w:val="0"/>
                <w:sz w:val="18"/>
                <w:szCs w:val="18"/>
                <w:lang w:val="en-US"/>
                <w14:ligatures w14:val="none"/>
              </w:rPr>
            </w:pPr>
            <w:r w:rsidRPr="00592999">
              <w:rPr>
                <w:rFonts w:eastAsia="Times New Roman"/>
                <w:b w:val="0"/>
                <w:bCs w:val="0"/>
                <w:kern w:val="0"/>
                <w:sz w:val="18"/>
                <w:szCs w:val="18"/>
                <w:lang w:val="en-US"/>
                <w14:ligatures w14:val="none"/>
              </w:rPr>
              <w:t>Artikel XLA</w:t>
            </w:r>
          </w:p>
          <w:p w:rsidRPr="00592999" w:rsidR="00592999" w:rsidP="00592999" w:rsidRDefault="00592999" w14:paraId="509BA890" w14:textId="77777777">
            <w:pPr>
              <w:spacing w:line="276" w:lineRule="auto"/>
              <w:rPr>
                <w:rFonts w:eastAsia="Times New Roman"/>
                <w:kern w:val="0"/>
                <w:sz w:val="18"/>
                <w:szCs w:val="18"/>
                <w:lang w:val="en-US"/>
                <w14:ligatures w14:val="none"/>
              </w:rPr>
            </w:pPr>
          </w:p>
          <w:p w:rsidRPr="00592999" w:rsidR="00592999" w:rsidP="00592999" w:rsidRDefault="00592999" w14:paraId="7E9E7147" w14:textId="77777777">
            <w:pPr>
              <w:spacing w:line="276" w:lineRule="auto"/>
              <w:rPr>
                <w:rFonts w:eastAsia="Times New Roman"/>
                <w:kern w:val="0"/>
                <w:sz w:val="18"/>
                <w:szCs w:val="18"/>
                <w:lang w:val="en-US"/>
                <w14:ligatures w14:val="none"/>
              </w:rPr>
            </w:pPr>
          </w:p>
        </w:tc>
        <w:tc>
          <w:tcPr>
            <w:tcW w:w="953" w:type="dxa"/>
            <w:vMerge w:val="restart"/>
            <w:hideMark/>
          </w:tcPr>
          <w:p w:rsidRPr="00592999" w:rsidR="00592999" w:rsidP="00592999" w:rsidRDefault="00592999" w14:paraId="1F6CB04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2022</w:t>
            </w:r>
          </w:p>
        </w:tc>
        <w:tc>
          <w:tcPr>
            <w:tcW w:w="4672" w:type="dxa"/>
          </w:tcPr>
          <w:p w:rsidRPr="000F5069" w:rsidR="00592999" w:rsidP="00592999" w:rsidRDefault="00592999" w14:paraId="7B5B850D" w14:textId="011B24F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Maatregel:</w:t>
            </w:r>
          </w:p>
          <w:p w:rsidRPr="00592999" w:rsidR="00592999" w:rsidP="00592999" w:rsidRDefault="00592999" w14:paraId="010C3073"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i/>
                <w:iCs/>
                <w:kern w:val="0"/>
                <w:sz w:val="18"/>
                <w:szCs w:val="18"/>
                <w14:ligatures w14:val="none"/>
              </w:rPr>
            </w:pPr>
            <w:r w:rsidRPr="00592999">
              <w:rPr>
                <w:rFonts w:eastAsia="Times New Roman"/>
                <w:i/>
                <w:iCs/>
                <w:kern w:val="0"/>
                <w:sz w:val="18"/>
                <w:szCs w:val="18"/>
                <w14:ligatures w14:val="none"/>
              </w:rPr>
              <w:t>Uitzonderingen in de verbruiksbelasting van alcoholvrije dranken</w:t>
            </w:r>
          </w:p>
          <w:p w:rsidR="00592999" w:rsidP="00592999" w:rsidRDefault="00592999" w14:paraId="4E7A585B"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In het Belastingplan 2023 zijn bepaalde vormen van water uitgezonderd van de verbruiksbelasting van alcoholvrije dranken. Deze maatregel wordt in 2026 geëvalueerd. </w:t>
            </w:r>
          </w:p>
          <w:p w:rsidRPr="00592999" w:rsidR="000F5069" w:rsidP="00592999" w:rsidRDefault="000F5069" w14:paraId="4BAB4E7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124ABAA7" w14:textId="77777777">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1D97B7DE"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60757EA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tcPr>
          <w:p w:rsidRPr="000F5069" w:rsidR="00592999" w:rsidP="00592999" w:rsidRDefault="00592999" w14:paraId="16891062" w14:textId="45697D6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Toelichting KB:</w:t>
            </w:r>
          </w:p>
          <w:p w:rsidRPr="00592999" w:rsidR="00592999" w:rsidP="00592999" w:rsidRDefault="00592999" w14:paraId="2346442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i/>
                <w:iCs/>
                <w:kern w:val="0"/>
                <w:sz w:val="18"/>
                <w:szCs w:val="18"/>
                <w14:ligatures w14:val="none"/>
              </w:rPr>
            </w:pPr>
            <w:r w:rsidRPr="00592999">
              <w:rPr>
                <w:rFonts w:eastAsia="Times New Roman"/>
                <w:i/>
                <w:iCs/>
                <w:kern w:val="0"/>
                <w:sz w:val="18"/>
                <w:szCs w:val="18"/>
                <w14:ligatures w14:val="none"/>
              </w:rPr>
              <w:t>Uitzonderingen in de verbruiksbelasting van alcoholvrije dranken</w:t>
            </w:r>
          </w:p>
          <w:p w:rsidR="00592999" w:rsidP="00592999" w:rsidRDefault="00592999" w14:paraId="76B9871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Het is mogelijk om – bij een negatieve evaluatie – via KB de nieuwe uitzonderingen in de verbruiksbelasting van alcoholvrije dranken met ingang van 1 januari 2029 terug te draaien. Ingang per 1 januari 2029 is om rekening te houden met het bedrijfsleven en de Douane. </w:t>
            </w:r>
          </w:p>
          <w:p w:rsidRPr="00592999" w:rsidR="000F5069" w:rsidP="00592999" w:rsidRDefault="000F5069" w14:paraId="59B1BA7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7A574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57E74938"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5EF0DE2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F5069" w:rsidR="00592999" w:rsidP="00592999" w:rsidRDefault="00592999" w14:paraId="3F0D686A" w14:textId="7AFCECF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Informatie Kamer &amp; stand van zaken:</w:t>
            </w:r>
          </w:p>
          <w:p w:rsidRPr="00592999" w:rsidR="00592999" w:rsidP="00592999" w:rsidRDefault="00592999" w14:paraId="006B8C85"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i/>
                <w:iCs/>
                <w:kern w:val="0"/>
                <w:sz w:val="18"/>
                <w:szCs w:val="18"/>
                <w14:ligatures w14:val="none"/>
              </w:rPr>
            </w:pPr>
            <w:r w:rsidRPr="00592999">
              <w:rPr>
                <w:rFonts w:eastAsia="Times New Roman"/>
                <w:i/>
                <w:iCs/>
                <w:kern w:val="0"/>
                <w:sz w:val="18"/>
                <w:szCs w:val="18"/>
                <w14:ligatures w14:val="none"/>
              </w:rPr>
              <w:t>Uitzonderingen in de verbruiksbelasting van alcoholvrije dranken</w:t>
            </w:r>
          </w:p>
          <w:p w:rsidR="00592999" w:rsidP="00592999" w:rsidRDefault="00592999" w14:paraId="76BAC9CD"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De evaluatie van de verbruiksbelasting van alcoholvrije dranken vindt plaats in 2026. Daarover is de Kamer o.a. bij de Miljoenennota 2024 geïnformeerd. Een eventuele wijziging bij KB is afhankelijk van deze evaluatie. Daar zal de Kamer t.z.t. over geïnformeerd worden. </w:t>
            </w:r>
          </w:p>
          <w:p w:rsidRPr="00592999" w:rsidR="000F5069" w:rsidP="00592999" w:rsidRDefault="000F5069" w14:paraId="38FA6DE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6244AAFE" w14:textId="77777777">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00858AE8"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t>Fiscale verzamelwet 2023</w:t>
            </w:r>
          </w:p>
          <w:p w:rsidRPr="00592999" w:rsidR="00592999" w:rsidP="00592999" w:rsidRDefault="00592999" w14:paraId="1E2EA9F2" w14:textId="77777777">
            <w:pPr>
              <w:spacing w:line="276" w:lineRule="auto"/>
              <w:rPr>
                <w:rFonts w:eastAsia="Times New Roman"/>
                <w:kern w:val="0"/>
                <w:sz w:val="18"/>
                <w:szCs w:val="18"/>
                <w14:ligatures w14:val="none"/>
              </w:rPr>
            </w:pPr>
          </w:p>
          <w:p w:rsidRPr="00592999" w:rsidR="00592999" w:rsidP="00592999" w:rsidRDefault="00592999" w14:paraId="7F3A5D36"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Nog niet inwerking getreden:</w:t>
            </w:r>
          </w:p>
          <w:p w:rsidRPr="00592999" w:rsidR="00592999" w:rsidP="00592999" w:rsidRDefault="00592999" w14:paraId="7D16E413" w14:textId="77777777">
            <w:pPr>
              <w:spacing w:line="276" w:lineRule="auto"/>
              <w:rPr>
                <w:rFonts w:eastAsia="Times New Roman"/>
                <w:b w:val="0"/>
                <w:bCs w:val="0"/>
                <w:kern w:val="0"/>
                <w:sz w:val="18"/>
                <w:szCs w:val="18"/>
                <w14:ligatures w14:val="none"/>
              </w:rPr>
            </w:pPr>
          </w:p>
          <w:p w:rsidRPr="00592999" w:rsidR="00592999" w:rsidP="00592999" w:rsidRDefault="00592999" w14:paraId="7238B472" w14:textId="77777777">
            <w:pPr>
              <w:spacing w:line="276" w:lineRule="auto"/>
              <w:rPr>
                <w:rFonts w:eastAsia="Times New Roman"/>
                <w:kern w:val="0"/>
                <w:sz w:val="18"/>
                <w:szCs w:val="18"/>
                <w14:ligatures w14:val="none"/>
              </w:rPr>
            </w:pPr>
            <w:r w:rsidRPr="00592999">
              <w:rPr>
                <w:rFonts w:eastAsia="Times New Roman"/>
                <w:b w:val="0"/>
                <w:bCs w:val="0"/>
                <w:kern w:val="0"/>
                <w:sz w:val="18"/>
                <w:szCs w:val="18"/>
                <w14:ligatures w14:val="none"/>
              </w:rPr>
              <w:t>Artikel XI</w:t>
            </w:r>
          </w:p>
        </w:tc>
        <w:tc>
          <w:tcPr>
            <w:tcW w:w="953" w:type="dxa"/>
            <w:vMerge w:val="restart"/>
            <w:hideMark/>
          </w:tcPr>
          <w:p w:rsidRPr="00592999" w:rsidR="00592999" w:rsidP="00592999" w:rsidRDefault="00592999" w14:paraId="046F69E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lastRenderedPageBreak/>
              <w:t>2022</w:t>
            </w:r>
          </w:p>
        </w:tc>
        <w:tc>
          <w:tcPr>
            <w:tcW w:w="4672" w:type="dxa"/>
            <w:hideMark/>
          </w:tcPr>
          <w:p w:rsidRPr="000F5069" w:rsidR="00592999" w:rsidP="00592999" w:rsidRDefault="00592999" w14:paraId="413DCF4E"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Maatregel:</w:t>
            </w:r>
          </w:p>
          <w:p w:rsidR="00592999" w:rsidP="00592999" w:rsidRDefault="00592999" w14:paraId="29B3828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De Fiscale verzamelwet 2023 breidt, kort gezegd, de rentestop uit. Een rentestop vindt </w:t>
            </w:r>
            <w:proofErr w:type="gramStart"/>
            <w:r w:rsidRPr="00592999">
              <w:rPr>
                <w:rFonts w:eastAsia="Times New Roman"/>
                <w:kern w:val="0"/>
                <w:sz w:val="18"/>
                <w:szCs w:val="18"/>
                <w14:ligatures w14:val="none"/>
              </w:rPr>
              <w:lastRenderedPageBreak/>
              <w:t>plaats</w:t>
            </w:r>
            <w:proofErr w:type="gramEnd"/>
            <w:r w:rsidRPr="00592999">
              <w:rPr>
                <w:rFonts w:eastAsia="Times New Roman"/>
                <w:kern w:val="0"/>
                <w:sz w:val="18"/>
                <w:szCs w:val="18"/>
                <w14:ligatures w14:val="none"/>
              </w:rPr>
              <w:t xml:space="preserve"> als de inspecteur te lang doet over het vaststellen van een belastingaanslag naar aanleiding van een verzoek of aangifte. De rentestop geldt met deze uitbreiding ook voor naheffingsaanslagen. De te betalen belastingrente bleef namelijk oplopen wanneer de naheffingsaanslag te lang op zich liet wachten. Deze uitbreiding moet dit voorkomen: de vertraging in de vaststelling van de naheffingsaanslag komt niet voor rekening van de belastingplichtige.</w:t>
            </w:r>
          </w:p>
          <w:p w:rsidRPr="00592999" w:rsidR="000F5069" w:rsidP="00592999" w:rsidRDefault="000F5069" w14:paraId="7B46B2C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62BA67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7F60CF7A"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4004692A"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F5069" w:rsidR="00592999" w:rsidP="00592999" w:rsidRDefault="00592999" w14:paraId="04435531"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Toelichting KB:</w:t>
            </w:r>
          </w:p>
          <w:p w:rsidR="00592999" w:rsidP="00592999" w:rsidRDefault="00592999" w14:paraId="7AF6EC8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Artikel XI moet nog in werking treden bij KB. De wijziging die hieruit voortvloeit is dat naast de per 1-1-2023 geldende rentestop voor de naheffingsaanslagen ter zake van de loonbelasting, dividendbelasting, bronbelasting, omzetbelasting, overdrachtsbelasting, belasting van personenauto’s en motorrijwielen, accijns, verbruiksbelasting van alcoholvrijedranken of een in artikel 1 </w:t>
            </w:r>
            <w:proofErr w:type="spellStart"/>
            <w:r w:rsidRPr="00592999">
              <w:rPr>
                <w:rFonts w:eastAsia="Times New Roman"/>
                <w:kern w:val="0"/>
                <w:sz w:val="18"/>
                <w:szCs w:val="18"/>
                <w14:ligatures w14:val="none"/>
              </w:rPr>
              <w:t>Wbm</w:t>
            </w:r>
            <w:proofErr w:type="spellEnd"/>
            <w:r w:rsidRPr="00592999">
              <w:rPr>
                <w:rFonts w:eastAsia="Times New Roman"/>
                <w:kern w:val="0"/>
                <w:sz w:val="18"/>
                <w:szCs w:val="18"/>
                <w14:ligatures w14:val="none"/>
              </w:rPr>
              <w:t xml:space="preserve"> genoemde belasting, de rentestop ook van toepassing is op naheffingsaanslagen omzetbelasting (OB). De verwachting is dat dit op zijn vroegst in het jaar 2027 zal zijn, bij de introductie van het nieuwe OB-systeem.</w:t>
            </w:r>
          </w:p>
          <w:p w:rsidRPr="00592999" w:rsidR="000F5069" w:rsidP="00592999" w:rsidRDefault="000F5069" w14:paraId="2627DF9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69E2F113" w14:textId="77777777">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241A941A"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2AB05EB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F5069" w:rsidR="00592999" w:rsidP="00592999" w:rsidRDefault="00592999" w14:paraId="4B2E984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Informatie Kamer &amp; stand van zaken:</w:t>
            </w:r>
          </w:p>
          <w:p w:rsidRPr="00592999" w:rsidR="00592999" w:rsidP="00592999" w:rsidRDefault="00592999" w14:paraId="5595AB8C"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Maatregel en overwegingen zijn toegelicht in het wetsvoorstel en memorie van toelichting. Het traject voor vernieuwing OB-systeem loopt en daar zal de Kamer te zijner tijd over geïnformeerd worden. </w:t>
            </w:r>
          </w:p>
        </w:tc>
      </w:tr>
      <w:tr w:rsidRPr="00592999" w:rsidR="00592999" w:rsidTr="00511C8B" w14:paraId="763143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4247503A"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t>Wet tijdelijke solidariteitsbijdrage</w:t>
            </w:r>
          </w:p>
          <w:p w:rsidR="00592999" w:rsidP="00592999" w:rsidRDefault="00592999" w14:paraId="17F19F68" w14:textId="77777777">
            <w:pPr>
              <w:spacing w:line="276" w:lineRule="auto"/>
              <w:rPr>
                <w:rFonts w:eastAsia="Times New Roman"/>
                <w:b w:val="0"/>
                <w:bCs w:val="0"/>
                <w:kern w:val="0"/>
                <w:sz w:val="18"/>
                <w:szCs w:val="18"/>
                <w14:ligatures w14:val="none"/>
              </w:rPr>
            </w:pPr>
          </w:p>
          <w:p w:rsidRPr="00592999" w:rsidR="00592999" w:rsidP="00592999" w:rsidRDefault="00592999" w14:paraId="7B20458C" w14:textId="785B82F1">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 xml:space="preserve">Nog niet in werking getreden: </w:t>
            </w:r>
          </w:p>
          <w:p w:rsidRPr="00592999" w:rsidR="00592999" w:rsidP="00592999" w:rsidRDefault="00592999" w14:paraId="53B7D222" w14:textId="77777777">
            <w:pPr>
              <w:spacing w:line="276" w:lineRule="auto"/>
              <w:rPr>
                <w:rFonts w:eastAsia="Times New Roman"/>
                <w:kern w:val="0"/>
                <w:sz w:val="18"/>
                <w:szCs w:val="18"/>
                <w14:ligatures w14:val="none"/>
              </w:rPr>
            </w:pPr>
          </w:p>
          <w:p w:rsidRPr="00592999" w:rsidR="00592999" w:rsidP="00592999" w:rsidRDefault="00592999" w14:paraId="0319DF01"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Betreft het vervallen van de wet bij koninklijk besluit en het in werking treden van artikel 7.2 bij koninklijk besluit.</w:t>
            </w:r>
          </w:p>
          <w:p w:rsidRPr="00592999" w:rsidR="00592999" w:rsidP="00592999" w:rsidRDefault="00592999" w14:paraId="128CD6EC" w14:textId="77777777">
            <w:pPr>
              <w:spacing w:line="276" w:lineRule="auto"/>
              <w:rPr>
                <w:rFonts w:eastAsia="Times New Roman"/>
                <w:b w:val="0"/>
                <w:bCs w:val="0"/>
                <w:kern w:val="0"/>
                <w:sz w:val="18"/>
                <w:szCs w:val="18"/>
                <w14:ligatures w14:val="none"/>
              </w:rPr>
            </w:pPr>
          </w:p>
          <w:p w:rsidRPr="00592999" w:rsidR="00592999" w:rsidP="00592999" w:rsidRDefault="00592999" w14:paraId="401DDFFF"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Artikel 8.1</w:t>
            </w:r>
          </w:p>
          <w:p w:rsidRPr="00592999" w:rsidR="00592999" w:rsidP="00592999" w:rsidRDefault="00592999" w14:paraId="55271652" w14:textId="77777777">
            <w:pPr>
              <w:spacing w:line="276" w:lineRule="auto"/>
              <w:rPr>
                <w:rFonts w:eastAsia="Times New Roman"/>
                <w:kern w:val="0"/>
                <w:sz w:val="18"/>
                <w:szCs w:val="18"/>
                <w14:ligatures w14:val="none"/>
              </w:rPr>
            </w:pPr>
            <w:r w:rsidRPr="00592999">
              <w:rPr>
                <w:rFonts w:eastAsia="Times New Roman"/>
                <w:b w:val="0"/>
                <w:bCs w:val="0"/>
                <w:kern w:val="0"/>
                <w:sz w:val="18"/>
                <w:szCs w:val="18"/>
                <w14:ligatures w14:val="none"/>
              </w:rPr>
              <w:t>(</w:t>
            </w:r>
            <w:proofErr w:type="gramStart"/>
            <w:r w:rsidRPr="00592999">
              <w:rPr>
                <w:rFonts w:eastAsia="Times New Roman"/>
                <w:b w:val="0"/>
                <w:bCs w:val="0"/>
                <w:kern w:val="0"/>
                <w:sz w:val="18"/>
                <w:szCs w:val="18"/>
                <w14:ligatures w14:val="none"/>
              </w:rPr>
              <w:t>inwerkingtredingsbepaling</w:t>
            </w:r>
            <w:proofErr w:type="gramEnd"/>
            <w:r w:rsidRPr="00592999">
              <w:rPr>
                <w:rFonts w:eastAsia="Times New Roman"/>
                <w:b w:val="0"/>
                <w:bCs w:val="0"/>
                <w:kern w:val="0"/>
                <w:sz w:val="18"/>
                <w:szCs w:val="18"/>
                <w14:ligatures w14:val="none"/>
              </w:rPr>
              <w:t>)</w:t>
            </w:r>
          </w:p>
        </w:tc>
        <w:tc>
          <w:tcPr>
            <w:tcW w:w="953" w:type="dxa"/>
            <w:vMerge w:val="restart"/>
            <w:hideMark/>
          </w:tcPr>
          <w:p w:rsidRPr="00592999" w:rsidR="00592999" w:rsidP="00592999" w:rsidRDefault="00592999" w14:paraId="57903C1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2022</w:t>
            </w:r>
          </w:p>
        </w:tc>
        <w:tc>
          <w:tcPr>
            <w:tcW w:w="4672" w:type="dxa"/>
            <w:hideMark/>
          </w:tcPr>
          <w:p w:rsidRPr="000F5069" w:rsidR="00592999" w:rsidP="00592999" w:rsidRDefault="00592999" w14:paraId="535DA18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 xml:space="preserve">Maatregel: </w:t>
            </w:r>
          </w:p>
          <w:p w:rsidRPr="00592999" w:rsidR="00592999" w:rsidP="00592999" w:rsidRDefault="00592999" w14:paraId="4A09D4B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De wet voorzag in een tijdelijke solidariteitsbijdrage voor fossiele bedrijven met activiteiten in de ruwe olie, aardgas, kolen en de raffinage van aardolie. Door middel van deze solidariteitsbijdrage wordt het surplus aan winsten als gevolg van onvoorziene omstandigheden – die met name zijn veroorzaakt door verstoringen op de markt in de aanloop naar en als gevolg van de Russische aanvalsoorlog in Oekraïne – additioneel belast. De oorsprong van deze wet is de op 6 oktober 2022 door de Raad van de Europese Unie aangenomen verordening (Verordening 2022/1854). De wet gold voor het jaar 2022.</w:t>
            </w:r>
          </w:p>
        </w:tc>
      </w:tr>
      <w:tr w:rsidRPr="00592999" w:rsidR="00592999" w:rsidTr="00511C8B" w14:paraId="6421A14F" w14:textId="77777777">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5AF08365"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57ED950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F5069" w:rsidR="00592999" w:rsidP="00592999" w:rsidRDefault="00592999" w14:paraId="507B177E"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Toelichting KB:</w:t>
            </w:r>
          </w:p>
          <w:p w:rsidR="00592999" w:rsidP="00592999" w:rsidRDefault="00592999" w14:paraId="1688081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In het wetsvoorstel is de mogelijkheid opgenomen om de solidariteitsbijdrage </w:t>
            </w:r>
            <w:proofErr w:type="gramStart"/>
            <w:r w:rsidRPr="00592999">
              <w:rPr>
                <w:rFonts w:eastAsia="Times New Roman"/>
                <w:kern w:val="0"/>
                <w:sz w:val="18"/>
                <w:szCs w:val="18"/>
                <w14:ligatures w14:val="none"/>
              </w:rPr>
              <w:t>middels</w:t>
            </w:r>
            <w:proofErr w:type="gramEnd"/>
            <w:r w:rsidRPr="00592999">
              <w:rPr>
                <w:rFonts w:eastAsia="Times New Roman"/>
                <w:kern w:val="0"/>
                <w:sz w:val="18"/>
                <w:szCs w:val="18"/>
                <w14:ligatures w14:val="none"/>
              </w:rPr>
              <w:t xml:space="preserve"> KB te laten vervallen, omdat dit slechts een tijdelijke maatregel is. De reden voor een vervaldatum bij KB is dat als gevolg van het feit dat aangesloten wordt bij de belastbare winst </w:t>
            </w:r>
            <w:r w:rsidRPr="00592999">
              <w:rPr>
                <w:rFonts w:eastAsia="Times New Roman"/>
                <w:kern w:val="0"/>
                <w:sz w:val="18"/>
                <w:szCs w:val="18"/>
                <w14:ligatures w14:val="none"/>
              </w:rPr>
              <w:lastRenderedPageBreak/>
              <w:t>voor de vennootschapsbelasting het onduidelijk is op welk moment de voorgestelde tijdelijke solidariteitsbijdrage definitief vast komt te staan.</w:t>
            </w:r>
          </w:p>
          <w:p w:rsidRPr="00592999" w:rsidR="000F5069" w:rsidP="00592999" w:rsidRDefault="000F5069" w14:paraId="1D41107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35061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79364C1B"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3312A40A"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hideMark/>
          </w:tcPr>
          <w:p w:rsidRPr="00592999" w:rsidR="00592999" w:rsidP="00592999" w:rsidRDefault="00592999" w14:paraId="6D2BF3C3"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Informatie Kamer &amp; stand van zaken:</w:t>
            </w:r>
          </w:p>
          <w:p w:rsidR="00592999" w:rsidP="00592999" w:rsidRDefault="00592999" w14:paraId="6AB171D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De regelingen staan in de wettekst en de uitleg staat in de memorie van toelichting. Zodra alle aanslagen definitief vaststaan kan de maatregel bij KB worden opgeheven. Vanwege de benodigde tijd om dergelijke aanslagen vast te stellen, met inachtneming van eventuele procedures</w:t>
            </w:r>
            <w:r w:rsidRPr="00592999">
              <w:rPr>
                <w:rFonts w:eastAsia="Times New Roman"/>
                <w:kern w:val="0"/>
                <w:sz w:val="18"/>
                <w:szCs w:val="18"/>
                <w:vertAlign w:val="superscript"/>
                <w14:ligatures w14:val="none"/>
              </w:rPr>
              <w:footnoteReference w:id="1"/>
            </w:r>
            <w:r w:rsidRPr="00592999">
              <w:rPr>
                <w:rFonts w:eastAsia="Times New Roman"/>
                <w:kern w:val="0"/>
                <w:sz w:val="18"/>
                <w:szCs w:val="18"/>
                <w14:ligatures w14:val="none"/>
              </w:rPr>
              <w:t>, zal het waarschijnlijk nog een aantal jaar duren voordat opheffing bij KB kan plaatsvinden.</w:t>
            </w:r>
          </w:p>
          <w:p w:rsidR="000F5069" w:rsidP="00592999" w:rsidRDefault="000F5069" w14:paraId="78838F3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p w:rsidRPr="00592999" w:rsidR="00057D4F" w:rsidP="00592999" w:rsidRDefault="00057D4F" w14:paraId="4A3381C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2BC2928A" w14:textId="77777777">
        <w:tc>
          <w:tcPr>
            <w:cnfStyle w:val="001000000000" w:firstRow="0" w:lastRow="0" w:firstColumn="1" w:lastColumn="0" w:oddVBand="0" w:evenVBand="0" w:oddHBand="0" w:evenHBand="0" w:firstRowFirstColumn="0" w:firstRowLastColumn="0" w:lastRowFirstColumn="0" w:lastRowLastColumn="0"/>
            <w:tcW w:w="3437" w:type="dxa"/>
            <w:vMerge w:val="restart"/>
            <w:hideMark/>
          </w:tcPr>
          <w:p w:rsidRPr="00057D4F" w:rsidR="00592999" w:rsidP="00592999" w:rsidRDefault="00592999" w14:paraId="455A77BD" w14:textId="77777777">
            <w:pPr>
              <w:spacing w:line="276" w:lineRule="auto"/>
              <w:rPr>
                <w:rFonts w:eastAsia="Times New Roman"/>
                <w:b w:val="0"/>
                <w:bCs w:val="0"/>
                <w:i/>
                <w:iCs/>
                <w:kern w:val="0"/>
                <w:sz w:val="18"/>
                <w:szCs w:val="18"/>
                <w14:ligatures w14:val="none"/>
              </w:rPr>
            </w:pPr>
            <w:r w:rsidRPr="00592999">
              <w:rPr>
                <w:rFonts w:eastAsia="Times New Roman"/>
                <w:kern w:val="0"/>
                <w:sz w:val="18"/>
                <w:szCs w:val="18"/>
                <w14:ligatures w14:val="none"/>
              </w:rPr>
              <w:t xml:space="preserve">Wet elektronisch </w:t>
            </w:r>
            <w:r w:rsidRPr="00057D4F">
              <w:rPr>
                <w:rFonts w:eastAsia="Times New Roman"/>
                <w:i/>
                <w:iCs/>
                <w:kern w:val="0"/>
                <w:sz w:val="18"/>
                <w:szCs w:val="18"/>
                <w14:ligatures w14:val="none"/>
              </w:rPr>
              <w:t>berichtenverkeer Belastingdienst</w:t>
            </w:r>
          </w:p>
          <w:p w:rsidRPr="00057D4F" w:rsidR="00261DEE" w:rsidP="00592999" w:rsidRDefault="00261DEE" w14:paraId="67FCA2E6" w14:textId="77777777">
            <w:pPr>
              <w:spacing w:line="276" w:lineRule="auto"/>
              <w:rPr>
                <w:rFonts w:eastAsia="Times New Roman"/>
                <w:b w:val="0"/>
                <w:bCs w:val="0"/>
                <w:i/>
                <w:iCs/>
                <w:kern w:val="0"/>
                <w:sz w:val="18"/>
                <w:szCs w:val="18"/>
                <w14:ligatures w14:val="none"/>
              </w:rPr>
            </w:pPr>
          </w:p>
          <w:p w:rsidRPr="00057D4F" w:rsidR="00261DEE" w:rsidP="00592999" w:rsidRDefault="00261DEE" w14:paraId="0958A715" w14:textId="1888CD5A">
            <w:pPr>
              <w:spacing w:line="276" w:lineRule="auto"/>
              <w:rPr>
                <w:rFonts w:eastAsia="Times New Roman"/>
                <w:i/>
                <w:iCs/>
                <w:kern w:val="0"/>
                <w:sz w:val="18"/>
                <w:szCs w:val="18"/>
                <w14:ligatures w14:val="none"/>
              </w:rPr>
            </w:pPr>
            <w:r w:rsidRPr="00057D4F">
              <w:rPr>
                <w:rFonts w:eastAsia="Times New Roman"/>
                <w:b w:val="0"/>
                <w:bCs w:val="0"/>
                <w:i/>
                <w:iCs/>
                <w:kern w:val="0"/>
                <w:sz w:val="18"/>
                <w:szCs w:val="18"/>
                <w14:ligatures w14:val="none"/>
              </w:rPr>
              <w:t>Nog niet in werking getreden:</w:t>
            </w:r>
          </w:p>
          <w:p w:rsidRPr="00057D4F" w:rsidR="00261DEE" w:rsidP="00592999" w:rsidRDefault="00261DEE" w14:paraId="51B260AE" w14:textId="77777777">
            <w:pPr>
              <w:spacing w:line="276" w:lineRule="auto"/>
              <w:rPr>
                <w:rFonts w:eastAsia="Times New Roman"/>
                <w:b w:val="0"/>
                <w:bCs w:val="0"/>
                <w:i/>
                <w:iCs/>
                <w:kern w:val="0"/>
                <w:sz w:val="18"/>
                <w:szCs w:val="18"/>
                <w14:ligatures w14:val="none"/>
              </w:rPr>
            </w:pPr>
          </w:p>
          <w:p w:rsidRPr="00057D4F" w:rsidR="00261DEE" w:rsidP="00592999" w:rsidRDefault="00261DEE" w14:paraId="0C986D3D" w14:textId="4EA36938">
            <w:pPr>
              <w:spacing w:line="276" w:lineRule="auto"/>
              <w:rPr>
                <w:rFonts w:eastAsia="Times New Roman"/>
                <w:b w:val="0"/>
                <w:bCs w:val="0"/>
                <w:i/>
                <w:iCs/>
                <w:kern w:val="0"/>
                <w:sz w:val="18"/>
                <w:szCs w:val="18"/>
                <w14:ligatures w14:val="none"/>
              </w:rPr>
            </w:pPr>
            <w:proofErr w:type="gramStart"/>
            <w:r w:rsidRPr="00057D4F">
              <w:rPr>
                <w:rFonts w:eastAsia="Times New Roman"/>
                <w:b w:val="0"/>
                <w:bCs w:val="0"/>
                <w:i/>
                <w:iCs/>
                <w:kern w:val="0"/>
                <w:sz w:val="18"/>
                <w:szCs w:val="18"/>
                <w14:ligatures w14:val="none"/>
              </w:rPr>
              <w:t>artikelen</w:t>
            </w:r>
            <w:proofErr w:type="gramEnd"/>
            <w:r w:rsidRPr="00057D4F">
              <w:rPr>
                <w:rFonts w:eastAsia="Times New Roman"/>
                <w:b w:val="0"/>
                <w:bCs w:val="0"/>
                <w:i/>
                <w:iCs/>
                <w:kern w:val="0"/>
                <w:sz w:val="18"/>
                <w:szCs w:val="18"/>
                <w14:ligatures w14:val="none"/>
              </w:rPr>
              <w:t xml:space="preserve"> VII en IX</w:t>
            </w:r>
          </w:p>
          <w:p w:rsidRPr="00057D4F" w:rsidR="00592999" w:rsidP="00592999" w:rsidRDefault="00592999" w14:paraId="3AB05C43" w14:textId="77777777">
            <w:pPr>
              <w:spacing w:line="276" w:lineRule="auto"/>
              <w:rPr>
                <w:rFonts w:eastAsia="Times New Roman"/>
                <w:i/>
                <w:iCs/>
                <w:kern w:val="0"/>
                <w:sz w:val="18"/>
                <w:szCs w:val="18"/>
                <w14:ligatures w14:val="none"/>
              </w:rPr>
            </w:pPr>
          </w:p>
          <w:p w:rsidRPr="00592999" w:rsidR="00592999" w:rsidP="00592999" w:rsidRDefault="00592999" w14:paraId="1AD03E93" w14:textId="77777777">
            <w:pPr>
              <w:spacing w:line="276" w:lineRule="auto"/>
              <w:rPr>
                <w:rFonts w:eastAsia="Times New Roman"/>
                <w:kern w:val="0"/>
                <w:sz w:val="18"/>
                <w:szCs w:val="18"/>
                <w14:ligatures w14:val="none"/>
              </w:rPr>
            </w:pPr>
          </w:p>
        </w:tc>
        <w:tc>
          <w:tcPr>
            <w:tcW w:w="953" w:type="dxa"/>
            <w:vMerge w:val="restart"/>
          </w:tcPr>
          <w:p w:rsidRPr="00592999" w:rsidR="00592999" w:rsidP="00592999" w:rsidRDefault="00592999" w14:paraId="41FD44C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57D4F" w:rsidR="00592999" w:rsidP="00592999" w:rsidRDefault="00592999" w14:paraId="2C4442B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57D4F">
              <w:rPr>
                <w:rFonts w:eastAsia="Times New Roman"/>
                <w:kern w:val="0"/>
                <w:sz w:val="18"/>
                <w:szCs w:val="18"/>
                <w:u w:val="single"/>
                <w14:ligatures w14:val="none"/>
              </w:rPr>
              <w:t>Maatregel:</w:t>
            </w:r>
          </w:p>
          <w:p w:rsidR="00592999" w:rsidP="00592999" w:rsidRDefault="00592999" w14:paraId="485D994C"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Voor de heffing en inning van gemeentelijke heffingen en </w:t>
            </w:r>
            <w:proofErr w:type="spellStart"/>
            <w:r w:rsidRPr="00592999">
              <w:rPr>
                <w:rFonts w:eastAsia="Times New Roman"/>
                <w:kern w:val="0"/>
                <w:sz w:val="18"/>
                <w:szCs w:val="18"/>
                <w14:ligatures w14:val="none"/>
              </w:rPr>
              <w:t>waterschapsheffingen</w:t>
            </w:r>
            <w:proofErr w:type="spellEnd"/>
            <w:r w:rsidRPr="00592999">
              <w:rPr>
                <w:rFonts w:eastAsia="Times New Roman"/>
                <w:kern w:val="0"/>
                <w:sz w:val="18"/>
                <w:szCs w:val="18"/>
                <w14:ligatures w14:val="none"/>
              </w:rPr>
              <w:t xml:space="preserve"> is elektronisch berichtenverkeer niet verplicht. Op het moment dat tot introductie van die verplichting voor de gemeentelijke heffingen en de </w:t>
            </w:r>
            <w:proofErr w:type="spellStart"/>
            <w:r w:rsidRPr="00592999">
              <w:rPr>
                <w:rFonts w:eastAsia="Times New Roman"/>
                <w:kern w:val="0"/>
                <w:sz w:val="18"/>
                <w:szCs w:val="18"/>
                <w14:ligatures w14:val="none"/>
              </w:rPr>
              <w:t>waterschapsheffingen</w:t>
            </w:r>
            <w:proofErr w:type="spellEnd"/>
            <w:r w:rsidRPr="00592999">
              <w:rPr>
                <w:rFonts w:eastAsia="Times New Roman"/>
                <w:kern w:val="0"/>
                <w:sz w:val="18"/>
                <w:szCs w:val="18"/>
                <w14:ligatures w14:val="none"/>
              </w:rPr>
              <w:t xml:space="preserve"> wordt besloten kunnen de in de artikelen VII en IX van de Wet elektronisch berichtenverkeer Belastingdienst opgenomen wijzigingsopdrachten op een bij KB vast te stellen tijdstip in werking treden.</w:t>
            </w:r>
          </w:p>
          <w:p w:rsidR="000F5069" w:rsidP="00592999" w:rsidRDefault="000F5069" w14:paraId="31FF1B9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p w:rsidRPr="00592999" w:rsidR="00057D4F" w:rsidP="00592999" w:rsidRDefault="00057D4F" w14:paraId="51BF1CD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5D2617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627C8C93"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5F29D87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57D4F" w:rsidR="00592999" w:rsidP="00592999" w:rsidRDefault="00592999" w14:paraId="6361364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57D4F">
              <w:rPr>
                <w:rFonts w:eastAsia="Times New Roman"/>
                <w:kern w:val="0"/>
                <w:sz w:val="18"/>
                <w:szCs w:val="18"/>
                <w:u w:val="single"/>
                <w14:ligatures w14:val="none"/>
              </w:rPr>
              <w:t>Toelichting KB:</w:t>
            </w:r>
          </w:p>
          <w:p w:rsidR="00592999" w:rsidP="00592999" w:rsidRDefault="00592999" w14:paraId="206C006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De inwerkingtreding van de wijzigingen die samenhangen met het elektronisch berichtenverkeer vindt </w:t>
            </w:r>
            <w:proofErr w:type="gramStart"/>
            <w:r w:rsidRPr="00592999">
              <w:rPr>
                <w:rFonts w:eastAsia="Times New Roman"/>
                <w:kern w:val="0"/>
                <w:sz w:val="18"/>
                <w:szCs w:val="18"/>
                <w14:ligatures w14:val="none"/>
              </w:rPr>
              <w:t>ingevolge</w:t>
            </w:r>
            <w:proofErr w:type="gramEnd"/>
            <w:r w:rsidRPr="00592999">
              <w:rPr>
                <w:rFonts w:eastAsia="Times New Roman"/>
                <w:kern w:val="0"/>
                <w:sz w:val="18"/>
                <w:szCs w:val="18"/>
                <w14:ligatures w14:val="none"/>
              </w:rPr>
              <w:t xml:space="preserve"> artikel XI, eerste lid, plaats op een bij KB te bepalen tijdstip. Dit tijdstip kan voor verschillende onderdelen van het voorstel verschillend worden vastgesteld. Dit is noodzakelijk om de wijzigingsopdrachten waarmee wordt geregeld dat de in dit wetsvoorstel opgenomen bepalingen </w:t>
            </w:r>
            <w:proofErr w:type="gramStart"/>
            <w:r w:rsidRPr="00592999">
              <w:rPr>
                <w:rFonts w:eastAsia="Times New Roman"/>
                <w:kern w:val="0"/>
                <w:sz w:val="18"/>
                <w:szCs w:val="18"/>
                <w14:ligatures w14:val="none"/>
              </w:rPr>
              <w:t>inzake</w:t>
            </w:r>
            <w:proofErr w:type="gramEnd"/>
            <w:r w:rsidRPr="00592999">
              <w:rPr>
                <w:rFonts w:eastAsia="Times New Roman"/>
                <w:kern w:val="0"/>
                <w:sz w:val="18"/>
                <w:szCs w:val="18"/>
                <w14:ligatures w14:val="none"/>
              </w:rPr>
              <w:t xml:space="preserve"> het elektronisch berichtenverkeer van overeenkomstige toepassing worden voor de Gemeentewet en de Waterschapswet op een later tijdstip in werking te kunnen laten treden.</w:t>
            </w:r>
          </w:p>
          <w:p w:rsidRPr="00592999" w:rsidR="00057D4F" w:rsidP="00592999" w:rsidRDefault="00057D4F" w14:paraId="236B0ED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r>
      <w:tr w:rsidRPr="00592999" w:rsidR="00592999" w:rsidTr="00511C8B" w14:paraId="24B17C86" w14:textId="77777777">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195D2343"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251E8E7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F5069" w:rsidR="00592999" w:rsidP="00592999" w:rsidRDefault="00592999" w14:paraId="204B5B5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Informatie Kamer &amp; stand van zaken:</w:t>
            </w:r>
          </w:p>
          <w:p w:rsidRPr="00592999" w:rsidR="00592999" w:rsidP="00592999" w:rsidRDefault="00592999" w14:paraId="05FD0895"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In de memorie van toelichting is uitgewerkt waarom de wet bij koninklijk besluit in werking treedt.</w:t>
            </w:r>
          </w:p>
          <w:p w:rsidRPr="00592999" w:rsidR="00592999" w:rsidP="00592999" w:rsidRDefault="00592999" w14:paraId="573EF10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 xml:space="preserve">Doordat artikelen VII en IX niet in werking zijn getreden, geldt de hoofdregel van 3a AWR, dat een bericht uitsluitend digitaal wordt verzonden, niet voor gemeentelijke heffingen en de </w:t>
            </w:r>
            <w:proofErr w:type="spellStart"/>
            <w:r w:rsidRPr="00592999">
              <w:rPr>
                <w:rFonts w:eastAsia="Times New Roman"/>
                <w:kern w:val="0"/>
                <w:sz w:val="18"/>
                <w:szCs w:val="18"/>
                <w14:ligatures w14:val="none"/>
              </w:rPr>
              <w:t>waterschapsheffingen</w:t>
            </w:r>
            <w:proofErr w:type="spellEnd"/>
            <w:r w:rsidRPr="00592999">
              <w:rPr>
                <w:rFonts w:eastAsia="Times New Roman"/>
                <w:kern w:val="0"/>
                <w:sz w:val="18"/>
                <w:szCs w:val="18"/>
                <w14:ligatures w14:val="none"/>
              </w:rPr>
              <w:t xml:space="preserve">. Deze hoofdregel van 3a </w:t>
            </w:r>
            <w:r w:rsidRPr="00592999">
              <w:rPr>
                <w:rFonts w:eastAsia="Times New Roman"/>
                <w:kern w:val="0"/>
                <w:sz w:val="18"/>
                <w:szCs w:val="18"/>
                <w14:ligatures w14:val="none"/>
              </w:rPr>
              <w:lastRenderedPageBreak/>
              <w:t>AWR zal worden veranderd wanneer de Keuzeregeling (OFM 2020) in werking treedt.</w:t>
            </w:r>
          </w:p>
        </w:tc>
      </w:tr>
      <w:tr w:rsidRPr="00592999" w:rsidR="00592999" w:rsidTr="00511C8B" w14:paraId="41A8C4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10CE82C5"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lastRenderedPageBreak/>
              <w:t>Fiscale vereenvoudigingswet 2017</w:t>
            </w:r>
          </w:p>
          <w:p w:rsidR="00592999" w:rsidP="00592999" w:rsidRDefault="00592999" w14:paraId="5D7B7C55" w14:textId="77777777">
            <w:pPr>
              <w:spacing w:line="276" w:lineRule="auto"/>
              <w:rPr>
                <w:rFonts w:eastAsia="Times New Roman"/>
                <w:b w:val="0"/>
                <w:bCs w:val="0"/>
                <w:kern w:val="0"/>
                <w:sz w:val="18"/>
                <w:szCs w:val="18"/>
                <w14:ligatures w14:val="none"/>
              </w:rPr>
            </w:pPr>
          </w:p>
          <w:p w:rsidR="00592999" w:rsidP="00592999" w:rsidRDefault="00592999" w14:paraId="0C3A5CFA" w14:textId="4333C2DC">
            <w:pPr>
              <w:spacing w:line="276" w:lineRule="auto"/>
              <w:rPr>
                <w:rFonts w:eastAsia="Times New Roman"/>
                <w:kern w:val="0"/>
                <w:sz w:val="18"/>
                <w:szCs w:val="18"/>
                <w14:ligatures w14:val="none"/>
              </w:rPr>
            </w:pPr>
            <w:r w:rsidRPr="00592999">
              <w:rPr>
                <w:rFonts w:eastAsia="Times New Roman"/>
                <w:b w:val="0"/>
                <w:bCs w:val="0"/>
                <w:kern w:val="0"/>
                <w:sz w:val="18"/>
                <w:szCs w:val="18"/>
                <w14:ligatures w14:val="none"/>
              </w:rPr>
              <w:t>Nog niet in werking getreden</w:t>
            </w:r>
            <w:r w:rsidR="00261DEE">
              <w:rPr>
                <w:rFonts w:eastAsia="Times New Roman"/>
                <w:b w:val="0"/>
                <w:bCs w:val="0"/>
                <w:kern w:val="0"/>
                <w:sz w:val="18"/>
                <w:szCs w:val="18"/>
                <w14:ligatures w14:val="none"/>
              </w:rPr>
              <w:t>:</w:t>
            </w:r>
            <w:r w:rsidRPr="00592999">
              <w:rPr>
                <w:rFonts w:eastAsia="Times New Roman"/>
                <w:b w:val="0"/>
                <w:bCs w:val="0"/>
                <w:kern w:val="0"/>
                <w:sz w:val="18"/>
                <w:szCs w:val="18"/>
                <w14:ligatures w14:val="none"/>
              </w:rPr>
              <w:t xml:space="preserve"> </w:t>
            </w:r>
          </w:p>
          <w:p w:rsidRPr="00592999" w:rsidR="00592999" w:rsidP="00592999" w:rsidRDefault="00592999" w14:paraId="177FE469" w14:textId="77777777">
            <w:pPr>
              <w:spacing w:line="276" w:lineRule="auto"/>
              <w:rPr>
                <w:rFonts w:eastAsia="Times New Roman"/>
                <w:b w:val="0"/>
                <w:bCs w:val="0"/>
                <w:kern w:val="0"/>
                <w:sz w:val="18"/>
                <w:szCs w:val="18"/>
                <w14:ligatures w14:val="none"/>
              </w:rPr>
            </w:pPr>
          </w:p>
          <w:p w:rsidRPr="00592999" w:rsidR="00592999" w:rsidP="00592999" w:rsidRDefault="00592999" w14:paraId="655DAEA1"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 xml:space="preserve">Onderdeel Wet Stroomlijnen </w:t>
            </w:r>
            <w:proofErr w:type="gramStart"/>
            <w:r w:rsidRPr="00592999">
              <w:rPr>
                <w:rFonts w:eastAsia="Times New Roman"/>
                <w:b w:val="0"/>
                <w:bCs w:val="0"/>
                <w:kern w:val="0"/>
                <w:sz w:val="18"/>
                <w:szCs w:val="18"/>
                <w14:ligatures w14:val="none"/>
              </w:rPr>
              <w:t>rood blauw</w:t>
            </w:r>
            <w:proofErr w:type="gramEnd"/>
            <w:r w:rsidRPr="00592999">
              <w:rPr>
                <w:rFonts w:eastAsia="Times New Roman"/>
                <w:b w:val="0"/>
                <w:bCs w:val="0"/>
                <w:kern w:val="0"/>
                <w:sz w:val="18"/>
                <w:szCs w:val="18"/>
                <w14:ligatures w14:val="none"/>
              </w:rPr>
              <w:t xml:space="preserve"> (rood staat voor toeslagen, dit is tegenwoordig geel)</w:t>
            </w:r>
          </w:p>
          <w:p w:rsidRPr="00592999" w:rsidR="00592999" w:rsidP="00592999" w:rsidRDefault="00592999" w14:paraId="560149F4" w14:textId="77777777">
            <w:pPr>
              <w:spacing w:line="276" w:lineRule="auto"/>
              <w:rPr>
                <w:rFonts w:eastAsia="Times New Roman"/>
                <w:kern w:val="0"/>
                <w:sz w:val="18"/>
                <w:szCs w:val="18"/>
                <w14:ligatures w14:val="none"/>
              </w:rPr>
            </w:pPr>
          </w:p>
          <w:p w:rsidRPr="00592999" w:rsidR="00592999" w:rsidP="00592999" w:rsidRDefault="00592999" w14:paraId="0A7EEBF6" w14:textId="77777777">
            <w:pPr>
              <w:spacing w:line="276" w:lineRule="auto"/>
              <w:rPr>
                <w:rFonts w:eastAsia="Times New Roman"/>
                <w:kern w:val="0"/>
                <w:sz w:val="18"/>
                <w:szCs w:val="18"/>
                <w14:ligatures w14:val="none"/>
              </w:rPr>
            </w:pPr>
          </w:p>
        </w:tc>
        <w:tc>
          <w:tcPr>
            <w:tcW w:w="953" w:type="dxa"/>
            <w:vMerge w:val="restart"/>
            <w:hideMark/>
          </w:tcPr>
          <w:p w:rsidRPr="00592999" w:rsidR="00592999" w:rsidP="00592999" w:rsidRDefault="00592999" w14:paraId="422EF96F"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2016</w:t>
            </w:r>
          </w:p>
        </w:tc>
        <w:tc>
          <w:tcPr>
            <w:tcW w:w="4672" w:type="dxa"/>
            <w:hideMark/>
          </w:tcPr>
          <w:p w:rsidRPr="000F5069" w:rsidR="00592999" w:rsidP="00592999" w:rsidRDefault="00592999" w14:paraId="1F23F297"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Maatregel:</w:t>
            </w:r>
          </w:p>
          <w:p w:rsidR="00592999" w:rsidP="00592999" w:rsidRDefault="00592999" w14:paraId="2F11B20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Harmoniseren van invorderingswetgeving van belastingen en toeslagen door introductie van de debiteursgerichte benadering, preferentie van toeslagschulden, kwijtschelding, uniforme rechtsbescherming, en de mogelijkheid tot verrekening van schulden.</w:t>
            </w:r>
          </w:p>
          <w:p w:rsidR="000F5069" w:rsidP="00592999" w:rsidRDefault="000F5069" w14:paraId="4DF4490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p w:rsidRPr="00592999" w:rsidR="00057D4F" w:rsidP="00592999" w:rsidRDefault="00057D4F" w14:paraId="411E4779"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i/>
                <w:iCs/>
                <w:kern w:val="0"/>
                <w:sz w:val="18"/>
                <w:szCs w:val="18"/>
                <w14:ligatures w14:val="none"/>
              </w:rPr>
            </w:pPr>
          </w:p>
        </w:tc>
      </w:tr>
      <w:tr w:rsidRPr="00592999" w:rsidR="00592999" w:rsidTr="00511C8B" w14:paraId="63EB39AF" w14:textId="77777777">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0291B547"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2AE4140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hideMark/>
          </w:tcPr>
          <w:p w:rsidRPr="000F5069" w:rsidR="00592999" w:rsidP="00592999" w:rsidRDefault="00592999" w14:paraId="0AE0081E" w14:textId="20BD5B5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14:ligatures w14:val="none"/>
              </w:rPr>
            </w:pPr>
            <w:r w:rsidRPr="000F5069">
              <w:rPr>
                <w:rFonts w:eastAsia="Times New Roman"/>
                <w:kern w:val="0"/>
                <w:sz w:val="18"/>
                <w:szCs w:val="18"/>
                <w:u w:val="single"/>
                <w14:ligatures w14:val="none"/>
              </w:rPr>
              <w:t>Toelichting KB:</w:t>
            </w:r>
          </w:p>
          <w:p w:rsidR="00592999" w:rsidP="00592999" w:rsidRDefault="00592999" w14:paraId="21F0D2E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Bij de totstandkoming van deze wet was al duidelijk dat de inwerkingtreding pas kon plaatsvinden na de invoering van een nieuw innings- en uitbetalingssysteem en de uitfasering van het oude systeem ETM, dit is in de toelichting opgenomen. Het streven was om de maatregelen op 1 januari 2019 in werking te laten treden. Die streefdatum is om verschillende redenen maar met name vanwege de uitfasering van ETM niet gehaald.</w:t>
            </w:r>
          </w:p>
          <w:p w:rsidRPr="00592999" w:rsidR="000F5069" w:rsidP="00592999" w:rsidRDefault="000F5069" w14:paraId="4FA40F4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33B20A36" w14:textId="77777777">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437" w:type="dxa"/>
            <w:vMerge/>
            <w:hideMark/>
          </w:tcPr>
          <w:p w:rsidRPr="00592999" w:rsidR="00592999" w:rsidP="00592999" w:rsidRDefault="00592999" w14:paraId="5210EA6E" w14:textId="77777777">
            <w:pPr>
              <w:spacing w:line="276" w:lineRule="auto"/>
              <w:rPr>
                <w:rFonts w:eastAsia="Times New Roman"/>
                <w:kern w:val="0"/>
                <w:sz w:val="18"/>
                <w:szCs w:val="18"/>
                <w14:ligatures w14:val="none"/>
              </w:rPr>
            </w:pPr>
          </w:p>
        </w:tc>
        <w:tc>
          <w:tcPr>
            <w:tcW w:w="953" w:type="dxa"/>
            <w:vMerge/>
            <w:hideMark/>
          </w:tcPr>
          <w:p w:rsidRPr="00592999" w:rsidR="00592999" w:rsidP="00592999" w:rsidRDefault="00592999" w14:paraId="6DFE6177"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57D4F" w:rsidR="006C4A40" w:rsidP="006C4A40" w:rsidRDefault="006C4A40" w14:paraId="26FB32D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14:ligatures w14:val="none"/>
              </w:rPr>
            </w:pPr>
            <w:r w:rsidRPr="00057D4F">
              <w:rPr>
                <w:rFonts w:eastAsia="Times New Roman"/>
                <w:kern w:val="0"/>
                <w:sz w:val="18"/>
                <w:szCs w:val="18"/>
                <w:u w:val="single"/>
                <w14:ligatures w14:val="none"/>
              </w:rPr>
              <w:t>Informatie Kamer &amp; stand van zaken:</w:t>
            </w:r>
          </w:p>
          <w:p w:rsidRPr="006C4A40" w:rsidR="006C4A40" w:rsidP="006C4A40" w:rsidRDefault="006C4A40" w14:paraId="0DD92A9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6C4A40">
              <w:rPr>
                <w:rFonts w:eastAsia="Times New Roman"/>
                <w:kern w:val="0"/>
                <w:sz w:val="18"/>
                <w:szCs w:val="18"/>
                <w14:ligatures w14:val="none"/>
              </w:rPr>
              <w:t xml:space="preserve">Over de mogelijke inwerkingtreding van de Wet Stroomlijnen </w:t>
            </w:r>
            <w:proofErr w:type="gramStart"/>
            <w:r w:rsidRPr="006C4A40">
              <w:rPr>
                <w:rFonts w:eastAsia="Times New Roman"/>
                <w:kern w:val="0"/>
                <w:sz w:val="18"/>
                <w:szCs w:val="18"/>
                <w14:ligatures w14:val="none"/>
              </w:rPr>
              <w:t>rood blauw</w:t>
            </w:r>
            <w:proofErr w:type="gramEnd"/>
            <w:r w:rsidRPr="006C4A40">
              <w:rPr>
                <w:rFonts w:eastAsia="Times New Roman"/>
                <w:kern w:val="0"/>
                <w:sz w:val="18"/>
                <w:szCs w:val="18"/>
                <w14:ligatures w14:val="none"/>
              </w:rPr>
              <w:t xml:space="preserve"> is de Kamer meermaals geïnformeerd.</w:t>
            </w:r>
          </w:p>
          <w:p w:rsidRPr="006C4A40" w:rsidR="006C4A40" w:rsidP="006C4A40" w:rsidRDefault="006C4A40" w14:paraId="5F445C5D"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p w:rsidRPr="006C4A40" w:rsidR="006C4A40" w:rsidP="006C4A40" w:rsidRDefault="006C4A40" w14:paraId="5C9856B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6C4A40">
              <w:rPr>
                <w:rFonts w:eastAsia="Times New Roman"/>
                <w:kern w:val="0"/>
                <w:sz w:val="18"/>
                <w:szCs w:val="18"/>
                <w14:ligatures w14:val="none"/>
              </w:rPr>
              <w:t>Zo is in de kabinetsreactie op het rapport Ongekend onrecht van 15 januari 2021 opgenomen dat de inwerkingtreding van de Wet Stroomlijnen wordt opgeschort en dat wordt onderzocht of het wenselijk is dat elementen uit deze wet (al dan niet in aangepaste vorm) ingevoerd kunnen worden zodat alleen de voor de burger meest gunstige onderdelen worden gerealiseerd.</w:t>
            </w:r>
          </w:p>
          <w:p w:rsidRPr="006C4A40" w:rsidR="006C4A40" w:rsidP="006C4A40" w:rsidRDefault="006C4A40" w14:paraId="5B4493A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p w:rsidRPr="006C4A40" w:rsidR="006C4A40" w:rsidP="006C4A40" w:rsidRDefault="006C4A40" w14:paraId="70E09B2B" w14:textId="52357CA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6C4A40">
              <w:rPr>
                <w:rFonts w:eastAsia="Times New Roman"/>
                <w:kern w:val="0"/>
                <w:sz w:val="18"/>
                <w:szCs w:val="18"/>
                <w14:ligatures w14:val="none"/>
              </w:rPr>
              <w:t xml:space="preserve">Op 6 juni 2025 zijn de uitkomsten van de heroverweging van de Wet Stroomlijnen met de Kamer gedeeld. Het uitgangspunt van de Wet Stroomlijnen - één invorderingsregime voor </w:t>
            </w:r>
          </w:p>
          <w:p w:rsidRPr="006C4A40" w:rsidR="006C4A40" w:rsidP="006C4A40" w:rsidRDefault="006C4A40" w14:paraId="73ADC15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rijksbelastingen</w:t>
            </w:r>
            <w:proofErr w:type="gramEnd"/>
            <w:r w:rsidRPr="006C4A40">
              <w:rPr>
                <w:rFonts w:eastAsia="Times New Roman"/>
                <w:kern w:val="0"/>
                <w:sz w:val="18"/>
                <w:szCs w:val="18"/>
                <w14:ligatures w14:val="none"/>
              </w:rPr>
              <w:t xml:space="preserve"> en toeslagen door de Invorderingswet 1990 grotendeels van </w:t>
            </w:r>
          </w:p>
          <w:p w:rsidRPr="006C4A40" w:rsidR="006C4A40" w:rsidP="006C4A40" w:rsidRDefault="006C4A40" w14:paraId="6BDF4F91"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toepassing</w:t>
            </w:r>
            <w:proofErr w:type="gramEnd"/>
            <w:r w:rsidRPr="006C4A40">
              <w:rPr>
                <w:rFonts w:eastAsia="Times New Roman"/>
                <w:kern w:val="0"/>
                <w:sz w:val="18"/>
                <w:szCs w:val="18"/>
                <w14:ligatures w14:val="none"/>
              </w:rPr>
              <w:t xml:space="preserve"> te verklaren op de inning van toeslagschulden en de ontvanger aan te </w:t>
            </w:r>
          </w:p>
          <w:p w:rsidRPr="006C4A40" w:rsidR="006C4A40" w:rsidP="006C4A40" w:rsidRDefault="006C4A40" w14:paraId="70FC5E97"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wijzen</w:t>
            </w:r>
            <w:proofErr w:type="gramEnd"/>
            <w:r w:rsidRPr="006C4A40">
              <w:rPr>
                <w:rFonts w:eastAsia="Times New Roman"/>
                <w:kern w:val="0"/>
                <w:sz w:val="18"/>
                <w:szCs w:val="18"/>
                <w14:ligatures w14:val="none"/>
              </w:rPr>
              <w:t xml:space="preserve"> als het bevoegde bestuursorgaan voor de invordering van belasting- en </w:t>
            </w:r>
          </w:p>
          <w:p w:rsidRPr="006C4A40" w:rsidR="006C4A40" w:rsidP="006C4A40" w:rsidRDefault="006C4A40" w14:paraId="1CC5BCDF"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toeslagschulden</w:t>
            </w:r>
            <w:proofErr w:type="gramEnd"/>
            <w:r w:rsidRPr="006C4A40">
              <w:rPr>
                <w:rFonts w:eastAsia="Times New Roman"/>
                <w:kern w:val="0"/>
                <w:sz w:val="18"/>
                <w:szCs w:val="18"/>
                <w14:ligatures w14:val="none"/>
              </w:rPr>
              <w:t xml:space="preserve"> – is gezien de ingezette ontvlechting niet meer actueel. Als gevolg </w:t>
            </w:r>
          </w:p>
          <w:p w:rsidRPr="006C4A40" w:rsidR="006C4A40" w:rsidP="006C4A40" w:rsidRDefault="006C4A40" w14:paraId="68EB6DC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hiervan</w:t>
            </w:r>
            <w:proofErr w:type="gramEnd"/>
            <w:r w:rsidRPr="006C4A40">
              <w:rPr>
                <w:rFonts w:eastAsia="Times New Roman"/>
                <w:kern w:val="0"/>
                <w:sz w:val="18"/>
                <w:szCs w:val="18"/>
                <w14:ligatures w14:val="none"/>
              </w:rPr>
              <w:t xml:space="preserve"> is de opzet en plaatsing van de wetteksten van de overige onderdelen van </w:t>
            </w:r>
          </w:p>
          <w:p w:rsidRPr="006C4A40" w:rsidR="006C4A40" w:rsidP="006C4A40" w:rsidRDefault="006C4A40" w14:paraId="2ADF8965"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roofErr w:type="gramStart"/>
            <w:r w:rsidRPr="006C4A40">
              <w:rPr>
                <w:rFonts w:eastAsia="Times New Roman"/>
                <w:kern w:val="0"/>
                <w:sz w:val="18"/>
                <w:szCs w:val="18"/>
                <w14:ligatures w14:val="none"/>
              </w:rPr>
              <w:t>de</w:t>
            </w:r>
            <w:proofErr w:type="gramEnd"/>
            <w:r w:rsidRPr="006C4A40">
              <w:rPr>
                <w:rFonts w:eastAsia="Times New Roman"/>
                <w:kern w:val="0"/>
                <w:sz w:val="18"/>
                <w:szCs w:val="18"/>
                <w14:ligatures w14:val="none"/>
              </w:rPr>
              <w:t xml:space="preserve"> Wet Stroomlijnen niet meer passend en zullen deze komen te vervallen. In het wetsvoorstel Fiscale verzamelwet 2027 is opgenomen dat de betreffende artikelen van de Fiscale vereenvoudigingswet </w:t>
            </w:r>
          </w:p>
          <w:p w:rsidRPr="00592999" w:rsidR="00592999" w:rsidP="006C4A40" w:rsidRDefault="006C4A40" w14:paraId="1696D690" w14:textId="68FCFFA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6C4A40">
              <w:rPr>
                <w:rFonts w:eastAsia="Times New Roman"/>
                <w:kern w:val="0"/>
                <w:sz w:val="18"/>
                <w:szCs w:val="18"/>
                <w14:ligatures w14:val="none"/>
              </w:rPr>
              <w:lastRenderedPageBreak/>
              <w:t>2017 komen te vervallen.</w:t>
            </w:r>
          </w:p>
        </w:tc>
      </w:tr>
      <w:tr w:rsidRPr="00592999" w:rsidR="00592999" w:rsidTr="00511C8B" w14:paraId="43B0433A" w14:textId="77777777">
        <w:trPr>
          <w:trHeight w:val="3621"/>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592999" w:rsidR="00592999" w:rsidP="00592999" w:rsidRDefault="00592999" w14:paraId="503E806C" w14:textId="77777777">
            <w:pPr>
              <w:spacing w:line="276" w:lineRule="auto"/>
              <w:rPr>
                <w:rFonts w:eastAsia="Times New Roman"/>
                <w:kern w:val="0"/>
                <w:sz w:val="18"/>
                <w:szCs w:val="18"/>
                <w14:ligatures w14:val="none"/>
              </w:rPr>
            </w:pPr>
            <w:r w:rsidRPr="00592999">
              <w:rPr>
                <w:rFonts w:eastAsia="Times New Roman"/>
                <w:kern w:val="0"/>
                <w:sz w:val="18"/>
                <w:szCs w:val="18"/>
                <w14:ligatures w14:val="none"/>
              </w:rPr>
              <w:lastRenderedPageBreak/>
              <w:t>Belastingplan 2025</w:t>
            </w:r>
          </w:p>
          <w:p w:rsidR="00592999" w:rsidP="00592999" w:rsidRDefault="00592999" w14:paraId="08D1A207" w14:textId="77777777">
            <w:pPr>
              <w:spacing w:line="276" w:lineRule="auto"/>
              <w:rPr>
                <w:rFonts w:eastAsia="Times New Roman"/>
                <w:b w:val="0"/>
                <w:bCs w:val="0"/>
                <w:kern w:val="0"/>
                <w:sz w:val="18"/>
                <w:szCs w:val="18"/>
                <w14:ligatures w14:val="none"/>
              </w:rPr>
            </w:pPr>
          </w:p>
          <w:p w:rsidRPr="00261DEE" w:rsidR="00261DEE" w:rsidP="00592999" w:rsidRDefault="00261DEE" w14:paraId="002DE3F4" w14:textId="6164CA95">
            <w:pPr>
              <w:spacing w:line="276" w:lineRule="auto"/>
              <w:rPr>
                <w:rFonts w:eastAsia="Times New Roman"/>
                <w:b w:val="0"/>
                <w:bCs w:val="0"/>
                <w:kern w:val="0"/>
                <w:sz w:val="18"/>
                <w:szCs w:val="18"/>
                <w14:ligatures w14:val="none"/>
              </w:rPr>
            </w:pPr>
            <w:r w:rsidRPr="00261DEE">
              <w:rPr>
                <w:rFonts w:eastAsia="Times New Roman"/>
                <w:b w:val="0"/>
                <w:bCs w:val="0"/>
                <w:kern w:val="0"/>
                <w:sz w:val="18"/>
                <w:szCs w:val="18"/>
                <w14:ligatures w14:val="none"/>
              </w:rPr>
              <w:t xml:space="preserve">Nog niet in werking getreden: </w:t>
            </w:r>
          </w:p>
          <w:p w:rsidRPr="00592999" w:rsidR="00261DEE" w:rsidP="00592999" w:rsidRDefault="00261DEE" w14:paraId="4B66DB2A" w14:textId="77777777">
            <w:pPr>
              <w:spacing w:line="276" w:lineRule="auto"/>
              <w:rPr>
                <w:rFonts w:eastAsia="Times New Roman"/>
                <w:b w:val="0"/>
                <w:bCs w:val="0"/>
                <w:kern w:val="0"/>
                <w:sz w:val="18"/>
                <w:szCs w:val="18"/>
                <w14:ligatures w14:val="none"/>
              </w:rPr>
            </w:pPr>
          </w:p>
          <w:p w:rsidRPr="00592999" w:rsidR="00592999" w:rsidP="00592999" w:rsidRDefault="00592999" w14:paraId="6D41A482" w14:textId="77777777">
            <w:pPr>
              <w:spacing w:line="276" w:lineRule="auto"/>
              <w:rPr>
                <w:rFonts w:eastAsia="Times New Roman"/>
                <w:b w:val="0"/>
                <w:bCs w:val="0"/>
                <w:kern w:val="0"/>
                <w:sz w:val="18"/>
                <w:szCs w:val="18"/>
                <w14:ligatures w14:val="none"/>
              </w:rPr>
            </w:pPr>
            <w:r w:rsidRPr="00592999">
              <w:rPr>
                <w:rFonts w:eastAsia="Times New Roman"/>
                <w:b w:val="0"/>
                <w:bCs w:val="0"/>
                <w:kern w:val="0"/>
                <w:sz w:val="18"/>
                <w:szCs w:val="18"/>
                <w14:ligatures w14:val="none"/>
              </w:rPr>
              <w:t>Artikel I, onderdelen P, onder 2 tot en met 4, Q, S en T</w:t>
            </w:r>
          </w:p>
          <w:p w:rsidRPr="00592999" w:rsidR="00592999" w:rsidP="00592999" w:rsidRDefault="00592999" w14:paraId="0A50F163" w14:textId="77777777">
            <w:pPr>
              <w:spacing w:line="276" w:lineRule="auto"/>
              <w:rPr>
                <w:rFonts w:eastAsia="Times New Roman"/>
                <w:kern w:val="0"/>
                <w:sz w:val="18"/>
                <w:szCs w:val="18"/>
                <w14:ligatures w14:val="none"/>
              </w:rPr>
            </w:pPr>
          </w:p>
          <w:p w:rsidRPr="00592999" w:rsidR="00592999" w:rsidP="00592999" w:rsidRDefault="00592999" w14:paraId="5E4914A4" w14:textId="77777777">
            <w:pPr>
              <w:spacing w:line="276" w:lineRule="auto"/>
              <w:rPr>
                <w:rFonts w:eastAsia="Times New Roman"/>
                <w:kern w:val="0"/>
                <w:sz w:val="18"/>
                <w:szCs w:val="18"/>
                <w14:ligatures w14:val="none"/>
              </w:rPr>
            </w:pPr>
          </w:p>
          <w:p w:rsidRPr="00592999" w:rsidR="00592999" w:rsidP="00592999" w:rsidRDefault="00592999" w14:paraId="34A9C1D4" w14:textId="77777777">
            <w:pPr>
              <w:spacing w:line="276" w:lineRule="auto"/>
              <w:rPr>
                <w:rFonts w:eastAsia="Times New Roman"/>
                <w:kern w:val="0"/>
                <w:sz w:val="18"/>
                <w:szCs w:val="18"/>
                <w14:ligatures w14:val="none"/>
              </w:rPr>
            </w:pPr>
          </w:p>
          <w:p w:rsidRPr="00592999" w:rsidR="00592999" w:rsidP="00592999" w:rsidRDefault="00592999" w14:paraId="6F7DAB38" w14:textId="77777777">
            <w:pPr>
              <w:spacing w:line="276" w:lineRule="auto"/>
              <w:rPr>
                <w:rFonts w:eastAsia="Times New Roman"/>
                <w:kern w:val="0"/>
                <w:sz w:val="18"/>
                <w:szCs w:val="18"/>
                <w14:ligatures w14:val="none"/>
              </w:rPr>
            </w:pPr>
          </w:p>
          <w:p w:rsidRPr="00592999" w:rsidR="00592999" w:rsidP="00592999" w:rsidRDefault="00592999" w14:paraId="431E6EF1" w14:textId="77777777">
            <w:pPr>
              <w:spacing w:line="276" w:lineRule="auto"/>
              <w:rPr>
                <w:rFonts w:eastAsia="Times New Roman"/>
                <w:kern w:val="0"/>
                <w:sz w:val="18"/>
                <w:szCs w:val="18"/>
                <w14:ligatures w14:val="none"/>
              </w:rPr>
            </w:pPr>
          </w:p>
          <w:p w:rsidRPr="00592999" w:rsidR="00592999" w:rsidP="00592999" w:rsidRDefault="00592999" w14:paraId="0192E71A" w14:textId="77777777">
            <w:pPr>
              <w:spacing w:line="276" w:lineRule="auto"/>
              <w:rPr>
                <w:rFonts w:eastAsia="Times New Roman"/>
                <w:kern w:val="0"/>
                <w:sz w:val="18"/>
                <w:szCs w:val="18"/>
                <w14:ligatures w14:val="none"/>
              </w:rPr>
            </w:pPr>
          </w:p>
          <w:p w:rsidRPr="00592999" w:rsidR="00592999" w:rsidP="00592999" w:rsidRDefault="00592999" w14:paraId="7BB871DC" w14:textId="77777777">
            <w:pPr>
              <w:spacing w:line="276" w:lineRule="auto"/>
              <w:rPr>
                <w:rFonts w:eastAsia="Times New Roman"/>
                <w:kern w:val="0"/>
                <w:sz w:val="18"/>
                <w:szCs w:val="18"/>
                <w14:ligatures w14:val="none"/>
              </w:rPr>
            </w:pPr>
          </w:p>
          <w:p w:rsidRPr="00592999" w:rsidR="00592999" w:rsidP="00592999" w:rsidRDefault="00592999" w14:paraId="6DF50593" w14:textId="77777777">
            <w:pPr>
              <w:spacing w:line="276" w:lineRule="auto"/>
              <w:rPr>
                <w:rFonts w:eastAsia="Times New Roman"/>
                <w:kern w:val="0"/>
                <w:sz w:val="18"/>
                <w:szCs w:val="18"/>
                <w14:ligatures w14:val="none"/>
              </w:rPr>
            </w:pPr>
          </w:p>
        </w:tc>
        <w:tc>
          <w:tcPr>
            <w:tcW w:w="953" w:type="dxa"/>
          </w:tcPr>
          <w:p w:rsidRPr="00592999" w:rsidR="00592999" w:rsidP="00592999" w:rsidRDefault="00592999" w14:paraId="6BE3B92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2024</w:t>
            </w:r>
          </w:p>
        </w:tc>
        <w:tc>
          <w:tcPr>
            <w:tcW w:w="4672" w:type="dxa"/>
          </w:tcPr>
          <w:p w:rsidRPr="00592999" w:rsidR="00592999" w:rsidP="00592999" w:rsidRDefault="00592999" w14:paraId="1A423A6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lang w:eastAsia="nl-NL"/>
                <w14:ligatures w14:val="none"/>
              </w:rPr>
            </w:pPr>
            <w:r w:rsidRPr="00592999">
              <w:rPr>
                <w:rFonts w:eastAsia="Times New Roman"/>
                <w:kern w:val="0"/>
                <w:sz w:val="18"/>
                <w:szCs w:val="18"/>
                <w:lang w:eastAsia="nl-NL"/>
                <w14:ligatures w14:val="none"/>
              </w:rPr>
              <w:t>Maatregel: Met de voorgestelde wijzigingen van artikel 8.9 Wet IB 2001 zoals opgenomen in artikel I, onderdeel P, onder 2 tot en met 4 wordt geregeld dat de Algemene Heffingskorting met ingang van een bij koninklijk besluit te bepalen tijdstip – beoogd is 1 januari 2028 – ook weer gedeeltelijk kan worden uitbetaald aan een minstverdienende partner die geboren is op of na 1 januari 1963.</w:t>
            </w:r>
          </w:p>
          <w:p w:rsidRPr="00592999" w:rsidR="00592999" w:rsidP="00592999" w:rsidRDefault="00592999" w14:paraId="79C6337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r>
      <w:tr w:rsidRPr="00592999" w:rsidR="00592999" w:rsidTr="00511C8B" w14:paraId="74F8DEA1" w14:textId="77777777">
        <w:trPr>
          <w:cnfStyle w:val="000000100000" w:firstRow="0" w:lastRow="0" w:firstColumn="0" w:lastColumn="0" w:oddVBand="0" w:evenVBand="0" w:oddHBand="1" w:evenHBand="0" w:firstRowFirstColumn="0" w:firstRowLastColumn="0" w:lastRowFirstColumn="0" w:lastRowLastColumn="0"/>
          <w:trHeight w:val="3621"/>
        </w:trPr>
        <w:tc>
          <w:tcPr>
            <w:cnfStyle w:val="001000000000" w:firstRow="0" w:lastRow="0" w:firstColumn="1" w:lastColumn="0" w:oddVBand="0" w:evenVBand="0" w:oddHBand="0" w:evenHBand="0" w:firstRowFirstColumn="0" w:firstRowLastColumn="0" w:lastRowFirstColumn="0" w:lastRowLastColumn="0"/>
            <w:tcW w:w="3437" w:type="dxa"/>
            <w:vMerge/>
          </w:tcPr>
          <w:p w:rsidRPr="00592999" w:rsidR="00592999" w:rsidP="00592999" w:rsidRDefault="00592999" w14:paraId="5C0FE581" w14:textId="77777777">
            <w:pPr>
              <w:spacing w:line="276" w:lineRule="auto"/>
              <w:rPr>
                <w:rFonts w:eastAsia="Times New Roman"/>
                <w:kern w:val="0"/>
                <w:sz w:val="18"/>
                <w:szCs w:val="18"/>
                <w14:ligatures w14:val="none"/>
              </w:rPr>
            </w:pPr>
          </w:p>
        </w:tc>
        <w:tc>
          <w:tcPr>
            <w:tcW w:w="953" w:type="dxa"/>
            <w:vMerge w:val="restart"/>
          </w:tcPr>
          <w:p w:rsidRPr="00592999" w:rsidR="00592999" w:rsidP="00592999" w:rsidRDefault="00592999" w14:paraId="68E4731B"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57D4F" w:rsidR="00592999" w:rsidP="00592999" w:rsidRDefault="00592999" w14:paraId="1F20CC9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lang w:eastAsia="nl-NL"/>
                <w14:ligatures w14:val="none"/>
              </w:rPr>
            </w:pPr>
            <w:r w:rsidRPr="00057D4F">
              <w:rPr>
                <w:rFonts w:eastAsia="Times New Roman"/>
                <w:kern w:val="0"/>
                <w:sz w:val="18"/>
                <w:szCs w:val="18"/>
                <w:u w:val="single"/>
                <w:lang w:eastAsia="nl-NL"/>
                <w14:ligatures w14:val="none"/>
              </w:rPr>
              <w:t>Toelichting KB:</w:t>
            </w:r>
          </w:p>
          <w:p w:rsidRPr="00592999" w:rsidR="00592999" w:rsidP="00592999" w:rsidRDefault="00592999" w14:paraId="4854B6E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bCs/>
                <w:kern w:val="0"/>
                <w:sz w:val="18"/>
                <w:szCs w:val="18"/>
                <w:lang w:eastAsia="nl-NL"/>
                <w14:ligatures w14:val="none"/>
              </w:rPr>
            </w:pPr>
            <w:r w:rsidRPr="00592999">
              <w:rPr>
                <w:rFonts w:eastAsia="Times New Roman"/>
                <w:kern w:val="0"/>
                <w:sz w:val="18"/>
                <w:szCs w:val="18"/>
                <w:lang w:eastAsia="nl-NL"/>
                <w14:ligatures w14:val="none"/>
              </w:rPr>
              <w:t>De geautomatiseerde systemen voor de inkomstenbelasting moeten worden aangepast. In verband met de noodzakelijke modernisering van de systemen en de invoering van een stelsel naar werkelijk rendement in box 3 ontbreekt daarvoor de komende jaren de benodigde capaciteit. Invoering van de maatregel is daarom voorzien bij koninklijk besluit.</w:t>
            </w:r>
          </w:p>
        </w:tc>
      </w:tr>
      <w:tr w:rsidRPr="00592999" w:rsidR="00592999" w:rsidTr="00511C8B" w14:paraId="5493F2AB" w14:textId="77777777">
        <w:trPr>
          <w:trHeight w:val="3621"/>
        </w:trPr>
        <w:tc>
          <w:tcPr>
            <w:cnfStyle w:val="001000000000" w:firstRow="0" w:lastRow="0" w:firstColumn="1" w:lastColumn="0" w:oddVBand="0" w:evenVBand="0" w:oddHBand="0" w:evenHBand="0" w:firstRowFirstColumn="0" w:firstRowLastColumn="0" w:lastRowFirstColumn="0" w:lastRowLastColumn="0"/>
            <w:tcW w:w="3437" w:type="dxa"/>
            <w:vMerge/>
          </w:tcPr>
          <w:p w:rsidRPr="00592999" w:rsidR="00592999" w:rsidP="00592999" w:rsidRDefault="00592999" w14:paraId="0A81C139" w14:textId="77777777">
            <w:pPr>
              <w:spacing w:line="276" w:lineRule="auto"/>
              <w:rPr>
                <w:rFonts w:eastAsia="Times New Roman"/>
                <w:kern w:val="0"/>
                <w:sz w:val="18"/>
                <w:szCs w:val="18"/>
                <w14:ligatures w14:val="none"/>
              </w:rPr>
            </w:pPr>
          </w:p>
        </w:tc>
        <w:tc>
          <w:tcPr>
            <w:tcW w:w="953" w:type="dxa"/>
            <w:vMerge/>
          </w:tcPr>
          <w:p w:rsidRPr="00592999" w:rsidR="00592999" w:rsidP="00592999" w:rsidRDefault="00592999" w14:paraId="2EDE6F9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tcPr>
          <w:p w:rsidRPr="00057D4F" w:rsidR="00592999" w:rsidP="00592999" w:rsidRDefault="00592999" w14:paraId="266AC89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lang w:eastAsia="nl-NL"/>
                <w14:ligatures w14:val="none"/>
              </w:rPr>
            </w:pPr>
            <w:r w:rsidRPr="00057D4F">
              <w:rPr>
                <w:rFonts w:eastAsia="Times New Roman"/>
                <w:kern w:val="0"/>
                <w:sz w:val="18"/>
                <w:szCs w:val="18"/>
                <w:u w:val="single"/>
                <w:lang w:eastAsia="nl-NL"/>
                <w14:ligatures w14:val="none"/>
              </w:rPr>
              <w:t xml:space="preserve">Informatie kamer &amp; stand van zaken: </w:t>
            </w:r>
          </w:p>
          <w:p w:rsidRPr="00592999" w:rsidR="00592999" w:rsidP="00592999" w:rsidRDefault="00592999" w14:paraId="699D5A0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bCs/>
                <w:kern w:val="0"/>
                <w:sz w:val="18"/>
                <w:szCs w:val="18"/>
                <w:lang w:eastAsia="nl-NL"/>
                <w14:ligatures w14:val="none"/>
              </w:rPr>
            </w:pPr>
            <w:r w:rsidRPr="00592999">
              <w:rPr>
                <w:rFonts w:eastAsia="Times New Roman"/>
                <w:kern w:val="0"/>
                <w:sz w:val="18"/>
                <w:szCs w:val="18"/>
                <w:lang w:eastAsia="nl-NL"/>
                <w14:ligatures w14:val="none"/>
              </w:rPr>
              <w:t xml:space="preserve">Dat de inwerkingtreding plaats zou vinden per Koninklijk Besluit is </w:t>
            </w:r>
            <w:proofErr w:type="gramStart"/>
            <w:r w:rsidRPr="00592999">
              <w:rPr>
                <w:rFonts w:eastAsia="Times New Roman"/>
                <w:kern w:val="0"/>
                <w:sz w:val="18"/>
                <w:szCs w:val="18"/>
                <w:lang w:eastAsia="nl-NL"/>
                <w14:ligatures w14:val="none"/>
              </w:rPr>
              <w:t>reeds</w:t>
            </w:r>
            <w:proofErr w:type="gramEnd"/>
            <w:r w:rsidRPr="00592999">
              <w:rPr>
                <w:rFonts w:eastAsia="Times New Roman"/>
                <w:kern w:val="0"/>
                <w:sz w:val="18"/>
                <w:szCs w:val="18"/>
                <w:lang w:eastAsia="nl-NL"/>
                <w14:ligatures w14:val="none"/>
              </w:rPr>
              <w:t xml:space="preserve"> aangekondigd in de memorie van toelichting bij het Belastingplan 2025. In de Kamerbrief over de impact van de arresten over box 3 op de ICT van de Belastingdienst (Kamerstukken II 2024/25, 31 066, nr. 1429 </w:t>
            </w:r>
            <w:proofErr w:type="gramStart"/>
            <w:r w:rsidRPr="00592999">
              <w:rPr>
                <w:rFonts w:eastAsia="Times New Roman"/>
                <w:kern w:val="0"/>
                <w:sz w:val="18"/>
                <w:szCs w:val="18"/>
                <w:lang w:eastAsia="nl-NL"/>
                <w14:ligatures w14:val="none"/>
              </w:rPr>
              <w:t>is  bevestigd</w:t>
            </w:r>
            <w:proofErr w:type="gramEnd"/>
            <w:r w:rsidRPr="00592999">
              <w:rPr>
                <w:rFonts w:eastAsia="Times New Roman"/>
                <w:kern w:val="0"/>
                <w:sz w:val="18"/>
                <w:szCs w:val="18"/>
                <w:lang w:eastAsia="nl-NL"/>
                <w14:ligatures w14:val="none"/>
              </w:rPr>
              <w:t xml:space="preserve"> dat de beoogde inwerkingtreding van de maatregel 2028 is, ondanks de impact van de arresten van de Hoge Raad op de modernisering van de ICT.</w:t>
            </w:r>
          </w:p>
        </w:tc>
      </w:tr>
      <w:tr w:rsidRPr="00592999" w:rsidR="00592999" w:rsidTr="00511C8B" w14:paraId="0D4D5816" w14:textId="77777777">
        <w:trPr>
          <w:cnfStyle w:val="000000100000" w:firstRow="0" w:lastRow="0" w:firstColumn="0" w:lastColumn="0" w:oddVBand="0" w:evenVBand="0" w:oddHBand="1" w:evenHBand="0" w:firstRowFirstColumn="0" w:firstRowLastColumn="0" w:lastRowFirstColumn="0" w:lastRowLastColumn="0"/>
          <w:trHeight w:val="4394"/>
        </w:trPr>
        <w:tc>
          <w:tcPr>
            <w:cnfStyle w:val="001000000000" w:firstRow="0" w:lastRow="0" w:firstColumn="1" w:lastColumn="0" w:oddVBand="0" w:evenVBand="0" w:oddHBand="0" w:evenHBand="0" w:firstRowFirstColumn="0" w:firstRowLastColumn="0" w:lastRowFirstColumn="0" w:lastRowLastColumn="0"/>
            <w:tcW w:w="3437" w:type="dxa"/>
            <w:vMerge w:val="restart"/>
          </w:tcPr>
          <w:p w:rsidRPr="008A626A" w:rsidR="00592999" w:rsidP="00592999" w:rsidRDefault="00592999" w14:paraId="4AD17D6F" w14:textId="77777777">
            <w:pPr>
              <w:spacing w:line="276" w:lineRule="auto"/>
              <w:rPr>
                <w:rFonts w:eastAsia="Times New Roman"/>
                <w:kern w:val="0"/>
                <w:sz w:val="18"/>
                <w:szCs w:val="18"/>
                <w14:ligatures w14:val="none"/>
              </w:rPr>
            </w:pPr>
            <w:r w:rsidRPr="008A626A">
              <w:rPr>
                <w:rFonts w:eastAsia="Times New Roman"/>
                <w:kern w:val="0"/>
                <w:sz w:val="18"/>
                <w:szCs w:val="18"/>
                <w14:ligatures w14:val="none"/>
              </w:rPr>
              <w:lastRenderedPageBreak/>
              <w:t>Fiscale verzamelwet 2025</w:t>
            </w:r>
          </w:p>
          <w:p w:rsidRPr="008A626A" w:rsidR="00592999" w:rsidP="00592999" w:rsidRDefault="00592999" w14:paraId="61C5FA11" w14:textId="77777777">
            <w:pPr>
              <w:spacing w:line="276" w:lineRule="auto"/>
              <w:rPr>
                <w:rFonts w:eastAsia="Times New Roman"/>
                <w:b w:val="0"/>
                <w:bCs w:val="0"/>
                <w:kern w:val="0"/>
                <w:sz w:val="18"/>
                <w:szCs w:val="18"/>
                <w14:ligatures w14:val="none"/>
              </w:rPr>
            </w:pPr>
          </w:p>
          <w:p w:rsidRPr="00261DEE" w:rsidR="00261DEE" w:rsidP="00592999" w:rsidRDefault="00261DEE" w14:paraId="51B1AC38" w14:textId="3340AC35">
            <w:pPr>
              <w:spacing w:line="276" w:lineRule="auto"/>
              <w:rPr>
                <w:rFonts w:eastAsia="Times New Roman"/>
                <w:b w:val="0"/>
                <w:bCs w:val="0"/>
                <w:kern w:val="0"/>
                <w:sz w:val="18"/>
                <w:szCs w:val="18"/>
                <w14:ligatures w14:val="none"/>
              </w:rPr>
            </w:pPr>
            <w:r w:rsidRPr="00261DEE">
              <w:rPr>
                <w:rFonts w:eastAsia="Times New Roman"/>
                <w:b w:val="0"/>
                <w:bCs w:val="0"/>
                <w:kern w:val="0"/>
                <w:sz w:val="18"/>
                <w:szCs w:val="18"/>
                <w14:ligatures w14:val="none"/>
              </w:rPr>
              <w:t>Nog niet in werking getreden:</w:t>
            </w:r>
          </w:p>
          <w:p w:rsidRPr="00592999" w:rsidR="00261DEE" w:rsidP="00592999" w:rsidRDefault="00261DEE" w14:paraId="3CE5F579" w14:textId="77777777">
            <w:pPr>
              <w:spacing w:line="276" w:lineRule="auto"/>
              <w:rPr>
                <w:rFonts w:eastAsia="Times New Roman"/>
                <w:b w:val="0"/>
                <w:bCs w:val="0"/>
                <w:kern w:val="0"/>
                <w:sz w:val="18"/>
                <w:szCs w:val="18"/>
                <w14:ligatures w14:val="none"/>
              </w:rPr>
            </w:pPr>
          </w:p>
          <w:p w:rsidRPr="00592999" w:rsidR="00592999" w:rsidP="00592999" w:rsidRDefault="00592999" w14:paraId="031749DA" w14:textId="77777777">
            <w:pPr>
              <w:spacing w:line="276" w:lineRule="auto"/>
              <w:rPr>
                <w:rFonts w:eastAsia="Times New Roman"/>
                <w:kern w:val="0"/>
                <w:sz w:val="18"/>
                <w:szCs w:val="18"/>
                <w14:ligatures w14:val="none"/>
              </w:rPr>
            </w:pPr>
            <w:r w:rsidRPr="00592999">
              <w:rPr>
                <w:rFonts w:eastAsia="Times New Roman"/>
                <w:b w:val="0"/>
                <w:bCs w:val="0"/>
                <w:kern w:val="0"/>
                <w:sz w:val="18"/>
                <w:szCs w:val="18"/>
                <w14:ligatures w14:val="none"/>
              </w:rPr>
              <w:t>Artikel X</w:t>
            </w:r>
          </w:p>
        </w:tc>
        <w:tc>
          <w:tcPr>
            <w:tcW w:w="953" w:type="dxa"/>
            <w:vMerge w:val="restart"/>
          </w:tcPr>
          <w:p w:rsidRPr="00592999" w:rsidR="00592999" w:rsidP="00592999" w:rsidRDefault="00592999" w14:paraId="2F78E459"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r w:rsidRPr="00592999">
              <w:rPr>
                <w:rFonts w:eastAsia="Times New Roman"/>
                <w:kern w:val="0"/>
                <w:sz w:val="18"/>
                <w:szCs w:val="18"/>
                <w14:ligatures w14:val="none"/>
              </w:rPr>
              <w:t>2024</w:t>
            </w:r>
          </w:p>
        </w:tc>
        <w:tc>
          <w:tcPr>
            <w:tcW w:w="4672" w:type="dxa"/>
          </w:tcPr>
          <w:p w:rsidRPr="00057D4F" w:rsidR="00592999" w:rsidP="00592999" w:rsidRDefault="00592999" w14:paraId="4BDCEDFF"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lang w:eastAsia="nl-NL"/>
                <w14:ligatures w14:val="none"/>
              </w:rPr>
            </w:pPr>
            <w:r w:rsidRPr="00057D4F">
              <w:rPr>
                <w:rFonts w:eastAsia="Times New Roman"/>
                <w:kern w:val="0"/>
                <w:sz w:val="18"/>
                <w:szCs w:val="18"/>
                <w:u w:val="single"/>
                <w:lang w:eastAsia="nl-NL"/>
                <w14:ligatures w14:val="none"/>
              </w:rPr>
              <w:t xml:space="preserve">Maatregel: </w:t>
            </w:r>
          </w:p>
          <w:p w:rsidRPr="00592999" w:rsidR="00592999" w:rsidP="00592999" w:rsidRDefault="00592999" w14:paraId="75A31AF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eastAsia="nl-NL"/>
                <w14:ligatures w14:val="none"/>
              </w:rPr>
            </w:pPr>
            <w:r w:rsidRPr="00592999">
              <w:rPr>
                <w:rFonts w:eastAsia="Times New Roman"/>
                <w:kern w:val="0"/>
                <w:sz w:val="18"/>
                <w:szCs w:val="18"/>
                <w:lang w:eastAsia="nl-NL"/>
                <w14:ligatures w14:val="none"/>
              </w:rPr>
              <w:t>Met de voorgestelde wijziging van artikel 28, eerste lid, IW 1990 wordt een omissie hersteld. Per 1 januari 2013 is de in de IW 1990 opgenomen renteregeling gewijzigd. Sindsdien is het in rekening brengen en het vergoeden van invorderingsrente in afzonderlijke wettelijke bepalingen geregeld. Bij deze wijziging is per abuis artikel 28, zesde lid, IW 1990 komen te vervallen. Dit lid regelde onder meer dat wanneer een belastingaanslag waarvan de geldende betalingstermijn is verstreken wordt verminderd als gevolg van een verliescompensatie, invorderingsrente is verschuldigd over het bedrag van de belastingaanslag zoals dat luidde vóór de vermindering.</w:t>
            </w:r>
          </w:p>
        </w:tc>
      </w:tr>
      <w:tr w:rsidRPr="00592999" w:rsidR="00592999" w:rsidTr="00511C8B" w14:paraId="15AA81FB" w14:textId="77777777">
        <w:trPr>
          <w:trHeight w:val="2229"/>
        </w:trPr>
        <w:tc>
          <w:tcPr>
            <w:cnfStyle w:val="001000000000" w:firstRow="0" w:lastRow="0" w:firstColumn="1" w:lastColumn="0" w:oddVBand="0" w:evenVBand="0" w:oddHBand="0" w:evenHBand="0" w:firstRowFirstColumn="0" w:firstRowLastColumn="0" w:lastRowFirstColumn="0" w:lastRowLastColumn="0"/>
            <w:tcW w:w="3437" w:type="dxa"/>
            <w:vMerge/>
          </w:tcPr>
          <w:p w:rsidRPr="00592999" w:rsidR="00592999" w:rsidP="00592999" w:rsidRDefault="00592999" w14:paraId="6B38F0DF" w14:textId="77777777">
            <w:pPr>
              <w:spacing w:line="276" w:lineRule="auto"/>
              <w:rPr>
                <w:rFonts w:eastAsia="Times New Roman"/>
                <w:kern w:val="0"/>
                <w:sz w:val="18"/>
                <w:szCs w:val="18"/>
                <w14:ligatures w14:val="none"/>
              </w:rPr>
            </w:pPr>
          </w:p>
        </w:tc>
        <w:tc>
          <w:tcPr>
            <w:tcW w:w="953" w:type="dxa"/>
            <w:vMerge/>
          </w:tcPr>
          <w:p w:rsidRPr="00592999" w:rsidR="00592999" w:rsidP="00592999" w:rsidRDefault="00592999" w14:paraId="027D93A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14:ligatures w14:val="none"/>
              </w:rPr>
            </w:pPr>
          </w:p>
        </w:tc>
        <w:tc>
          <w:tcPr>
            <w:tcW w:w="4672" w:type="dxa"/>
          </w:tcPr>
          <w:p w:rsidRPr="00057D4F" w:rsidR="00592999" w:rsidP="00592999" w:rsidRDefault="00592999" w14:paraId="26960BDE"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u w:val="single"/>
                <w:lang w:eastAsia="nl-NL"/>
                <w14:ligatures w14:val="none"/>
              </w:rPr>
            </w:pPr>
            <w:r w:rsidRPr="00057D4F">
              <w:rPr>
                <w:rFonts w:eastAsia="Times New Roman"/>
                <w:kern w:val="0"/>
                <w:sz w:val="18"/>
                <w:szCs w:val="18"/>
                <w:u w:val="single"/>
                <w:lang w:eastAsia="nl-NL"/>
                <w14:ligatures w14:val="none"/>
              </w:rPr>
              <w:t>Toelichting KB:</w:t>
            </w:r>
          </w:p>
          <w:p w:rsidRPr="00592999" w:rsidR="00592999" w:rsidP="00592999" w:rsidRDefault="00592999" w14:paraId="6551FED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kern w:val="0"/>
                <w:sz w:val="18"/>
                <w:szCs w:val="18"/>
                <w:lang w:eastAsia="nl-NL"/>
                <w14:ligatures w14:val="none"/>
              </w:rPr>
            </w:pPr>
            <w:r w:rsidRPr="00592999">
              <w:rPr>
                <w:rFonts w:eastAsia="Times New Roman"/>
                <w:kern w:val="0"/>
                <w:sz w:val="18"/>
                <w:szCs w:val="18"/>
                <w:lang w:eastAsia="nl-NL"/>
                <w14:ligatures w14:val="none"/>
              </w:rPr>
              <w:t>De wijziging van artikel 28, eerste lid, IW 1990 zal in verband met de benodigde wijziging in de automatisering – naar verwachting - per 1 januari 2027 in werking kunnen treden. In navolging hiervan wordt voorgesteld om deze wijziging op een bij koninklijk besluit te bepalen moment in werking te laten treden.</w:t>
            </w:r>
          </w:p>
        </w:tc>
      </w:tr>
      <w:tr w:rsidRPr="00592999" w:rsidR="00592999" w:rsidTr="00511C8B" w14:paraId="07806F47" w14:textId="77777777">
        <w:trPr>
          <w:cnfStyle w:val="000000100000" w:firstRow="0" w:lastRow="0" w:firstColumn="0" w:lastColumn="0" w:oddVBand="0" w:evenVBand="0" w:oddHBand="1" w:evenHBand="0" w:firstRowFirstColumn="0" w:firstRowLastColumn="0" w:lastRowFirstColumn="0" w:lastRowLastColumn="0"/>
          <w:trHeight w:val="2407"/>
        </w:trPr>
        <w:tc>
          <w:tcPr>
            <w:cnfStyle w:val="001000000000" w:firstRow="0" w:lastRow="0" w:firstColumn="1" w:lastColumn="0" w:oddVBand="0" w:evenVBand="0" w:oddHBand="0" w:evenHBand="0" w:firstRowFirstColumn="0" w:firstRowLastColumn="0" w:lastRowFirstColumn="0" w:lastRowLastColumn="0"/>
            <w:tcW w:w="3437" w:type="dxa"/>
            <w:vMerge/>
          </w:tcPr>
          <w:p w:rsidRPr="00592999" w:rsidR="00592999" w:rsidP="00592999" w:rsidRDefault="00592999" w14:paraId="49494809" w14:textId="77777777">
            <w:pPr>
              <w:spacing w:line="276" w:lineRule="auto"/>
              <w:rPr>
                <w:rFonts w:eastAsia="Times New Roman"/>
                <w:kern w:val="0"/>
                <w:sz w:val="18"/>
                <w:szCs w:val="18"/>
                <w14:ligatures w14:val="none"/>
              </w:rPr>
            </w:pPr>
          </w:p>
        </w:tc>
        <w:tc>
          <w:tcPr>
            <w:tcW w:w="953" w:type="dxa"/>
            <w:vMerge/>
          </w:tcPr>
          <w:p w:rsidRPr="00592999" w:rsidR="00592999" w:rsidP="00592999" w:rsidRDefault="00592999" w14:paraId="1B5D508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14:ligatures w14:val="none"/>
              </w:rPr>
            </w:pPr>
          </w:p>
        </w:tc>
        <w:tc>
          <w:tcPr>
            <w:tcW w:w="4672" w:type="dxa"/>
          </w:tcPr>
          <w:p w:rsidRPr="00057D4F" w:rsidR="00057D4F" w:rsidP="00592999" w:rsidRDefault="00592999" w14:paraId="0FED616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u w:val="single"/>
                <w:lang w:eastAsia="nl-NL"/>
                <w14:ligatures w14:val="none"/>
              </w:rPr>
            </w:pPr>
            <w:r w:rsidRPr="00057D4F">
              <w:rPr>
                <w:rFonts w:eastAsia="Times New Roman"/>
                <w:kern w:val="0"/>
                <w:sz w:val="18"/>
                <w:szCs w:val="18"/>
                <w:u w:val="single"/>
                <w:lang w:eastAsia="nl-NL"/>
                <w14:ligatures w14:val="none"/>
              </w:rPr>
              <w:t xml:space="preserve">Informatie Kamer &amp; </w:t>
            </w:r>
            <w:r w:rsidRPr="00057D4F" w:rsidR="00057D4F">
              <w:rPr>
                <w:rFonts w:eastAsia="Times New Roman"/>
                <w:kern w:val="0"/>
                <w:sz w:val="18"/>
                <w:szCs w:val="18"/>
                <w:u w:val="single"/>
                <w:lang w:eastAsia="nl-NL"/>
                <w14:ligatures w14:val="none"/>
              </w:rPr>
              <w:t>s</w:t>
            </w:r>
            <w:r w:rsidRPr="00057D4F">
              <w:rPr>
                <w:rFonts w:eastAsia="Times New Roman"/>
                <w:kern w:val="0"/>
                <w:sz w:val="18"/>
                <w:szCs w:val="18"/>
                <w:u w:val="single"/>
                <w:lang w:eastAsia="nl-NL"/>
                <w14:ligatures w14:val="none"/>
              </w:rPr>
              <w:t xml:space="preserve">tand van </w:t>
            </w:r>
            <w:r w:rsidRPr="00057D4F" w:rsidR="00057D4F">
              <w:rPr>
                <w:rFonts w:eastAsia="Times New Roman"/>
                <w:kern w:val="0"/>
                <w:sz w:val="18"/>
                <w:szCs w:val="18"/>
                <w:u w:val="single"/>
                <w:lang w:eastAsia="nl-NL"/>
                <w14:ligatures w14:val="none"/>
              </w:rPr>
              <w:t>z</w:t>
            </w:r>
            <w:r w:rsidRPr="00057D4F">
              <w:rPr>
                <w:rFonts w:eastAsia="Times New Roman"/>
                <w:kern w:val="0"/>
                <w:sz w:val="18"/>
                <w:szCs w:val="18"/>
                <w:u w:val="single"/>
                <w:lang w:eastAsia="nl-NL"/>
                <w14:ligatures w14:val="none"/>
              </w:rPr>
              <w:t xml:space="preserve">aken: </w:t>
            </w:r>
            <w:bookmarkStart w:name="_Hlk193450969" w:id="0"/>
          </w:p>
          <w:p w:rsidRPr="00592999" w:rsidR="00592999" w:rsidP="00592999" w:rsidRDefault="00592999" w14:paraId="65E7C514" w14:textId="11CD66CC">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bCs/>
                <w:kern w:val="0"/>
                <w:sz w:val="18"/>
                <w:szCs w:val="18"/>
                <w:lang w:eastAsia="nl-NL"/>
                <w14:ligatures w14:val="none"/>
              </w:rPr>
            </w:pPr>
            <w:r w:rsidRPr="00592999">
              <w:rPr>
                <w:rFonts w:eastAsia="Times New Roman"/>
                <w:kern w:val="0"/>
                <w:sz w:val="18"/>
                <w:szCs w:val="18"/>
                <w14:ligatures w14:val="none"/>
              </w:rPr>
              <w:t>In de memorie van toelichting is aangegeven waarom de inwerkingtreding bij Koninklijk Besluit dient plaats te vinden. Dit is mogelijk wanneer de inningssystemen dit toelaten. Afronding van dit proces wordt niet voor eind 2026 voorzien. De Kamer wordt periodiek geïnformeerd over de voortgang van de ICT-ontwikkeling bij de Belastingdienst.</w:t>
            </w:r>
            <w:bookmarkEnd w:id="0"/>
          </w:p>
        </w:tc>
      </w:tr>
    </w:tbl>
    <w:p w:rsidR="00B21615" w:rsidRDefault="00B21615" w14:paraId="795ACBE8" w14:textId="77777777"/>
    <w:sectPr w:rsidR="00B21615">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C8C8" w14:textId="77777777" w:rsidR="00592999" w:rsidRDefault="00592999" w:rsidP="00592999">
      <w:r>
        <w:separator/>
      </w:r>
    </w:p>
  </w:endnote>
  <w:endnote w:type="continuationSeparator" w:id="0">
    <w:p w14:paraId="27E489C3" w14:textId="77777777" w:rsidR="00592999" w:rsidRDefault="00592999" w:rsidP="0059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224982"/>
      <w:docPartObj>
        <w:docPartGallery w:val="Page Numbers (Bottom of Page)"/>
        <w:docPartUnique/>
      </w:docPartObj>
    </w:sdtPr>
    <w:sdtEndPr/>
    <w:sdtContent>
      <w:p w14:paraId="0C3C3EE2" w14:textId="3E35BCF4" w:rsidR="00F51E34" w:rsidRDefault="00F51E34">
        <w:pPr>
          <w:pStyle w:val="Voettekst"/>
          <w:jc w:val="right"/>
        </w:pPr>
        <w:r>
          <w:fldChar w:fldCharType="begin"/>
        </w:r>
        <w:r>
          <w:instrText>PAGE   \* MERGEFORMAT</w:instrText>
        </w:r>
        <w:r>
          <w:fldChar w:fldCharType="separate"/>
        </w:r>
        <w:r>
          <w:t>2</w:t>
        </w:r>
        <w:r>
          <w:fldChar w:fldCharType="end"/>
        </w:r>
      </w:p>
    </w:sdtContent>
  </w:sdt>
  <w:p w14:paraId="4E54549C" w14:textId="77777777" w:rsidR="00F51E34" w:rsidRDefault="00F51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B281" w14:textId="77777777" w:rsidR="00592999" w:rsidRDefault="00592999" w:rsidP="00592999">
      <w:r>
        <w:separator/>
      </w:r>
    </w:p>
  </w:footnote>
  <w:footnote w:type="continuationSeparator" w:id="0">
    <w:p w14:paraId="6C1BB459" w14:textId="77777777" w:rsidR="00592999" w:rsidRDefault="00592999" w:rsidP="00592999">
      <w:r>
        <w:continuationSeparator/>
      </w:r>
    </w:p>
  </w:footnote>
  <w:footnote w:id="1">
    <w:p w14:paraId="721D5587" w14:textId="77777777" w:rsidR="00592999" w:rsidRDefault="00592999" w:rsidP="00592999">
      <w:pPr>
        <w:pStyle w:val="Voetnoottekst"/>
        <w:rPr>
          <w:rFonts w:ascii="Verdana" w:hAnsi="Verdana"/>
          <w:sz w:val="13"/>
          <w:szCs w:val="13"/>
        </w:rPr>
      </w:pPr>
      <w:r>
        <w:rPr>
          <w:rStyle w:val="Voetnootmarkering"/>
          <w:sz w:val="13"/>
          <w:szCs w:val="13"/>
        </w:rPr>
        <w:footnoteRef/>
      </w:r>
      <w:r>
        <w:rPr>
          <w:rFonts w:ascii="Verdana" w:hAnsi="Verdana"/>
          <w:sz w:val="13"/>
          <w:szCs w:val="13"/>
        </w:rPr>
        <w:t xml:space="preserve"> Zie bijvoorbeeld het beroep dat Petrogas op 30 december 2022 heeft ingesteld tegen de Raad van de Europese Unie, T-803/22.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18"/>
    <w:rsid w:val="00057D4F"/>
    <w:rsid w:val="000F5069"/>
    <w:rsid w:val="00113C89"/>
    <w:rsid w:val="001868E7"/>
    <w:rsid w:val="001E2D0C"/>
    <w:rsid w:val="00231354"/>
    <w:rsid w:val="00261DEE"/>
    <w:rsid w:val="00364889"/>
    <w:rsid w:val="00511C8B"/>
    <w:rsid w:val="00592999"/>
    <w:rsid w:val="005E49B4"/>
    <w:rsid w:val="005E55CE"/>
    <w:rsid w:val="006C4A40"/>
    <w:rsid w:val="006C7EB7"/>
    <w:rsid w:val="008014AD"/>
    <w:rsid w:val="008A626A"/>
    <w:rsid w:val="00A715D5"/>
    <w:rsid w:val="00B15199"/>
    <w:rsid w:val="00B21615"/>
    <w:rsid w:val="00BD549C"/>
    <w:rsid w:val="00C76501"/>
    <w:rsid w:val="00C83F12"/>
    <w:rsid w:val="00CF6E18"/>
    <w:rsid w:val="00F02960"/>
    <w:rsid w:val="00F51E34"/>
    <w:rsid w:val="00F71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969BD"/>
  <w15:chartTrackingRefBased/>
  <w15:docId w15:val="{1F7656CE-018C-4533-B2FA-400B2FA4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4AD"/>
    <w:rPr>
      <w:rFonts w:ascii="Verdana" w:hAnsi="Verdana"/>
    </w:rPr>
  </w:style>
  <w:style w:type="paragraph" w:styleId="Kop1">
    <w:name w:val="heading 1"/>
    <w:basedOn w:val="Standaard"/>
    <w:next w:val="Standaard"/>
    <w:link w:val="Kop1Char"/>
    <w:uiPriority w:val="9"/>
    <w:qFormat/>
    <w:rsid w:val="00CF6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6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6E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6E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F6E1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F6E1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F6E1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F6E1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F6E1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E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6E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6E1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F6E1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F6E1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F6E1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F6E1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F6E1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F6E1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F6E1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E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E1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F6E1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F6E18"/>
    <w:rPr>
      <w:rFonts w:ascii="Verdana" w:hAnsi="Verdana"/>
      <w:i/>
      <w:iCs/>
      <w:color w:val="404040" w:themeColor="text1" w:themeTint="BF"/>
    </w:rPr>
  </w:style>
  <w:style w:type="paragraph" w:styleId="Lijstalinea">
    <w:name w:val="List Paragraph"/>
    <w:basedOn w:val="Standaard"/>
    <w:uiPriority w:val="34"/>
    <w:qFormat/>
    <w:rsid w:val="00CF6E18"/>
    <w:pPr>
      <w:ind w:left="720"/>
      <w:contextualSpacing/>
    </w:pPr>
  </w:style>
  <w:style w:type="character" w:styleId="Intensievebenadrukking">
    <w:name w:val="Intense Emphasis"/>
    <w:basedOn w:val="Standaardalinea-lettertype"/>
    <w:uiPriority w:val="21"/>
    <w:qFormat/>
    <w:rsid w:val="00CF6E18"/>
    <w:rPr>
      <w:i/>
      <w:iCs/>
      <w:color w:val="2F5496" w:themeColor="accent1" w:themeShade="BF"/>
    </w:rPr>
  </w:style>
  <w:style w:type="paragraph" w:styleId="Duidelijkcitaat">
    <w:name w:val="Intense Quote"/>
    <w:basedOn w:val="Standaard"/>
    <w:next w:val="Standaard"/>
    <w:link w:val="DuidelijkcitaatChar"/>
    <w:uiPriority w:val="30"/>
    <w:qFormat/>
    <w:rsid w:val="00CF6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6E18"/>
    <w:rPr>
      <w:rFonts w:ascii="Verdana" w:hAnsi="Verdana"/>
      <w:i/>
      <w:iCs/>
      <w:color w:val="2F5496" w:themeColor="accent1" w:themeShade="BF"/>
    </w:rPr>
  </w:style>
  <w:style w:type="character" w:styleId="Intensieveverwijzing">
    <w:name w:val="Intense Reference"/>
    <w:basedOn w:val="Standaardalinea-lettertype"/>
    <w:uiPriority w:val="32"/>
    <w:qFormat/>
    <w:rsid w:val="00CF6E1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92999"/>
    <w:rPr>
      <w:rFonts w:ascii="Calibri" w:eastAsia="Times New Roman" w:hAnsi="Calibri"/>
      <w:kern w:val="0"/>
      <w:lang w:eastAsia="nl-NL"/>
      <w14:ligatures w14:val="none"/>
    </w:rPr>
  </w:style>
  <w:style w:type="character" w:customStyle="1" w:styleId="VoetnoottekstChar">
    <w:name w:val="Voetnoottekst Char"/>
    <w:basedOn w:val="Standaardalinea-lettertype"/>
    <w:link w:val="Voetnoottekst"/>
    <w:uiPriority w:val="99"/>
    <w:semiHidden/>
    <w:rsid w:val="00592999"/>
    <w:rPr>
      <w:rFonts w:ascii="Calibri" w:eastAsia="Times New Roman" w:hAnsi="Calibri"/>
      <w:kern w:val="0"/>
      <w:lang w:eastAsia="nl-NL"/>
      <w14:ligatures w14:val="none"/>
    </w:rPr>
  </w:style>
  <w:style w:type="character" w:styleId="Voetnootmarkering">
    <w:name w:val="footnote reference"/>
    <w:basedOn w:val="Standaardalinea-lettertype"/>
    <w:uiPriority w:val="99"/>
    <w:semiHidden/>
    <w:unhideWhenUsed/>
    <w:rsid w:val="00592999"/>
    <w:rPr>
      <w:vertAlign w:val="superscript"/>
    </w:rPr>
  </w:style>
  <w:style w:type="table" w:styleId="Lijsttabel4-Accent1">
    <w:name w:val="List Table 4 Accent 1"/>
    <w:basedOn w:val="Standaardtabel"/>
    <w:uiPriority w:val="49"/>
    <w:rsid w:val="0059299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F51E34"/>
    <w:pPr>
      <w:tabs>
        <w:tab w:val="center" w:pos="4536"/>
        <w:tab w:val="right" w:pos="9072"/>
      </w:tabs>
    </w:pPr>
  </w:style>
  <w:style w:type="character" w:customStyle="1" w:styleId="KoptekstChar">
    <w:name w:val="Koptekst Char"/>
    <w:basedOn w:val="Standaardalinea-lettertype"/>
    <w:link w:val="Koptekst"/>
    <w:uiPriority w:val="99"/>
    <w:rsid w:val="00F51E34"/>
    <w:rPr>
      <w:rFonts w:ascii="Verdana" w:hAnsi="Verdana"/>
    </w:rPr>
  </w:style>
  <w:style w:type="paragraph" w:styleId="Voettekst">
    <w:name w:val="footer"/>
    <w:basedOn w:val="Standaard"/>
    <w:link w:val="VoettekstChar"/>
    <w:uiPriority w:val="99"/>
    <w:unhideWhenUsed/>
    <w:rsid w:val="00F51E34"/>
    <w:pPr>
      <w:tabs>
        <w:tab w:val="center" w:pos="4536"/>
        <w:tab w:val="right" w:pos="9072"/>
      </w:tabs>
    </w:pPr>
  </w:style>
  <w:style w:type="character" w:customStyle="1" w:styleId="VoettekstChar">
    <w:name w:val="Voettekst Char"/>
    <w:basedOn w:val="Standaardalinea-lettertype"/>
    <w:link w:val="Voettekst"/>
    <w:uiPriority w:val="99"/>
    <w:rsid w:val="00F51E34"/>
    <w:rPr>
      <w:rFonts w:ascii="Verdana" w:hAnsi="Verdana"/>
    </w:rPr>
  </w:style>
  <w:style w:type="table" w:styleId="Lijsttabel4-Accent5">
    <w:name w:val="List Table 4 Accent 5"/>
    <w:basedOn w:val="Standaardtabel"/>
    <w:uiPriority w:val="49"/>
    <w:rsid w:val="00511C8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1813</ap:Words>
  <ap:Characters>9976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2026-06-10T14:09:00.0000000Z</dcterms:created>
  <dcterms:modified xsi:type="dcterms:W3CDTF">2026-06-10T14:09:00.0000000Z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2026-04-20T13:08:51Z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bd182df2-fede-4e4c-b343-31039f3c2cc2</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