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arto="http://schemas.microsoft.com/office/word/2006/arto"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0457B6" w:rsidTr="000457B6" w14:paraId="198DFB2A" w14:textId="77777777">
        <w:sdt>
          <w:sdtPr>
            <w:tag w:val="bmZaakNummerAdvies"/>
            <w:id w:val="1894006909"/>
            <w:lock w:val="sdtLocked"/>
            <w:placeholder>
              <w:docPart w:val="DefaultPlaceholder_-1854013440"/>
            </w:placeholder>
          </w:sdtPr>
          <w:sdtEndPr/>
          <w:sdtContent>
            <w:tc>
              <w:tcPr>
                <w:tcW w:w="4251" w:type="dxa"/>
              </w:tcPr>
              <w:p w:rsidR="000457B6" w:rsidRDefault="000457B6" w14:paraId="31E45547" w14:textId="5684A559">
                <w:r>
                  <w:t>No. W18.25.00307/IV</w:t>
                </w:r>
              </w:p>
            </w:tc>
          </w:sdtContent>
        </w:sdt>
        <w:sdt>
          <w:sdtPr>
            <w:tag w:val="bmDatumAdvies"/>
            <w:id w:val="1955199470"/>
            <w:lock w:val="sdtLocked"/>
            <w:placeholder>
              <w:docPart w:val="DefaultPlaceholder_-1854013440"/>
            </w:placeholder>
          </w:sdtPr>
          <w:sdtEndPr/>
          <w:sdtContent>
            <w:tc>
              <w:tcPr>
                <w:tcW w:w="4252" w:type="dxa"/>
              </w:tcPr>
              <w:p w:rsidR="000457B6" w:rsidRDefault="000457B6" w14:paraId="1FA86095" w14:textId="37DE604E">
                <w:r>
                  <w:t>'s-Gravenhage, 4 februari 2026</w:t>
                </w:r>
              </w:p>
            </w:tc>
          </w:sdtContent>
        </w:sdt>
      </w:tr>
    </w:tbl>
    <w:p w:rsidR="000457B6" w:rsidRDefault="000457B6" w14:paraId="6A61A214" w14:textId="77777777"/>
    <w:p w:rsidR="000457B6" w:rsidRDefault="000457B6" w14:paraId="43DA9E04" w14:textId="77777777"/>
    <w:p w:rsidR="001978DD" w:rsidRDefault="00C37896" w14:paraId="22DF2ED8" w14:textId="754CA21C">
      <w:sdt>
        <w:sdtPr>
          <w:tag w:val="bmAanhef"/>
          <w:id w:val="1561217042"/>
          <w:lock w:val="sdtLocked"/>
          <w:placeholder>
            <w:docPart w:val="DefaultPlaceholder_-1854013440"/>
          </w:placeholder>
        </w:sdtPr>
        <w:sdtEndPr/>
        <w:sdtContent>
          <w:r w:rsidR="000457B6">
            <w:rPr>
              <w:color w:val="000000"/>
            </w:rPr>
            <w:t>Bij Kabinetsmissive van 21 oktober 2025, no.2025002364, heeft Uwe Majesteit, op voordracht van de Minister van Economische Zaken</w:t>
          </w:r>
          <w:r w:rsidR="0060170A">
            <w:rPr>
              <w:color w:val="000000"/>
            </w:rPr>
            <w:t>,</w:t>
          </w:r>
          <w:r w:rsidR="000457B6">
            <w:rPr>
              <w:color w:val="000000"/>
            </w:rPr>
            <w:t xml:space="preserve"> mede namens de Staatssecretaris van Justitie en Veiligheid,</w:t>
          </w:r>
          <w:r w:rsidR="00B425A8">
            <w:rPr>
              <w:color w:val="000000"/>
            </w:rPr>
            <w:t xml:space="preserve"> de Minister van </w:t>
          </w:r>
          <w:r w:rsidR="00BD3A07">
            <w:rPr>
              <w:color w:val="000000"/>
            </w:rPr>
            <w:t>Financiën</w:t>
          </w:r>
          <w:r w:rsidR="00CC233F">
            <w:rPr>
              <w:color w:val="000000"/>
            </w:rPr>
            <w:t>, de Minister van Infrastructuur en Waterstaat en de Minister van Volksgezondheid, Welzijn en Sport</w:t>
          </w:r>
          <w:r w:rsidR="000457B6">
            <w:rPr>
              <w:color w:val="000000"/>
            </w:rPr>
            <w:t xml:space="preserve"> bij de Afdeling advisering van de Raad van State ter overweging aanhangig gemaakt het voorstel tot wijziging van de Algemene wet erkenning EU-beroepskwalificaties, de Advocatenwet, de Wet op het notarisambt, de Gerechtsdeurwaarderswet, de Wet op het accountantsberoep, de Loodsenwet en de Wet op de beroepen in de individuele gezondheidszorg, ter nadere implementatie van richtlijn (EU) 2018/958 ten aanzien van beroepsorganisaties met regelgevende bevoegdheid (implementatie Proportionaliteitsrichtlijn inzake beroepsorganisaties met regelgevende bevoegdheid), met memorie van toelichting.</w:t>
          </w:r>
        </w:sdtContent>
      </w:sdt>
    </w:p>
    <w:p w:rsidR="001978DD" w:rsidRDefault="00BE18A5" w14:paraId="22DF2ED9" w14:textId="3456E4A6">
      <w:r>
        <w:rPr>
          <w:noProof/>
        </w:rPr>
        <mc:AlternateContent>
          <mc:Choice Requires="wpi">
            <w:drawing>
              <wp:anchor distT="0" distB="0" distL="114300" distR="114300" simplePos="0" relativeHeight="251658240" behindDoc="0" locked="0" layoutInCell="1" allowOverlap="1" wp14:editId="136CAD15" wp14:anchorId="61AEA4EE">
                <wp:simplePos x="0" y="0"/>
                <wp:positionH relativeFrom="column">
                  <wp:posOffset>5178470</wp:posOffset>
                </wp:positionH>
                <wp:positionV relativeFrom="paragraph">
                  <wp:posOffset>-5260</wp:posOffset>
                </wp:positionV>
                <wp:extent cx="47880" cy="28800"/>
                <wp:effectExtent l="38100" t="38100" r="47625" b="47625"/>
                <wp:wrapNone/>
                <wp:docPr id="70614770" name="Inkt 2"/>
                <wp:cNvGraphicFramePr/>
                <a:graphic xmlns:a="http://schemas.openxmlformats.org/drawingml/2006/main">
                  <a:graphicData uri="http://schemas.microsoft.com/office/word/2010/wordprocessingInk">
                    <w14:contentPart r:id="rId13" bwMode="auto">
                      <w14:nvContentPartPr>
                        <w14:cNvContentPartPr/>
                      </w14:nvContentPartPr>
                      <w14:xfrm>
                        <a:off x="0" y="0"/>
                        <a:ext cx="47880" cy="28800"/>
                      </w14:xfrm>
                    </w14:contentPart>
                  </a:graphicData>
                </a:graphic>
              </wp:anchor>
            </w:drawing>
          </mc:Choice>
          <mc:Fallback xmlns:arto="http://schemas.microsoft.com/office/word/2006/arto">
            <w:pict>
              <v:shapetype id="_x0000_t75" coordsize="21600,21600" filled="f" stroked="f" o:spt="75" o:preferrelative="t" path="m@4@5l@4@11@9@11@9@5xe" w14:anchorId="70C06306">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t 2" style="position:absolute;margin-left:407.25pt;margin-top:-.9pt;width:4.75pt;height:3.25pt;z-index:25166028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">
                <v:imagedata o:title="" r:id="rId14"/>
              </v:shape>
            </w:pict>
          </mc:Fallback>
        </mc:AlternateContent>
      </w:r>
    </w:p>
    <w:sdt>
      <w:sdtPr>
        <w:tag w:val="bmVrijeTekst1"/>
        <w:id w:val="-770247423"/>
        <w:lock w:val="sdtLocked"/>
        <w:placeholder>
          <w:docPart w:val="DefaultPlaceholder_-1854013440"/>
        </w:placeholder>
      </w:sdtPr>
      <w:sdtEndPr/>
      <w:sdtContent>
        <w:p w:rsidR="00C53803" w:rsidP="00116211" w:rsidRDefault="00E7042D" w14:paraId="3A21865E" w14:textId="77777777">
          <w:r>
            <w:t xml:space="preserve">Met dit wetsvoorstel wordt de </w:t>
          </w:r>
          <w:r w:rsidR="00B71E4E">
            <w:t>richtlijn betreffende een evenredigheidsbeoordeling voorafgaand aan nieuwe reglementering van bero</w:t>
          </w:r>
          <w:r w:rsidR="00DB14F8">
            <w:t xml:space="preserve">epen (hierna: Proportionaliteitsrichtlijn) nader </w:t>
          </w:r>
          <w:r w:rsidR="001E7AD6">
            <w:t>geïmplementeerd</w:t>
          </w:r>
          <w:r w:rsidR="00DB14F8">
            <w:t>.</w:t>
          </w:r>
          <w:r w:rsidR="00DB14F8">
            <w:rPr>
              <w:rStyle w:val="Voetnootmarkering"/>
            </w:rPr>
            <w:footnoteReference w:id="2"/>
          </w:r>
          <w:r w:rsidR="00E171CE">
            <w:t xml:space="preserve"> In de Algemene wet erkenning EU-beroepskwalificaties (hierna: Algemene wet) en in </w:t>
          </w:r>
          <w:r w:rsidR="00E15D58">
            <w:t>zes</w:t>
          </w:r>
          <w:r w:rsidR="00EF2579">
            <w:t xml:space="preserve"> </w:t>
          </w:r>
          <w:r w:rsidR="00E171CE">
            <w:t xml:space="preserve">bijzondere wetten wordt geregeld dat ook beroepsorganisaties met regelgevende bevoegdheid </w:t>
          </w:r>
          <w:r w:rsidR="00827B6E">
            <w:t>een evenredigheidsbeoordeling moeten uitvoeren</w:t>
          </w:r>
          <w:r w:rsidR="00A443BC">
            <w:t xml:space="preserve">. </w:t>
          </w:r>
        </w:p>
        <w:p w:rsidR="00C53803" w:rsidP="00116211" w:rsidRDefault="00C53803" w14:paraId="4DEA304B" w14:textId="77777777"/>
        <w:p w:rsidR="00FF626A" w:rsidP="00116211" w:rsidRDefault="00596DD6" w14:paraId="45A6F4A7" w14:textId="332C84AA">
          <w:r>
            <w:t>Die beoordeling moet plaatsvinden v</w:t>
          </w:r>
          <w:r w:rsidR="00827B6E">
            <w:t xml:space="preserve">oordat zij nieuwe regels vaststellen of bestaande regels wijzigen die de toegang tot of de uitoefening van </w:t>
          </w:r>
          <w:r w:rsidR="00DB314E">
            <w:t>gereglementeerde beroepen beperken</w:t>
          </w:r>
          <w:r w:rsidR="00073BCA">
            <w:t>.</w:t>
          </w:r>
          <w:r w:rsidR="00DB314E">
            <w:t xml:space="preserve"> Ook worden zij verplicht om de evenredigheid van </w:t>
          </w:r>
          <w:r w:rsidR="005D0789">
            <w:t xml:space="preserve">dergelijke </w:t>
          </w:r>
          <w:r w:rsidR="00DB314E">
            <w:t xml:space="preserve">vastgestelde regels te blijven controleren. </w:t>
          </w:r>
          <w:r w:rsidR="00F06A77">
            <w:t xml:space="preserve">Het wetsvoorstel hangt samen met </w:t>
          </w:r>
          <w:r w:rsidR="00C8126B">
            <w:t xml:space="preserve">een separaat </w:t>
          </w:r>
          <w:r w:rsidR="000E1A68">
            <w:t xml:space="preserve">voorstel van rijkswet, namelijk </w:t>
          </w:r>
          <w:r w:rsidR="00F06A77">
            <w:t>het wetsvoorstel tot wijziging van de Rijksoctrooiwet 1995 ter nadere implementatie van de Proportionaliteitsrichtlijn.</w:t>
          </w:r>
        </w:p>
        <w:p w:rsidR="00DB314E" w:rsidP="00B71E4E" w:rsidRDefault="00DB314E" w14:paraId="41BEC44B" w14:textId="77777777"/>
        <w:p w:rsidR="00DB314E" w:rsidP="00B71E4E" w:rsidRDefault="00DB314E" w14:paraId="512BB919" w14:textId="02610C3E">
          <w:r>
            <w:t>De Afdeling advisering van de Raad van State maakt twee opmerkingen bij dit</w:t>
          </w:r>
          <w:r w:rsidR="00CD128D">
            <w:t xml:space="preserve"> </w:t>
          </w:r>
          <w:r>
            <w:t xml:space="preserve">voorstel. </w:t>
          </w:r>
        </w:p>
        <w:p w:rsidR="00BC5657" w:rsidP="00B71E4E" w:rsidRDefault="00BC5657" w14:paraId="5F3776EB" w14:textId="77777777"/>
        <w:p w:rsidR="00BC5657" w:rsidP="00B71E4E" w:rsidRDefault="00BC5657" w14:paraId="30E46F3A" w14:textId="4B58673F">
          <w:r>
            <w:t xml:space="preserve">In de eerste plaats adviseert de Afdeling om in de toelichting </w:t>
          </w:r>
          <w:r w:rsidR="00A30243">
            <w:t xml:space="preserve">nader </w:t>
          </w:r>
          <w:r>
            <w:t>te motiveren waarom de bevoegdheid van de verantwoordelijk</w:t>
          </w:r>
          <w:r w:rsidR="000467B2">
            <w:t xml:space="preserve">e </w:t>
          </w:r>
          <w:r>
            <w:t xml:space="preserve">minister om goedkeuring te onthouden </w:t>
          </w:r>
          <w:r w:rsidR="00716DF5">
            <w:t>aan ontwerpregel</w:t>
          </w:r>
          <w:r w:rsidR="00AE1DE1">
            <w:t>gev</w:t>
          </w:r>
          <w:r w:rsidR="00716DF5">
            <w:t xml:space="preserve">ing in de Algemene wet en de Loodsenwet </w:t>
          </w:r>
          <w:r w:rsidR="00F0269D">
            <w:t xml:space="preserve">discretionair </w:t>
          </w:r>
          <w:r w:rsidR="00496CCB">
            <w:t>van aard is</w:t>
          </w:r>
          <w:r w:rsidR="00AE203C">
            <w:t xml:space="preserve">. </w:t>
          </w:r>
          <w:r w:rsidR="00A65B2A">
            <w:t xml:space="preserve">Dit gezien de in die wetten geformuleerde gronden voor onthouding. </w:t>
          </w:r>
        </w:p>
        <w:p w:rsidR="00F0269D" w:rsidP="00B71E4E" w:rsidRDefault="00F0269D" w14:paraId="42654A4B" w14:textId="77777777"/>
        <w:p w:rsidR="00FF626A" w:rsidP="006B7C91" w:rsidRDefault="00F0269D" w14:paraId="47468B76" w14:textId="673F92CC">
          <w:r>
            <w:t xml:space="preserve">In de tweede plaats adviseert </w:t>
          </w:r>
          <w:r w:rsidR="00256001">
            <w:t xml:space="preserve">de Afdeling om </w:t>
          </w:r>
          <w:r w:rsidR="00BB4C01">
            <w:rPr>
              <w:rFonts w:cstheme="minorHAnsi"/>
              <w:szCs w:val="22"/>
            </w:rPr>
            <w:t xml:space="preserve">de bevoegdheid van de minister tot het geven van een bindend advies te schrappen en te vervangen door </w:t>
          </w:r>
          <w:r w:rsidR="003A3D20">
            <w:rPr>
              <w:rFonts w:cstheme="minorHAnsi"/>
              <w:szCs w:val="22"/>
            </w:rPr>
            <w:lastRenderedPageBreak/>
            <w:t>bevoegdheden van de minister die beter aansluiten bij de verhoudingen tussen de minister en de beroepsorganisatie</w:t>
          </w:r>
          <w:r w:rsidR="009C2DF4">
            <w:rPr>
              <w:rFonts w:cstheme="minorHAnsi"/>
              <w:szCs w:val="22"/>
            </w:rPr>
            <w:t>, zoals het geven van een advies</w:t>
          </w:r>
          <w:r w:rsidR="00256001">
            <w:rPr>
              <w:rFonts w:cstheme="minorHAnsi"/>
              <w:szCs w:val="22"/>
            </w:rPr>
            <w:t>.</w:t>
          </w:r>
        </w:p>
        <w:p w:rsidR="006B7C91" w:rsidP="006B7C91" w:rsidRDefault="006B7C91" w14:paraId="50B4A38C" w14:textId="77777777"/>
        <w:p w:rsidR="006B7C91" w:rsidP="00377A57" w:rsidRDefault="006B7C91" w14:paraId="41536683" w14:textId="69AC49A8">
          <w:r>
            <w:t>In verband hiermee is aanpassing wenselijk van de toelichting en, zo nodig</w:t>
          </w:r>
          <w:r w:rsidR="00926E20">
            <w:t>, van</w:t>
          </w:r>
          <w:r>
            <w:t xml:space="preserve"> het wetsvoorstel.</w:t>
          </w:r>
        </w:p>
        <w:p w:rsidR="006452C9" w:rsidP="0034435D" w:rsidRDefault="006452C9" w14:paraId="0429E2C9" w14:textId="77777777">
          <w:pPr>
            <w:jc w:val="both"/>
          </w:pPr>
        </w:p>
        <w:p w:rsidRPr="00F042D5" w:rsidR="0034435D" w:rsidP="0034435D" w:rsidRDefault="0034435D" w14:paraId="02AC70F7" w14:textId="022C9A58">
          <w:pPr>
            <w:jc w:val="both"/>
            <w:rPr>
              <w:rFonts w:cstheme="minorHAnsi"/>
              <w:szCs w:val="22"/>
              <w:u w:val="single"/>
            </w:rPr>
          </w:pPr>
          <w:r w:rsidRPr="00F042D5">
            <w:rPr>
              <w:rFonts w:cstheme="minorHAnsi"/>
              <w:szCs w:val="22"/>
            </w:rPr>
            <w:t>1.</w:t>
          </w:r>
          <w:r w:rsidRPr="00F042D5">
            <w:rPr>
              <w:rFonts w:cstheme="minorHAnsi"/>
              <w:szCs w:val="22"/>
            </w:rPr>
            <w:tab/>
          </w:r>
          <w:r w:rsidRPr="00F042D5">
            <w:rPr>
              <w:rFonts w:cstheme="minorHAnsi"/>
              <w:szCs w:val="22"/>
              <w:u w:val="single"/>
            </w:rPr>
            <w:t xml:space="preserve">Achtergrond en doel van het voorstel </w:t>
          </w:r>
        </w:p>
        <w:p w:rsidRPr="00F042D5" w:rsidR="0034435D" w:rsidP="0034435D" w:rsidRDefault="0034435D" w14:paraId="2C7672F9" w14:textId="77777777">
          <w:pPr>
            <w:jc w:val="both"/>
            <w:rPr>
              <w:rFonts w:cstheme="minorHAnsi"/>
              <w:szCs w:val="22"/>
              <w:u w:val="single"/>
            </w:rPr>
          </w:pPr>
        </w:p>
        <w:p w:rsidRPr="00F042D5" w:rsidR="00FF1AB0" w:rsidP="00FF1AB0" w:rsidRDefault="00FF1AB0" w14:paraId="7F443D34" w14:textId="77777777">
          <w:pPr>
            <w:rPr>
              <w:rFonts w:cstheme="minorHAnsi"/>
              <w:szCs w:val="22"/>
            </w:rPr>
          </w:pPr>
          <w:r>
            <w:rPr>
              <w:rFonts w:cstheme="minorHAnsi"/>
              <w:szCs w:val="22"/>
            </w:rPr>
            <w:t xml:space="preserve">Lidstaten van de Europese Unie en hun beroepsorganisaties met regelgevende bevoegdheid kunnen de toegang tot en de uitoefening van beroepen, </w:t>
          </w:r>
          <w:r w:rsidRPr="00F042D5">
            <w:rPr>
              <w:rFonts w:cstheme="minorHAnsi"/>
              <w:szCs w:val="22"/>
            </w:rPr>
            <w:t>door wettelijke of bestuursrechtelijke bepalingen</w:t>
          </w:r>
          <w:r>
            <w:rPr>
              <w:rFonts w:cstheme="minorHAnsi"/>
              <w:szCs w:val="22"/>
            </w:rPr>
            <w:t xml:space="preserve">, </w:t>
          </w:r>
          <w:r w:rsidRPr="00F042D5">
            <w:rPr>
              <w:rFonts w:cstheme="minorHAnsi"/>
              <w:szCs w:val="22"/>
            </w:rPr>
            <w:t>afhankelijk</w:t>
          </w:r>
          <w:r>
            <w:rPr>
              <w:rFonts w:cstheme="minorHAnsi"/>
              <w:szCs w:val="22"/>
            </w:rPr>
            <w:t xml:space="preserve"> stellen </w:t>
          </w:r>
          <w:r w:rsidRPr="00F042D5">
            <w:rPr>
              <w:rFonts w:cstheme="minorHAnsi"/>
              <w:szCs w:val="22"/>
            </w:rPr>
            <w:t xml:space="preserve">van het bezit van bepaalde beroepskwalificaties. Als </w:t>
          </w:r>
          <w:r>
            <w:rPr>
              <w:rFonts w:cstheme="minorHAnsi"/>
              <w:szCs w:val="22"/>
            </w:rPr>
            <w:t xml:space="preserve">zij </w:t>
          </w:r>
          <w:r w:rsidRPr="00F042D5">
            <w:rPr>
              <w:rFonts w:cstheme="minorHAnsi"/>
              <w:szCs w:val="22"/>
            </w:rPr>
            <w:t xml:space="preserve">dergelijke regels </w:t>
          </w:r>
          <w:r>
            <w:rPr>
              <w:rFonts w:cstheme="minorHAnsi"/>
              <w:szCs w:val="22"/>
            </w:rPr>
            <w:t xml:space="preserve">vaststellen </w:t>
          </w:r>
          <w:r w:rsidRPr="00F042D5">
            <w:rPr>
              <w:rFonts w:cstheme="minorHAnsi"/>
              <w:szCs w:val="22"/>
            </w:rPr>
            <w:t>voor een beroep, dan wordt dit een ‘gereglementeerd beroep’ genoemd.</w:t>
          </w:r>
          <w:r w:rsidRPr="00F042D5">
            <w:rPr>
              <w:rStyle w:val="Voetnootmarkering"/>
              <w:rFonts w:cstheme="minorHAnsi"/>
              <w:szCs w:val="22"/>
            </w:rPr>
            <w:footnoteReference w:id="3"/>
          </w:r>
        </w:p>
        <w:p w:rsidRPr="00F042D5" w:rsidR="00FF1AB0" w:rsidP="00FF1AB0" w:rsidRDefault="00FF1AB0" w14:paraId="77ECFF67" w14:textId="77777777">
          <w:pPr>
            <w:rPr>
              <w:rFonts w:cstheme="minorHAnsi"/>
              <w:szCs w:val="22"/>
            </w:rPr>
          </w:pPr>
        </w:p>
        <w:p w:rsidRPr="00F042D5" w:rsidR="00FF1AB0" w:rsidP="00FF1AB0" w:rsidRDefault="00FF1AB0" w14:paraId="5A0F1B03" w14:textId="77777777">
          <w:pPr>
            <w:rPr>
              <w:rFonts w:cstheme="minorHAnsi"/>
              <w:szCs w:val="22"/>
            </w:rPr>
          </w:pPr>
          <w:r w:rsidRPr="00F042D5">
            <w:rPr>
              <w:rFonts w:cstheme="minorHAnsi"/>
              <w:szCs w:val="22"/>
            </w:rPr>
            <w:t xml:space="preserve">De Proportionaliteitsrichtlijn </w:t>
          </w:r>
          <w:r>
            <w:rPr>
              <w:rFonts w:cstheme="minorHAnsi"/>
              <w:szCs w:val="22"/>
            </w:rPr>
            <w:t>heeft als belangrijkste doel om ervoor te zorgen dat de toegang tot en de uitoefening van gereglementeerde beroepen niet onevenredig worden beperkt.</w:t>
          </w:r>
          <w:r>
            <w:rPr>
              <w:rStyle w:val="Voetnootmarkering"/>
              <w:rFonts w:cstheme="minorHAnsi"/>
              <w:szCs w:val="22"/>
            </w:rPr>
            <w:footnoteReference w:id="4"/>
          </w:r>
          <w:r>
            <w:rPr>
              <w:rFonts w:cstheme="minorHAnsi"/>
              <w:szCs w:val="22"/>
            </w:rPr>
            <w:t xml:space="preserve"> De richtlijn verplicht de lidstaten en hun beroepsorganisaties daarom </w:t>
          </w:r>
          <w:r w:rsidRPr="00F042D5">
            <w:rPr>
              <w:rFonts w:cstheme="minorHAnsi"/>
              <w:szCs w:val="22"/>
            </w:rPr>
            <w:t>een evenredigheidsbeoordeling uit te voeren voordat zij nieuwe regels vaststellen of bestaande regels wijzigen die de toegang tot of de uitoefening van gereglementeerde beroepen beperken</w:t>
          </w:r>
          <w:r>
            <w:rPr>
              <w:rFonts w:cstheme="minorHAnsi"/>
              <w:szCs w:val="22"/>
            </w:rPr>
            <w:t>.</w:t>
          </w:r>
          <w:r w:rsidRPr="00F042D5">
            <w:rPr>
              <w:rStyle w:val="Voetnootmarkering"/>
              <w:rFonts w:cstheme="minorHAnsi"/>
              <w:szCs w:val="22"/>
            </w:rPr>
            <w:footnoteReference w:id="5"/>
          </w:r>
          <w:r w:rsidRPr="00F042D5">
            <w:rPr>
              <w:rFonts w:cstheme="minorHAnsi"/>
              <w:szCs w:val="22"/>
            </w:rPr>
            <w:t xml:space="preserve"> Ook verplicht de richtlijn hen om de evenredigheid van zulke vastgestelde regelgeving te</w:t>
          </w:r>
          <w:r>
            <w:rPr>
              <w:rFonts w:cstheme="minorHAnsi"/>
              <w:szCs w:val="22"/>
            </w:rPr>
            <w:t xml:space="preserve"> blijven</w:t>
          </w:r>
          <w:r w:rsidRPr="00F042D5">
            <w:rPr>
              <w:rFonts w:cstheme="minorHAnsi"/>
              <w:szCs w:val="22"/>
            </w:rPr>
            <w:t xml:space="preserve"> controleren, rekening houdend met ontwikkelingen die zich sinds de vaststelling van die regels hebben voorgedaan.</w:t>
          </w:r>
          <w:r w:rsidRPr="00F042D5">
            <w:rPr>
              <w:rStyle w:val="Voetnootmarkering"/>
              <w:rFonts w:cstheme="minorHAnsi"/>
              <w:szCs w:val="22"/>
            </w:rPr>
            <w:footnoteReference w:id="6"/>
          </w:r>
          <w:r w:rsidRPr="00F042D5">
            <w:rPr>
              <w:rFonts w:cstheme="minorHAnsi"/>
              <w:szCs w:val="22"/>
            </w:rPr>
            <w:t xml:space="preserve"> </w:t>
          </w:r>
        </w:p>
        <w:p w:rsidRPr="00F042D5" w:rsidR="00FF1AB0" w:rsidP="00FF1AB0" w:rsidRDefault="00FF1AB0" w14:paraId="108C2107" w14:textId="77777777">
          <w:pPr>
            <w:rPr>
              <w:rFonts w:cstheme="minorHAnsi"/>
              <w:szCs w:val="22"/>
            </w:rPr>
          </w:pPr>
        </w:p>
        <w:p w:rsidRPr="00F042D5" w:rsidR="00FF1AB0" w:rsidP="00FF1AB0" w:rsidRDefault="00FF1AB0" w14:paraId="6ADBC256" w14:textId="4F63AE5D">
          <w:pPr>
            <w:rPr>
              <w:rFonts w:cstheme="minorHAnsi"/>
              <w:szCs w:val="22"/>
            </w:rPr>
          </w:pPr>
          <w:r w:rsidRPr="00F042D5">
            <w:rPr>
              <w:rFonts w:cstheme="minorHAnsi"/>
              <w:szCs w:val="22"/>
            </w:rPr>
            <w:t>De Proportionaliteitsrichtlijn moest uiterlijk op 30 juli 2020 zijn geïmplementeerd.</w:t>
          </w:r>
          <w:r>
            <w:rPr>
              <w:rFonts w:cstheme="minorHAnsi"/>
              <w:szCs w:val="22"/>
            </w:rPr>
            <w:t xml:space="preserve"> Aanvankelijk is de richtlijn </w:t>
          </w:r>
          <w:r w:rsidRPr="00F042D5">
            <w:rPr>
              <w:rFonts w:cstheme="minorHAnsi"/>
              <w:szCs w:val="22"/>
            </w:rPr>
            <w:t>omgezet door aan het Integraal Afwegingskader voor beleid en regelgeving (thans en hierna: het Beleidskompas) een afzonderlijk deel over beroepsreglementering toe te voegen.</w:t>
          </w:r>
          <w:r w:rsidRPr="00F042D5">
            <w:rPr>
              <w:rStyle w:val="Voetnootmarkering"/>
              <w:rFonts w:cstheme="minorHAnsi"/>
              <w:szCs w:val="22"/>
            </w:rPr>
            <w:footnoteReference w:id="7"/>
          </w:r>
          <w:r w:rsidRPr="00F042D5">
            <w:rPr>
              <w:rFonts w:cstheme="minorHAnsi"/>
              <w:szCs w:val="22"/>
            </w:rPr>
            <w:t xml:space="preserve"> </w:t>
          </w:r>
          <w:r>
            <w:rPr>
              <w:rFonts w:cstheme="minorHAnsi"/>
              <w:szCs w:val="22"/>
            </w:rPr>
            <w:t>Omdat het Beleidskompas als zodanig echter niet van toepassing is op beroepsorganisaties, acht de</w:t>
          </w:r>
          <w:r w:rsidRPr="00F042D5">
            <w:rPr>
              <w:rFonts w:cstheme="minorHAnsi"/>
              <w:szCs w:val="22"/>
            </w:rPr>
            <w:t xml:space="preserve"> Europese</w:t>
          </w:r>
          <w:r>
            <w:rPr>
              <w:rFonts w:cstheme="minorHAnsi"/>
              <w:szCs w:val="22"/>
            </w:rPr>
            <w:t xml:space="preserve"> Commissie  dit ontoereikend en is zij een inbreukprocedure gestart tegen Nederland.</w:t>
          </w:r>
          <w:r>
            <w:rPr>
              <w:rStyle w:val="Voetnootmarkering"/>
              <w:rFonts w:cstheme="minorHAnsi"/>
              <w:szCs w:val="22"/>
            </w:rPr>
            <w:footnoteReference w:id="8"/>
          </w:r>
          <w:r>
            <w:rPr>
              <w:rFonts w:cstheme="minorHAnsi"/>
              <w:szCs w:val="22"/>
            </w:rPr>
            <w:t xml:space="preserve"> </w:t>
          </w:r>
        </w:p>
        <w:p w:rsidRPr="00F042D5" w:rsidR="00FF1AB0" w:rsidP="00FF1AB0" w:rsidRDefault="00FF1AB0" w14:paraId="0BBB514F" w14:textId="77777777">
          <w:pPr>
            <w:rPr>
              <w:rFonts w:cstheme="minorHAnsi"/>
              <w:szCs w:val="22"/>
            </w:rPr>
          </w:pPr>
        </w:p>
        <w:p w:rsidR="00FF1AB0" w:rsidP="00FF1AB0" w:rsidRDefault="00FF1AB0" w14:paraId="2C2B051D" w14:textId="3EFF7A3B">
          <w:pPr>
            <w:rPr>
              <w:rFonts w:cstheme="minorHAnsi"/>
              <w:szCs w:val="22"/>
            </w:rPr>
          </w:pPr>
          <w:r w:rsidRPr="00F042D5">
            <w:rPr>
              <w:rFonts w:cstheme="minorHAnsi"/>
              <w:szCs w:val="22"/>
            </w:rPr>
            <w:t>Gelet hierop</w:t>
          </w:r>
          <w:r>
            <w:rPr>
              <w:rFonts w:cstheme="minorHAnsi"/>
              <w:szCs w:val="22"/>
            </w:rPr>
            <w:t>,</w:t>
          </w:r>
          <w:r w:rsidRPr="00F042D5">
            <w:rPr>
              <w:rFonts w:cstheme="minorHAnsi"/>
              <w:szCs w:val="22"/>
            </w:rPr>
            <w:t xml:space="preserve"> en tegen de achtergrond van </w:t>
          </w:r>
          <w:r>
            <w:rPr>
              <w:rFonts w:cstheme="minorHAnsi"/>
              <w:szCs w:val="22"/>
            </w:rPr>
            <w:t>deze</w:t>
          </w:r>
          <w:r w:rsidRPr="00F042D5">
            <w:rPr>
              <w:rFonts w:cstheme="minorHAnsi"/>
              <w:szCs w:val="22"/>
            </w:rPr>
            <w:t xml:space="preserve"> inbreukprocedure, beoog</w:t>
          </w:r>
          <w:r>
            <w:rPr>
              <w:rFonts w:cstheme="minorHAnsi"/>
              <w:szCs w:val="22"/>
            </w:rPr>
            <w:t>t</w:t>
          </w:r>
          <w:r w:rsidRPr="00F042D5">
            <w:rPr>
              <w:rFonts w:cstheme="minorHAnsi"/>
              <w:szCs w:val="22"/>
            </w:rPr>
            <w:t xml:space="preserve"> </w:t>
          </w:r>
          <w:r>
            <w:rPr>
              <w:rFonts w:cstheme="minorHAnsi"/>
              <w:szCs w:val="22"/>
            </w:rPr>
            <w:t xml:space="preserve">het voorstel </w:t>
          </w:r>
          <w:r w:rsidRPr="00F042D5">
            <w:rPr>
              <w:rFonts w:cstheme="minorHAnsi"/>
              <w:szCs w:val="22"/>
            </w:rPr>
            <w:t xml:space="preserve">de uit de richtlijn voortvloeiende verplichtingen voor </w:t>
          </w:r>
          <w:r w:rsidRPr="00F042D5">
            <w:rPr>
              <w:rFonts w:cstheme="minorHAnsi"/>
              <w:szCs w:val="22"/>
            </w:rPr>
            <w:lastRenderedPageBreak/>
            <w:t>beroepsorganisaties te implementeren</w:t>
          </w:r>
          <w:r>
            <w:rPr>
              <w:rFonts w:cstheme="minorHAnsi"/>
              <w:szCs w:val="22"/>
            </w:rPr>
            <w:t xml:space="preserve"> en </w:t>
          </w:r>
          <w:r w:rsidRPr="00F042D5">
            <w:rPr>
              <w:rFonts w:cstheme="minorHAnsi"/>
              <w:szCs w:val="22"/>
            </w:rPr>
            <w:t xml:space="preserve">tegemoet te komen aan de bezwaren van de </w:t>
          </w:r>
          <w:r w:rsidR="009D4CC6">
            <w:rPr>
              <w:rFonts w:cstheme="minorHAnsi"/>
              <w:szCs w:val="22"/>
            </w:rPr>
            <w:t xml:space="preserve">Europese </w:t>
          </w:r>
          <w:r w:rsidRPr="00F042D5">
            <w:rPr>
              <w:rFonts w:cstheme="minorHAnsi"/>
              <w:szCs w:val="22"/>
            </w:rPr>
            <w:t>Commissie.</w:t>
          </w:r>
          <w:r w:rsidRPr="00F042D5">
            <w:rPr>
              <w:rStyle w:val="Voetnootmarkering"/>
              <w:rFonts w:cstheme="minorHAnsi"/>
              <w:szCs w:val="22"/>
            </w:rPr>
            <w:footnoteReference w:id="9"/>
          </w:r>
          <w:r w:rsidRPr="00F042D5">
            <w:rPr>
              <w:rFonts w:cstheme="minorHAnsi"/>
              <w:szCs w:val="22"/>
            </w:rPr>
            <w:t xml:space="preserve"> </w:t>
          </w:r>
        </w:p>
        <w:p w:rsidR="00293E44" w:rsidP="00FF1AB0" w:rsidRDefault="00293E44" w14:paraId="2DDDDECC" w14:textId="77777777">
          <w:pPr>
            <w:rPr>
              <w:rFonts w:cstheme="minorHAnsi"/>
              <w:szCs w:val="22"/>
            </w:rPr>
          </w:pPr>
        </w:p>
        <w:p w:rsidRPr="00F042D5" w:rsidR="00293E44" w:rsidP="00FF1AB0" w:rsidRDefault="00293E44" w14:paraId="5810BC68" w14:textId="065EE51A">
          <w:pPr>
            <w:rPr>
              <w:rFonts w:cstheme="minorHAnsi"/>
              <w:szCs w:val="22"/>
            </w:rPr>
          </w:pPr>
          <w:r>
            <w:rPr>
              <w:rFonts w:cstheme="minorHAnsi"/>
              <w:szCs w:val="22"/>
            </w:rPr>
            <w:t>Gelet op de samenhang</w:t>
          </w:r>
          <w:r w:rsidR="00A660DF">
            <w:rPr>
              <w:rFonts w:cstheme="minorHAnsi"/>
              <w:szCs w:val="22"/>
            </w:rPr>
            <w:t xml:space="preserve"> tussen dit wetsvoorstel en </w:t>
          </w:r>
          <w:r w:rsidR="00A660DF">
            <w:t>het wetsvoorstel tot wijziging van de Rijksoctrooiwet 1995 ter nadere implementatie van de Proportionaliteitsrichtlijn</w:t>
          </w:r>
          <w:r w:rsidR="006F5D8E">
            <w:t>,</w:t>
          </w:r>
          <w:r w:rsidR="00A2720A">
            <w:t xml:space="preserve"> is </w:t>
          </w:r>
          <w:r w:rsidR="003F2619">
            <w:t>in beide adviezen</w:t>
          </w:r>
          <w:r w:rsidR="00A2720A">
            <w:t xml:space="preserve"> dezelfde opmerking gemaakt </w:t>
          </w:r>
          <w:r w:rsidR="005C03EB">
            <w:t xml:space="preserve">over </w:t>
          </w:r>
          <w:r w:rsidR="004268F9">
            <w:t xml:space="preserve"> het door de minister te geven</w:t>
          </w:r>
          <w:r w:rsidR="00A2720A">
            <w:t xml:space="preserve"> bindend</w:t>
          </w:r>
          <w:r w:rsidR="004268F9">
            <w:t>e</w:t>
          </w:r>
          <w:r w:rsidR="00A2720A">
            <w:t xml:space="preserve"> advies</w:t>
          </w:r>
          <w:r w:rsidR="0039655C">
            <w:t xml:space="preserve"> (punt 4)</w:t>
          </w:r>
          <w:r w:rsidR="00841450">
            <w:t>.</w:t>
          </w:r>
          <w:r w:rsidR="00841450">
            <w:rPr>
              <w:rStyle w:val="Voetnootmarkering"/>
            </w:rPr>
            <w:footnoteReference w:id="10"/>
          </w:r>
          <w:r w:rsidR="00A2720A">
            <w:t xml:space="preserve"> </w:t>
          </w:r>
        </w:p>
        <w:p w:rsidRPr="00F042D5" w:rsidR="00FF1AB0" w:rsidP="00FF1AB0" w:rsidRDefault="00FF1AB0" w14:paraId="096FF2F8" w14:textId="77777777">
          <w:pPr>
            <w:jc w:val="both"/>
            <w:rPr>
              <w:rFonts w:cstheme="minorHAnsi"/>
              <w:szCs w:val="22"/>
            </w:rPr>
          </w:pPr>
        </w:p>
        <w:p w:rsidRPr="00F042D5" w:rsidR="00FF1AB0" w:rsidP="00FF1AB0" w:rsidRDefault="00FF1AB0" w14:paraId="26C8C7DF" w14:textId="77777777">
          <w:pPr>
            <w:jc w:val="both"/>
            <w:rPr>
              <w:rFonts w:cstheme="minorHAnsi"/>
              <w:szCs w:val="22"/>
            </w:rPr>
          </w:pPr>
          <w:r w:rsidRPr="00F042D5">
            <w:rPr>
              <w:rFonts w:cstheme="minorHAnsi"/>
              <w:szCs w:val="22"/>
            </w:rPr>
            <w:t>2.</w:t>
          </w:r>
          <w:r w:rsidRPr="00F042D5">
            <w:rPr>
              <w:rFonts w:cstheme="minorHAnsi"/>
              <w:szCs w:val="22"/>
            </w:rPr>
            <w:tab/>
          </w:r>
          <w:r w:rsidRPr="00F042D5">
            <w:rPr>
              <w:rFonts w:cstheme="minorHAnsi"/>
              <w:szCs w:val="22"/>
              <w:u w:val="single"/>
            </w:rPr>
            <w:t>Inhoud van het voorstel</w:t>
          </w:r>
        </w:p>
        <w:p w:rsidRPr="00F042D5" w:rsidR="00FF1AB0" w:rsidP="0037084F" w:rsidRDefault="0037084F" w14:paraId="7FA87D31" w14:textId="717DF3AE">
          <w:pPr>
            <w:tabs>
              <w:tab w:val="left" w:pos="5610"/>
            </w:tabs>
            <w:jc w:val="both"/>
            <w:rPr>
              <w:rFonts w:cstheme="minorHAnsi"/>
              <w:szCs w:val="22"/>
            </w:rPr>
          </w:pPr>
          <w:r>
            <w:rPr>
              <w:rFonts w:cstheme="minorHAnsi"/>
              <w:szCs w:val="22"/>
            </w:rPr>
            <w:tab/>
          </w:r>
        </w:p>
        <w:p w:rsidRPr="00F042D5" w:rsidR="00FF1AB0" w:rsidP="00FF1AB0" w:rsidRDefault="00FF1AB0" w14:paraId="7DD7B011" w14:textId="3E2505C5">
          <w:pPr>
            <w:rPr>
              <w:rFonts w:cstheme="minorHAnsi"/>
              <w:szCs w:val="22"/>
            </w:rPr>
          </w:pPr>
          <w:r w:rsidRPr="00F042D5">
            <w:rPr>
              <w:rFonts w:cstheme="minorHAnsi"/>
              <w:szCs w:val="22"/>
            </w:rPr>
            <w:t xml:space="preserve">Met </w:t>
          </w:r>
          <w:r>
            <w:rPr>
              <w:rFonts w:cstheme="minorHAnsi"/>
              <w:szCs w:val="22"/>
            </w:rPr>
            <w:t>het</w:t>
          </w:r>
          <w:r w:rsidRPr="00F042D5">
            <w:rPr>
              <w:rFonts w:cstheme="minorHAnsi"/>
              <w:szCs w:val="22"/>
            </w:rPr>
            <w:t xml:space="preserve"> voorstel word</w:t>
          </w:r>
          <w:r w:rsidR="00D93B39">
            <w:rPr>
              <w:rFonts w:cstheme="minorHAnsi"/>
              <w:szCs w:val="22"/>
            </w:rPr>
            <w:t>en</w:t>
          </w:r>
          <w:r w:rsidRPr="00F042D5">
            <w:rPr>
              <w:rFonts w:cstheme="minorHAnsi"/>
              <w:szCs w:val="22"/>
            </w:rPr>
            <w:t xml:space="preserve"> de Algemene wet en </w:t>
          </w:r>
          <w:r>
            <w:rPr>
              <w:rFonts w:cstheme="minorHAnsi"/>
              <w:szCs w:val="22"/>
            </w:rPr>
            <w:t xml:space="preserve">zes </w:t>
          </w:r>
          <w:r w:rsidRPr="00F042D5">
            <w:rPr>
              <w:rFonts w:cstheme="minorHAnsi"/>
              <w:szCs w:val="22"/>
            </w:rPr>
            <w:t>bijzondere wetten, waarin aan bepaalde beroepsorganisaties regelgevende bevoegdheid is toegekend, gewijzigd.</w:t>
          </w:r>
          <w:r>
            <w:rPr>
              <w:rFonts w:cstheme="minorHAnsi"/>
              <w:szCs w:val="22"/>
            </w:rPr>
            <w:t xml:space="preserve"> Hieronder worden de hoofdlijnen van het voorstel weergegeven.</w:t>
          </w:r>
          <w:r w:rsidRPr="00F042D5">
            <w:rPr>
              <w:rFonts w:cstheme="minorHAnsi"/>
              <w:szCs w:val="22"/>
            </w:rPr>
            <w:t xml:space="preserve"> </w:t>
          </w:r>
        </w:p>
        <w:p w:rsidRPr="00F042D5" w:rsidR="00FF1AB0" w:rsidP="00FF1AB0" w:rsidRDefault="00FF1AB0" w14:paraId="568A7256" w14:textId="77777777">
          <w:pPr>
            <w:jc w:val="both"/>
            <w:rPr>
              <w:rFonts w:cstheme="minorHAnsi"/>
              <w:szCs w:val="22"/>
            </w:rPr>
          </w:pPr>
        </w:p>
        <w:p w:rsidRPr="00F042D5" w:rsidR="00FF1AB0" w:rsidP="008B4B72" w:rsidRDefault="00FF1AB0" w14:paraId="18513851" w14:textId="2D5B2432">
          <w:pPr>
            <w:ind w:left="705" w:hanging="705"/>
            <w:jc w:val="both"/>
            <w:rPr>
              <w:rFonts w:cstheme="minorHAnsi"/>
              <w:szCs w:val="22"/>
            </w:rPr>
          </w:pPr>
          <w:r w:rsidRPr="00F042D5">
            <w:rPr>
              <w:rFonts w:cstheme="minorHAnsi"/>
              <w:szCs w:val="22"/>
            </w:rPr>
            <w:t>a.</w:t>
          </w:r>
          <w:r w:rsidRPr="00F042D5">
            <w:rPr>
              <w:rFonts w:cstheme="minorHAnsi"/>
              <w:szCs w:val="22"/>
            </w:rPr>
            <w:tab/>
          </w:r>
          <w:r>
            <w:rPr>
              <w:rFonts w:cstheme="minorHAnsi"/>
              <w:i/>
              <w:iCs/>
              <w:szCs w:val="22"/>
            </w:rPr>
            <w:t>Procedurele eisen</w:t>
          </w:r>
          <w:r w:rsidRPr="00F042D5">
            <w:rPr>
              <w:rFonts w:cstheme="minorHAnsi"/>
              <w:i/>
              <w:iCs/>
              <w:szCs w:val="22"/>
            </w:rPr>
            <w:t xml:space="preserve"> </w:t>
          </w:r>
          <w:r>
            <w:rPr>
              <w:rFonts w:cstheme="minorHAnsi"/>
              <w:i/>
              <w:iCs/>
              <w:szCs w:val="22"/>
            </w:rPr>
            <w:t xml:space="preserve">bij </w:t>
          </w:r>
          <w:r w:rsidRPr="00F042D5">
            <w:rPr>
              <w:rFonts w:cstheme="minorHAnsi"/>
              <w:i/>
              <w:iCs/>
              <w:szCs w:val="22"/>
            </w:rPr>
            <w:t>ontwerp</w:t>
          </w:r>
          <w:r>
            <w:rPr>
              <w:rFonts w:cstheme="minorHAnsi"/>
              <w:i/>
              <w:iCs/>
              <w:szCs w:val="22"/>
            </w:rPr>
            <w:t xml:space="preserve">regelgeving </w:t>
          </w:r>
          <w:r w:rsidRPr="008B4B72" w:rsidR="008B4B72">
            <w:rPr>
              <w:rFonts w:cstheme="minorHAnsi"/>
              <w:i/>
              <w:iCs/>
              <w:szCs w:val="22"/>
            </w:rPr>
            <w:t>die de toegang tot of de uitoefening van een beroep beperk</w:t>
          </w:r>
          <w:r w:rsidR="00D93B39">
            <w:rPr>
              <w:rFonts w:cstheme="minorHAnsi"/>
              <w:i/>
              <w:iCs/>
              <w:szCs w:val="22"/>
            </w:rPr>
            <w:t>en</w:t>
          </w:r>
          <w:r w:rsidRPr="00F042D5">
            <w:rPr>
              <w:rFonts w:cstheme="minorHAnsi"/>
              <w:i/>
              <w:iCs/>
              <w:szCs w:val="22"/>
            </w:rPr>
            <w:t xml:space="preserve"> </w:t>
          </w:r>
        </w:p>
        <w:p w:rsidRPr="00F042D5" w:rsidR="00FF1AB0" w:rsidP="00FF1AB0" w:rsidRDefault="00FF1AB0" w14:paraId="7EEA448D" w14:textId="5AB4134C">
          <w:pPr>
            <w:rPr>
              <w:rFonts w:cstheme="minorHAnsi"/>
              <w:i/>
              <w:iCs/>
              <w:szCs w:val="22"/>
            </w:rPr>
          </w:pPr>
          <w:r>
            <w:rPr>
              <w:rFonts w:cstheme="minorHAnsi"/>
              <w:szCs w:val="22"/>
            </w:rPr>
            <w:t xml:space="preserve">Het voorstel verplicht het </w:t>
          </w:r>
          <w:proofErr w:type="spellStart"/>
          <w:r>
            <w:rPr>
              <w:rFonts w:cstheme="minorHAnsi"/>
              <w:szCs w:val="22"/>
            </w:rPr>
            <w:t>regelstellende</w:t>
          </w:r>
          <w:proofErr w:type="spellEnd"/>
          <w:r>
            <w:rPr>
              <w:rFonts w:cstheme="minorHAnsi"/>
              <w:szCs w:val="22"/>
            </w:rPr>
            <w:t xml:space="preserve"> orgaan van de beroepsorganisatie om ervoor te zorgen dat de toelichting bij ontwerpregelgeving</w:t>
          </w:r>
          <w:r w:rsidRPr="00F042D5">
            <w:rPr>
              <w:rFonts w:cstheme="minorHAnsi"/>
              <w:szCs w:val="22"/>
            </w:rPr>
            <w:t xml:space="preserve"> met</w:t>
          </w:r>
          <w:r>
            <w:rPr>
              <w:rFonts w:cstheme="minorHAnsi"/>
              <w:szCs w:val="22"/>
            </w:rPr>
            <w:t xml:space="preserve"> </w:t>
          </w:r>
          <w:r w:rsidRPr="00F042D5">
            <w:rPr>
              <w:rFonts w:cstheme="minorHAnsi"/>
              <w:szCs w:val="22"/>
            </w:rPr>
            <w:t>regels</w:t>
          </w:r>
          <w:r>
            <w:rPr>
              <w:rFonts w:cstheme="minorHAnsi"/>
              <w:szCs w:val="22"/>
            </w:rPr>
            <w:t xml:space="preserve"> </w:t>
          </w:r>
          <w:r w:rsidRPr="00381C48" w:rsidR="00381C48">
            <w:rPr>
              <w:rFonts w:cstheme="minorHAnsi"/>
              <w:szCs w:val="22"/>
            </w:rPr>
            <w:t>die de toegang tot of de uitoefening van een beroep beperken</w:t>
          </w:r>
          <w:r w:rsidR="00381C48">
            <w:rPr>
              <w:rFonts w:cstheme="minorHAnsi"/>
              <w:szCs w:val="22"/>
            </w:rPr>
            <w:t xml:space="preserve"> </w:t>
          </w:r>
          <w:r>
            <w:rPr>
              <w:rFonts w:cstheme="minorHAnsi"/>
              <w:szCs w:val="22"/>
            </w:rPr>
            <w:t>voldoende</w:t>
          </w:r>
          <w:r w:rsidRPr="00F042D5">
            <w:rPr>
              <w:rFonts w:cstheme="minorHAnsi"/>
              <w:szCs w:val="22"/>
            </w:rPr>
            <w:t xml:space="preserve"> gedetailleerd is </w:t>
          </w:r>
          <w:r>
            <w:rPr>
              <w:rFonts w:cstheme="minorHAnsi"/>
              <w:szCs w:val="22"/>
            </w:rPr>
            <w:t>om</w:t>
          </w:r>
          <w:r w:rsidRPr="00F042D5">
            <w:rPr>
              <w:rFonts w:cstheme="minorHAnsi"/>
              <w:szCs w:val="22"/>
            </w:rPr>
            <w:t xml:space="preserve"> de evenredigheid van die regels </w:t>
          </w:r>
          <w:r>
            <w:rPr>
              <w:rFonts w:cstheme="minorHAnsi"/>
              <w:szCs w:val="22"/>
            </w:rPr>
            <w:t xml:space="preserve">te kunnen </w:t>
          </w:r>
          <w:r w:rsidRPr="00F042D5">
            <w:rPr>
              <w:rFonts w:cstheme="minorHAnsi"/>
              <w:szCs w:val="22"/>
            </w:rPr>
            <w:t>beoorde</w:t>
          </w:r>
          <w:r>
            <w:rPr>
              <w:rFonts w:cstheme="minorHAnsi"/>
              <w:szCs w:val="22"/>
            </w:rPr>
            <w:t>len</w:t>
          </w:r>
          <w:r w:rsidRPr="00F042D5">
            <w:rPr>
              <w:rFonts w:cstheme="minorHAnsi"/>
              <w:szCs w:val="22"/>
            </w:rPr>
            <w:t>.</w:t>
          </w:r>
          <w:r>
            <w:rPr>
              <w:rFonts w:cstheme="minorHAnsi"/>
              <w:szCs w:val="22"/>
            </w:rPr>
            <w:t xml:space="preserve"> </w:t>
          </w:r>
          <w:r w:rsidRPr="00F042D5">
            <w:rPr>
              <w:rFonts w:cstheme="minorHAnsi"/>
              <w:szCs w:val="22"/>
            </w:rPr>
            <w:t>Ook moet de ontwerpregel</w:t>
          </w:r>
          <w:r>
            <w:rPr>
              <w:rFonts w:cstheme="minorHAnsi"/>
              <w:szCs w:val="22"/>
            </w:rPr>
            <w:t>geving</w:t>
          </w:r>
          <w:r w:rsidRPr="00F042D5">
            <w:rPr>
              <w:rFonts w:cstheme="minorHAnsi"/>
              <w:szCs w:val="22"/>
            </w:rPr>
            <w:t xml:space="preserve"> </w:t>
          </w:r>
          <w:r>
            <w:rPr>
              <w:rFonts w:cstheme="minorHAnsi"/>
              <w:szCs w:val="22"/>
            </w:rPr>
            <w:t>voor</w:t>
          </w:r>
          <w:r w:rsidRPr="00F042D5">
            <w:rPr>
              <w:rFonts w:cstheme="minorHAnsi"/>
              <w:szCs w:val="22"/>
            </w:rPr>
            <w:t xml:space="preserve"> eenieder ter inzage worden gelegd en moet in de toelichting worden ingegaan op de ontvangen zienswijzen.</w:t>
          </w:r>
          <w:r w:rsidRPr="00F042D5">
            <w:rPr>
              <w:rStyle w:val="Voetnootmarkering"/>
              <w:rFonts w:cstheme="minorHAnsi"/>
              <w:szCs w:val="22"/>
            </w:rPr>
            <w:footnoteReference w:id="11"/>
          </w:r>
          <w:r w:rsidRPr="00F042D5">
            <w:rPr>
              <w:rFonts w:cstheme="minorHAnsi"/>
              <w:szCs w:val="22"/>
            </w:rPr>
            <w:t xml:space="preserve"> </w:t>
          </w:r>
        </w:p>
        <w:p w:rsidRPr="00F042D5" w:rsidR="00FF1AB0" w:rsidP="00FF1AB0" w:rsidRDefault="00FF1AB0" w14:paraId="7C54E036" w14:textId="77777777">
          <w:pPr>
            <w:jc w:val="both"/>
            <w:rPr>
              <w:rFonts w:cstheme="minorHAnsi"/>
              <w:szCs w:val="22"/>
            </w:rPr>
          </w:pPr>
        </w:p>
        <w:p w:rsidRPr="00F042D5" w:rsidR="00FF1AB0" w:rsidP="00FF1AB0" w:rsidRDefault="00FF1AB0" w14:paraId="5F2A75B8" w14:textId="77777777">
          <w:pPr>
            <w:jc w:val="both"/>
            <w:rPr>
              <w:rFonts w:cstheme="minorHAnsi"/>
              <w:szCs w:val="22"/>
            </w:rPr>
          </w:pPr>
          <w:r w:rsidRPr="00F042D5">
            <w:rPr>
              <w:rFonts w:cstheme="minorHAnsi"/>
              <w:szCs w:val="22"/>
            </w:rPr>
            <w:t>b.</w:t>
          </w:r>
          <w:r w:rsidRPr="00F042D5">
            <w:rPr>
              <w:rFonts w:cstheme="minorHAnsi"/>
              <w:szCs w:val="22"/>
            </w:rPr>
            <w:tab/>
          </w:r>
          <w:r w:rsidRPr="00F042D5">
            <w:rPr>
              <w:rFonts w:cstheme="minorHAnsi"/>
              <w:i/>
              <w:iCs/>
              <w:szCs w:val="22"/>
            </w:rPr>
            <w:t xml:space="preserve">De </w:t>
          </w:r>
          <w:r w:rsidRPr="008559E9">
            <w:rPr>
              <w:rFonts w:cstheme="minorHAnsi"/>
              <w:i/>
              <w:iCs/>
              <w:szCs w:val="22"/>
            </w:rPr>
            <w:t>ex-ante</w:t>
          </w:r>
          <w:r w:rsidRPr="00F042D5">
            <w:rPr>
              <w:rFonts w:cstheme="minorHAnsi"/>
              <w:i/>
              <w:iCs/>
              <w:szCs w:val="22"/>
            </w:rPr>
            <w:t xml:space="preserve"> evenredigheidsbeoordeling </w:t>
          </w:r>
          <w:r w:rsidRPr="00F042D5">
            <w:rPr>
              <w:rFonts w:cstheme="minorHAnsi"/>
              <w:szCs w:val="22"/>
            </w:rPr>
            <w:tab/>
          </w:r>
        </w:p>
        <w:p w:rsidR="00FF1AB0" w:rsidP="00FF1AB0" w:rsidRDefault="00FF1AB0" w14:paraId="7AF308A7" w14:textId="33ECEA5A">
          <w:pPr>
            <w:rPr>
              <w:rFonts w:cstheme="minorHAnsi"/>
              <w:szCs w:val="22"/>
            </w:rPr>
          </w:pPr>
          <w:r>
            <w:rPr>
              <w:rFonts w:cstheme="minorHAnsi"/>
              <w:szCs w:val="22"/>
            </w:rPr>
            <w:t>Het voorstel verplicht h</w:t>
          </w:r>
          <w:r w:rsidRPr="00F042D5">
            <w:rPr>
              <w:rFonts w:cstheme="minorHAnsi"/>
              <w:szCs w:val="22"/>
            </w:rPr>
            <w:t xml:space="preserve">et </w:t>
          </w:r>
          <w:proofErr w:type="spellStart"/>
          <w:r w:rsidRPr="00F042D5">
            <w:rPr>
              <w:rFonts w:cstheme="minorHAnsi"/>
              <w:szCs w:val="22"/>
            </w:rPr>
            <w:t>regelstellende</w:t>
          </w:r>
          <w:proofErr w:type="spellEnd"/>
          <w:r w:rsidRPr="00F042D5">
            <w:rPr>
              <w:rFonts w:cstheme="minorHAnsi"/>
              <w:szCs w:val="22"/>
            </w:rPr>
            <w:t xml:space="preserve"> orgaan</w:t>
          </w:r>
          <w:r>
            <w:rPr>
              <w:rFonts w:cstheme="minorHAnsi"/>
              <w:szCs w:val="22"/>
            </w:rPr>
            <w:t xml:space="preserve"> </w:t>
          </w:r>
          <w:r w:rsidR="00071274">
            <w:rPr>
              <w:rFonts w:cstheme="minorHAnsi"/>
              <w:szCs w:val="22"/>
            </w:rPr>
            <w:t>ook</w:t>
          </w:r>
          <w:r w:rsidRPr="00F042D5" w:rsidR="00071274">
            <w:rPr>
              <w:rFonts w:cstheme="minorHAnsi"/>
              <w:szCs w:val="22"/>
            </w:rPr>
            <w:t xml:space="preserve"> </w:t>
          </w:r>
          <w:r>
            <w:rPr>
              <w:rFonts w:cstheme="minorHAnsi"/>
              <w:szCs w:val="22"/>
            </w:rPr>
            <w:t xml:space="preserve">om </w:t>
          </w:r>
          <w:r w:rsidRPr="00F042D5">
            <w:rPr>
              <w:rFonts w:cstheme="minorHAnsi"/>
              <w:szCs w:val="22"/>
            </w:rPr>
            <w:t>de ontwerpregel</w:t>
          </w:r>
          <w:r>
            <w:rPr>
              <w:rFonts w:cstheme="minorHAnsi"/>
              <w:szCs w:val="22"/>
            </w:rPr>
            <w:t>geving</w:t>
          </w:r>
          <w:r w:rsidRPr="00F042D5">
            <w:rPr>
              <w:rFonts w:cstheme="minorHAnsi"/>
              <w:szCs w:val="22"/>
            </w:rPr>
            <w:t xml:space="preserve"> voor advies </w:t>
          </w:r>
          <w:r>
            <w:rPr>
              <w:rFonts w:cstheme="minorHAnsi"/>
              <w:szCs w:val="22"/>
            </w:rPr>
            <w:t xml:space="preserve">voor te leggen </w:t>
          </w:r>
          <w:r w:rsidRPr="00F042D5">
            <w:rPr>
              <w:rFonts w:cstheme="minorHAnsi"/>
              <w:szCs w:val="22"/>
            </w:rPr>
            <w:t>aan een daartoe geëquipeerd onafhankelijk orgaan van de beroepsorganisatie</w:t>
          </w:r>
          <w:r>
            <w:rPr>
              <w:rFonts w:cstheme="minorHAnsi"/>
              <w:szCs w:val="22"/>
            </w:rPr>
            <w:t xml:space="preserve">, </w:t>
          </w:r>
          <w:r w:rsidRPr="00F042D5">
            <w:rPr>
              <w:rFonts w:cstheme="minorHAnsi"/>
              <w:szCs w:val="22"/>
            </w:rPr>
            <w:t xml:space="preserve">of, als deze </w:t>
          </w:r>
          <w:r>
            <w:rPr>
              <w:rFonts w:cstheme="minorHAnsi"/>
              <w:szCs w:val="22"/>
            </w:rPr>
            <w:t>er niet is</w:t>
          </w:r>
          <w:r w:rsidRPr="00F042D5">
            <w:rPr>
              <w:rFonts w:cstheme="minorHAnsi"/>
              <w:szCs w:val="22"/>
            </w:rPr>
            <w:t>, ter goedkeuring</w:t>
          </w:r>
          <w:r>
            <w:rPr>
              <w:rFonts w:cstheme="minorHAnsi"/>
              <w:szCs w:val="22"/>
            </w:rPr>
            <w:t xml:space="preserve"> a</w:t>
          </w:r>
          <w:r w:rsidRPr="00F042D5">
            <w:rPr>
              <w:rFonts w:cstheme="minorHAnsi"/>
              <w:szCs w:val="22"/>
            </w:rPr>
            <w:t>an de verantwoordelijk</w:t>
          </w:r>
          <w:r>
            <w:rPr>
              <w:rFonts w:cstheme="minorHAnsi"/>
              <w:szCs w:val="22"/>
            </w:rPr>
            <w:t>e</w:t>
          </w:r>
          <w:r w:rsidRPr="00F042D5">
            <w:rPr>
              <w:rFonts w:cstheme="minorHAnsi"/>
              <w:szCs w:val="22"/>
            </w:rPr>
            <w:t xml:space="preserve"> minister.</w:t>
          </w:r>
          <w:r>
            <w:rPr>
              <w:rStyle w:val="Voetnootmarkering"/>
              <w:rFonts w:cstheme="minorHAnsi"/>
              <w:szCs w:val="22"/>
            </w:rPr>
            <w:footnoteReference w:id="12"/>
          </w:r>
          <w:r>
            <w:rPr>
              <w:rFonts w:cstheme="minorHAnsi"/>
              <w:szCs w:val="22"/>
            </w:rPr>
            <w:t xml:space="preserve"> Het onafhankelijke orgaan of de minister</w:t>
          </w:r>
          <w:r w:rsidRPr="00F042D5">
            <w:rPr>
              <w:rFonts w:cstheme="minorHAnsi"/>
              <w:szCs w:val="22"/>
            </w:rPr>
            <w:t xml:space="preserve"> beoordelen de evenredigheid van de voorgestelde regel</w:t>
          </w:r>
          <w:r w:rsidR="00FB4C21">
            <w:rPr>
              <w:rFonts w:cstheme="minorHAnsi"/>
              <w:szCs w:val="22"/>
            </w:rPr>
            <w:t>gev</w:t>
          </w:r>
          <w:r w:rsidRPr="00F042D5">
            <w:rPr>
              <w:rFonts w:cstheme="minorHAnsi"/>
              <w:szCs w:val="22"/>
            </w:rPr>
            <w:t xml:space="preserve">ing aan de hand van </w:t>
          </w:r>
          <w:r w:rsidRPr="00F042D5">
            <w:rPr>
              <w:rFonts w:cstheme="minorHAnsi"/>
              <w:szCs w:val="22"/>
            </w:rPr>
            <w:lastRenderedPageBreak/>
            <w:t xml:space="preserve">de in de Proportionaliteitsrichtlijn neergelegde criteria (hierna: </w:t>
          </w:r>
          <w:r w:rsidRPr="00110531">
            <w:rPr>
              <w:rFonts w:cstheme="minorHAnsi"/>
              <w:i/>
              <w:iCs/>
              <w:szCs w:val="22"/>
            </w:rPr>
            <w:t>ex-ante</w:t>
          </w:r>
          <w:r w:rsidRPr="00F042D5">
            <w:rPr>
              <w:rFonts w:cstheme="minorHAnsi"/>
              <w:szCs w:val="22"/>
            </w:rPr>
            <w:t xml:space="preserve"> evenredigheidsbeoordeling).</w:t>
          </w:r>
          <w:r w:rsidRPr="00F042D5">
            <w:rPr>
              <w:rStyle w:val="Voetnootmarkering"/>
              <w:rFonts w:cstheme="minorHAnsi"/>
              <w:szCs w:val="22"/>
            </w:rPr>
            <w:footnoteReference w:id="13"/>
          </w:r>
          <w:r>
            <w:rPr>
              <w:rFonts w:cstheme="minorHAnsi"/>
              <w:szCs w:val="22"/>
            </w:rPr>
            <w:t xml:space="preserve"> </w:t>
          </w:r>
        </w:p>
        <w:p w:rsidR="00FF1AB0" w:rsidP="00FF1AB0" w:rsidRDefault="00FF1AB0" w14:paraId="589FF5B0" w14:textId="77777777">
          <w:pPr>
            <w:jc w:val="both"/>
            <w:rPr>
              <w:rFonts w:cstheme="minorHAnsi"/>
              <w:szCs w:val="22"/>
            </w:rPr>
          </w:pPr>
        </w:p>
        <w:p w:rsidR="002742B8" w:rsidP="002742B8" w:rsidRDefault="002742B8" w14:paraId="70405BB6" w14:textId="20D78A76">
          <w:pPr>
            <w:rPr>
              <w:rFonts w:cstheme="minorHAnsi"/>
              <w:szCs w:val="22"/>
            </w:rPr>
          </w:pPr>
          <w:r>
            <w:rPr>
              <w:rFonts w:cstheme="minorHAnsi"/>
              <w:szCs w:val="22"/>
            </w:rPr>
            <w:t>Naar aanleiding van die beoordeling, geeft het onafhankelijke orgaan een advies over de evenredigheid van de voorgestelde beperkende beroepsregels. Het orgaan van de beroepsorganisatie dat bevoegd is om die regels vast te stellen kan van dit advies afwijken, mits deugdelijk gemotiveerd. De minister behoudt</w:t>
          </w:r>
          <w:r w:rsidR="00DB5C63">
            <w:rPr>
              <w:rStyle w:val="Voetnootmarkering"/>
              <w:rFonts w:cstheme="minorHAnsi"/>
              <w:szCs w:val="22"/>
            </w:rPr>
            <w:footnoteReference w:id="14"/>
          </w:r>
          <w:r>
            <w:rPr>
              <w:rFonts w:cstheme="minorHAnsi"/>
              <w:szCs w:val="22"/>
            </w:rPr>
            <w:t xml:space="preserve"> de mogelijkheid om een beslissing tot vaststelling van regels </w:t>
          </w:r>
          <w:r w:rsidRPr="0046514F" w:rsidR="0046514F">
            <w:rPr>
              <w:rFonts w:cstheme="minorHAnsi"/>
              <w:szCs w:val="22"/>
            </w:rPr>
            <w:t>die de toegang tot of de uitoefening van een beroep beperken</w:t>
          </w:r>
          <w:r w:rsidR="0046514F">
            <w:rPr>
              <w:rFonts w:cstheme="minorHAnsi"/>
              <w:szCs w:val="22"/>
            </w:rPr>
            <w:t xml:space="preserve"> </w:t>
          </w:r>
          <w:r>
            <w:rPr>
              <w:rFonts w:cstheme="minorHAnsi"/>
              <w:szCs w:val="22"/>
            </w:rPr>
            <w:t>te vernietigen.</w:t>
          </w:r>
          <w:r>
            <w:rPr>
              <w:rStyle w:val="Voetnootmarkering"/>
              <w:rFonts w:cstheme="minorHAnsi"/>
              <w:szCs w:val="22"/>
            </w:rPr>
            <w:footnoteReference w:id="15"/>
          </w:r>
          <w:r>
            <w:rPr>
              <w:rFonts w:cstheme="minorHAnsi"/>
              <w:szCs w:val="22"/>
            </w:rPr>
            <w:t xml:space="preserve"> </w:t>
          </w:r>
        </w:p>
        <w:p w:rsidR="00FF1AB0" w:rsidP="00FF1AB0" w:rsidRDefault="00FF1AB0" w14:paraId="453020C1" w14:textId="77777777">
          <w:pPr>
            <w:rPr>
              <w:rFonts w:cstheme="minorHAnsi"/>
              <w:szCs w:val="22"/>
            </w:rPr>
          </w:pPr>
        </w:p>
        <w:p w:rsidRPr="00F042D5" w:rsidR="00FF1AB0" w:rsidP="00FF1AB0" w:rsidRDefault="00DB16E7" w14:paraId="62657430" w14:textId="0CB97B86">
          <w:pPr>
            <w:rPr>
              <w:rFonts w:cstheme="minorHAnsi"/>
              <w:szCs w:val="22"/>
            </w:rPr>
          </w:pPr>
          <w:r>
            <w:rPr>
              <w:rFonts w:cstheme="minorHAnsi"/>
              <w:szCs w:val="22"/>
            </w:rPr>
            <w:t>A</w:t>
          </w:r>
          <w:r w:rsidRPr="00F042D5" w:rsidR="00FF1AB0">
            <w:rPr>
              <w:rFonts w:cstheme="minorHAnsi"/>
              <w:szCs w:val="22"/>
            </w:rPr>
            <w:t xml:space="preserve">ls het de minister is die de </w:t>
          </w:r>
          <w:r w:rsidR="00FF1AB0">
            <w:rPr>
              <w:rFonts w:cstheme="minorHAnsi"/>
              <w:szCs w:val="22"/>
            </w:rPr>
            <w:t xml:space="preserve">ex-ante </w:t>
          </w:r>
          <w:r w:rsidRPr="00F042D5" w:rsidR="00FF1AB0">
            <w:rPr>
              <w:rFonts w:cstheme="minorHAnsi"/>
              <w:szCs w:val="22"/>
            </w:rPr>
            <w:t>evenredigheidsbeoordeling uitvoert, dan kan die beoordeling ertoe leiden dat de gevraagde goedkeuring</w:t>
          </w:r>
          <w:r w:rsidR="00FF1AB0">
            <w:rPr>
              <w:rFonts w:cstheme="minorHAnsi"/>
              <w:szCs w:val="22"/>
            </w:rPr>
            <w:t xml:space="preserve"> </w:t>
          </w:r>
          <w:r w:rsidRPr="00F042D5" w:rsidR="00FF1AB0">
            <w:rPr>
              <w:rFonts w:cstheme="minorHAnsi"/>
              <w:szCs w:val="22"/>
            </w:rPr>
            <w:t>wordt onthouden.</w:t>
          </w:r>
        </w:p>
        <w:p w:rsidRPr="00F042D5" w:rsidR="00FF1AB0" w:rsidP="00FF1AB0" w:rsidRDefault="00FF1AB0" w14:paraId="69273ABD" w14:textId="77777777">
          <w:pPr>
            <w:jc w:val="both"/>
            <w:rPr>
              <w:rFonts w:cstheme="minorHAnsi"/>
              <w:szCs w:val="22"/>
            </w:rPr>
          </w:pPr>
        </w:p>
        <w:p w:rsidR="00FF1AB0" w:rsidP="00FF1AB0" w:rsidRDefault="00FF1AB0" w14:paraId="210554AE" w14:textId="77777777">
          <w:pPr>
            <w:jc w:val="both"/>
            <w:rPr>
              <w:rFonts w:cstheme="minorHAnsi"/>
              <w:i/>
              <w:iCs/>
              <w:szCs w:val="22"/>
            </w:rPr>
          </w:pPr>
          <w:r w:rsidRPr="00F042D5">
            <w:rPr>
              <w:rFonts w:cstheme="minorHAnsi"/>
              <w:szCs w:val="22"/>
            </w:rPr>
            <w:t>c.</w:t>
          </w:r>
          <w:r>
            <w:rPr>
              <w:rFonts w:cstheme="minorHAnsi"/>
              <w:szCs w:val="22"/>
            </w:rPr>
            <w:tab/>
          </w:r>
          <w:r>
            <w:rPr>
              <w:rFonts w:cstheme="minorHAnsi"/>
              <w:i/>
              <w:iCs/>
              <w:szCs w:val="22"/>
            </w:rPr>
            <w:t xml:space="preserve">Monitoring en tussentijdse evenredigheidsbeoordeling </w:t>
          </w:r>
        </w:p>
        <w:p w:rsidR="00FF1AB0" w:rsidP="007C1DC1" w:rsidRDefault="00FF1AB0" w14:paraId="648E5FE4" w14:textId="2EBDDB09">
          <w:pPr>
            <w:rPr>
              <w:rFonts w:cstheme="minorHAnsi"/>
              <w:szCs w:val="22"/>
            </w:rPr>
          </w:pPr>
          <w:r>
            <w:rPr>
              <w:rFonts w:cstheme="minorHAnsi"/>
              <w:szCs w:val="22"/>
            </w:rPr>
            <w:t xml:space="preserve">Het voorstel verplicht het </w:t>
          </w:r>
          <w:proofErr w:type="spellStart"/>
          <w:r>
            <w:rPr>
              <w:rFonts w:cstheme="minorHAnsi"/>
              <w:szCs w:val="22"/>
            </w:rPr>
            <w:t>regelstellende</w:t>
          </w:r>
          <w:proofErr w:type="spellEnd"/>
          <w:r>
            <w:rPr>
              <w:rFonts w:cstheme="minorHAnsi"/>
              <w:szCs w:val="22"/>
            </w:rPr>
            <w:t xml:space="preserve"> orgaan verder om iedere drie jaar een rapport op te stellen over de ontwikkelingen die zich hebben voorgedaan sinds de vaststelling van de regels</w:t>
          </w:r>
          <w:r w:rsidR="00F017D7">
            <w:rPr>
              <w:rFonts w:cstheme="minorHAnsi"/>
              <w:szCs w:val="22"/>
            </w:rPr>
            <w:t xml:space="preserve"> </w:t>
          </w:r>
          <w:r w:rsidRPr="00F017D7" w:rsidR="00F017D7">
            <w:rPr>
              <w:rFonts w:cstheme="minorHAnsi"/>
              <w:szCs w:val="22"/>
            </w:rPr>
            <w:t>die de toegang tot of de uitoefening van een beroep beperken</w:t>
          </w:r>
          <w:r>
            <w:rPr>
              <w:rFonts w:cstheme="minorHAnsi"/>
              <w:szCs w:val="22"/>
            </w:rPr>
            <w:t xml:space="preserve"> en die invloed kunnen hebben op de evenredigheid daarvan.</w:t>
          </w:r>
          <w:r w:rsidRPr="00F042D5">
            <w:rPr>
              <w:rStyle w:val="Voetnootmarkering"/>
              <w:rFonts w:cstheme="minorHAnsi"/>
              <w:szCs w:val="22"/>
            </w:rPr>
            <w:footnoteReference w:id="16"/>
          </w:r>
          <w:r>
            <w:rPr>
              <w:rFonts w:cstheme="minorHAnsi"/>
              <w:szCs w:val="22"/>
            </w:rPr>
            <w:t xml:space="preserve"> </w:t>
          </w:r>
          <w:r w:rsidRPr="00F042D5">
            <w:rPr>
              <w:rFonts w:cstheme="minorHAnsi"/>
              <w:szCs w:val="22"/>
            </w:rPr>
            <w:tab/>
          </w:r>
        </w:p>
        <w:p w:rsidR="00FF1AB0" w:rsidP="00FF1AB0" w:rsidRDefault="00FF1AB0" w14:paraId="45018F03" w14:textId="77777777">
          <w:pPr>
            <w:jc w:val="both"/>
            <w:rPr>
              <w:rFonts w:cstheme="minorHAnsi"/>
              <w:szCs w:val="22"/>
            </w:rPr>
          </w:pPr>
        </w:p>
        <w:p w:rsidR="00FF1AB0" w:rsidP="007C1DC1" w:rsidRDefault="00FF1AB0" w14:paraId="67D8301E" w14:textId="42C47A9A">
          <w:pPr>
            <w:rPr>
              <w:rFonts w:cstheme="minorHAnsi"/>
              <w:szCs w:val="22"/>
            </w:rPr>
          </w:pPr>
          <w:r>
            <w:rPr>
              <w:rFonts w:cstheme="minorHAnsi"/>
              <w:szCs w:val="22"/>
            </w:rPr>
            <w:t>Als het rapport hiertoe aanleiding geeft, dan voert het onafhankelijke orgaan van de beroepsorganisatie een tussentijdse evenredigheidsbeoordeling uit.</w:t>
          </w:r>
          <w:r w:rsidRPr="00F042D5">
            <w:rPr>
              <w:rStyle w:val="Voetnootmarkering"/>
              <w:rFonts w:cstheme="minorHAnsi"/>
              <w:szCs w:val="22"/>
            </w:rPr>
            <w:footnoteReference w:id="17"/>
          </w:r>
          <w:r w:rsidRPr="00F042D5">
            <w:rPr>
              <w:rFonts w:cstheme="minorHAnsi"/>
              <w:szCs w:val="22"/>
            </w:rPr>
            <w:t xml:space="preserve"> </w:t>
          </w:r>
          <w:r>
            <w:rPr>
              <w:rFonts w:cstheme="minorHAnsi"/>
              <w:szCs w:val="22"/>
            </w:rPr>
            <w:t xml:space="preserve">Zij stelt hiervan een verslag op met daarin een advies over de noodzaak tot wijziging of intrekking van bepaalde regels. Het orgaan van de beroepsorganisatie dat die </w:t>
          </w:r>
          <w:r>
            <w:rPr>
              <w:rFonts w:cstheme="minorHAnsi"/>
              <w:szCs w:val="22"/>
            </w:rPr>
            <w:lastRenderedPageBreak/>
            <w:t xml:space="preserve">regels heeft vastgesteld beslist hierover. De minister kan die beslissing vernietigen. </w:t>
          </w:r>
        </w:p>
        <w:p w:rsidR="00FF1AB0" w:rsidP="00FF1AB0" w:rsidRDefault="00FF1AB0" w14:paraId="6BBADA6B" w14:textId="77777777">
          <w:pPr>
            <w:jc w:val="both"/>
            <w:rPr>
              <w:rFonts w:cstheme="minorHAnsi"/>
              <w:szCs w:val="22"/>
            </w:rPr>
          </w:pPr>
        </w:p>
        <w:p w:rsidR="00FF1AB0" w:rsidP="007C1DC1" w:rsidRDefault="00FF1AB0" w14:paraId="709C509D" w14:textId="141A877B">
          <w:pPr>
            <w:rPr>
              <w:rFonts w:cstheme="minorHAnsi"/>
              <w:szCs w:val="22"/>
            </w:rPr>
          </w:pPr>
          <w:r>
            <w:rPr>
              <w:rFonts w:cstheme="minorHAnsi"/>
              <w:szCs w:val="22"/>
            </w:rPr>
            <w:t xml:space="preserve">Als de beroepsorganisatie geen onafhankelijk orgaan heeft, dan wordt het rapport naar de verantwoordelijke minister gestuurd. De minister beoordeelt of er aanleiding is voor een tussentijdse evenredigheidsbeoordeling en, als dit het geval is, dan brengt hij hiervan een verslag met advies uit aan de beroepsorganisatie.  </w:t>
          </w:r>
        </w:p>
        <w:p w:rsidR="008B6037" w:rsidP="0034435D" w:rsidRDefault="008B6037" w14:paraId="1F2978A3" w14:textId="77777777">
          <w:pPr>
            <w:jc w:val="both"/>
            <w:rPr>
              <w:rFonts w:cstheme="minorHAnsi"/>
              <w:szCs w:val="22"/>
            </w:rPr>
          </w:pPr>
        </w:p>
        <w:p w:rsidR="008B6037" w:rsidP="00377A57" w:rsidRDefault="0033247B" w14:paraId="1E3917E7" w14:textId="5E2430DE">
          <w:pPr>
            <w:rPr>
              <w:rFonts w:cstheme="minorHAnsi"/>
              <w:i/>
              <w:iCs/>
              <w:szCs w:val="22"/>
            </w:rPr>
          </w:pPr>
          <w:r>
            <w:rPr>
              <w:rFonts w:cstheme="minorHAnsi"/>
              <w:szCs w:val="22"/>
            </w:rPr>
            <w:t>d.</w:t>
          </w:r>
          <w:r w:rsidR="00D5794D">
            <w:rPr>
              <w:rFonts w:cstheme="minorHAnsi"/>
              <w:szCs w:val="22"/>
            </w:rPr>
            <w:tab/>
          </w:r>
          <w:r w:rsidR="00D5794D">
            <w:rPr>
              <w:rFonts w:cstheme="minorHAnsi"/>
              <w:i/>
              <w:iCs/>
              <w:szCs w:val="22"/>
            </w:rPr>
            <w:t xml:space="preserve">Periodieke evenredigheidsbeoordeling </w:t>
          </w:r>
        </w:p>
        <w:p w:rsidR="007267D1" w:rsidP="00377A57" w:rsidRDefault="00D5794D" w14:paraId="26303902" w14:textId="3088B4B6">
          <w:pPr>
            <w:rPr>
              <w:rFonts w:cstheme="minorHAnsi"/>
              <w:szCs w:val="22"/>
            </w:rPr>
          </w:pPr>
          <w:r>
            <w:rPr>
              <w:rFonts w:cstheme="minorHAnsi"/>
              <w:szCs w:val="22"/>
            </w:rPr>
            <w:t xml:space="preserve">Tot slot wordt geregeld dat het onafhankelijke orgaan </w:t>
          </w:r>
          <w:r w:rsidR="008A092D">
            <w:rPr>
              <w:rFonts w:cstheme="minorHAnsi"/>
              <w:szCs w:val="22"/>
            </w:rPr>
            <w:t xml:space="preserve">of de verantwoordelijke minister </w:t>
          </w:r>
          <w:r>
            <w:rPr>
              <w:rFonts w:cstheme="minorHAnsi"/>
              <w:szCs w:val="22"/>
            </w:rPr>
            <w:t>iedere zes jaar een evenredigheidsbeoordeling uitvoert (hierna: periodieke evenredigheidsbeoordeling).</w:t>
          </w:r>
          <w:r w:rsidRPr="00F042D5">
            <w:rPr>
              <w:rStyle w:val="Voetnootmarkering"/>
              <w:rFonts w:cstheme="minorHAnsi"/>
              <w:szCs w:val="22"/>
            </w:rPr>
            <w:footnoteReference w:id="18"/>
          </w:r>
          <w:r w:rsidRPr="00F042D5">
            <w:rPr>
              <w:rFonts w:cstheme="minorHAnsi"/>
              <w:szCs w:val="22"/>
            </w:rPr>
            <w:t xml:space="preserve"> </w:t>
          </w:r>
          <w:r>
            <w:rPr>
              <w:rFonts w:cstheme="minorHAnsi"/>
              <w:szCs w:val="22"/>
            </w:rPr>
            <w:t>Hier</w:t>
          </w:r>
          <w:r w:rsidR="003863E1">
            <w:rPr>
              <w:rFonts w:cstheme="minorHAnsi"/>
              <w:szCs w:val="22"/>
            </w:rPr>
            <w:t>voor geld</w:t>
          </w:r>
          <w:r w:rsidR="00EE6BE6">
            <w:rPr>
              <w:rFonts w:cstheme="minorHAnsi"/>
              <w:szCs w:val="22"/>
            </w:rPr>
            <w:t>en</w:t>
          </w:r>
          <w:r w:rsidR="003863E1">
            <w:rPr>
              <w:rFonts w:cstheme="minorHAnsi"/>
              <w:szCs w:val="22"/>
            </w:rPr>
            <w:t xml:space="preserve"> </w:t>
          </w:r>
          <w:r w:rsidR="00EE6BE6">
            <w:rPr>
              <w:rFonts w:cstheme="minorHAnsi"/>
              <w:szCs w:val="22"/>
            </w:rPr>
            <w:t>d</w:t>
          </w:r>
          <w:r w:rsidR="003863E1">
            <w:rPr>
              <w:rFonts w:cstheme="minorHAnsi"/>
              <w:szCs w:val="22"/>
            </w:rPr>
            <w:t>ezelfde reg</w:t>
          </w:r>
          <w:r w:rsidR="00EE6BE6">
            <w:rPr>
              <w:rFonts w:cstheme="minorHAnsi"/>
              <w:szCs w:val="22"/>
            </w:rPr>
            <w:t>els</w:t>
          </w:r>
          <w:r w:rsidR="003863E1">
            <w:rPr>
              <w:rFonts w:cstheme="minorHAnsi"/>
              <w:szCs w:val="22"/>
            </w:rPr>
            <w:t xml:space="preserve"> als voor</w:t>
          </w:r>
          <w:r w:rsidR="00C41E36">
            <w:rPr>
              <w:rFonts w:cstheme="minorHAnsi"/>
              <w:szCs w:val="22"/>
            </w:rPr>
            <w:t xml:space="preserve"> de tussentijdse evenredigheidsbeoordeling, met één verschil. Als de minister </w:t>
          </w:r>
          <w:r w:rsidR="00DB2AC4">
            <w:rPr>
              <w:rFonts w:cstheme="minorHAnsi"/>
              <w:szCs w:val="22"/>
            </w:rPr>
            <w:t>de periodieke evenredigheidsbeoordeling uitvoert, dan stelt hij</w:t>
          </w:r>
          <w:r w:rsidR="00C41E36">
            <w:rPr>
              <w:rFonts w:cstheme="minorHAnsi"/>
              <w:szCs w:val="22"/>
            </w:rPr>
            <w:t xml:space="preserve"> </w:t>
          </w:r>
          <w:r w:rsidR="00947C57">
            <w:rPr>
              <w:rFonts w:cstheme="minorHAnsi"/>
              <w:szCs w:val="22"/>
            </w:rPr>
            <w:t xml:space="preserve">hiervan een verslag op met daarin een </w:t>
          </w:r>
          <w:r w:rsidRPr="00377A57" w:rsidR="00947C57">
            <w:rPr>
              <w:rFonts w:cstheme="minorHAnsi"/>
              <w:i/>
              <w:szCs w:val="22"/>
            </w:rPr>
            <w:t>bindend</w:t>
          </w:r>
          <w:r w:rsidR="00C35BB1">
            <w:rPr>
              <w:rFonts w:cstheme="minorHAnsi"/>
              <w:szCs w:val="22"/>
            </w:rPr>
            <w:t xml:space="preserve"> advies</w:t>
          </w:r>
          <w:r w:rsidR="00B274AC">
            <w:rPr>
              <w:rFonts w:cstheme="minorHAnsi"/>
              <w:szCs w:val="22"/>
            </w:rPr>
            <w:t>.</w:t>
          </w:r>
          <w:r w:rsidR="00C35BB1">
            <w:rPr>
              <w:rFonts w:cstheme="minorHAnsi"/>
              <w:szCs w:val="22"/>
            </w:rPr>
            <w:t xml:space="preserve"> </w:t>
          </w:r>
        </w:p>
        <w:p w:rsidR="00CF604A" w:rsidP="009A6FD4" w:rsidRDefault="00CF604A" w14:paraId="0DF5A9F1" w14:textId="77777777">
          <w:pPr>
            <w:jc w:val="both"/>
            <w:rPr>
              <w:rFonts w:cstheme="minorHAnsi"/>
              <w:szCs w:val="22"/>
            </w:rPr>
          </w:pPr>
        </w:p>
        <w:p w:rsidR="007F3510" w:rsidP="00942754" w:rsidRDefault="004E70A0" w14:paraId="7182EA81" w14:textId="7963302A">
          <w:pPr>
            <w:jc w:val="both"/>
            <w:rPr>
              <w:rFonts w:cstheme="minorHAnsi"/>
              <w:szCs w:val="22"/>
              <w:u w:val="single"/>
            </w:rPr>
          </w:pPr>
          <w:r>
            <w:rPr>
              <w:rFonts w:cstheme="minorHAnsi"/>
              <w:szCs w:val="22"/>
            </w:rPr>
            <w:t>3.</w:t>
          </w:r>
          <w:r w:rsidR="007F3510">
            <w:rPr>
              <w:rFonts w:cstheme="minorHAnsi"/>
              <w:szCs w:val="22"/>
            </w:rPr>
            <w:tab/>
          </w:r>
          <w:r w:rsidR="009659A5">
            <w:rPr>
              <w:rFonts w:cstheme="minorHAnsi"/>
              <w:szCs w:val="22"/>
              <w:u w:val="single"/>
            </w:rPr>
            <w:t>Verschillende gronden o</w:t>
          </w:r>
          <w:r w:rsidR="00B9375A">
            <w:rPr>
              <w:rFonts w:cstheme="minorHAnsi"/>
              <w:szCs w:val="22"/>
              <w:u w:val="single"/>
            </w:rPr>
            <w:t>nthouding goedkeuring</w:t>
          </w:r>
          <w:r w:rsidR="007F3510">
            <w:rPr>
              <w:rFonts w:cstheme="minorHAnsi"/>
              <w:szCs w:val="22"/>
              <w:u w:val="single"/>
            </w:rPr>
            <w:t xml:space="preserve"> </w:t>
          </w:r>
        </w:p>
        <w:p w:rsidR="00B9375A" w:rsidP="000E595C" w:rsidRDefault="00B9375A" w14:paraId="6B515BA4" w14:textId="77777777">
          <w:pPr>
            <w:rPr>
              <w:rFonts w:cstheme="minorHAnsi"/>
              <w:szCs w:val="22"/>
            </w:rPr>
          </w:pPr>
        </w:p>
        <w:p w:rsidR="007F3510" w:rsidP="000E595C" w:rsidRDefault="000E595C" w14:paraId="47805D67" w14:textId="2632A94D">
          <w:pPr>
            <w:rPr>
              <w:rFonts w:cstheme="minorHAnsi"/>
              <w:szCs w:val="22"/>
            </w:rPr>
          </w:pPr>
          <w:r>
            <w:rPr>
              <w:rFonts w:cstheme="minorHAnsi"/>
              <w:szCs w:val="22"/>
            </w:rPr>
            <w:t xml:space="preserve">Met dit voorstel worden de </w:t>
          </w:r>
          <w:proofErr w:type="spellStart"/>
          <w:r>
            <w:rPr>
              <w:rFonts w:cstheme="minorHAnsi"/>
              <w:szCs w:val="22"/>
            </w:rPr>
            <w:t>regelstellende</w:t>
          </w:r>
          <w:proofErr w:type="spellEnd"/>
          <w:r>
            <w:rPr>
              <w:rFonts w:cstheme="minorHAnsi"/>
              <w:szCs w:val="22"/>
            </w:rPr>
            <w:t xml:space="preserve"> organen van </w:t>
          </w:r>
          <w:r w:rsidR="002022E7">
            <w:rPr>
              <w:rFonts w:cstheme="minorHAnsi"/>
              <w:szCs w:val="22"/>
            </w:rPr>
            <w:t xml:space="preserve">een aantal </w:t>
          </w:r>
          <w:r>
            <w:rPr>
              <w:rFonts w:cstheme="minorHAnsi"/>
              <w:szCs w:val="22"/>
            </w:rPr>
            <w:t xml:space="preserve">beroepsorganisaties verplicht om </w:t>
          </w:r>
          <w:r w:rsidR="00442266">
            <w:rPr>
              <w:rFonts w:cstheme="minorHAnsi"/>
              <w:szCs w:val="22"/>
            </w:rPr>
            <w:t xml:space="preserve">hun </w:t>
          </w:r>
          <w:r>
            <w:rPr>
              <w:rFonts w:cstheme="minorHAnsi"/>
              <w:szCs w:val="22"/>
            </w:rPr>
            <w:t>ontwerpregel</w:t>
          </w:r>
          <w:r w:rsidR="00213185">
            <w:rPr>
              <w:rFonts w:cstheme="minorHAnsi"/>
              <w:szCs w:val="22"/>
            </w:rPr>
            <w:t>geving</w:t>
          </w:r>
          <w:r w:rsidR="002732CA">
            <w:rPr>
              <w:rFonts w:cstheme="minorHAnsi"/>
              <w:szCs w:val="22"/>
            </w:rPr>
            <w:t xml:space="preserve"> ter goedkeuring voor te leggen aan de verantwoordelijke ministe</w:t>
          </w:r>
          <w:r w:rsidR="002022E7">
            <w:rPr>
              <w:rFonts w:cstheme="minorHAnsi"/>
              <w:szCs w:val="22"/>
            </w:rPr>
            <w:t>r</w:t>
          </w:r>
          <w:r>
            <w:rPr>
              <w:rFonts w:cstheme="minorHAnsi"/>
              <w:szCs w:val="22"/>
            </w:rPr>
            <w:t>. Hier</w:t>
          </w:r>
          <w:r w:rsidR="002022E7">
            <w:rPr>
              <w:rFonts w:cstheme="minorHAnsi"/>
              <w:szCs w:val="22"/>
            </w:rPr>
            <w:t>voor</w:t>
          </w:r>
          <w:r>
            <w:rPr>
              <w:rFonts w:cstheme="minorHAnsi"/>
              <w:szCs w:val="22"/>
            </w:rPr>
            <w:t xml:space="preserve"> worden de Algemene wet, de Loodsenwet, de </w:t>
          </w:r>
          <w:r w:rsidR="00026AE8">
            <w:rPr>
              <w:rFonts w:cstheme="minorHAnsi"/>
              <w:szCs w:val="22"/>
            </w:rPr>
            <w:t xml:space="preserve">Gerechtsdeurwaarderswet en de Wet </w:t>
          </w:r>
          <w:r>
            <w:rPr>
              <w:rFonts w:cstheme="minorHAnsi"/>
              <w:szCs w:val="22"/>
            </w:rPr>
            <w:t xml:space="preserve">op het notarisambt gewijzigd. </w:t>
          </w:r>
        </w:p>
        <w:p w:rsidR="000E595C" w:rsidP="000E595C" w:rsidRDefault="000E595C" w14:paraId="7C6D9EA8" w14:textId="77777777">
          <w:pPr>
            <w:rPr>
              <w:rFonts w:cstheme="minorHAnsi"/>
              <w:szCs w:val="22"/>
            </w:rPr>
          </w:pPr>
        </w:p>
        <w:p w:rsidR="00862C80" w:rsidP="000E595C" w:rsidRDefault="002600AB" w14:paraId="414D755A" w14:textId="61AEA411">
          <w:pPr>
            <w:rPr>
              <w:rFonts w:cstheme="minorHAnsi"/>
              <w:szCs w:val="22"/>
            </w:rPr>
          </w:pPr>
          <w:r>
            <w:rPr>
              <w:rFonts w:cstheme="minorHAnsi"/>
              <w:szCs w:val="22"/>
            </w:rPr>
            <w:t>De Afdeling merkt op dat de bevoegdheid van de minister tot onthouding van</w:t>
          </w:r>
          <w:r w:rsidR="00233EF0">
            <w:rPr>
              <w:rFonts w:cstheme="minorHAnsi"/>
              <w:szCs w:val="22"/>
            </w:rPr>
            <w:t xml:space="preserve"> </w:t>
          </w:r>
          <w:r w:rsidR="00E85E30">
            <w:rPr>
              <w:rFonts w:cstheme="minorHAnsi"/>
              <w:szCs w:val="22"/>
            </w:rPr>
            <w:t xml:space="preserve">die </w:t>
          </w:r>
          <w:r>
            <w:rPr>
              <w:rFonts w:cstheme="minorHAnsi"/>
              <w:szCs w:val="22"/>
            </w:rPr>
            <w:t xml:space="preserve">goedkeuring in deze wetten discretionair is vormgegeven. </w:t>
          </w:r>
          <w:r w:rsidR="000E595C">
            <w:rPr>
              <w:rFonts w:cstheme="minorHAnsi"/>
              <w:szCs w:val="22"/>
            </w:rPr>
            <w:t xml:space="preserve">Als het gaat om de </w:t>
          </w:r>
          <w:r w:rsidR="00213185">
            <w:rPr>
              <w:rFonts w:cstheme="minorHAnsi"/>
              <w:szCs w:val="22"/>
            </w:rPr>
            <w:t>G</w:t>
          </w:r>
          <w:r w:rsidR="000E595C">
            <w:rPr>
              <w:rFonts w:cstheme="minorHAnsi"/>
              <w:szCs w:val="22"/>
            </w:rPr>
            <w:t>erechtsdeurwaarderswet en de Wet op het notarisambt</w:t>
          </w:r>
          <w:r w:rsidR="007E4757">
            <w:rPr>
              <w:rFonts w:cstheme="minorHAnsi"/>
              <w:szCs w:val="22"/>
            </w:rPr>
            <w:t xml:space="preserve">, dan is deze keuze begrijpelijk. </w:t>
          </w:r>
          <w:r w:rsidR="00CB34FF">
            <w:rPr>
              <w:rFonts w:cstheme="minorHAnsi"/>
              <w:szCs w:val="22"/>
            </w:rPr>
            <w:t>Met</w:t>
          </w:r>
          <w:r w:rsidR="00C53B0F">
            <w:rPr>
              <w:rFonts w:cstheme="minorHAnsi"/>
              <w:szCs w:val="22"/>
            </w:rPr>
            <w:t xml:space="preserve"> dit voorstel </w:t>
          </w:r>
          <w:r w:rsidR="00CB34FF">
            <w:rPr>
              <w:rFonts w:cstheme="minorHAnsi"/>
              <w:szCs w:val="22"/>
            </w:rPr>
            <w:t xml:space="preserve">wordt </w:t>
          </w:r>
          <w:r w:rsidR="00CC7A75">
            <w:rPr>
              <w:rFonts w:cstheme="minorHAnsi"/>
              <w:szCs w:val="22"/>
            </w:rPr>
            <w:t>immers</w:t>
          </w:r>
          <w:r w:rsidR="00C53B0F">
            <w:rPr>
              <w:rFonts w:cstheme="minorHAnsi"/>
              <w:szCs w:val="22"/>
            </w:rPr>
            <w:t xml:space="preserve"> aangesloten bij de in die wetten reeds bestaande discretionaire bevoegdheid van de minister om zijn goedkeuring te onthouden als sprake is van strijd met het recht of algemeen belang.</w:t>
          </w:r>
          <w:r w:rsidR="002F37D7">
            <w:rPr>
              <w:rStyle w:val="Voetnootmarkering"/>
              <w:rFonts w:cstheme="minorHAnsi"/>
              <w:szCs w:val="22"/>
            </w:rPr>
            <w:footnoteReference w:id="19"/>
          </w:r>
          <w:r w:rsidR="002F37D7">
            <w:rPr>
              <w:rFonts w:cstheme="minorHAnsi"/>
              <w:szCs w:val="22"/>
            </w:rPr>
            <w:t xml:space="preserve"> </w:t>
          </w:r>
        </w:p>
        <w:p w:rsidR="00862C80" w:rsidP="000E595C" w:rsidRDefault="00862C80" w14:paraId="587F50F0" w14:textId="0B21C482">
          <w:pPr>
            <w:rPr>
              <w:rFonts w:cstheme="minorHAnsi"/>
              <w:szCs w:val="22"/>
            </w:rPr>
          </w:pPr>
        </w:p>
        <w:p w:rsidR="000C6518" w:rsidP="000E595C" w:rsidRDefault="00862C80" w14:paraId="52B0A1E3" w14:textId="0F499324">
          <w:pPr>
            <w:rPr>
              <w:rFonts w:cstheme="minorHAnsi"/>
              <w:szCs w:val="22"/>
            </w:rPr>
          </w:pPr>
          <w:r>
            <w:rPr>
              <w:rFonts w:cstheme="minorHAnsi"/>
              <w:szCs w:val="22"/>
            </w:rPr>
            <w:t xml:space="preserve">Als het gaat om de Algemene wet en de Loodsenwet, dan behoeft deze keuze echter een nadere motivering. </w:t>
          </w:r>
          <w:r w:rsidR="0049780C">
            <w:rPr>
              <w:rFonts w:cstheme="minorHAnsi"/>
              <w:szCs w:val="22"/>
            </w:rPr>
            <w:t xml:space="preserve">In die wetten wordt geregeld dat de minister zijn goedkeuring </w:t>
          </w:r>
          <w:r w:rsidRPr="00491B8C" w:rsidR="0049780C">
            <w:rPr>
              <w:rFonts w:cstheme="minorHAnsi"/>
              <w:i/>
              <w:szCs w:val="22"/>
            </w:rPr>
            <w:t>kan</w:t>
          </w:r>
          <w:r w:rsidR="0049780C">
            <w:rPr>
              <w:rFonts w:cstheme="minorHAnsi"/>
              <w:szCs w:val="22"/>
            </w:rPr>
            <w:t xml:space="preserve"> onthouden als de ontwerpregelgeving </w:t>
          </w:r>
          <w:r w:rsidR="00DB0409">
            <w:rPr>
              <w:rFonts w:cstheme="minorHAnsi"/>
              <w:szCs w:val="22"/>
            </w:rPr>
            <w:t>discriminatoire, ongerechtvaardigde of onevenredige regels bevat.</w:t>
          </w:r>
          <w:r w:rsidR="009A6020">
            <w:rPr>
              <w:rStyle w:val="Voetnootmarkering"/>
              <w:rFonts w:cstheme="minorHAnsi"/>
              <w:szCs w:val="22"/>
            </w:rPr>
            <w:footnoteReference w:id="20"/>
          </w:r>
          <w:r w:rsidR="009A6020">
            <w:rPr>
              <w:rFonts w:cstheme="minorHAnsi"/>
              <w:szCs w:val="22"/>
            </w:rPr>
            <w:t xml:space="preserve"> </w:t>
          </w:r>
          <w:r w:rsidR="00B118BA">
            <w:rPr>
              <w:rFonts w:cstheme="minorHAnsi"/>
              <w:szCs w:val="22"/>
            </w:rPr>
            <w:t xml:space="preserve">Die formulering doet vermoeden dat </w:t>
          </w:r>
          <w:r w:rsidR="00D152F8">
            <w:rPr>
              <w:rFonts w:cstheme="minorHAnsi"/>
              <w:szCs w:val="22"/>
            </w:rPr>
            <w:t xml:space="preserve">goedkeuring </w:t>
          </w:r>
          <w:r w:rsidR="002C690F">
            <w:rPr>
              <w:rFonts w:cstheme="minorHAnsi"/>
              <w:szCs w:val="22"/>
            </w:rPr>
            <w:t xml:space="preserve">in </w:t>
          </w:r>
          <w:r w:rsidR="00607DFD">
            <w:rPr>
              <w:rFonts w:cstheme="minorHAnsi"/>
              <w:szCs w:val="22"/>
            </w:rPr>
            <w:t>voorkomende</w:t>
          </w:r>
          <w:r w:rsidR="002C690F">
            <w:rPr>
              <w:rFonts w:cstheme="minorHAnsi"/>
              <w:szCs w:val="22"/>
            </w:rPr>
            <w:t xml:space="preserve"> gevallen toch kan worden verleend, zelfs a</w:t>
          </w:r>
          <w:r w:rsidR="00E1087A">
            <w:rPr>
              <w:rFonts w:cstheme="minorHAnsi"/>
              <w:szCs w:val="22"/>
            </w:rPr>
            <w:t xml:space="preserve">ls </w:t>
          </w:r>
          <w:r w:rsidR="002C690F">
            <w:rPr>
              <w:rFonts w:cstheme="minorHAnsi"/>
              <w:szCs w:val="22"/>
            </w:rPr>
            <w:t>ontwerp</w:t>
          </w:r>
          <w:r w:rsidR="001248EF">
            <w:rPr>
              <w:rFonts w:cstheme="minorHAnsi"/>
              <w:szCs w:val="22"/>
            </w:rPr>
            <w:t>regelgeving discriminatoir, ongerechtvaardigd of onevenredig is</w:t>
          </w:r>
          <w:r w:rsidR="002C690F">
            <w:rPr>
              <w:rFonts w:cstheme="minorHAnsi"/>
              <w:szCs w:val="22"/>
            </w:rPr>
            <w:t>.</w:t>
          </w:r>
          <w:r w:rsidR="001248EF">
            <w:rPr>
              <w:rFonts w:cstheme="minorHAnsi"/>
              <w:szCs w:val="22"/>
            </w:rPr>
            <w:t xml:space="preserve"> </w:t>
          </w:r>
          <w:r w:rsidR="00B239B0">
            <w:rPr>
              <w:rFonts w:cstheme="minorHAnsi"/>
              <w:szCs w:val="22"/>
            </w:rPr>
            <w:t>Het is moeilijk voorstelbaar om welke gevallen het dan zou gaan</w:t>
          </w:r>
          <w:r w:rsidR="00726142">
            <w:rPr>
              <w:rFonts w:cstheme="minorHAnsi"/>
              <w:szCs w:val="22"/>
            </w:rPr>
            <w:t xml:space="preserve">. </w:t>
          </w:r>
          <w:r w:rsidR="00714D8C">
            <w:rPr>
              <w:rFonts w:cstheme="minorHAnsi"/>
              <w:szCs w:val="22"/>
            </w:rPr>
            <w:t>E</w:t>
          </w:r>
          <w:r w:rsidR="006F5873">
            <w:rPr>
              <w:rFonts w:cstheme="minorHAnsi"/>
              <w:szCs w:val="22"/>
            </w:rPr>
            <w:t xml:space="preserve">en nadere motivering voor de keuze voor een discretionaire bevoegdheid </w:t>
          </w:r>
          <w:r w:rsidR="00714D8C">
            <w:rPr>
              <w:rFonts w:cstheme="minorHAnsi"/>
              <w:szCs w:val="22"/>
            </w:rPr>
            <w:t>is</w:t>
          </w:r>
          <w:r w:rsidR="001539F2">
            <w:rPr>
              <w:rFonts w:cstheme="minorHAnsi"/>
              <w:szCs w:val="22"/>
            </w:rPr>
            <w:t>, gegeven deze gronden voor onthouding,</w:t>
          </w:r>
          <w:r w:rsidR="00714D8C">
            <w:rPr>
              <w:rFonts w:cstheme="minorHAnsi"/>
              <w:szCs w:val="22"/>
            </w:rPr>
            <w:t xml:space="preserve"> daarom </w:t>
          </w:r>
          <w:r w:rsidR="006F5873">
            <w:rPr>
              <w:rFonts w:cstheme="minorHAnsi"/>
              <w:szCs w:val="22"/>
            </w:rPr>
            <w:t>aangewezen.</w:t>
          </w:r>
          <w:r w:rsidR="000E0330">
            <w:rPr>
              <w:rFonts w:cstheme="minorHAnsi"/>
              <w:szCs w:val="22"/>
            </w:rPr>
            <w:t xml:space="preserve"> </w:t>
          </w:r>
        </w:p>
        <w:p w:rsidR="000E0330" w:rsidP="000E595C" w:rsidRDefault="000E0330" w14:paraId="28B170F6" w14:textId="77777777">
          <w:pPr>
            <w:rPr>
              <w:rFonts w:cstheme="minorHAnsi"/>
              <w:szCs w:val="22"/>
            </w:rPr>
          </w:pPr>
        </w:p>
        <w:p w:rsidR="00334296" w:rsidP="00A830BB" w:rsidRDefault="000E0330" w14:paraId="2BFEF901" w14:textId="02153D67">
          <w:pPr>
            <w:rPr>
              <w:rFonts w:cstheme="minorHAnsi"/>
              <w:szCs w:val="22"/>
            </w:rPr>
          </w:pPr>
          <w:r>
            <w:rPr>
              <w:rFonts w:cstheme="minorHAnsi"/>
              <w:szCs w:val="22"/>
            </w:rPr>
            <w:t xml:space="preserve">De Afdeling adviseert in de toelichting </w:t>
          </w:r>
          <w:r w:rsidR="00FE7905">
            <w:rPr>
              <w:rFonts w:cstheme="minorHAnsi"/>
              <w:szCs w:val="22"/>
            </w:rPr>
            <w:t>nader</w:t>
          </w:r>
          <w:r>
            <w:rPr>
              <w:rFonts w:cstheme="minorHAnsi"/>
              <w:szCs w:val="22"/>
            </w:rPr>
            <w:t xml:space="preserve"> te motiveren waarom </w:t>
          </w:r>
          <w:r w:rsidR="00FE7905">
            <w:rPr>
              <w:rFonts w:cstheme="minorHAnsi"/>
              <w:szCs w:val="22"/>
            </w:rPr>
            <w:t xml:space="preserve">ervoor is gekozen </w:t>
          </w:r>
          <w:r w:rsidR="00750A88">
            <w:rPr>
              <w:rFonts w:cstheme="minorHAnsi"/>
              <w:szCs w:val="22"/>
            </w:rPr>
            <w:t>de bevoegdheid van de minister tot het onthouden van goedkeuring in de Algemene wet en de Loodsenwet discretionair vorm te geven</w:t>
          </w:r>
          <w:r w:rsidR="00FE7905">
            <w:rPr>
              <w:rFonts w:cstheme="minorHAnsi"/>
              <w:szCs w:val="22"/>
            </w:rPr>
            <w:t xml:space="preserve"> en, zo nodig, het voorstel aan te passen. </w:t>
          </w:r>
        </w:p>
        <w:p w:rsidR="0063016E" w:rsidP="00A830BB" w:rsidRDefault="0063016E" w14:paraId="5B2DB3D0" w14:textId="782E68E1">
          <w:pPr>
            <w:rPr>
              <w:rFonts w:cstheme="minorHAnsi"/>
              <w:szCs w:val="22"/>
            </w:rPr>
          </w:pPr>
        </w:p>
        <w:p w:rsidR="009C6F6E" w:rsidP="009A6FD4" w:rsidRDefault="00334296" w14:paraId="67A1AD52" w14:textId="702D7DF3">
          <w:pPr>
            <w:jc w:val="both"/>
            <w:rPr>
              <w:rFonts w:cstheme="minorHAnsi"/>
              <w:szCs w:val="22"/>
              <w:u w:val="single"/>
            </w:rPr>
          </w:pPr>
          <w:r>
            <w:rPr>
              <w:rFonts w:cstheme="minorHAnsi"/>
              <w:szCs w:val="22"/>
            </w:rPr>
            <w:t>4.</w:t>
          </w:r>
          <w:r w:rsidR="00377A57">
            <w:rPr>
              <w:rFonts w:cstheme="minorHAnsi"/>
              <w:szCs w:val="22"/>
            </w:rPr>
            <w:tab/>
          </w:r>
          <w:r w:rsidRPr="00377A57" w:rsidR="00A0220D">
            <w:rPr>
              <w:rFonts w:cstheme="minorHAnsi"/>
              <w:szCs w:val="22"/>
              <w:u w:val="single"/>
            </w:rPr>
            <w:t>Bindend advies door de minister</w:t>
          </w:r>
        </w:p>
        <w:p w:rsidR="00334296" w:rsidP="00A830BB" w:rsidRDefault="00334296" w14:paraId="65C68690" w14:textId="77777777">
          <w:pPr>
            <w:rPr>
              <w:rFonts w:cstheme="minorHAnsi"/>
              <w:szCs w:val="22"/>
            </w:rPr>
          </w:pPr>
        </w:p>
        <w:p w:rsidR="009C6F6E" w:rsidP="00A830BB" w:rsidRDefault="001F5E63" w14:paraId="0D12FE9F" w14:textId="1C885CDF">
          <w:pPr>
            <w:rPr>
              <w:rFonts w:cstheme="minorHAnsi"/>
              <w:szCs w:val="22"/>
            </w:rPr>
          </w:pPr>
          <w:r>
            <w:rPr>
              <w:rFonts w:cstheme="minorHAnsi"/>
              <w:szCs w:val="22"/>
            </w:rPr>
            <w:t>Voor zover de beroepsorganisatie niet beschikt over een onafhankelijk orgaan</w:t>
          </w:r>
          <w:r w:rsidR="00C1496A">
            <w:rPr>
              <w:rFonts w:cstheme="minorHAnsi"/>
              <w:szCs w:val="22"/>
            </w:rPr>
            <w:t xml:space="preserve">, is de verantwoordelijke minister bevoegd </w:t>
          </w:r>
          <w:r w:rsidR="00CC27F8">
            <w:rPr>
              <w:rFonts w:cstheme="minorHAnsi"/>
              <w:szCs w:val="22"/>
            </w:rPr>
            <w:t xml:space="preserve">om een </w:t>
          </w:r>
          <w:r w:rsidRPr="00377A57" w:rsidR="00CC27F8">
            <w:rPr>
              <w:rFonts w:cstheme="minorHAnsi"/>
              <w:i/>
              <w:iCs/>
              <w:szCs w:val="22"/>
            </w:rPr>
            <w:t>bindend</w:t>
          </w:r>
          <w:r w:rsidR="00CC27F8">
            <w:rPr>
              <w:rFonts w:cstheme="minorHAnsi"/>
              <w:szCs w:val="22"/>
            </w:rPr>
            <w:t xml:space="preserve"> </w:t>
          </w:r>
          <w:r w:rsidRPr="00377A57" w:rsidR="00CC27F8">
            <w:rPr>
              <w:rFonts w:cstheme="minorHAnsi"/>
              <w:i/>
              <w:iCs/>
              <w:szCs w:val="22"/>
            </w:rPr>
            <w:t>advies</w:t>
          </w:r>
          <w:r w:rsidR="00CC27F8">
            <w:rPr>
              <w:rFonts w:cstheme="minorHAnsi"/>
              <w:szCs w:val="22"/>
            </w:rPr>
            <w:t xml:space="preserve"> te geven in het kader van de </w:t>
          </w:r>
          <w:r w:rsidRPr="00377A57" w:rsidR="002F46FF">
            <w:rPr>
              <w:rFonts w:cstheme="minorHAnsi"/>
              <w:i/>
              <w:iCs/>
              <w:szCs w:val="22"/>
            </w:rPr>
            <w:t>periodieke</w:t>
          </w:r>
          <w:r w:rsidR="002F46FF">
            <w:rPr>
              <w:rFonts w:cstheme="minorHAnsi"/>
              <w:szCs w:val="22"/>
            </w:rPr>
            <w:t xml:space="preserve"> evenredigheidsbeoordeling.</w:t>
          </w:r>
          <w:r w:rsidR="005E3B2C">
            <w:rPr>
              <w:rFonts w:cstheme="minorHAnsi"/>
              <w:szCs w:val="22"/>
            </w:rPr>
            <w:t xml:space="preserve"> </w:t>
          </w:r>
          <w:r w:rsidR="00FA589D">
            <w:rPr>
              <w:rFonts w:cstheme="minorHAnsi"/>
              <w:szCs w:val="22"/>
            </w:rPr>
            <w:t xml:space="preserve">In het kader van de </w:t>
          </w:r>
          <w:r w:rsidRPr="00377A57" w:rsidR="00FA589D">
            <w:rPr>
              <w:rFonts w:cstheme="minorHAnsi"/>
              <w:i/>
              <w:iCs/>
              <w:szCs w:val="22"/>
            </w:rPr>
            <w:t>tussentijdse</w:t>
          </w:r>
          <w:r w:rsidR="00FA589D">
            <w:rPr>
              <w:rFonts w:cstheme="minorHAnsi"/>
              <w:szCs w:val="22"/>
            </w:rPr>
            <w:t xml:space="preserve"> evenredigheidsbeoordeling</w:t>
          </w:r>
          <w:r w:rsidR="00AC6678">
            <w:rPr>
              <w:rFonts w:cstheme="minorHAnsi"/>
              <w:szCs w:val="22"/>
            </w:rPr>
            <w:t>, geeft de minister</w:t>
          </w:r>
          <w:r w:rsidR="004A1931">
            <w:rPr>
              <w:rFonts w:cstheme="minorHAnsi"/>
              <w:szCs w:val="22"/>
            </w:rPr>
            <w:t xml:space="preserve"> een </w:t>
          </w:r>
          <w:r w:rsidRPr="00377A57" w:rsidR="004A1931">
            <w:rPr>
              <w:rFonts w:cstheme="minorHAnsi"/>
              <w:i/>
              <w:iCs/>
              <w:szCs w:val="22"/>
            </w:rPr>
            <w:t>advies</w:t>
          </w:r>
          <w:r w:rsidR="004A1931">
            <w:rPr>
              <w:rFonts w:cstheme="minorHAnsi"/>
              <w:szCs w:val="22"/>
            </w:rPr>
            <w:t>.</w:t>
          </w:r>
          <w:r w:rsidR="00D03C6B">
            <w:rPr>
              <w:rFonts w:cstheme="minorHAnsi"/>
              <w:szCs w:val="22"/>
            </w:rPr>
            <w:t xml:space="preserve"> </w:t>
          </w:r>
        </w:p>
        <w:p w:rsidR="009F45CC" w:rsidP="009A6FD4" w:rsidRDefault="009F45CC" w14:paraId="6E56C86B" w14:textId="77777777">
          <w:pPr>
            <w:jc w:val="both"/>
            <w:rPr>
              <w:rFonts w:cstheme="minorHAnsi"/>
              <w:szCs w:val="22"/>
            </w:rPr>
          </w:pPr>
        </w:p>
        <w:p w:rsidR="00D03C6B" w:rsidP="007C1DC1" w:rsidRDefault="00A76C9B" w14:paraId="164F64E8" w14:textId="2D175DC8">
          <w:pPr>
            <w:rPr>
              <w:rFonts w:cstheme="minorHAnsi"/>
              <w:szCs w:val="22"/>
            </w:rPr>
          </w:pPr>
          <w:r>
            <w:rPr>
              <w:rFonts w:cstheme="minorHAnsi"/>
              <w:szCs w:val="22"/>
            </w:rPr>
            <w:t xml:space="preserve">Voor wat betreft de periodieke evenredigheidsbeoordeling </w:t>
          </w:r>
          <w:r w:rsidR="00D03C6B">
            <w:rPr>
              <w:rFonts w:cstheme="minorHAnsi"/>
              <w:szCs w:val="22"/>
            </w:rPr>
            <w:t xml:space="preserve">benadrukt </w:t>
          </w:r>
          <w:r>
            <w:rPr>
              <w:rFonts w:cstheme="minorHAnsi"/>
              <w:szCs w:val="22"/>
            </w:rPr>
            <w:t xml:space="preserve">de toelichting </w:t>
          </w:r>
          <w:r w:rsidR="00D03C6B">
            <w:rPr>
              <w:rFonts w:cstheme="minorHAnsi"/>
              <w:szCs w:val="22"/>
            </w:rPr>
            <w:t>enerzijds de bindende aard van het advies en de verplichting voor de beroepsorganisatie om het op te volgen.</w:t>
          </w:r>
          <w:r w:rsidR="00D03C6B">
            <w:rPr>
              <w:rStyle w:val="Voetnootmarkering"/>
              <w:rFonts w:cstheme="minorHAnsi"/>
              <w:szCs w:val="22"/>
            </w:rPr>
            <w:footnoteReference w:id="21"/>
          </w:r>
          <w:r w:rsidR="00D03C6B">
            <w:rPr>
              <w:rFonts w:cstheme="minorHAnsi"/>
              <w:szCs w:val="22"/>
            </w:rPr>
            <w:t xml:space="preserve"> Anderzijds anticipeert de toelichting op de mogelijkheid dat de beroepsorganisatie toch geen gehoor zou geven aan het bindend advies – in welk kader de vernietigingsbevoegdheid als waarborg wordt genoemd.</w:t>
          </w:r>
          <w:r w:rsidR="00D03C6B">
            <w:rPr>
              <w:rStyle w:val="Voetnootmarkering"/>
              <w:rFonts w:cstheme="minorHAnsi"/>
              <w:szCs w:val="22"/>
            </w:rPr>
            <w:footnoteReference w:id="22"/>
          </w:r>
          <w:r w:rsidR="00D03C6B">
            <w:rPr>
              <w:rFonts w:cstheme="minorHAnsi"/>
              <w:szCs w:val="22"/>
            </w:rPr>
            <w:t xml:space="preserve"> </w:t>
          </w:r>
        </w:p>
        <w:p w:rsidR="001D1B8C" w:rsidP="009A6FD4" w:rsidRDefault="001D1B8C" w14:paraId="4DFCC564" w14:textId="77777777">
          <w:pPr>
            <w:jc w:val="both"/>
            <w:rPr>
              <w:rFonts w:cstheme="minorHAnsi"/>
              <w:szCs w:val="22"/>
            </w:rPr>
          </w:pPr>
        </w:p>
        <w:p w:rsidR="00533810" w:rsidP="00533810" w:rsidRDefault="00533810" w14:paraId="2F7F1716" w14:textId="5DDE3430">
          <w:pPr>
            <w:rPr>
              <w:rFonts w:cstheme="minorHAnsi"/>
              <w:szCs w:val="22"/>
            </w:rPr>
          </w:pPr>
          <w:r>
            <w:rPr>
              <w:rFonts w:cstheme="minorHAnsi"/>
              <w:szCs w:val="22"/>
            </w:rPr>
            <w:t>In tegenstelling tot de bevoegdheden van goedkeuring en vernietiging, is de bevoegdheid tot het geven van een bindend advies nieuw in de verhoudingen tussen de verantwoordelijke minister en de beroepsorganisatie. Blijkens de toelichting wordt met deze nieuwe bevoegdheid beoogd om te voorkomen dat de minister, nadat bepalingen eenmaal zijn vastgesteld, geen grip meer zou hebben op de verenigbaarheid ervan met het vereiste van evenredigheid.</w:t>
          </w:r>
          <w:r>
            <w:rPr>
              <w:rStyle w:val="Voetnootmarkering"/>
              <w:rFonts w:cstheme="minorHAnsi"/>
              <w:szCs w:val="22"/>
            </w:rPr>
            <w:footnoteReference w:id="23"/>
          </w:r>
        </w:p>
        <w:p w:rsidR="00533810" w:rsidP="009A6FD4" w:rsidRDefault="00533810" w14:paraId="45F0F935" w14:textId="77777777">
          <w:pPr>
            <w:jc w:val="both"/>
            <w:rPr>
              <w:rFonts w:cstheme="minorHAnsi"/>
              <w:szCs w:val="22"/>
            </w:rPr>
          </w:pPr>
        </w:p>
        <w:p w:rsidR="00627258" w:rsidP="00A830BB" w:rsidRDefault="00F2015A" w14:paraId="5C62E9AE" w14:textId="1457E86C">
          <w:pPr>
            <w:rPr>
              <w:rFonts w:cstheme="minorHAnsi"/>
              <w:szCs w:val="22"/>
            </w:rPr>
          </w:pPr>
          <w:r>
            <w:rPr>
              <w:rFonts w:cstheme="minorHAnsi"/>
              <w:szCs w:val="22"/>
            </w:rPr>
            <w:lastRenderedPageBreak/>
            <w:t xml:space="preserve">De Afdeling mist in de toelichting een </w:t>
          </w:r>
          <w:r w:rsidR="00F870ED">
            <w:rPr>
              <w:rFonts w:cstheme="minorHAnsi"/>
              <w:szCs w:val="22"/>
            </w:rPr>
            <w:t>toereikende motivering</w:t>
          </w:r>
          <w:r>
            <w:rPr>
              <w:rFonts w:cstheme="minorHAnsi"/>
              <w:szCs w:val="22"/>
            </w:rPr>
            <w:t xml:space="preserve"> </w:t>
          </w:r>
          <w:r w:rsidR="00F870ED">
            <w:rPr>
              <w:rFonts w:cstheme="minorHAnsi"/>
              <w:szCs w:val="22"/>
            </w:rPr>
            <w:t>waarom</w:t>
          </w:r>
          <w:r>
            <w:rPr>
              <w:rFonts w:cstheme="minorHAnsi"/>
              <w:szCs w:val="22"/>
            </w:rPr>
            <w:t xml:space="preserve"> </w:t>
          </w:r>
          <w:r w:rsidR="00AE7A2B">
            <w:rPr>
              <w:rFonts w:cstheme="minorHAnsi"/>
              <w:szCs w:val="22"/>
            </w:rPr>
            <w:t xml:space="preserve">het </w:t>
          </w:r>
          <w:r w:rsidRPr="00F55D87" w:rsidR="002433C2">
            <w:rPr>
              <w:rFonts w:cstheme="minorHAnsi"/>
              <w:szCs w:val="22"/>
            </w:rPr>
            <w:t>bindend</w:t>
          </w:r>
          <w:r w:rsidRPr="00377A57" w:rsidR="002433C2">
            <w:rPr>
              <w:rFonts w:cstheme="minorHAnsi"/>
              <w:i/>
              <w:iCs/>
              <w:szCs w:val="22"/>
            </w:rPr>
            <w:t xml:space="preserve"> </w:t>
          </w:r>
          <w:r w:rsidR="002433C2">
            <w:rPr>
              <w:rFonts w:cstheme="minorHAnsi"/>
              <w:szCs w:val="22"/>
            </w:rPr>
            <w:t xml:space="preserve">advies </w:t>
          </w:r>
          <w:r w:rsidR="006710D7">
            <w:rPr>
              <w:rFonts w:cstheme="minorHAnsi"/>
              <w:szCs w:val="22"/>
            </w:rPr>
            <w:t xml:space="preserve">in het kader van de </w:t>
          </w:r>
          <w:r w:rsidRPr="001A4C74" w:rsidR="006710D7">
            <w:rPr>
              <w:rFonts w:cstheme="minorHAnsi"/>
              <w:szCs w:val="22"/>
            </w:rPr>
            <w:t>periodieke</w:t>
          </w:r>
          <w:r w:rsidR="006710D7">
            <w:rPr>
              <w:rFonts w:cstheme="minorHAnsi"/>
              <w:szCs w:val="22"/>
            </w:rPr>
            <w:t xml:space="preserve"> evenredigheidsbeoordeling </w:t>
          </w:r>
          <w:r w:rsidR="00AE7A2B">
            <w:rPr>
              <w:rFonts w:cstheme="minorHAnsi"/>
              <w:szCs w:val="22"/>
            </w:rPr>
            <w:t xml:space="preserve">noodzakelijk is om </w:t>
          </w:r>
          <w:r w:rsidR="00B05A00">
            <w:rPr>
              <w:rFonts w:cstheme="minorHAnsi"/>
              <w:szCs w:val="22"/>
            </w:rPr>
            <w:t xml:space="preserve">een correcte </w:t>
          </w:r>
          <w:r w:rsidR="000D5B3F">
            <w:rPr>
              <w:rFonts w:cstheme="minorHAnsi"/>
              <w:szCs w:val="22"/>
            </w:rPr>
            <w:t>uitvoering van de verplichtingen uit de Proportionaliteitsrichtlijn te v</w:t>
          </w:r>
          <w:r w:rsidR="00B26677">
            <w:rPr>
              <w:rFonts w:cstheme="minorHAnsi"/>
              <w:szCs w:val="22"/>
            </w:rPr>
            <w:t>erzekeren</w:t>
          </w:r>
          <w:r w:rsidR="000D5B3F">
            <w:rPr>
              <w:rFonts w:cstheme="minorHAnsi"/>
              <w:szCs w:val="22"/>
            </w:rPr>
            <w:t>.</w:t>
          </w:r>
          <w:r w:rsidR="00B26677">
            <w:rPr>
              <w:rFonts w:cstheme="minorHAnsi"/>
              <w:szCs w:val="22"/>
            </w:rPr>
            <w:t xml:space="preserve"> De verplichting </w:t>
          </w:r>
          <w:r w:rsidR="007B0480">
            <w:rPr>
              <w:rFonts w:cstheme="minorHAnsi"/>
              <w:szCs w:val="22"/>
            </w:rPr>
            <w:t xml:space="preserve">hiertoe vloeit niet </w:t>
          </w:r>
          <w:r w:rsidR="00877DDB">
            <w:rPr>
              <w:rFonts w:cstheme="minorHAnsi"/>
              <w:szCs w:val="22"/>
            </w:rPr>
            <w:t xml:space="preserve">rechtstreeks </w:t>
          </w:r>
          <w:r w:rsidR="007B0480">
            <w:rPr>
              <w:rFonts w:cstheme="minorHAnsi"/>
              <w:szCs w:val="22"/>
            </w:rPr>
            <w:t>voort uit de Proportionaliteitsrichtlijn.</w:t>
          </w:r>
          <w:r w:rsidR="00686D71">
            <w:rPr>
              <w:rFonts w:cstheme="minorHAnsi"/>
              <w:szCs w:val="22"/>
            </w:rPr>
            <w:t xml:space="preserve"> Het is </w:t>
          </w:r>
          <w:r w:rsidR="00062D10">
            <w:rPr>
              <w:rFonts w:cstheme="minorHAnsi"/>
              <w:szCs w:val="22"/>
            </w:rPr>
            <w:t>on</w:t>
          </w:r>
          <w:r w:rsidR="00686D71">
            <w:rPr>
              <w:rFonts w:cstheme="minorHAnsi"/>
              <w:szCs w:val="22"/>
            </w:rPr>
            <w:t xml:space="preserve">duidelijk waarom </w:t>
          </w:r>
          <w:r w:rsidR="005F33BE">
            <w:rPr>
              <w:rFonts w:cstheme="minorHAnsi"/>
              <w:szCs w:val="22"/>
            </w:rPr>
            <w:t xml:space="preserve">bestaande bevoegdheden, zoals </w:t>
          </w:r>
          <w:r w:rsidR="00062D10">
            <w:rPr>
              <w:rFonts w:cstheme="minorHAnsi"/>
              <w:szCs w:val="22"/>
            </w:rPr>
            <w:t xml:space="preserve">de mogelijkheid </w:t>
          </w:r>
          <w:r w:rsidR="00321761">
            <w:rPr>
              <w:rFonts w:cstheme="minorHAnsi"/>
              <w:szCs w:val="22"/>
            </w:rPr>
            <w:t>om over te gaan tot vernietiging,</w:t>
          </w:r>
          <w:r w:rsidR="000C3972">
            <w:rPr>
              <w:rStyle w:val="Voetnootmarkering"/>
              <w:rFonts w:cstheme="minorHAnsi"/>
              <w:szCs w:val="22"/>
            </w:rPr>
            <w:footnoteReference w:id="24"/>
          </w:r>
          <w:r w:rsidR="00321761">
            <w:rPr>
              <w:rFonts w:cstheme="minorHAnsi"/>
              <w:szCs w:val="22"/>
            </w:rPr>
            <w:t xml:space="preserve"> </w:t>
          </w:r>
          <w:r w:rsidR="00F47031">
            <w:rPr>
              <w:rFonts w:cstheme="minorHAnsi"/>
              <w:szCs w:val="22"/>
            </w:rPr>
            <w:t xml:space="preserve">ontoereikend </w:t>
          </w:r>
          <w:r w:rsidR="00A2243C">
            <w:rPr>
              <w:rFonts w:cstheme="minorHAnsi"/>
              <w:szCs w:val="22"/>
            </w:rPr>
            <w:t xml:space="preserve">zouden </w:t>
          </w:r>
          <w:r w:rsidR="000C3972">
            <w:rPr>
              <w:rFonts w:cstheme="minorHAnsi"/>
              <w:szCs w:val="22"/>
            </w:rPr>
            <w:t>zijn</w:t>
          </w:r>
          <w:r w:rsidR="00256108">
            <w:rPr>
              <w:rFonts w:cstheme="minorHAnsi"/>
              <w:szCs w:val="22"/>
            </w:rPr>
            <w:t xml:space="preserve"> indien een beroepsorganisatie weigert een onevenredig te oordelen bepaling aan te passen of te schrappen</w:t>
          </w:r>
          <w:r w:rsidR="00F47031">
            <w:rPr>
              <w:rFonts w:cstheme="minorHAnsi"/>
              <w:szCs w:val="22"/>
            </w:rPr>
            <w:t>.</w:t>
          </w:r>
          <w:r w:rsidR="00965CEA">
            <w:rPr>
              <w:rStyle w:val="Voetnootmarkering"/>
              <w:rFonts w:cstheme="minorHAnsi"/>
              <w:szCs w:val="22"/>
            </w:rPr>
            <w:footnoteReference w:id="25"/>
          </w:r>
          <w:r w:rsidR="0021635E">
            <w:rPr>
              <w:rFonts w:cstheme="minorHAnsi"/>
              <w:szCs w:val="22"/>
            </w:rPr>
            <w:t xml:space="preserve"> </w:t>
          </w:r>
          <w:r w:rsidR="00DB22CD">
            <w:rPr>
              <w:rFonts w:cstheme="minorHAnsi"/>
              <w:szCs w:val="22"/>
            </w:rPr>
            <w:t xml:space="preserve">Die bestaande bevoegdheden zouden kunnen worden gecombineerd met </w:t>
          </w:r>
          <w:r w:rsidR="00087766">
            <w:rPr>
              <w:rFonts w:cstheme="minorHAnsi"/>
              <w:szCs w:val="22"/>
            </w:rPr>
            <w:t>een m</w:t>
          </w:r>
          <w:r w:rsidR="00753D2A">
            <w:rPr>
              <w:rFonts w:cstheme="minorHAnsi"/>
              <w:szCs w:val="22"/>
            </w:rPr>
            <w:t xml:space="preserve">inder ingrijpende </w:t>
          </w:r>
          <w:r w:rsidR="003E20CF">
            <w:rPr>
              <w:rFonts w:cstheme="minorHAnsi"/>
              <w:szCs w:val="22"/>
            </w:rPr>
            <w:t xml:space="preserve">bevoegdheid van de minister </w:t>
          </w:r>
          <w:r w:rsidR="00CF5857">
            <w:rPr>
              <w:rFonts w:cstheme="minorHAnsi"/>
              <w:szCs w:val="22"/>
            </w:rPr>
            <w:t>ten aanzien van de periodieke evenredigheidsbeoordeling</w:t>
          </w:r>
          <w:r w:rsidR="004118F4">
            <w:rPr>
              <w:rFonts w:cstheme="minorHAnsi"/>
              <w:szCs w:val="22"/>
            </w:rPr>
            <w:t>, zoals het geven van een advies.</w:t>
          </w:r>
        </w:p>
        <w:p w:rsidR="00627258" w:rsidP="009A6FD4" w:rsidRDefault="00627258" w14:paraId="67880474" w14:textId="77777777">
          <w:pPr>
            <w:jc w:val="both"/>
            <w:rPr>
              <w:rFonts w:cstheme="minorHAnsi"/>
              <w:szCs w:val="22"/>
            </w:rPr>
          </w:pPr>
        </w:p>
        <w:p w:rsidR="008406D1" w:rsidP="00A830BB" w:rsidRDefault="0021635E" w14:paraId="7D081FDB" w14:textId="71E257B4">
          <w:pPr>
            <w:rPr>
              <w:rFonts w:cstheme="minorHAnsi"/>
              <w:szCs w:val="22"/>
            </w:rPr>
          </w:pPr>
          <w:r>
            <w:rPr>
              <w:rFonts w:cstheme="minorHAnsi"/>
              <w:szCs w:val="22"/>
            </w:rPr>
            <w:t xml:space="preserve">De noodzaak </w:t>
          </w:r>
          <w:r w:rsidR="00713133">
            <w:rPr>
              <w:rFonts w:cstheme="minorHAnsi"/>
              <w:szCs w:val="22"/>
            </w:rPr>
            <w:t xml:space="preserve">voor </w:t>
          </w:r>
          <w:r w:rsidR="002E13CF">
            <w:rPr>
              <w:rFonts w:cstheme="minorHAnsi"/>
              <w:szCs w:val="22"/>
            </w:rPr>
            <w:t xml:space="preserve">de nieuwe bevoegdheid tot het geven van </w:t>
          </w:r>
          <w:r w:rsidR="00713133">
            <w:rPr>
              <w:rFonts w:cstheme="minorHAnsi"/>
              <w:szCs w:val="22"/>
            </w:rPr>
            <w:t xml:space="preserve">een </w:t>
          </w:r>
          <w:r w:rsidRPr="00F55D87" w:rsidR="00713133">
            <w:rPr>
              <w:rFonts w:cstheme="minorHAnsi"/>
              <w:szCs w:val="22"/>
            </w:rPr>
            <w:t>bindend</w:t>
          </w:r>
          <w:r w:rsidR="00713133">
            <w:rPr>
              <w:rFonts w:cstheme="minorHAnsi"/>
              <w:szCs w:val="22"/>
            </w:rPr>
            <w:t xml:space="preserve"> advies dient </w:t>
          </w:r>
          <w:r w:rsidR="00CA57B1">
            <w:rPr>
              <w:rFonts w:cstheme="minorHAnsi"/>
              <w:szCs w:val="22"/>
            </w:rPr>
            <w:t>ook</w:t>
          </w:r>
          <w:r w:rsidR="00713133">
            <w:rPr>
              <w:rFonts w:cstheme="minorHAnsi"/>
              <w:szCs w:val="22"/>
            </w:rPr>
            <w:t xml:space="preserve"> te worden beoordeeld tegen de achtergrond van</w:t>
          </w:r>
          <w:r w:rsidR="000E26FA">
            <w:rPr>
              <w:rFonts w:cstheme="minorHAnsi"/>
              <w:szCs w:val="22"/>
            </w:rPr>
            <w:t xml:space="preserve"> de zelfstandige regelgevende bevoegdheid </w:t>
          </w:r>
          <w:r w:rsidR="00C904E3">
            <w:rPr>
              <w:rFonts w:cstheme="minorHAnsi"/>
              <w:szCs w:val="22"/>
            </w:rPr>
            <w:t>en de positie van beroepsorganisaties.</w:t>
          </w:r>
          <w:r w:rsidR="00C904E3">
            <w:rPr>
              <w:rStyle w:val="Voetnootmarkering"/>
              <w:rFonts w:cstheme="minorHAnsi"/>
              <w:szCs w:val="22"/>
            </w:rPr>
            <w:footnoteReference w:id="26"/>
          </w:r>
          <w:r w:rsidR="008D1D2B">
            <w:rPr>
              <w:rFonts w:cstheme="minorHAnsi"/>
              <w:szCs w:val="22"/>
            </w:rPr>
            <w:t xml:space="preserve"> </w:t>
          </w:r>
          <w:r w:rsidR="00FE4140">
            <w:rPr>
              <w:rFonts w:cstheme="minorHAnsi"/>
              <w:szCs w:val="22"/>
            </w:rPr>
            <w:t>Deze positie</w:t>
          </w:r>
          <w:r w:rsidR="00256215">
            <w:rPr>
              <w:rFonts w:cstheme="minorHAnsi"/>
              <w:szCs w:val="22"/>
            </w:rPr>
            <w:t xml:space="preserve"> vergt terughoudendheid in het ingrijpen </w:t>
          </w:r>
          <w:r w:rsidR="00196576">
            <w:rPr>
              <w:rFonts w:cstheme="minorHAnsi"/>
              <w:szCs w:val="22"/>
            </w:rPr>
            <w:t>in de zelfstandige regelgevende bevoegdheid</w:t>
          </w:r>
          <w:r w:rsidR="0059155E">
            <w:rPr>
              <w:rFonts w:cstheme="minorHAnsi"/>
              <w:szCs w:val="22"/>
            </w:rPr>
            <w:t xml:space="preserve"> door de minister</w:t>
          </w:r>
          <w:r w:rsidR="00196576">
            <w:rPr>
              <w:rFonts w:cstheme="minorHAnsi"/>
              <w:szCs w:val="22"/>
            </w:rPr>
            <w:t>.</w:t>
          </w:r>
        </w:p>
        <w:p w:rsidR="009B35A1" w:rsidP="00A830BB" w:rsidRDefault="009B35A1" w14:paraId="7E24CBAA" w14:textId="77777777">
          <w:pPr>
            <w:rPr>
              <w:rFonts w:cstheme="minorHAnsi"/>
              <w:szCs w:val="22"/>
            </w:rPr>
          </w:pPr>
        </w:p>
        <w:p w:rsidR="001978DD" w:rsidP="000457B6" w:rsidRDefault="003A3D20" w14:paraId="22DF2EDA" w14:textId="250F74B2">
          <w:r>
            <w:rPr>
              <w:rFonts w:cstheme="minorHAnsi"/>
              <w:szCs w:val="22"/>
            </w:rPr>
            <w:t>De Afdeling adviseert om de bevoegdheid van de minister tot het geven van een bindend advies te schrappen en te vervangen door bevoegdheden van de minister die beter aansluiten bij de verhoudingen tussen de minister en de beroepsorganisatie</w:t>
          </w:r>
          <w:r w:rsidR="00B13EF9">
            <w:rPr>
              <w:rFonts w:cstheme="minorHAnsi"/>
              <w:szCs w:val="22"/>
            </w:rPr>
            <w:t>, zoals het geven van een advies</w:t>
          </w:r>
          <w:r>
            <w:rPr>
              <w:rFonts w:cstheme="minorHAnsi"/>
              <w:szCs w:val="22"/>
            </w:rPr>
            <w:t>.</w:t>
          </w:r>
        </w:p>
      </w:sdtContent>
    </w:sdt>
    <w:p w:rsidR="00601065" w:rsidRDefault="00601065" w14:paraId="627B6343" w14:textId="77777777"/>
    <w:p w:rsidR="00601065" w:rsidRDefault="00601065" w14:paraId="086C5728" w14:textId="77777777"/>
    <w:sdt>
      <w:sdtPr>
        <w:tag w:val="bmDictum"/>
        <w:id w:val="-442924545"/>
        <w:lock w:val="sdtLocked"/>
        <w:placeholder>
          <w:docPart w:val="DefaultPlaceholder_-1854013440"/>
        </w:placeholder>
      </w:sdtPr>
      <w:sdtEndPr/>
      <w:sdtContent>
        <w:p w:rsidR="009963A0" w:rsidRDefault="00851CE9" w14:paraId="6E9203EB" w14:textId="01838E91">
          <w:r>
            <w:t xml:space="preserve">De Afdeling advisering van de Raad van State heeft een aantal opmerkingen bij het voorstel en adviseert daarmee rekening te houden voordat het voorstel bij de Tweede Kamer der Staten-Generaal wordt ingediend. </w:t>
          </w:r>
          <w:r>
            <w:br/>
          </w:r>
          <w:r>
            <w:br/>
          </w:r>
          <w:r>
            <w:br/>
            <w:t xml:space="preserve">De </w:t>
          </w:r>
          <w:proofErr w:type="spellStart"/>
          <w:r>
            <w:t>vice-president</w:t>
          </w:r>
          <w:proofErr w:type="spellEnd"/>
          <w:r>
            <w:t xml:space="preserve"> van de Raad van State,</w:t>
          </w:r>
        </w:p>
      </w:sdtContent>
    </w:sdt>
    <w:p w:rsidR="00EA241D" w:rsidRDefault="00EA241D" w14:paraId="3BE10CB9" w14:textId="3B969B2D"/>
    <w:sectPr w:rsidR="00EA241D" w:rsidSect="000457B6">
      <w:headerReference w:type="even" r:id="rId15"/>
      <w:headerReference w:type="default" r:id="rId16"/>
      <w:footerReference w:type="even" r:id="rId17"/>
      <w:footerReference w:type="default" r:id="rId18"/>
      <w:headerReference w:type="first" r:id="rId19"/>
      <w:footerReference w:type="first" r:id="rId20"/>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85B4E" w14:textId="77777777" w:rsidR="00C37896" w:rsidRDefault="00C37896">
      <w:r>
        <w:separator/>
      </w:r>
    </w:p>
  </w:endnote>
  <w:endnote w:type="continuationSeparator" w:id="0">
    <w:p w14:paraId="4E0435B0" w14:textId="77777777" w:rsidR="00C37896" w:rsidRDefault="00C37896">
      <w:r>
        <w:continuationSeparator/>
      </w:r>
    </w:p>
  </w:endnote>
  <w:endnote w:type="continuationNotice" w:id="1">
    <w:p w14:paraId="306C0BB1" w14:textId="77777777" w:rsidR="00C37896" w:rsidRDefault="00C37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F2EDF" w14:textId="06F4A7DA" w:rsidR="00631ADE" w:rsidRDefault="00447DA6">
    <w:pPr>
      <w:pStyle w:val="Voettekst"/>
    </w:pPr>
    <w:r>
      <w:rPr>
        <w:noProof/>
      </w:rPr>
      <mc:AlternateContent>
        <mc:Choice Requires="wps">
          <w:drawing>
            <wp:anchor distT="0" distB="0" distL="0" distR="0" simplePos="0" relativeHeight="251660288" behindDoc="0" locked="0" layoutInCell="1" allowOverlap="1" wp14:anchorId="72D8058D" wp14:editId="223718DC">
              <wp:simplePos x="635" y="635"/>
              <wp:positionH relativeFrom="page">
                <wp:align>left</wp:align>
              </wp:positionH>
              <wp:positionV relativeFrom="page">
                <wp:align>bottom</wp:align>
              </wp:positionV>
              <wp:extent cx="1009015" cy="345440"/>
              <wp:effectExtent l="0" t="0" r="635" b="0"/>
              <wp:wrapNone/>
              <wp:docPr id="280168466"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5FFF6BCB" w14:textId="64D7331F" w:rsidR="00447DA6" w:rsidRPr="00447DA6" w:rsidRDefault="00447DA6" w:rsidP="00447DA6">
                          <w:pPr>
                            <w:rPr>
                              <w:rFonts w:ascii="Aptos" w:eastAsia="Aptos" w:hAnsi="Aptos" w:cs="Aptos"/>
                              <w:noProof/>
                              <w:color w:val="000000"/>
                              <w:sz w:val="20"/>
                              <w:szCs w:val="20"/>
                            </w:rPr>
                          </w:pPr>
                          <w:r w:rsidRPr="00447DA6">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D8058D" id="_x0000_t202" coordsize="21600,21600" o:spt="202" path="m,l,21600r21600,l21600,xe">
              <v:stroke joinstyle="miter"/>
              <v:path gradientshapeok="t" o:connecttype="rect"/>
            </v:shapetype>
            <v:shape id="Tekstvak 2" o:spid="_x0000_s1026" type="#_x0000_t202" alt="Intern gebruik" style="position:absolute;margin-left:0;margin-top:0;width:79.4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" filled="f" stroked="f">
              <v:textbox style="mso-fit-shape-to-text:t" inset="20pt,0,0,15pt">
                <w:txbxContent>
                  <w:p w14:paraId="5FFF6BCB" w14:textId="64D7331F" w:rsidR="00447DA6" w:rsidRPr="00447DA6" w:rsidRDefault="00447DA6" w:rsidP="00447DA6">
                    <w:pPr>
                      <w:rPr>
                        <w:rFonts w:ascii="Aptos" w:eastAsia="Aptos" w:hAnsi="Aptos" w:cs="Aptos"/>
                        <w:noProof/>
                        <w:color w:val="000000"/>
                        <w:sz w:val="20"/>
                        <w:szCs w:val="20"/>
                      </w:rPr>
                    </w:pPr>
                    <w:r w:rsidRPr="00447DA6">
                      <w:rPr>
                        <w:rFonts w:ascii="Aptos" w:eastAsia="Aptos" w:hAnsi="Aptos" w:cs="Aptos"/>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2015D8" w14:paraId="22DF2EE2" w14:textId="77777777" w:rsidTr="00D90098">
      <w:tc>
        <w:tcPr>
          <w:tcW w:w="4815" w:type="dxa"/>
        </w:tcPr>
        <w:p w14:paraId="22DF2EE0" w14:textId="38C37B8A" w:rsidR="00D90098" w:rsidRDefault="00447DA6" w:rsidP="00D90098">
          <w:pPr>
            <w:pStyle w:val="Voettekst"/>
          </w:pPr>
          <w:r>
            <w:rPr>
              <w:noProof/>
            </w:rPr>
            <mc:AlternateContent>
              <mc:Choice Requires="wps">
                <w:drawing>
                  <wp:anchor distT="0" distB="0" distL="0" distR="0" simplePos="0" relativeHeight="251661312" behindDoc="0" locked="0" layoutInCell="1" allowOverlap="1" wp14:anchorId="3E673626" wp14:editId="61CA5EF9">
                    <wp:simplePos x="635" y="635"/>
                    <wp:positionH relativeFrom="page">
                      <wp:align>left</wp:align>
                    </wp:positionH>
                    <wp:positionV relativeFrom="page">
                      <wp:align>bottom</wp:align>
                    </wp:positionV>
                    <wp:extent cx="1009015" cy="345440"/>
                    <wp:effectExtent l="0" t="0" r="635" b="0"/>
                    <wp:wrapNone/>
                    <wp:docPr id="574916645"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0817643D" w14:textId="046D1DEE" w:rsidR="00447DA6" w:rsidRPr="00447DA6" w:rsidRDefault="00447DA6" w:rsidP="00447DA6">
                                <w:pPr>
                                  <w:rPr>
                                    <w:rFonts w:ascii="Aptos" w:eastAsia="Aptos" w:hAnsi="Aptos" w:cs="Aptos"/>
                                    <w:noProof/>
                                    <w:color w:val="000000"/>
                                    <w:sz w:val="20"/>
                                    <w:szCs w:val="20"/>
                                  </w:rPr>
                                </w:pPr>
                                <w:r w:rsidRPr="00447DA6">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673626" id="_x0000_t202" coordsize="21600,21600" o:spt="202" path="m,l,21600r21600,l21600,xe">
                    <v:stroke joinstyle="miter"/>
                    <v:path gradientshapeok="t" o:connecttype="rect"/>
                  </v:shapetype>
                  <v:shape id="Tekstvak 3" o:spid="_x0000_s1027" type="#_x0000_t202" alt="Intern gebruik" style="position:absolute;margin-left:0;margin-top:0;width:79.45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" filled="f" stroked="f">
                    <v:textbox style="mso-fit-shape-to-text:t" inset="20pt,0,0,15pt">
                      <w:txbxContent>
                        <w:p w14:paraId="0817643D" w14:textId="046D1DEE" w:rsidR="00447DA6" w:rsidRPr="00447DA6" w:rsidRDefault="00447DA6" w:rsidP="00447DA6">
                          <w:pPr>
                            <w:rPr>
                              <w:rFonts w:ascii="Aptos" w:eastAsia="Aptos" w:hAnsi="Aptos" w:cs="Aptos"/>
                              <w:noProof/>
                              <w:color w:val="000000"/>
                              <w:sz w:val="20"/>
                              <w:szCs w:val="20"/>
                            </w:rPr>
                          </w:pPr>
                          <w:r w:rsidRPr="00447DA6">
                            <w:rPr>
                              <w:rFonts w:ascii="Aptos" w:eastAsia="Aptos" w:hAnsi="Aptos" w:cs="Aptos"/>
                              <w:noProof/>
                              <w:color w:val="000000"/>
                              <w:sz w:val="20"/>
                              <w:szCs w:val="20"/>
                            </w:rPr>
                            <w:t>Intern gebruik</w:t>
                          </w:r>
                        </w:p>
                      </w:txbxContent>
                    </v:textbox>
                    <w10:wrap anchorx="page" anchory="page"/>
                  </v:shape>
                </w:pict>
              </mc:Fallback>
            </mc:AlternateContent>
          </w:r>
        </w:p>
      </w:tc>
      <w:tc>
        <w:tcPr>
          <w:tcW w:w="4247" w:type="dxa"/>
        </w:tcPr>
        <w:p w14:paraId="22DF2EE1" w14:textId="77777777" w:rsidR="00D90098" w:rsidRDefault="00D90098" w:rsidP="00D90098">
          <w:pPr>
            <w:pStyle w:val="Voettekst"/>
            <w:jc w:val="right"/>
          </w:pPr>
        </w:p>
      </w:tc>
    </w:tr>
  </w:tbl>
  <w:p w14:paraId="22DF2EE3"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82337" w14:textId="6370B64D" w:rsidR="000457B6" w:rsidRPr="000457B6" w:rsidRDefault="00447DA6">
    <w:pPr>
      <w:pStyle w:val="Voettekst"/>
      <w:rPr>
        <w:rFonts w:ascii="Bembo" w:hAnsi="Bembo"/>
        <w:sz w:val="32"/>
      </w:rPr>
    </w:pPr>
    <w:r>
      <w:rPr>
        <w:rFonts w:ascii="Bembo" w:hAnsi="Bembo"/>
        <w:noProof/>
        <w:sz w:val="32"/>
      </w:rPr>
      <mc:AlternateContent>
        <mc:Choice Requires="wps">
          <w:drawing>
            <wp:anchor distT="0" distB="0" distL="0" distR="0" simplePos="0" relativeHeight="251659264" behindDoc="0" locked="0" layoutInCell="1" allowOverlap="1" wp14:anchorId="760E9836" wp14:editId="24378DE1">
              <wp:simplePos x="1257300" y="9839325"/>
              <wp:positionH relativeFrom="page">
                <wp:align>left</wp:align>
              </wp:positionH>
              <wp:positionV relativeFrom="page">
                <wp:align>bottom</wp:align>
              </wp:positionV>
              <wp:extent cx="1009015" cy="345440"/>
              <wp:effectExtent l="0" t="0" r="635" b="0"/>
              <wp:wrapNone/>
              <wp:docPr id="821094830"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1274D12A" w14:textId="2688EEBC" w:rsidR="00447DA6" w:rsidRPr="00447DA6" w:rsidRDefault="00447DA6" w:rsidP="00447DA6">
                          <w:pPr>
                            <w:rPr>
                              <w:rFonts w:ascii="Aptos" w:eastAsia="Aptos" w:hAnsi="Aptos" w:cs="Aptos"/>
                              <w:noProof/>
                              <w:color w:val="000000"/>
                              <w:sz w:val="20"/>
                              <w:szCs w:val="20"/>
                            </w:rPr>
                          </w:pPr>
                          <w:r w:rsidRPr="00447DA6">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60E9836" id="_x0000_t202" coordsize="21600,21600" o:spt="202" path="m,l,21600r21600,l21600,xe">
              <v:stroke joinstyle="miter"/>
              <v:path gradientshapeok="t" o:connecttype="rect"/>
            </v:shapetype>
            <v:shape id="Tekstvak 1" o:spid="_x0000_s1028" type="#_x0000_t202" alt="Intern gebruik" style="position:absolute;margin-left:0;margin-top:0;width:79.4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" filled="f" stroked="f">
              <v:textbox style="mso-fit-shape-to-text:t" inset="20pt,0,0,15pt">
                <w:txbxContent>
                  <w:p w14:paraId="1274D12A" w14:textId="2688EEBC" w:rsidR="00447DA6" w:rsidRPr="00447DA6" w:rsidRDefault="00447DA6" w:rsidP="00447DA6">
                    <w:pPr>
                      <w:rPr>
                        <w:rFonts w:ascii="Aptos" w:eastAsia="Aptos" w:hAnsi="Aptos" w:cs="Aptos"/>
                        <w:noProof/>
                        <w:color w:val="000000"/>
                        <w:sz w:val="20"/>
                        <w:szCs w:val="20"/>
                      </w:rPr>
                    </w:pPr>
                    <w:r w:rsidRPr="00447DA6">
                      <w:rPr>
                        <w:rFonts w:ascii="Aptos" w:eastAsia="Aptos" w:hAnsi="Aptos" w:cs="Aptos"/>
                        <w:noProof/>
                        <w:color w:val="000000"/>
                        <w:sz w:val="20"/>
                        <w:szCs w:val="20"/>
                      </w:rPr>
                      <w:t>Intern gebruik</w:t>
                    </w:r>
                  </w:p>
                </w:txbxContent>
              </v:textbox>
              <w10:wrap anchorx="page" anchory="page"/>
            </v:shape>
          </w:pict>
        </mc:Fallback>
      </mc:AlternateContent>
    </w:r>
    <w:r w:rsidR="000457B6" w:rsidRPr="000457B6">
      <w:rPr>
        <w:rFonts w:ascii="Bembo" w:hAnsi="Bembo"/>
        <w:sz w:val="32"/>
      </w:rPr>
      <w:t>AAN DE KONING</w:t>
    </w:r>
  </w:p>
  <w:p w14:paraId="02229E9F" w14:textId="77777777" w:rsidR="000457B6" w:rsidRDefault="000457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DD308" w14:textId="77777777" w:rsidR="00C37896" w:rsidRDefault="00C37896">
      <w:r>
        <w:separator/>
      </w:r>
    </w:p>
  </w:footnote>
  <w:footnote w:type="continuationSeparator" w:id="0">
    <w:p w14:paraId="420B868B" w14:textId="77777777" w:rsidR="00C37896" w:rsidRDefault="00C37896">
      <w:r>
        <w:continuationSeparator/>
      </w:r>
    </w:p>
  </w:footnote>
  <w:footnote w:type="continuationNotice" w:id="1">
    <w:p w14:paraId="4D40DF9F" w14:textId="77777777" w:rsidR="00C37896" w:rsidRDefault="00C37896"/>
  </w:footnote>
  <w:footnote w:id="2">
    <w:p w14:paraId="42194665" w14:textId="504E8916" w:rsidR="00DB14F8" w:rsidRDefault="00DB14F8">
      <w:pPr>
        <w:pStyle w:val="Voetnoottekst"/>
      </w:pPr>
      <w:r>
        <w:rPr>
          <w:rStyle w:val="Voetnootmarkering"/>
        </w:rPr>
        <w:footnoteRef/>
      </w:r>
      <w:r>
        <w:t xml:space="preserve"> Richtlijn (EU) 2018/</w:t>
      </w:r>
      <w:r w:rsidR="001E7AD6">
        <w:t>958 van het Europees Parlement en de Raad van 28 juni 2018 betreffende een evenredigheidsbeoordeling voorafgaand aan een nieuwe reglementering van beroepen</w:t>
      </w:r>
      <w:r w:rsidR="00727560">
        <w:t xml:space="preserve"> (</w:t>
      </w:r>
      <w:proofErr w:type="spellStart"/>
      <w:r w:rsidR="00727560">
        <w:t>P</w:t>
      </w:r>
      <w:r w:rsidR="00271242">
        <w:t>bEU</w:t>
      </w:r>
      <w:proofErr w:type="spellEnd"/>
      <w:r w:rsidR="00271242">
        <w:t xml:space="preserve"> 2018, L 173)</w:t>
      </w:r>
      <w:r w:rsidR="001E7AD6">
        <w:t xml:space="preserve">. </w:t>
      </w:r>
    </w:p>
  </w:footnote>
  <w:footnote w:id="3">
    <w:p w14:paraId="44E20F26" w14:textId="77777777" w:rsidR="00FF1AB0" w:rsidRPr="00853CA8" w:rsidRDefault="00FF1AB0" w:rsidP="00FF1AB0">
      <w:pPr>
        <w:pStyle w:val="Voetnoottekst"/>
        <w:rPr>
          <w:rFonts w:cstheme="minorHAnsi"/>
        </w:rPr>
      </w:pPr>
      <w:r w:rsidRPr="00853CA8">
        <w:rPr>
          <w:rStyle w:val="Voetnootmarkering"/>
          <w:rFonts w:cstheme="minorHAnsi"/>
        </w:rPr>
        <w:footnoteRef/>
      </w:r>
      <w:r w:rsidRPr="00853CA8">
        <w:rPr>
          <w:rFonts w:cstheme="minorHAnsi"/>
        </w:rPr>
        <w:t xml:space="preserve"> Zie artikel 3 van Richtlijn 2005/36/EG van het Europees Parlement en de Raad van 7 september 2005 betreffende de erkenning van beroepskwalificaties</w:t>
      </w:r>
      <w:r>
        <w:rPr>
          <w:rFonts w:cstheme="minorHAnsi"/>
        </w:rPr>
        <w:t xml:space="preserve"> (</w:t>
      </w:r>
      <w:proofErr w:type="spellStart"/>
      <w:r>
        <w:rPr>
          <w:rFonts w:cstheme="minorHAnsi"/>
        </w:rPr>
        <w:t>PbEU</w:t>
      </w:r>
      <w:proofErr w:type="spellEnd"/>
      <w:r>
        <w:rPr>
          <w:rFonts w:cstheme="minorHAnsi"/>
        </w:rPr>
        <w:t xml:space="preserve"> 2005, L 255)</w:t>
      </w:r>
      <w:r w:rsidRPr="00853CA8">
        <w:rPr>
          <w:rFonts w:cstheme="minorHAnsi"/>
        </w:rPr>
        <w:t>.</w:t>
      </w:r>
    </w:p>
  </w:footnote>
  <w:footnote w:id="4">
    <w:p w14:paraId="2F6BEE29" w14:textId="77777777" w:rsidR="00FF1AB0" w:rsidRDefault="00FF1AB0" w:rsidP="00FF1AB0">
      <w:pPr>
        <w:pStyle w:val="Voetnoottekst"/>
      </w:pPr>
      <w:r>
        <w:rPr>
          <w:rStyle w:val="Voetnootmarkering"/>
        </w:rPr>
        <w:footnoteRef/>
      </w:r>
      <w:r>
        <w:t xml:space="preserve"> Zie overweging 35 van de considerans bij de Proportionaliteitsrichtlijn. </w:t>
      </w:r>
    </w:p>
  </w:footnote>
  <w:footnote w:id="5">
    <w:p w14:paraId="5A9C6E10" w14:textId="1DB76F20" w:rsidR="00FF1AB0" w:rsidRPr="00853CA8" w:rsidRDefault="00FF1AB0" w:rsidP="00FF1AB0">
      <w:pPr>
        <w:pStyle w:val="Voetnoottekst"/>
      </w:pPr>
      <w:r w:rsidRPr="00853CA8">
        <w:rPr>
          <w:rStyle w:val="Voetnootmarkering"/>
        </w:rPr>
        <w:footnoteRef/>
      </w:r>
      <w:r w:rsidRPr="00853CA8">
        <w:t xml:space="preserve"> </w:t>
      </w:r>
      <w:r w:rsidRPr="00853CA8">
        <w:rPr>
          <w:rFonts w:cstheme="minorHAnsi"/>
        </w:rPr>
        <w:t xml:space="preserve">Artikel 4, eerste lid, </w:t>
      </w:r>
      <w:r>
        <w:rPr>
          <w:rFonts w:cstheme="minorHAnsi"/>
        </w:rPr>
        <w:t xml:space="preserve">van </w:t>
      </w:r>
      <w:r w:rsidR="00C24258">
        <w:rPr>
          <w:rFonts w:cstheme="minorHAnsi"/>
        </w:rPr>
        <w:t>de Proportionaliteitsrichtlijn.</w:t>
      </w:r>
    </w:p>
  </w:footnote>
  <w:footnote w:id="6">
    <w:p w14:paraId="3E374D7B" w14:textId="77777777" w:rsidR="00FF1AB0" w:rsidRPr="00853CA8" w:rsidRDefault="00FF1AB0" w:rsidP="00FF1AB0">
      <w:pPr>
        <w:pStyle w:val="Voetnoottekst"/>
        <w:rPr>
          <w:rFonts w:cstheme="minorHAnsi"/>
        </w:rPr>
      </w:pPr>
      <w:r w:rsidRPr="00853CA8">
        <w:rPr>
          <w:rStyle w:val="Voetnootmarkering"/>
          <w:rFonts w:cstheme="minorHAnsi"/>
        </w:rPr>
        <w:footnoteRef/>
      </w:r>
      <w:r w:rsidRPr="00853CA8">
        <w:rPr>
          <w:rFonts w:cstheme="minorHAnsi"/>
        </w:rPr>
        <w:t xml:space="preserve"> Artikel 4, zesde lid, </w:t>
      </w:r>
      <w:r>
        <w:rPr>
          <w:rFonts w:cstheme="minorHAnsi"/>
        </w:rPr>
        <w:t xml:space="preserve">van de </w:t>
      </w:r>
      <w:r w:rsidRPr="00853CA8">
        <w:rPr>
          <w:rFonts w:cstheme="minorHAnsi"/>
        </w:rPr>
        <w:t xml:space="preserve">Proportionaliteitsrichtlijn. </w:t>
      </w:r>
    </w:p>
  </w:footnote>
  <w:footnote w:id="7">
    <w:p w14:paraId="6AA43036" w14:textId="77777777" w:rsidR="00FF1AB0" w:rsidRPr="00853CA8" w:rsidRDefault="00FF1AB0" w:rsidP="00FF1AB0">
      <w:pPr>
        <w:pStyle w:val="Voetnoottekst"/>
        <w:rPr>
          <w:rFonts w:cstheme="minorHAnsi"/>
        </w:rPr>
      </w:pPr>
      <w:r w:rsidRPr="00853CA8">
        <w:rPr>
          <w:rStyle w:val="Voetnootmarkering"/>
          <w:rFonts w:cstheme="minorHAnsi"/>
        </w:rPr>
        <w:footnoteRef/>
      </w:r>
      <w:r w:rsidRPr="00853CA8">
        <w:rPr>
          <w:rFonts w:cstheme="minorHAnsi"/>
        </w:rPr>
        <w:t xml:space="preserve"> Zie mededeling van de Staatssecretaris van Economische Zaken en Klimaat van 7 juli 2020, nr. WJZ/20175689, houdende bekendmaking Richtlijn (EU) 2018/958 van het Europees parlement en de Raad van 28 juni 2018 betreffende een evenredigheidsbeoordeling voorafgaand aan een nieuwe reglementering van beroepen (</w:t>
      </w:r>
      <w:proofErr w:type="spellStart"/>
      <w:r w:rsidRPr="00853CA8">
        <w:rPr>
          <w:rFonts w:cstheme="minorHAnsi"/>
        </w:rPr>
        <w:t>PbEU</w:t>
      </w:r>
      <w:proofErr w:type="spellEnd"/>
      <w:r w:rsidRPr="00853CA8">
        <w:rPr>
          <w:rFonts w:cstheme="minorHAnsi"/>
        </w:rPr>
        <w:t xml:space="preserve"> 2018, L 173), </w:t>
      </w:r>
      <w:proofErr w:type="spellStart"/>
      <w:r w:rsidRPr="00853CA8">
        <w:rPr>
          <w:rFonts w:cstheme="minorHAnsi"/>
        </w:rPr>
        <w:t>Stcrt</w:t>
      </w:r>
      <w:proofErr w:type="spellEnd"/>
      <w:r w:rsidRPr="00853CA8">
        <w:rPr>
          <w:rFonts w:cstheme="minorHAnsi"/>
        </w:rPr>
        <w:t xml:space="preserve">. 2020, 37281. </w:t>
      </w:r>
    </w:p>
  </w:footnote>
  <w:footnote w:id="8">
    <w:p w14:paraId="37DA813A" w14:textId="77777777" w:rsidR="00FF1AB0" w:rsidRDefault="00FF1AB0" w:rsidP="00FF1AB0">
      <w:pPr>
        <w:pStyle w:val="Voetnoottekst"/>
      </w:pPr>
      <w:r>
        <w:rPr>
          <w:rStyle w:val="Voetnootmarkering"/>
        </w:rPr>
        <w:footnoteRef/>
      </w:r>
      <w:r>
        <w:t xml:space="preserve"> </w:t>
      </w:r>
      <w:r w:rsidRPr="00853CA8">
        <w:rPr>
          <w:rFonts w:cstheme="minorHAnsi"/>
        </w:rPr>
        <w:t xml:space="preserve">Memorie van toelichting, </w:t>
      </w:r>
      <w:r>
        <w:rPr>
          <w:rFonts w:cstheme="minorHAnsi"/>
        </w:rPr>
        <w:t xml:space="preserve">algemeen deel, </w:t>
      </w:r>
      <w:r w:rsidRPr="00853CA8">
        <w:rPr>
          <w:rFonts w:cstheme="minorHAnsi"/>
        </w:rPr>
        <w:t>paragraaf 2.3</w:t>
      </w:r>
      <w:r>
        <w:rPr>
          <w:rFonts w:cstheme="minorHAnsi"/>
        </w:rPr>
        <w:t>, ‘Implementatie van de Proportionaliteitsrichtlijn’</w:t>
      </w:r>
      <w:r w:rsidRPr="00853CA8">
        <w:rPr>
          <w:rFonts w:cstheme="minorHAnsi"/>
        </w:rPr>
        <w:t>.</w:t>
      </w:r>
    </w:p>
  </w:footnote>
  <w:footnote w:id="9">
    <w:p w14:paraId="549C6057" w14:textId="1EA34593" w:rsidR="00FF1AB0" w:rsidRPr="00853CA8" w:rsidRDefault="00FF1AB0" w:rsidP="00FF1AB0">
      <w:pPr>
        <w:pStyle w:val="Voetnoottekst"/>
      </w:pPr>
      <w:r w:rsidRPr="00853CA8">
        <w:rPr>
          <w:rStyle w:val="Voetnootmarkering"/>
          <w:rFonts w:cstheme="minorHAnsi"/>
        </w:rPr>
        <w:footnoteRef/>
      </w:r>
      <w:r w:rsidRPr="00853CA8">
        <w:rPr>
          <w:rFonts w:cstheme="minorHAnsi"/>
        </w:rPr>
        <w:t xml:space="preserve"> Artikel 258 van het Verdrag betreffende de werking van de Europese Unie; </w:t>
      </w:r>
      <w:r w:rsidR="006146EC">
        <w:rPr>
          <w:rFonts w:cstheme="minorHAnsi"/>
        </w:rPr>
        <w:t>m</w:t>
      </w:r>
      <w:r w:rsidRPr="00853CA8">
        <w:rPr>
          <w:rFonts w:cstheme="minorHAnsi"/>
        </w:rPr>
        <w:t xml:space="preserve">emorie van toelichting, </w:t>
      </w:r>
      <w:r w:rsidR="006146EC">
        <w:rPr>
          <w:rFonts w:cstheme="minorHAnsi"/>
        </w:rPr>
        <w:t xml:space="preserve">algemeen deel </w:t>
      </w:r>
      <w:r w:rsidRPr="00853CA8">
        <w:rPr>
          <w:rFonts w:cstheme="minorHAnsi"/>
        </w:rPr>
        <w:t>paragra</w:t>
      </w:r>
      <w:r w:rsidR="006146EC">
        <w:rPr>
          <w:rFonts w:cstheme="minorHAnsi"/>
        </w:rPr>
        <w:t>af</w:t>
      </w:r>
      <w:r w:rsidRPr="00853CA8">
        <w:rPr>
          <w:rFonts w:cstheme="minorHAnsi"/>
        </w:rPr>
        <w:t xml:space="preserve"> 1</w:t>
      </w:r>
      <w:r w:rsidR="003B1EC2">
        <w:rPr>
          <w:rFonts w:cstheme="minorHAnsi"/>
        </w:rPr>
        <w:t>, ‘Inleiding’,</w:t>
      </w:r>
      <w:r w:rsidRPr="00853CA8">
        <w:rPr>
          <w:rFonts w:cstheme="minorHAnsi"/>
        </w:rPr>
        <w:t xml:space="preserve"> en </w:t>
      </w:r>
      <w:r w:rsidR="003B1EC2">
        <w:rPr>
          <w:rFonts w:cstheme="minorHAnsi"/>
        </w:rPr>
        <w:t xml:space="preserve">paragraaf </w:t>
      </w:r>
      <w:r w:rsidRPr="00853CA8">
        <w:rPr>
          <w:rFonts w:cstheme="minorHAnsi"/>
        </w:rPr>
        <w:t>2.3</w:t>
      </w:r>
      <w:r w:rsidR="003B1EC2">
        <w:rPr>
          <w:rFonts w:cstheme="minorHAnsi"/>
        </w:rPr>
        <w:t>, ‘Implementatie van de Proportionaliteitsrichtlijn’</w:t>
      </w:r>
      <w:r w:rsidRPr="00853CA8">
        <w:rPr>
          <w:rFonts w:cstheme="minorHAnsi"/>
        </w:rPr>
        <w:t>.</w:t>
      </w:r>
      <w:r w:rsidRPr="00853CA8">
        <w:t xml:space="preserve"> </w:t>
      </w:r>
    </w:p>
  </w:footnote>
  <w:footnote w:id="10">
    <w:p w14:paraId="68249CCA" w14:textId="61199646" w:rsidR="00841450" w:rsidRDefault="00841450">
      <w:pPr>
        <w:pStyle w:val="Voetnoottekst"/>
      </w:pPr>
      <w:r>
        <w:rPr>
          <w:rStyle w:val="Voetnootmarkering"/>
        </w:rPr>
        <w:footnoteRef/>
      </w:r>
      <w:r>
        <w:t xml:space="preserve"> Zie zaaknummer </w:t>
      </w:r>
      <w:r w:rsidR="0089636E" w:rsidRPr="0089636E">
        <w:t>W18.25.00368/IV/K</w:t>
      </w:r>
      <w:r w:rsidR="001B7CF5">
        <w:t xml:space="preserve"> voor het advies bij het wetsvoorstel</w:t>
      </w:r>
      <w:r w:rsidR="00993AA6">
        <w:t xml:space="preserve">, vastgesteld op </w:t>
      </w:r>
      <w:r w:rsidR="00C85B52">
        <w:t>4 februari 2026</w:t>
      </w:r>
      <w:r w:rsidR="001B7CF5">
        <w:t>.</w:t>
      </w:r>
      <w:r w:rsidR="00A04712">
        <w:t xml:space="preserve"> Omdat </w:t>
      </w:r>
      <w:r w:rsidR="00FD1860">
        <w:t>dit</w:t>
      </w:r>
      <w:r w:rsidR="00F75E2F">
        <w:t xml:space="preserve"> </w:t>
      </w:r>
      <w:r w:rsidR="00A04712">
        <w:t>een voorstel tot wijziging van een Rijkswet</w:t>
      </w:r>
      <w:r w:rsidR="00F75E2F">
        <w:t xml:space="preserve"> betreft</w:t>
      </w:r>
      <w:r w:rsidR="00A04712">
        <w:t>, i</w:t>
      </w:r>
      <w:r w:rsidR="00DB6732">
        <w:t xml:space="preserve">s dit </w:t>
      </w:r>
      <w:r w:rsidR="003E776A">
        <w:t>voorstel</w:t>
      </w:r>
      <w:r w:rsidR="00F306DE">
        <w:t xml:space="preserve"> separaat</w:t>
      </w:r>
      <w:r w:rsidR="00BC7408">
        <w:t xml:space="preserve"> bij de Afdeling </w:t>
      </w:r>
      <w:r w:rsidR="00657146">
        <w:t>ingediend</w:t>
      </w:r>
      <w:r w:rsidR="00C06B86">
        <w:t>.</w:t>
      </w:r>
      <w:r w:rsidR="00F306DE">
        <w:t xml:space="preserve"> </w:t>
      </w:r>
      <w:r w:rsidR="003E776A">
        <w:t xml:space="preserve"> </w:t>
      </w:r>
    </w:p>
  </w:footnote>
  <w:footnote w:id="11">
    <w:p w14:paraId="0E28D462" w14:textId="77777777" w:rsidR="00FF1AB0" w:rsidRPr="00853CA8" w:rsidRDefault="00FF1AB0" w:rsidP="00FF1AB0">
      <w:pPr>
        <w:pStyle w:val="Voetnoottekst"/>
        <w:rPr>
          <w:rFonts w:cstheme="minorHAnsi"/>
        </w:rPr>
      </w:pPr>
      <w:r w:rsidRPr="00853CA8">
        <w:rPr>
          <w:rStyle w:val="Voetnootmarkering"/>
          <w:rFonts w:cstheme="minorHAnsi"/>
        </w:rPr>
        <w:footnoteRef/>
      </w:r>
      <w:r w:rsidRPr="00853CA8">
        <w:rPr>
          <w:rFonts w:cstheme="minorHAnsi"/>
        </w:rPr>
        <w:t xml:space="preserve"> </w:t>
      </w:r>
      <w:r>
        <w:rPr>
          <w:rFonts w:cstheme="minorHAnsi"/>
        </w:rPr>
        <w:t>V</w:t>
      </w:r>
      <w:r w:rsidRPr="00853CA8">
        <w:rPr>
          <w:rFonts w:cstheme="minorHAnsi"/>
        </w:rPr>
        <w:t xml:space="preserve">oorgesteld </w:t>
      </w:r>
      <w:r>
        <w:rPr>
          <w:rFonts w:cstheme="minorHAnsi"/>
        </w:rPr>
        <w:t xml:space="preserve">artikel 30d, tweede lid, van de Algemene wet erkenning EU-beroepskwalificaties; voorgesteld </w:t>
      </w:r>
      <w:r w:rsidRPr="00853CA8">
        <w:rPr>
          <w:rFonts w:cstheme="minorHAnsi"/>
        </w:rPr>
        <w:t xml:space="preserve">artikel 28, vierde </w:t>
      </w:r>
      <w:r>
        <w:rPr>
          <w:rFonts w:cstheme="minorHAnsi"/>
        </w:rPr>
        <w:t xml:space="preserve">en vijfde </w:t>
      </w:r>
      <w:r w:rsidRPr="00853CA8">
        <w:rPr>
          <w:rFonts w:cstheme="minorHAnsi"/>
        </w:rPr>
        <w:t xml:space="preserve">lid, </w:t>
      </w:r>
      <w:r>
        <w:rPr>
          <w:rFonts w:cstheme="minorHAnsi"/>
        </w:rPr>
        <w:t>van de</w:t>
      </w:r>
      <w:r w:rsidRPr="00853CA8">
        <w:rPr>
          <w:rFonts w:cstheme="minorHAnsi"/>
        </w:rPr>
        <w:t xml:space="preserve"> Advocatenwet</w:t>
      </w:r>
      <w:r>
        <w:rPr>
          <w:rFonts w:cstheme="minorHAnsi"/>
        </w:rPr>
        <w:t>; voorgesteld artikel 81, tweede en derde lid, van de Gerechtsdeurwaarderswet; voorgesteld artikel 90, tweede en derde lid, van de Wet op het notarisambt; voorgesteld artikel 22, tweede t/m vierde lid, van de Wet op het accountantsberoep; voorgesteld artikel 16, tweede, derde en vijfde lid, van de Loodsenwet; voorgesteld artikel 14, vierde lid, van de Wet op de beroepen in de individuele gezondheidszorg (hierna: Wet BIG).</w:t>
      </w:r>
      <w:r w:rsidRPr="00853CA8">
        <w:rPr>
          <w:rFonts w:cstheme="minorHAnsi"/>
        </w:rPr>
        <w:t xml:space="preserve"> </w:t>
      </w:r>
    </w:p>
  </w:footnote>
  <w:footnote w:id="12">
    <w:p w14:paraId="4F6860DC" w14:textId="77777777" w:rsidR="00FF1AB0" w:rsidRDefault="00FF1AB0" w:rsidP="00FF1AB0">
      <w:pPr>
        <w:pStyle w:val="Voetnoottekst"/>
      </w:pPr>
      <w:r>
        <w:rPr>
          <w:rStyle w:val="Voetnootmarkering"/>
        </w:rPr>
        <w:footnoteRef/>
      </w:r>
      <w:r>
        <w:t xml:space="preserve"> Voor de Wet op de beroepen in de individuele gezondheidszorg wordt de ontwerpregelgeving ter instemming voorgelegd aan de verantwoordelijke minister. </w:t>
      </w:r>
    </w:p>
  </w:footnote>
  <w:footnote w:id="13">
    <w:p w14:paraId="7258A6AB" w14:textId="77777777" w:rsidR="00FF1AB0" w:rsidRPr="00853CA8" w:rsidRDefault="00FF1AB0" w:rsidP="00FF1AB0">
      <w:pPr>
        <w:pStyle w:val="Voetnoottekst"/>
        <w:rPr>
          <w:rFonts w:cstheme="minorHAnsi"/>
        </w:rPr>
      </w:pPr>
      <w:r w:rsidRPr="00853CA8">
        <w:rPr>
          <w:rStyle w:val="Voetnootmarkering"/>
          <w:rFonts w:cstheme="minorHAnsi"/>
        </w:rPr>
        <w:footnoteRef/>
      </w:r>
      <w:r w:rsidRPr="00853CA8">
        <w:rPr>
          <w:rFonts w:cstheme="minorHAnsi"/>
        </w:rPr>
        <w:t xml:space="preserve"> </w:t>
      </w:r>
      <w:r>
        <w:rPr>
          <w:rFonts w:cstheme="minorHAnsi"/>
        </w:rPr>
        <w:t xml:space="preserve">Voorgestelde artikelen 30f en 30i van de Algemene wet erkenning EU-beroepskwalificaties; voorgesteld artikel 32a van de Advocatenwet; voorgesteld artikel 82 van de Gerechtsdeurwaarderswet; voorgesteld artikel 91 van de Wet op het notarisambt; voorgesteld artikel 22b van de Wet op het accountantsberoep; voorgesteld artikel 16, zesde t/m achtste lid, van de Loodsenwet; voorgesteld artikel 14, zesde lid, Wet BIG. </w:t>
      </w:r>
      <w:r w:rsidRPr="00853CA8">
        <w:rPr>
          <w:rFonts w:cstheme="minorHAnsi"/>
        </w:rPr>
        <w:t xml:space="preserve"> </w:t>
      </w:r>
    </w:p>
  </w:footnote>
  <w:footnote w:id="14">
    <w:p w14:paraId="33F8B86D" w14:textId="2E237F99" w:rsidR="00DB5C63" w:rsidRDefault="00DB5C63">
      <w:pPr>
        <w:pStyle w:val="Voetnoottekst"/>
      </w:pPr>
      <w:r>
        <w:rPr>
          <w:rStyle w:val="Voetnootmarkering"/>
        </w:rPr>
        <w:footnoteRef/>
      </w:r>
      <w:r>
        <w:t xml:space="preserve"> </w:t>
      </w:r>
      <w:r w:rsidR="00B91DC5">
        <w:t xml:space="preserve">Het betreft een bestaande bevoegdheid. Alleen </w:t>
      </w:r>
      <w:r>
        <w:t xml:space="preserve">de </w:t>
      </w:r>
      <w:r w:rsidR="00B91DC5">
        <w:t xml:space="preserve">goedkeuring in de </w:t>
      </w:r>
      <w:r>
        <w:t>Algemene wet en</w:t>
      </w:r>
      <w:r w:rsidR="00B91DC5">
        <w:t xml:space="preserve"> de aanwijzing in</w:t>
      </w:r>
      <w:r>
        <w:t xml:space="preserve"> de Wet BIG betref</w:t>
      </w:r>
      <w:r w:rsidR="00B91DC5">
        <w:t>fen als zodanig nieuwe bevoegdheden.</w:t>
      </w:r>
    </w:p>
  </w:footnote>
  <w:footnote w:id="15">
    <w:p w14:paraId="1B10DFFC" w14:textId="6A2EC9AE" w:rsidR="002742B8" w:rsidRDefault="002742B8" w:rsidP="002742B8">
      <w:pPr>
        <w:pStyle w:val="Voetnoottekst"/>
      </w:pPr>
      <w:r>
        <w:rPr>
          <w:rStyle w:val="Voetnootmarkering"/>
        </w:rPr>
        <w:footnoteRef/>
      </w:r>
      <w:r>
        <w:t xml:space="preserve"> Voor de Wet BIG geldt dat de minister geen vernietigingsbevoegdheid heeft, maar alleen een aanwijzingsbevoegdheid; artikel 14, elfde lid, Wet BIG.</w:t>
      </w:r>
    </w:p>
  </w:footnote>
  <w:footnote w:id="16">
    <w:p w14:paraId="4DFEEAA7" w14:textId="77777777" w:rsidR="00FF1AB0" w:rsidRPr="00853CA8" w:rsidRDefault="00FF1AB0" w:rsidP="00FF1AB0">
      <w:pPr>
        <w:pStyle w:val="Voetnoottekst"/>
        <w:rPr>
          <w:rFonts w:cstheme="minorHAnsi"/>
        </w:rPr>
      </w:pPr>
      <w:r w:rsidRPr="00853CA8">
        <w:rPr>
          <w:rStyle w:val="Voetnootmarkering"/>
          <w:rFonts w:cstheme="minorHAnsi"/>
        </w:rPr>
        <w:footnoteRef/>
      </w:r>
      <w:r w:rsidRPr="00853CA8">
        <w:rPr>
          <w:rFonts w:cstheme="minorHAnsi"/>
        </w:rPr>
        <w:t xml:space="preserve"> </w:t>
      </w:r>
      <w:r>
        <w:rPr>
          <w:rFonts w:cstheme="minorHAnsi"/>
        </w:rPr>
        <w:t>Voorgestelde artikelen 30g, tweede lid, 30h, tweede lid, 30j, tweede lid, en 30k, tweede lid, van de Algemene wet erkenning EU-beroepskwalificaties; voorgestelde artikelen 32b, tweede lid, en 32c, tweede lid, van de Advocatenwet; voorgestelde artikelen 82a, tweede lid, en 82b, tweede lid, van de Gerechtsdeurwaarderswet; voorgestelde artikelen 91a, tweede lid, en 91b, tweede lid, van de Wet op het notarisambt; voorgestelde artikelen 23a, tweede lid, en 23b, tweede lid, van de Wet op het accountantsberoep; voorgestelde artikelen 16a, tweede lid, en 16b, tweede lid, van de Loodsenwet; voorgesteld artikel 14, zevende lid, onderdeel a, Wet BIG</w:t>
      </w:r>
      <w:r w:rsidRPr="00853CA8">
        <w:rPr>
          <w:rFonts w:cstheme="minorHAnsi"/>
        </w:rPr>
        <w:t xml:space="preserve">. </w:t>
      </w:r>
    </w:p>
  </w:footnote>
  <w:footnote w:id="17">
    <w:p w14:paraId="477CDE50" w14:textId="77777777" w:rsidR="00FF1AB0" w:rsidRPr="00853CA8" w:rsidRDefault="00FF1AB0" w:rsidP="00FF1AB0">
      <w:pPr>
        <w:pStyle w:val="Voetnoottekst"/>
        <w:rPr>
          <w:rFonts w:cstheme="minorHAnsi"/>
        </w:rPr>
      </w:pPr>
      <w:r w:rsidRPr="00853CA8">
        <w:rPr>
          <w:rStyle w:val="Voetnootmarkering"/>
          <w:rFonts w:cstheme="minorHAnsi"/>
        </w:rPr>
        <w:footnoteRef/>
      </w:r>
      <w:r w:rsidRPr="00853CA8">
        <w:rPr>
          <w:rFonts w:cstheme="minorHAnsi"/>
        </w:rPr>
        <w:t xml:space="preserve"> </w:t>
      </w:r>
      <w:r>
        <w:rPr>
          <w:rFonts w:cstheme="minorHAnsi"/>
        </w:rPr>
        <w:t>Voorgestelde artikelen 30g, zesde lid, 30h, zesde lid, 30j, zesde lid, en 30k, zesde lid, van de Algemene wet erkenning EU-beroepskwalificaties; voorgestelde artikelen 32b, zesde lid, en 32c, zesde lid, van de Advocatenwet; voorgestelde artikelen 82a, zesde lid, en 82b, zesde lid, van de Gerechtsdeurwaarderswet; voorgestelde artikelen 91a, zesde lid, en 91b, zesde lid, van de Wet op het notarisambt; voorgestelde artikelen 23a, zesde lid, en 23b, zesde lid, van de Wet op het accountantsberoep; voorgestelde artikelen 16a, zesde lid, en 16b, zesde lid, van de Loodsenwet; voorgesteld artikel 14, zevende lid, Wet BIG.</w:t>
      </w:r>
    </w:p>
  </w:footnote>
  <w:footnote w:id="18">
    <w:p w14:paraId="3431E658" w14:textId="77777777" w:rsidR="00D5794D" w:rsidRPr="00853CA8" w:rsidRDefault="00D5794D" w:rsidP="00D5794D">
      <w:pPr>
        <w:pStyle w:val="Voetnoottekst"/>
      </w:pPr>
      <w:r w:rsidRPr="00853CA8">
        <w:rPr>
          <w:rStyle w:val="Voetnootmarkering"/>
        </w:rPr>
        <w:footnoteRef/>
      </w:r>
      <w:r w:rsidRPr="00853CA8">
        <w:t xml:space="preserve"> </w:t>
      </w:r>
      <w:r>
        <w:rPr>
          <w:rFonts w:cstheme="minorHAnsi"/>
        </w:rPr>
        <w:t>Voorgestelde artikelen 30g, vierde lid, 30h, vierde lid, 30j, vierde lid, en 30k, vierde lid, van de Algemene wet erkenning EU-beroepskwalificaties; voorgestelde artikelen 32b, vierde lid, en 32c, vierde lid, van de Advocatenwet; voorgestelde artikelen 82a, vierde lid, en 82b, vierde lid, van de Gerechtsdeurwaarderswet; voorgestelde artikelen 91a, vierde lid, en 91b, vierde lid, van de Wet op het notarisambt; voorgestelde artikelen 23a, vierde lid, en 23b, vierde lid, van de Wet op het accountantsberoep; voorgestelde artikelen 16a, vierde lid, en 16b, vierde lid, van de Loodsenwet; voorgesteld artikel 14, zevende lid, Wet BIG.</w:t>
      </w:r>
    </w:p>
  </w:footnote>
  <w:footnote w:id="19">
    <w:p w14:paraId="2BAE0ADD" w14:textId="3088B62D" w:rsidR="002F37D7" w:rsidRDefault="002F37D7" w:rsidP="002F37D7">
      <w:pPr>
        <w:pStyle w:val="Voetnoottekst"/>
      </w:pPr>
      <w:r>
        <w:rPr>
          <w:rStyle w:val="Voetnootmarkering"/>
        </w:rPr>
        <w:footnoteRef/>
      </w:r>
      <w:r>
        <w:t xml:space="preserve"> Het betreft artikel 82, eerste lid, van de Gerechtsdeurwaarderswet en artikel 91, eerste lid, van de Wet op het notarisambt</w:t>
      </w:r>
      <w:r w:rsidR="00AB2910">
        <w:t xml:space="preserve">; De Afdeling wijst er daarbij op dat de formulering zoals deze is opgenomen in de Gerechtsdeurwaarderswet en de Wet op het notarisambt, aansluit bij </w:t>
      </w:r>
      <w:r w:rsidR="00AB2910">
        <w:rPr>
          <w:rFonts w:cstheme="minorHAnsi"/>
          <w:szCs w:val="22"/>
        </w:rPr>
        <w:t xml:space="preserve">de formulering voor de bevoegdheid om goedkeuring te onthouden in </w:t>
      </w:r>
      <w:r w:rsidR="00AB2910">
        <w:t>artikel 10:27</w:t>
      </w:r>
      <w:r w:rsidR="00AB2910">
        <w:rPr>
          <w:rFonts w:cstheme="minorHAnsi"/>
          <w:szCs w:val="22"/>
        </w:rPr>
        <w:t xml:space="preserve"> </w:t>
      </w:r>
      <w:proofErr w:type="spellStart"/>
      <w:r w:rsidR="00AB2910">
        <w:rPr>
          <w:rFonts w:cstheme="minorHAnsi"/>
          <w:szCs w:val="22"/>
        </w:rPr>
        <w:t>Awb</w:t>
      </w:r>
      <w:proofErr w:type="spellEnd"/>
      <w:r w:rsidR="00AB2910">
        <w:t>.</w:t>
      </w:r>
      <w:r w:rsidR="00AB2910">
        <w:rPr>
          <w:rFonts w:cstheme="minorHAnsi"/>
          <w:szCs w:val="22"/>
        </w:rPr>
        <w:t xml:space="preserve"> De</w:t>
      </w:r>
      <w:r w:rsidR="00AB2910">
        <w:t xml:space="preserve"> facultatieve formulering van de vernietigingsbevoegdheid, wat betreft de grond ‘strijd met het recht’, werd b</w:t>
      </w:r>
      <w:r w:rsidR="00AB2910">
        <w:rPr>
          <w:rFonts w:cstheme="minorHAnsi"/>
          <w:szCs w:val="22"/>
        </w:rPr>
        <w:t xml:space="preserve">lijkens de memorie van toelichting bij de derde tranche van de </w:t>
      </w:r>
      <w:proofErr w:type="spellStart"/>
      <w:r w:rsidR="00AB2910">
        <w:rPr>
          <w:rFonts w:cstheme="minorHAnsi"/>
          <w:szCs w:val="22"/>
        </w:rPr>
        <w:t>Awb</w:t>
      </w:r>
      <w:proofErr w:type="spellEnd"/>
      <w:r w:rsidR="00AB2910">
        <w:rPr>
          <w:rFonts w:cstheme="minorHAnsi"/>
          <w:szCs w:val="22"/>
        </w:rPr>
        <w:t xml:space="preserve"> gekozen omdat denkbaar is dat de strijd met het recht zo beperkt is dat onthouding van goedkeuring een te zwaar middel zou zijn. Dat zou bijvoorbeeld het geval kunnen zijn bij schending van vormvoorschriften, zie </w:t>
      </w:r>
      <w:r w:rsidR="00AB2910">
        <w:t>Kamerstukken II 1993/94, 23700, nr. 3, p. 188.</w:t>
      </w:r>
    </w:p>
  </w:footnote>
  <w:footnote w:id="20">
    <w:p w14:paraId="1F2D4800" w14:textId="77777777" w:rsidR="009A6020" w:rsidRDefault="009A6020" w:rsidP="009A6020">
      <w:pPr>
        <w:pStyle w:val="Voetnoottekst"/>
      </w:pPr>
      <w:r>
        <w:rPr>
          <w:rStyle w:val="Voetnootmarkering"/>
        </w:rPr>
        <w:footnoteRef/>
      </w:r>
      <w:r>
        <w:t xml:space="preserve"> Voorgesteld artikel 30f, derde lid, van de Algemene wet erkenning EU-beroepskwalificaties; voorgesteld artikel 16, achtste lid, van de Loodsenwet.  </w:t>
      </w:r>
    </w:p>
  </w:footnote>
  <w:footnote w:id="21">
    <w:p w14:paraId="6D54A1A2" w14:textId="77777777" w:rsidR="00D03C6B" w:rsidRDefault="00D03C6B" w:rsidP="00D03C6B">
      <w:pPr>
        <w:pStyle w:val="Voetnoottekst"/>
      </w:pPr>
      <w:r>
        <w:rPr>
          <w:rStyle w:val="Voetnootmarkering"/>
        </w:rPr>
        <w:footnoteRef/>
      </w:r>
      <w:r>
        <w:t xml:space="preserve"> Zie de memorie van toelichting, artikelsgewijze toelichting bij artikel 30g (nieuw), vierde lid, van de Algemene wet.</w:t>
      </w:r>
    </w:p>
  </w:footnote>
  <w:footnote w:id="22">
    <w:p w14:paraId="62C9C613" w14:textId="77777777" w:rsidR="00D03C6B" w:rsidRDefault="00D03C6B" w:rsidP="00D03C6B">
      <w:pPr>
        <w:pStyle w:val="Voetnoottekst"/>
      </w:pPr>
      <w:r>
        <w:rPr>
          <w:rStyle w:val="Voetnootmarkering"/>
        </w:rPr>
        <w:footnoteRef/>
      </w:r>
      <w:r>
        <w:t xml:space="preserve"> Memorie van toelichting, algemeen deel, paragraaf 3.5, ‘Monitoring en periodieke evenredigheidsbeoordeling’.</w:t>
      </w:r>
    </w:p>
  </w:footnote>
  <w:footnote w:id="23">
    <w:p w14:paraId="39A562C9" w14:textId="77777777" w:rsidR="00533810" w:rsidRDefault="00533810" w:rsidP="00533810">
      <w:pPr>
        <w:pStyle w:val="Voetnoottekst"/>
      </w:pPr>
      <w:r>
        <w:rPr>
          <w:rStyle w:val="Voetnootmarkering"/>
        </w:rPr>
        <w:footnoteRef/>
      </w:r>
      <w:r>
        <w:t xml:space="preserve"> Memorie van toelichting, algemeen deel, paragraaf 3.5, ‘Monitoring en periodieke evenredigheidsbeoordeling’.</w:t>
      </w:r>
    </w:p>
  </w:footnote>
  <w:footnote w:id="24">
    <w:p w14:paraId="5EEB20B5" w14:textId="0784F94C" w:rsidR="000C3972" w:rsidRDefault="000C3972">
      <w:pPr>
        <w:pStyle w:val="Voetnoottekst"/>
      </w:pPr>
      <w:r>
        <w:rPr>
          <w:rStyle w:val="Voetnootmarkering"/>
        </w:rPr>
        <w:footnoteRef/>
      </w:r>
      <w:r>
        <w:t xml:space="preserve"> De memorie van toelichting wijst tevens op de bevoegdheden op basis van de Wet </w:t>
      </w:r>
      <w:r w:rsidR="00850D17">
        <w:t>naleving Europese regelgeving publieke entiteiten, waarin onder meer de bevoegdheid van de aanwijzing is opgenomen, zie memorie van toelichting, algemeen deel</w:t>
      </w:r>
      <w:r w:rsidR="00E957B3">
        <w:t xml:space="preserve">, paragraaf 3.6.2, ‘Wet Naleving </w:t>
      </w:r>
      <w:r w:rsidR="008D230F">
        <w:t>Europese regelgeving publieke entiteiten’.</w:t>
      </w:r>
    </w:p>
  </w:footnote>
  <w:footnote w:id="25">
    <w:p w14:paraId="7B92B1B1" w14:textId="25B7EAF8" w:rsidR="00965CEA" w:rsidRDefault="00965CEA">
      <w:pPr>
        <w:pStyle w:val="Voetnoottekst"/>
      </w:pPr>
      <w:r>
        <w:rPr>
          <w:rStyle w:val="Voetnootmarkering"/>
        </w:rPr>
        <w:footnoteRef/>
      </w:r>
      <w:r>
        <w:t xml:space="preserve"> </w:t>
      </w:r>
      <w:r w:rsidR="007A04E0">
        <w:t>Het belang om af te wegen of een extra toezichtsbevoegdheid, gelet op bestaande bevoegdheden, werkelijk nodig is, is i</w:t>
      </w:r>
      <w:r w:rsidR="00930B9E">
        <w:t>n lijn met Aanwijzing 2.46, tweede lid, van de Aanwijzingen voor de regelgeving</w:t>
      </w:r>
      <w:r w:rsidR="00714982">
        <w:t xml:space="preserve">. </w:t>
      </w:r>
    </w:p>
  </w:footnote>
  <w:footnote w:id="26">
    <w:p w14:paraId="0A2B3715" w14:textId="28806081" w:rsidR="00C904E3" w:rsidRDefault="00C904E3">
      <w:pPr>
        <w:pStyle w:val="Voetnoottekst"/>
      </w:pPr>
      <w:r>
        <w:rPr>
          <w:rStyle w:val="Voetnootmarkering"/>
        </w:rPr>
        <w:footnoteRef/>
      </w:r>
      <w:r>
        <w:t xml:space="preserve"> Zie wat betreft deze kenmerken tevens de memorie van toelichting, algemeen deel, paragraaf 6.2, ‘Toezicht en handhaving’.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F2EDD"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F2EDE" w14:textId="77777777" w:rsidR="00FA7BCD" w:rsidRDefault="00CC5FE8"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F2EE4" w14:textId="77777777" w:rsidR="00DA0CDA" w:rsidRDefault="00CC5FE8"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22DF2EE5" w14:textId="77777777" w:rsidR="00993C75" w:rsidRDefault="00CC5FE8">
    <w:pPr>
      <w:pStyle w:val="Koptekst"/>
    </w:pPr>
    <w:r>
      <w:rPr>
        <w:noProof/>
      </w:rPr>
      <w:drawing>
        <wp:anchor distT="0" distB="0" distL="114300" distR="114300" simplePos="0" relativeHeight="251658240" behindDoc="1" locked="0" layoutInCell="1" allowOverlap="1" wp14:anchorId="22DF2EF0" wp14:editId="22DF2EF1">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A5D76"/>
    <w:multiLevelType w:val="hybridMultilevel"/>
    <w:tmpl w:val="790EA19E"/>
    <w:lvl w:ilvl="0" w:tplc="B3A6956A">
      <w:start w:val="1"/>
      <w:numFmt w:val="decimal"/>
      <w:lvlText w:val="%1."/>
      <w:lvlJc w:val="left"/>
      <w:pPr>
        <w:ind w:left="1320" w:hanging="360"/>
      </w:pPr>
    </w:lvl>
    <w:lvl w:ilvl="1" w:tplc="74AEBB8E">
      <w:start w:val="1"/>
      <w:numFmt w:val="decimal"/>
      <w:lvlText w:val="%2."/>
      <w:lvlJc w:val="left"/>
      <w:pPr>
        <w:ind w:left="1320" w:hanging="360"/>
      </w:pPr>
    </w:lvl>
    <w:lvl w:ilvl="2" w:tplc="B7A4BE2A">
      <w:start w:val="1"/>
      <w:numFmt w:val="decimal"/>
      <w:lvlText w:val="%3."/>
      <w:lvlJc w:val="left"/>
      <w:pPr>
        <w:ind w:left="1320" w:hanging="360"/>
      </w:pPr>
    </w:lvl>
    <w:lvl w:ilvl="3" w:tplc="C52E0B52">
      <w:start w:val="1"/>
      <w:numFmt w:val="decimal"/>
      <w:lvlText w:val="%4."/>
      <w:lvlJc w:val="left"/>
      <w:pPr>
        <w:ind w:left="1320" w:hanging="360"/>
      </w:pPr>
    </w:lvl>
    <w:lvl w:ilvl="4" w:tplc="A830DA40">
      <w:start w:val="1"/>
      <w:numFmt w:val="decimal"/>
      <w:lvlText w:val="%5."/>
      <w:lvlJc w:val="left"/>
      <w:pPr>
        <w:ind w:left="1320" w:hanging="360"/>
      </w:pPr>
    </w:lvl>
    <w:lvl w:ilvl="5" w:tplc="5D68D828">
      <w:start w:val="1"/>
      <w:numFmt w:val="decimal"/>
      <w:lvlText w:val="%6."/>
      <w:lvlJc w:val="left"/>
      <w:pPr>
        <w:ind w:left="1320" w:hanging="360"/>
      </w:pPr>
    </w:lvl>
    <w:lvl w:ilvl="6" w:tplc="09FC627C">
      <w:start w:val="1"/>
      <w:numFmt w:val="decimal"/>
      <w:lvlText w:val="%7."/>
      <w:lvlJc w:val="left"/>
      <w:pPr>
        <w:ind w:left="1320" w:hanging="360"/>
      </w:pPr>
    </w:lvl>
    <w:lvl w:ilvl="7" w:tplc="B2F4A822">
      <w:start w:val="1"/>
      <w:numFmt w:val="decimal"/>
      <w:lvlText w:val="%8."/>
      <w:lvlJc w:val="left"/>
      <w:pPr>
        <w:ind w:left="1320" w:hanging="360"/>
      </w:pPr>
    </w:lvl>
    <w:lvl w:ilvl="8" w:tplc="942A7896">
      <w:start w:val="1"/>
      <w:numFmt w:val="decimal"/>
      <w:lvlText w:val="%9."/>
      <w:lvlJc w:val="left"/>
      <w:pPr>
        <w:ind w:left="1320" w:hanging="360"/>
      </w:pPr>
    </w:lvl>
  </w:abstractNum>
  <w:abstractNum w:abstractNumId="1" w15:restartNumberingAfterBreak="0">
    <w:nsid w:val="438328D3"/>
    <w:multiLevelType w:val="hybridMultilevel"/>
    <w:tmpl w:val="B540F19C"/>
    <w:lvl w:ilvl="0" w:tplc="992222EA">
      <w:start w:val="1"/>
      <w:numFmt w:val="decimal"/>
      <w:lvlText w:val="%1."/>
      <w:lvlJc w:val="left"/>
      <w:pPr>
        <w:ind w:left="1320" w:hanging="360"/>
      </w:pPr>
    </w:lvl>
    <w:lvl w:ilvl="1" w:tplc="F06AD422">
      <w:start w:val="1"/>
      <w:numFmt w:val="decimal"/>
      <w:lvlText w:val="%2."/>
      <w:lvlJc w:val="left"/>
      <w:pPr>
        <w:ind w:left="1320" w:hanging="360"/>
      </w:pPr>
    </w:lvl>
    <w:lvl w:ilvl="2" w:tplc="DA4ACC3C">
      <w:start w:val="1"/>
      <w:numFmt w:val="decimal"/>
      <w:lvlText w:val="%3."/>
      <w:lvlJc w:val="left"/>
      <w:pPr>
        <w:ind w:left="1320" w:hanging="360"/>
      </w:pPr>
    </w:lvl>
    <w:lvl w:ilvl="3" w:tplc="C28AD2AA">
      <w:start w:val="1"/>
      <w:numFmt w:val="decimal"/>
      <w:lvlText w:val="%4."/>
      <w:lvlJc w:val="left"/>
      <w:pPr>
        <w:ind w:left="1320" w:hanging="360"/>
      </w:pPr>
    </w:lvl>
    <w:lvl w:ilvl="4" w:tplc="7F38F56A">
      <w:start w:val="1"/>
      <w:numFmt w:val="decimal"/>
      <w:lvlText w:val="%5."/>
      <w:lvlJc w:val="left"/>
      <w:pPr>
        <w:ind w:left="1320" w:hanging="360"/>
      </w:pPr>
    </w:lvl>
    <w:lvl w:ilvl="5" w:tplc="823A4F80">
      <w:start w:val="1"/>
      <w:numFmt w:val="decimal"/>
      <w:lvlText w:val="%6."/>
      <w:lvlJc w:val="left"/>
      <w:pPr>
        <w:ind w:left="1320" w:hanging="360"/>
      </w:pPr>
    </w:lvl>
    <w:lvl w:ilvl="6" w:tplc="78D88E3C">
      <w:start w:val="1"/>
      <w:numFmt w:val="decimal"/>
      <w:lvlText w:val="%7."/>
      <w:lvlJc w:val="left"/>
      <w:pPr>
        <w:ind w:left="1320" w:hanging="360"/>
      </w:pPr>
    </w:lvl>
    <w:lvl w:ilvl="7" w:tplc="F62A61BE">
      <w:start w:val="1"/>
      <w:numFmt w:val="decimal"/>
      <w:lvlText w:val="%8."/>
      <w:lvlJc w:val="left"/>
      <w:pPr>
        <w:ind w:left="1320" w:hanging="360"/>
      </w:pPr>
    </w:lvl>
    <w:lvl w:ilvl="8" w:tplc="177EBFB8">
      <w:start w:val="1"/>
      <w:numFmt w:val="decimal"/>
      <w:lvlText w:val="%9."/>
      <w:lvlJc w:val="left"/>
      <w:pPr>
        <w:ind w:left="1320" w:hanging="360"/>
      </w:pPr>
    </w:lvl>
  </w:abstractNum>
  <w:abstractNum w:abstractNumId="2" w15:restartNumberingAfterBreak="0">
    <w:nsid w:val="7AB545FE"/>
    <w:multiLevelType w:val="hybridMultilevel"/>
    <w:tmpl w:val="ECE820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37638412">
    <w:abstractNumId w:val="1"/>
  </w:num>
  <w:num w:numId="2" w16cid:durableId="1380200537">
    <w:abstractNumId w:val="0"/>
  </w:num>
  <w:num w:numId="3" w16cid:durableId="1344934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D8"/>
    <w:rsid w:val="00000077"/>
    <w:rsid w:val="0000125F"/>
    <w:rsid w:val="000014A2"/>
    <w:rsid w:val="000015E4"/>
    <w:rsid w:val="000033E6"/>
    <w:rsid w:val="00005B02"/>
    <w:rsid w:val="00007814"/>
    <w:rsid w:val="00010441"/>
    <w:rsid w:val="00010D73"/>
    <w:rsid w:val="00012202"/>
    <w:rsid w:val="00015400"/>
    <w:rsid w:val="0001542A"/>
    <w:rsid w:val="000160A4"/>
    <w:rsid w:val="00016157"/>
    <w:rsid w:val="00017347"/>
    <w:rsid w:val="00017C54"/>
    <w:rsid w:val="00020CD0"/>
    <w:rsid w:val="00021D2A"/>
    <w:rsid w:val="00022069"/>
    <w:rsid w:val="0002237B"/>
    <w:rsid w:val="0002316A"/>
    <w:rsid w:val="00023AE2"/>
    <w:rsid w:val="00024B0B"/>
    <w:rsid w:val="00025FB1"/>
    <w:rsid w:val="000268EA"/>
    <w:rsid w:val="00026AE8"/>
    <w:rsid w:val="00026B08"/>
    <w:rsid w:val="00027F1F"/>
    <w:rsid w:val="00030A2B"/>
    <w:rsid w:val="00031E4E"/>
    <w:rsid w:val="00034F2B"/>
    <w:rsid w:val="00036879"/>
    <w:rsid w:val="00036BFA"/>
    <w:rsid w:val="00036CEB"/>
    <w:rsid w:val="00036D51"/>
    <w:rsid w:val="00037369"/>
    <w:rsid w:val="0003780B"/>
    <w:rsid w:val="00041326"/>
    <w:rsid w:val="00041CD6"/>
    <w:rsid w:val="00042201"/>
    <w:rsid w:val="00042B32"/>
    <w:rsid w:val="00045041"/>
    <w:rsid w:val="000457B6"/>
    <w:rsid w:val="000467B2"/>
    <w:rsid w:val="00047357"/>
    <w:rsid w:val="00047E5B"/>
    <w:rsid w:val="0005013C"/>
    <w:rsid w:val="000503A5"/>
    <w:rsid w:val="00050626"/>
    <w:rsid w:val="00050865"/>
    <w:rsid w:val="00050922"/>
    <w:rsid w:val="00050A85"/>
    <w:rsid w:val="00051592"/>
    <w:rsid w:val="000519DA"/>
    <w:rsid w:val="00051D17"/>
    <w:rsid w:val="000523E8"/>
    <w:rsid w:val="000533F7"/>
    <w:rsid w:val="000549CA"/>
    <w:rsid w:val="00060245"/>
    <w:rsid w:val="000608AC"/>
    <w:rsid w:val="00060BAC"/>
    <w:rsid w:val="000616D7"/>
    <w:rsid w:val="00062D10"/>
    <w:rsid w:val="000632D1"/>
    <w:rsid w:val="000649E4"/>
    <w:rsid w:val="000660F6"/>
    <w:rsid w:val="000661D0"/>
    <w:rsid w:val="000702E0"/>
    <w:rsid w:val="00071274"/>
    <w:rsid w:val="000719C8"/>
    <w:rsid w:val="00071B84"/>
    <w:rsid w:val="00072AFE"/>
    <w:rsid w:val="00072B3B"/>
    <w:rsid w:val="00073247"/>
    <w:rsid w:val="00073BCA"/>
    <w:rsid w:val="000743A5"/>
    <w:rsid w:val="00075EB2"/>
    <w:rsid w:val="00076858"/>
    <w:rsid w:val="00076A2C"/>
    <w:rsid w:val="00081679"/>
    <w:rsid w:val="00081702"/>
    <w:rsid w:val="000819C4"/>
    <w:rsid w:val="00083381"/>
    <w:rsid w:val="00083412"/>
    <w:rsid w:val="00083AA2"/>
    <w:rsid w:val="000841B2"/>
    <w:rsid w:val="00085194"/>
    <w:rsid w:val="00086B6E"/>
    <w:rsid w:val="000870E9"/>
    <w:rsid w:val="00087766"/>
    <w:rsid w:val="00087CAB"/>
    <w:rsid w:val="00090B88"/>
    <w:rsid w:val="00090C81"/>
    <w:rsid w:val="000918A2"/>
    <w:rsid w:val="00091998"/>
    <w:rsid w:val="0009222A"/>
    <w:rsid w:val="000951E2"/>
    <w:rsid w:val="000957EB"/>
    <w:rsid w:val="00096639"/>
    <w:rsid w:val="000967A2"/>
    <w:rsid w:val="00096A46"/>
    <w:rsid w:val="00096FD8"/>
    <w:rsid w:val="00097EAE"/>
    <w:rsid w:val="000A01CA"/>
    <w:rsid w:val="000A17D6"/>
    <w:rsid w:val="000A1D71"/>
    <w:rsid w:val="000A2129"/>
    <w:rsid w:val="000A3403"/>
    <w:rsid w:val="000A3596"/>
    <w:rsid w:val="000A4EE6"/>
    <w:rsid w:val="000A5800"/>
    <w:rsid w:val="000A5FFC"/>
    <w:rsid w:val="000A7FAB"/>
    <w:rsid w:val="000B004F"/>
    <w:rsid w:val="000B08AA"/>
    <w:rsid w:val="000B173C"/>
    <w:rsid w:val="000B17D2"/>
    <w:rsid w:val="000B1AAF"/>
    <w:rsid w:val="000B1DEF"/>
    <w:rsid w:val="000B1F31"/>
    <w:rsid w:val="000B24A1"/>
    <w:rsid w:val="000B2B50"/>
    <w:rsid w:val="000B313E"/>
    <w:rsid w:val="000B59A0"/>
    <w:rsid w:val="000B5AD1"/>
    <w:rsid w:val="000B72CE"/>
    <w:rsid w:val="000C07D8"/>
    <w:rsid w:val="000C0AD4"/>
    <w:rsid w:val="000C13F9"/>
    <w:rsid w:val="000C17C3"/>
    <w:rsid w:val="000C1E24"/>
    <w:rsid w:val="000C1EE4"/>
    <w:rsid w:val="000C23D7"/>
    <w:rsid w:val="000C3972"/>
    <w:rsid w:val="000C534B"/>
    <w:rsid w:val="000C5E46"/>
    <w:rsid w:val="000C6518"/>
    <w:rsid w:val="000C7BA4"/>
    <w:rsid w:val="000C7DA8"/>
    <w:rsid w:val="000D1308"/>
    <w:rsid w:val="000D1F31"/>
    <w:rsid w:val="000D2B33"/>
    <w:rsid w:val="000D2F04"/>
    <w:rsid w:val="000D537F"/>
    <w:rsid w:val="000D5599"/>
    <w:rsid w:val="000D5B3F"/>
    <w:rsid w:val="000D5C0F"/>
    <w:rsid w:val="000E0330"/>
    <w:rsid w:val="000E08D1"/>
    <w:rsid w:val="000E133E"/>
    <w:rsid w:val="000E1A68"/>
    <w:rsid w:val="000E26FA"/>
    <w:rsid w:val="000E2BE7"/>
    <w:rsid w:val="000E30AC"/>
    <w:rsid w:val="000E526C"/>
    <w:rsid w:val="000E595C"/>
    <w:rsid w:val="000E71FA"/>
    <w:rsid w:val="000E78D9"/>
    <w:rsid w:val="000E78EC"/>
    <w:rsid w:val="000F045F"/>
    <w:rsid w:val="000F3134"/>
    <w:rsid w:val="000F490A"/>
    <w:rsid w:val="000F4A3B"/>
    <w:rsid w:val="000F4AB5"/>
    <w:rsid w:val="000F4DBA"/>
    <w:rsid w:val="000F4F8A"/>
    <w:rsid w:val="000F5179"/>
    <w:rsid w:val="000F72FD"/>
    <w:rsid w:val="0010044C"/>
    <w:rsid w:val="00102518"/>
    <w:rsid w:val="0010265E"/>
    <w:rsid w:val="0010308C"/>
    <w:rsid w:val="001052F8"/>
    <w:rsid w:val="0010593C"/>
    <w:rsid w:val="00106003"/>
    <w:rsid w:val="00110531"/>
    <w:rsid w:val="00113671"/>
    <w:rsid w:val="00116211"/>
    <w:rsid w:val="00117A3A"/>
    <w:rsid w:val="001209C6"/>
    <w:rsid w:val="00121D64"/>
    <w:rsid w:val="00122E62"/>
    <w:rsid w:val="00122FF1"/>
    <w:rsid w:val="001248EF"/>
    <w:rsid w:val="001253B5"/>
    <w:rsid w:val="0012751A"/>
    <w:rsid w:val="00127FFB"/>
    <w:rsid w:val="0013141F"/>
    <w:rsid w:val="0013167E"/>
    <w:rsid w:val="00131BDC"/>
    <w:rsid w:val="00132483"/>
    <w:rsid w:val="00133ACE"/>
    <w:rsid w:val="00133DE2"/>
    <w:rsid w:val="00133E77"/>
    <w:rsid w:val="00133F79"/>
    <w:rsid w:val="00134C2F"/>
    <w:rsid w:val="001351C9"/>
    <w:rsid w:val="00135A63"/>
    <w:rsid w:val="00135DC3"/>
    <w:rsid w:val="001364BF"/>
    <w:rsid w:val="00137392"/>
    <w:rsid w:val="00137EC6"/>
    <w:rsid w:val="00142D06"/>
    <w:rsid w:val="00144576"/>
    <w:rsid w:val="001453FD"/>
    <w:rsid w:val="001457C0"/>
    <w:rsid w:val="001458DC"/>
    <w:rsid w:val="0014615E"/>
    <w:rsid w:val="00146E31"/>
    <w:rsid w:val="0014771B"/>
    <w:rsid w:val="00147784"/>
    <w:rsid w:val="001479A4"/>
    <w:rsid w:val="00147CD3"/>
    <w:rsid w:val="00150CB8"/>
    <w:rsid w:val="00150F49"/>
    <w:rsid w:val="0015148B"/>
    <w:rsid w:val="001522D1"/>
    <w:rsid w:val="001528EC"/>
    <w:rsid w:val="00152C9A"/>
    <w:rsid w:val="00153054"/>
    <w:rsid w:val="001539F2"/>
    <w:rsid w:val="00154684"/>
    <w:rsid w:val="00154AC0"/>
    <w:rsid w:val="00155467"/>
    <w:rsid w:val="00155BB2"/>
    <w:rsid w:val="00155FF5"/>
    <w:rsid w:val="00157287"/>
    <w:rsid w:val="001572A2"/>
    <w:rsid w:val="0015736C"/>
    <w:rsid w:val="001573E6"/>
    <w:rsid w:val="00157BA8"/>
    <w:rsid w:val="00157C07"/>
    <w:rsid w:val="001601BF"/>
    <w:rsid w:val="00160283"/>
    <w:rsid w:val="001602C5"/>
    <w:rsid w:val="00160A5E"/>
    <w:rsid w:val="00161065"/>
    <w:rsid w:val="00161AD1"/>
    <w:rsid w:val="00161B14"/>
    <w:rsid w:val="00164797"/>
    <w:rsid w:val="001660F7"/>
    <w:rsid w:val="0016641F"/>
    <w:rsid w:val="00166C3B"/>
    <w:rsid w:val="00166F2F"/>
    <w:rsid w:val="00167012"/>
    <w:rsid w:val="00167701"/>
    <w:rsid w:val="0017065B"/>
    <w:rsid w:val="001717F6"/>
    <w:rsid w:val="001725B3"/>
    <w:rsid w:val="00172CE9"/>
    <w:rsid w:val="00173088"/>
    <w:rsid w:val="00176998"/>
    <w:rsid w:val="001775FB"/>
    <w:rsid w:val="001807B0"/>
    <w:rsid w:val="00182257"/>
    <w:rsid w:val="00183B6B"/>
    <w:rsid w:val="00183FC9"/>
    <w:rsid w:val="001847BE"/>
    <w:rsid w:val="00184DD7"/>
    <w:rsid w:val="00185357"/>
    <w:rsid w:val="00185A32"/>
    <w:rsid w:val="0018751D"/>
    <w:rsid w:val="00191474"/>
    <w:rsid w:val="001916B3"/>
    <w:rsid w:val="00191798"/>
    <w:rsid w:val="001940E8"/>
    <w:rsid w:val="00194C2F"/>
    <w:rsid w:val="00195D1E"/>
    <w:rsid w:val="00195D78"/>
    <w:rsid w:val="00196576"/>
    <w:rsid w:val="001970EF"/>
    <w:rsid w:val="001972F9"/>
    <w:rsid w:val="001974E1"/>
    <w:rsid w:val="001978DD"/>
    <w:rsid w:val="001A1905"/>
    <w:rsid w:val="001A2108"/>
    <w:rsid w:val="001A3356"/>
    <w:rsid w:val="001A3F71"/>
    <w:rsid w:val="001A491D"/>
    <w:rsid w:val="001A4C71"/>
    <w:rsid w:val="001A4C74"/>
    <w:rsid w:val="001A5269"/>
    <w:rsid w:val="001A53FC"/>
    <w:rsid w:val="001A6A2E"/>
    <w:rsid w:val="001A6CE2"/>
    <w:rsid w:val="001A7165"/>
    <w:rsid w:val="001A7C5F"/>
    <w:rsid w:val="001B0C4E"/>
    <w:rsid w:val="001B1283"/>
    <w:rsid w:val="001B3821"/>
    <w:rsid w:val="001B489E"/>
    <w:rsid w:val="001B4A80"/>
    <w:rsid w:val="001B4D31"/>
    <w:rsid w:val="001B55C4"/>
    <w:rsid w:val="001B653F"/>
    <w:rsid w:val="001B66CB"/>
    <w:rsid w:val="001B6F37"/>
    <w:rsid w:val="001B76D2"/>
    <w:rsid w:val="001B7CF5"/>
    <w:rsid w:val="001C0122"/>
    <w:rsid w:val="001C2786"/>
    <w:rsid w:val="001D026D"/>
    <w:rsid w:val="001D1420"/>
    <w:rsid w:val="001D1B8C"/>
    <w:rsid w:val="001D2357"/>
    <w:rsid w:val="001D40B0"/>
    <w:rsid w:val="001D5038"/>
    <w:rsid w:val="001D5F0A"/>
    <w:rsid w:val="001D6847"/>
    <w:rsid w:val="001D7C5C"/>
    <w:rsid w:val="001E050F"/>
    <w:rsid w:val="001E058E"/>
    <w:rsid w:val="001E06C4"/>
    <w:rsid w:val="001E0961"/>
    <w:rsid w:val="001E2593"/>
    <w:rsid w:val="001E3C2C"/>
    <w:rsid w:val="001E5732"/>
    <w:rsid w:val="001E6FE8"/>
    <w:rsid w:val="001E702D"/>
    <w:rsid w:val="001E7A64"/>
    <w:rsid w:val="001E7AD6"/>
    <w:rsid w:val="001F0BD2"/>
    <w:rsid w:val="001F0F11"/>
    <w:rsid w:val="001F1E25"/>
    <w:rsid w:val="001F2CEF"/>
    <w:rsid w:val="001F3261"/>
    <w:rsid w:val="001F3543"/>
    <w:rsid w:val="001F4835"/>
    <w:rsid w:val="001F5E63"/>
    <w:rsid w:val="001F61A5"/>
    <w:rsid w:val="001F7C56"/>
    <w:rsid w:val="00200EA2"/>
    <w:rsid w:val="002015D8"/>
    <w:rsid w:val="002022E7"/>
    <w:rsid w:val="0020425D"/>
    <w:rsid w:val="002052DA"/>
    <w:rsid w:val="00207947"/>
    <w:rsid w:val="00210696"/>
    <w:rsid w:val="00210C40"/>
    <w:rsid w:val="00210F4D"/>
    <w:rsid w:val="00211F3B"/>
    <w:rsid w:val="0021223E"/>
    <w:rsid w:val="002123B4"/>
    <w:rsid w:val="00213185"/>
    <w:rsid w:val="0021354D"/>
    <w:rsid w:val="00213BA8"/>
    <w:rsid w:val="00214372"/>
    <w:rsid w:val="002151FB"/>
    <w:rsid w:val="0021602C"/>
    <w:rsid w:val="0021635E"/>
    <w:rsid w:val="00220F94"/>
    <w:rsid w:val="00221096"/>
    <w:rsid w:val="0022299D"/>
    <w:rsid w:val="00223AD6"/>
    <w:rsid w:val="00223CEF"/>
    <w:rsid w:val="00224587"/>
    <w:rsid w:val="0022478B"/>
    <w:rsid w:val="0022554C"/>
    <w:rsid w:val="0023039E"/>
    <w:rsid w:val="00231245"/>
    <w:rsid w:val="002319FD"/>
    <w:rsid w:val="00233EF0"/>
    <w:rsid w:val="002346F1"/>
    <w:rsid w:val="00240614"/>
    <w:rsid w:val="002412E7"/>
    <w:rsid w:val="002416B3"/>
    <w:rsid w:val="00241B38"/>
    <w:rsid w:val="00242EF4"/>
    <w:rsid w:val="002433C2"/>
    <w:rsid w:val="00243E20"/>
    <w:rsid w:val="00244C63"/>
    <w:rsid w:val="002454E7"/>
    <w:rsid w:val="00245ED3"/>
    <w:rsid w:val="00246870"/>
    <w:rsid w:val="00247B87"/>
    <w:rsid w:val="00250100"/>
    <w:rsid w:val="00250581"/>
    <w:rsid w:val="00252DB8"/>
    <w:rsid w:val="0025492B"/>
    <w:rsid w:val="00254E82"/>
    <w:rsid w:val="002554E0"/>
    <w:rsid w:val="00256001"/>
    <w:rsid w:val="0025609D"/>
    <w:rsid w:val="00256108"/>
    <w:rsid w:val="0025614F"/>
    <w:rsid w:val="00256215"/>
    <w:rsid w:val="00256A39"/>
    <w:rsid w:val="002570FC"/>
    <w:rsid w:val="00257EA2"/>
    <w:rsid w:val="00257F0F"/>
    <w:rsid w:val="002600AB"/>
    <w:rsid w:val="0026043D"/>
    <w:rsid w:val="00260E2E"/>
    <w:rsid w:val="002618DA"/>
    <w:rsid w:val="002623DB"/>
    <w:rsid w:val="00262485"/>
    <w:rsid w:val="00262E03"/>
    <w:rsid w:val="00262EEA"/>
    <w:rsid w:val="00263AEF"/>
    <w:rsid w:val="00264334"/>
    <w:rsid w:val="002644F3"/>
    <w:rsid w:val="00264585"/>
    <w:rsid w:val="00264A69"/>
    <w:rsid w:val="00270834"/>
    <w:rsid w:val="002708C0"/>
    <w:rsid w:val="00271107"/>
    <w:rsid w:val="00271242"/>
    <w:rsid w:val="002732CA"/>
    <w:rsid w:val="002742B8"/>
    <w:rsid w:val="00274B88"/>
    <w:rsid w:val="002761F6"/>
    <w:rsid w:val="00276AB0"/>
    <w:rsid w:val="002802C5"/>
    <w:rsid w:val="00280605"/>
    <w:rsid w:val="002824DB"/>
    <w:rsid w:val="00283241"/>
    <w:rsid w:val="00283772"/>
    <w:rsid w:val="00283A36"/>
    <w:rsid w:val="00283D35"/>
    <w:rsid w:val="0028459A"/>
    <w:rsid w:val="00284BF4"/>
    <w:rsid w:val="00286159"/>
    <w:rsid w:val="002864DD"/>
    <w:rsid w:val="0029184F"/>
    <w:rsid w:val="00291A41"/>
    <w:rsid w:val="002921A8"/>
    <w:rsid w:val="002925F8"/>
    <w:rsid w:val="00292F03"/>
    <w:rsid w:val="00293601"/>
    <w:rsid w:val="00293C80"/>
    <w:rsid w:val="00293E44"/>
    <w:rsid w:val="002943CA"/>
    <w:rsid w:val="002943E9"/>
    <w:rsid w:val="00294E16"/>
    <w:rsid w:val="00294F40"/>
    <w:rsid w:val="00295028"/>
    <w:rsid w:val="002965ED"/>
    <w:rsid w:val="00297A43"/>
    <w:rsid w:val="002A23CF"/>
    <w:rsid w:val="002A7309"/>
    <w:rsid w:val="002B14D4"/>
    <w:rsid w:val="002B1728"/>
    <w:rsid w:val="002B3059"/>
    <w:rsid w:val="002B361F"/>
    <w:rsid w:val="002B4946"/>
    <w:rsid w:val="002B5465"/>
    <w:rsid w:val="002B5EE0"/>
    <w:rsid w:val="002B6199"/>
    <w:rsid w:val="002B7E7F"/>
    <w:rsid w:val="002C3B46"/>
    <w:rsid w:val="002C3E43"/>
    <w:rsid w:val="002C448C"/>
    <w:rsid w:val="002C50B2"/>
    <w:rsid w:val="002C690F"/>
    <w:rsid w:val="002C6A85"/>
    <w:rsid w:val="002C728D"/>
    <w:rsid w:val="002D01D2"/>
    <w:rsid w:val="002D1022"/>
    <w:rsid w:val="002D1CEF"/>
    <w:rsid w:val="002D35CE"/>
    <w:rsid w:val="002D4743"/>
    <w:rsid w:val="002D69D5"/>
    <w:rsid w:val="002D7BAE"/>
    <w:rsid w:val="002D7E22"/>
    <w:rsid w:val="002E03B9"/>
    <w:rsid w:val="002E0A09"/>
    <w:rsid w:val="002E0DFB"/>
    <w:rsid w:val="002E13CF"/>
    <w:rsid w:val="002E258E"/>
    <w:rsid w:val="002E3CC6"/>
    <w:rsid w:val="002E5E0B"/>
    <w:rsid w:val="002E6D17"/>
    <w:rsid w:val="002E75E1"/>
    <w:rsid w:val="002F08BF"/>
    <w:rsid w:val="002F0C7B"/>
    <w:rsid w:val="002F1256"/>
    <w:rsid w:val="002F199A"/>
    <w:rsid w:val="002F29F8"/>
    <w:rsid w:val="002F37D7"/>
    <w:rsid w:val="002F3DF4"/>
    <w:rsid w:val="002F3F77"/>
    <w:rsid w:val="002F46FF"/>
    <w:rsid w:val="002F5D32"/>
    <w:rsid w:val="00301C82"/>
    <w:rsid w:val="0030200C"/>
    <w:rsid w:val="0030314A"/>
    <w:rsid w:val="00303AD6"/>
    <w:rsid w:val="00304047"/>
    <w:rsid w:val="003049ED"/>
    <w:rsid w:val="00304CCF"/>
    <w:rsid w:val="00305001"/>
    <w:rsid w:val="00306A0A"/>
    <w:rsid w:val="00310580"/>
    <w:rsid w:val="00312724"/>
    <w:rsid w:val="00313249"/>
    <w:rsid w:val="00313459"/>
    <w:rsid w:val="0031407F"/>
    <w:rsid w:val="00314D57"/>
    <w:rsid w:val="00315814"/>
    <w:rsid w:val="00315831"/>
    <w:rsid w:val="00316A83"/>
    <w:rsid w:val="00317819"/>
    <w:rsid w:val="003200FE"/>
    <w:rsid w:val="003214C9"/>
    <w:rsid w:val="00321761"/>
    <w:rsid w:val="00321EB7"/>
    <w:rsid w:val="00322226"/>
    <w:rsid w:val="003225F9"/>
    <w:rsid w:val="00322663"/>
    <w:rsid w:val="00322E9B"/>
    <w:rsid w:val="0032385D"/>
    <w:rsid w:val="0032566C"/>
    <w:rsid w:val="00325688"/>
    <w:rsid w:val="0032784F"/>
    <w:rsid w:val="00327B89"/>
    <w:rsid w:val="00330012"/>
    <w:rsid w:val="00330DD8"/>
    <w:rsid w:val="0033247B"/>
    <w:rsid w:val="003329D3"/>
    <w:rsid w:val="00334165"/>
    <w:rsid w:val="00334296"/>
    <w:rsid w:val="0033440D"/>
    <w:rsid w:val="00334B09"/>
    <w:rsid w:val="003352A3"/>
    <w:rsid w:val="00335DA0"/>
    <w:rsid w:val="003373A2"/>
    <w:rsid w:val="003376F6"/>
    <w:rsid w:val="00341139"/>
    <w:rsid w:val="00341392"/>
    <w:rsid w:val="003429F0"/>
    <w:rsid w:val="00342C7C"/>
    <w:rsid w:val="00342E94"/>
    <w:rsid w:val="0034435D"/>
    <w:rsid w:val="003453C0"/>
    <w:rsid w:val="00346BB7"/>
    <w:rsid w:val="00346D54"/>
    <w:rsid w:val="00346E51"/>
    <w:rsid w:val="00347060"/>
    <w:rsid w:val="003501A7"/>
    <w:rsid w:val="003501FC"/>
    <w:rsid w:val="003505CC"/>
    <w:rsid w:val="00350D1D"/>
    <w:rsid w:val="003517D2"/>
    <w:rsid w:val="0035221B"/>
    <w:rsid w:val="00352FF5"/>
    <w:rsid w:val="00353755"/>
    <w:rsid w:val="00353FBE"/>
    <w:rsid w:val="003543AC"/>
    <w:rsid w:val="00355F9B"/>
    <w:rsid w:val="0035657E"/>
    <w:rsid w:val="00356B81"/>
    <w:rsid w:val="00356C1A"/>
    <w:rsid w:val="0035749F"/>
    <w:rsid w:val="00357F01"/>
    <w:rsid w:val="00361A26"/>
    <w:rsid w:val="00362840"/>
    <w:rsid w:val="003639A0"/>
    <w:rsid w:val="00363B7E"/>
    <w:rsid w:val="00364823"/>
    <w:rsid w:val="00367FF4"/>
    <w:rsid w:val="0037084F"/>
    <w:rsid w:val="00370A5F"/>
    <w:rsid w:val="00371552"/>
    <w:rsid w:val="00372B64"/>
    <w:rsid w:val="003742BD"/>
    <w:rsid w:val="003749B3"/>
    <w:rsid w:val="003755A8"/>
    <w:rsid w:val="00375B18"/>
    <w:rsid w:val="00375EA1"/>
    <w:rsid w:val="003760D4"/>
    <w:rsid w:val="00376A8F"/>
    <w:rsid w:val="00376C32"/>
    <w:rsid w:val="003775B5"/>
    <w:rsid w:val="00377A57"/>
    <w:rsid w:val="00380864"/>
    <w:rsid w:val="00381441"/>
    <w:rsid w:val="00381C48"/>
    <w:rsid w:val="00381D73"/>
    <w:rsid w:val="0038444E"/>
    <w:rsid w:val="003846C0"/>
    <w:rsid w:val="00384DBD"/>
    <w:rsid w:val="00385CB8"/>
    <w:rsid w:val="003863AB"/>
    <w:rsid w:val="003863E1"/>
    <w:rsid w:val="0038799B"/>
    <w:rsid w:val="00387B7E"/>
    <w:rsid w:val="00390D1C"/>
    <w:rsid w:val="003913D7"/>
    <w:rsid w:val="003914DB"/>
    <w:rsid w:val="00391856"/>
    <w:rsid w:val="00391F20"/>
    <w:rsid w:val="0039222F"/>
    <w:rsid w:val="00392453"/>
    <w:rsid w:val="003935F6"/>
    <w:rsid w:val="00393B85"/>
    <w:rsid w:val="00393DDA"/>
    <w:rsid w:val="0039435B"/>
    <w:rsid w:val="00394704"/>
    <w:rsid w:val="00394CE6"/>
    <w:rsid w:val="00396427"/>
    <w:rsid w:val="0039655C"/>
    <w:rsid w:val="00397C2E"/>
    <w:rsid w:val="003A0100"/>
    <w:rsid w:val="003A08EF"/>
    <w:rsid w:val="003A1A2C"/>
    <w:rsid w:val="003A1C5C"/>
    <w:rsid w:val="003A1EA2"/>
    <w:rsid w:val="003A2EF2"/>
    <w:rsid w:val="003A318C"/>
    <w:rsid w:val="003A39E7"/>
    <w:rsid w:val="003A3D20"/>
    <w:rsid w:val="003A3F60"/>
    <w:rsid w:val="003A5662"/>
    <w:rsid w:val="003A574F"/>
    <w:rsid w:val="003A5921"/>
    <w:rsid w:val="003A6451"/>
    <w:rsid w:val="003A65F1"/>
    <w:rsid w:val="003A6A3F"/>
    <w:rsid w:val="003B04DE"/>
    <w:rsid w:val="003B05A9"/>
    <w:rsid w:val="003B1AE4"/>
    <w:rsid w:val="003B1EC2"/>
    <w:rsid w:val="003B288E"/>
    <w:rsid w:val="003B3262"/>
    <w:rsid w:val="003B3435"/>
    <w:rsid w:val="003B356E"/>
    <w:rsid w:val="003B3A73"/>
    <w:rsid w:val="003B5E43"/>
    <w:rsid w:val="003B660D"/>
    <w:rsid w:val="003B7CD4"/>
    <w:rsid w:val="003C1547"/>
    <w:rsid w:val="003C1F36"/>
    <w:rsid w:val="003C23D9"/>
    <w:rsid w:val="003C2FEA"/>
    <w:rsid w:val="003C3000"/>
    <w:rsid w:val="003C54F3"/>
    <w:rsid w:val="003C57B9"/>
    <w:rsid w:val="003C6BBB"/>
    <w:rsid w:val="003C7347"/>
    <w:rsid w:val="003C7479"/>
    <w:rsid w:val="003C7BC7"/>
    <w:rsid w:val="003D1520"/>
    <w:rsid w:val="003D18DF"/>
    <w:rsid w:val="003D314C"/>
    <w:rsid w:val="003D34BB"/>
    <w:rsid w:val="003D4112"/>
    <w:rsid w:val="003D4C3D"/>
    <w:rsid w:val="003D5149"/>
    <w:rsid w:val="003D6991"/>
    <w:rsid w:val="003D7295"/>
    <w:rsid w:val="003E164D"/>
    <w:rsid w:val="003E20CF"/>
    <w:rsid w:val="003E2752"/>
    <w:rsid w:val="003E2779"/>
    <w:rsid w:val="003E41E2"/>
    <w:rsid w:val="003E4500"/>
    <w:rsid w:val="003E484B"/>
    <w:rsid w:val="003E5303"/>
    <w:rsid w:val="003E5874"/>
    <w:rsid w:val="003E5BFF"/>
    <w:rsid w:val="003E5D79"/>
    <w:rsid w:val="003E737D"/>
    <w:rsid w:val="003E75D6"/>
    <w:rsid w:val="003E776A"/>
    <w:rsid w:val="003E7BC8"/>
    <w:rsid w:val="003F0034"/>
    <w:rsid w:val="003F04F1"/>
    <w:rsid w:val="003F053C"/>
    <w:rsid w:val="003F1045"/>
    <w:rsid w:val="003F11CD"/>
    <w:rsid w:val="003F15DE"/>
    <w:rsid w:val="003F1BD7"/>
    <w:rsid w:val="003F2619"/>
    <w:rsid w:val="003F261F"/>
    <w:rsid w:val="003F26B5"/>
    <w:rsid w:val="003F49C5"/>
    <w:rsid w:val="003F5373"/>
    <w:rsid w:val="003F6E0D"/>
    <w:rsid w:val="003F7807"/>
    <w:rsid w:val="0040172C"/>
    <w:rsid w:val="00403092"/>
    <w:rsid w:val="00403986"/>
    <w:rsid w:val="00405D53"/>
    <w:rsid w:val="00406289"/>
    <w:rsid w:val="00410446"/>
    <w:rsid w:val="00410E20"/>
    <w:rsid w:val="00410E84"/>
    <w:rsid w:val="004118F4"/>
    <w:rsid w:val="00411FBD"/>
    <w:rsid w:val="00412676"/>
    <w:rsid w:val="00412772"/>
    <w:rsid w:val="00412D17"/>
    <w:rsid w:val="00412F61"/>
    <w:rsid w:val="00413025"/>
    <w:rsid w:val="00413BD9"/>
    <w:rsid w:val="00413CE3"/>
    <w:rsid w:val="00415AB0"/>
    <w:rsid w:val="0042080C"/>
    <w:rsid w:val="004209F4"/>
    <w:rsid w:val="004210B3"/>
    <w:rsid w:val="0042250C"/>
    <w:rsid w:val="00423053"/>
    <w:rsid w:val="00423945"/>
    <w:rsid w:val="0042436D"/>
    <w:rsid w:val="00424817"/>
    <w:rsid w:val="004248CB"/>
    <w:rsid w:val="00425594"/>
    <w:rsid w:val="00425D8C"/>
    <w:rsid w:val="00426296"/>
    <w:rsid w:val="00426366"/>
    <w:rsid w:val="0042687B"/>
    <w:rsid w:val="004268F9"/>
    <w:rsid w:val="0042716E"/>
    <w:rsid w:val="00427725"/>
    <w:rsid w:val="00430A50"/>
    <w:rsid w:val="00432E11"/>
    <w:rsid w:val="0043320C"/>
    <w:rsid w:val="00434CCC"/>
    <w:rsid w:val="00435679"/>
    <w:rsid w:val="004403F6"/>
    <w:rsid w:val="00441393"/>
    <w:rsid w:val="00442266"/>
    <w:rsid w:val="004445F0"/>
    <w:rsid w:val="004452B3"/>
    <w:rsid w:val="00445D0C"/>
    <w:rsid w:val="00445E4C"/>
    <w:rsid w:val="00447D35"/>
    <w:rsid w:val="00447DA6"/>
    <w:rsid w:val="004506BB"/>
    <w:rsid w:val="00450FFE"/>
    <w:rsid w:val="004513EE"/>
    <w:rsid w:val="004521C7"/>
    <w:rsid w:val="00453065"/>
    <w:rsid w:val="0045328D"/>
    <w:rsid w:val="00454665"/>
    <w:rsid w:val="00454EEE"/>
    <w:rsid w:val="004567D9"/>
    <w:rsid w:val="00457AFB"/>
    <w:rsid w:val="00457CF5"/>
    <w:rsid w:val="00457D6A"/>
    <w:rsid w:val="0046232C"/>
    <w:rsid w:val="0046395A"/>
    <w:rsid w:val="00464D6F"/>
    <w:rsid w:val="0046514F"/>
    <w:rsid w:val="004651EA"/>
    <w:rsid w:val="004655F7"/>
    <w:rsid w:val="00465DB2"/>
    <w:rsid w:val="004662F0"/>
    <w:rsid w:val="00466D61"/>
    <w:rsid w:val="00467056"/>
    <w:rsid w:val="00470E3C"/>
    <w:rsid w:val="0047112F"/>
    <w:rsid w:val="00471653"/>
    <w:rsid w:val="0047247D"/>
    <w:rsid w:val="004739BB"/>
    <w:rsid w:val="00473EC5"/>
    <w:rsid w:val="004746ED"/>
    <w:rsid w:val="004765B8"/>
    <w:rsid w:val="00476980"/>
    <w:rsid w:val="00477CC0"/>
    <w:rsid w:val="004806D6"/>
    <w:rsid w:val="004808AC"/>
    <w:rsid w:val="00480BC5"/>
    <w:rsid w:val="00481BC4"/>
    <w:rsid w:val="00481EB2"/>
    <w:rsid w:val="00483602"/>
    <w:rsid w:val="004838FE"/>
    <w:rsid w:val="00484415"/>
    <w:rsid w:val="004848DA"/>
    <w:rsid w:val="00485A46"/>
    <w:rsid w:val="00485D59"/>
    <w:rsid w:val="00486649"/>
    <w:rsid w:val="00486A03"/>
    <w:rsid w:val="00490942"/>
    <w:rsid w:val="004919B1"/>
    <w:rsid w:val="00491B8C"/>
    <w:rsid w:val="0049563C"/>
    <w:rsid w:val="00496CCB"/>
    <w:rsid w:val="00496E0F"/>
    <w:rsid w:val="0049771C"/>
    <w:rsid w:val="0049780C"/>
    <w:rsid w:val="00497AFA"/>
    <w:rsid w:val="00497DE3"/>
    <w:rsid w:val="00497F52"/>
    <w:rsid w:val="004A03AA"/>
    <w:rsid w:val="004A07E6"/>
    <w:rsid w:val="004A1865"/>
    <w:rsid w:val="004A1931"/>
    <w:rsid w:val="004A1F9F"/>
    <w:rsid w:val="004A3208"/>
    <w:rsid w:val="004A337F"/>
    <w:rsid w:val="004A36AE"/>
    <w:rsid w:val="004A4554"/>
    <w:rsid w:val="004A4763"/>
    <w:rsid w:val="004A4CE6"/>
    <w:rsid w:val="004A4D9C"/>
    <w:rsid w:val="004A4EC7"/>
    <w:rsid w:val="004A5CB2"/>
    <w:rsid w:val="004A6933"/>
    <w:rsid w:val="004A6996"/>
    <w:rsid w:val="004A6AE8"/>
    <w:rsid w:val="004A7F97"/>
    <w:rsid w:val="004B40FA"/>
    <w:rsid w:val="004B4DBB"/>
    <w:rsid w:val="004B4E37"/>
    <w:rsid w:val="004B50B6"/>
    <w:rsid w:val="004B52A4"/>
    <w:rsid w:val="004B585A"/>
    <w:rsid w:val="004B65FC"/>
    <w:rsid w:val="004B6A24"/>
    <w:rsid w:val="004C03D7"/>
    <w:rsid w:val="004C057D"/>
    <w:rsid w:val="004C09E6"/>
    <w:rsid w:val="004C187B"/>
    <w:rsid w:val="004C19E6"/>
    <w:rsid w:val="004C1FAF"/>
    <w:rsid w:val="004C282E"/>
    <w:rsid w:val="004C33F2"/>
    <w:rsid w:val="004C35B1"/>
    <w:rsid w:val="004C53F0"/>
    <w:rsid w:val="004C586D"/>
    <w:rsid w:val="004C5925"/>
    <w:rsid w:val="004C62DF"/>
    <w:rsid w:val="004C6D81"/>
    <w:rsid w:val="004C6F7D"/>
    <w:rsid w:val="004D02B7"/>
    <w:rsid w:val="004D03C8"/>
    <w:rsid w:val="004D1710"/>
    <w:rsid w:val="004D1A97"/>
    <w:rsid w:val="004D26BE"/>
    <w:rsid w:val="004D2FB8"/>
    <w:rsid w:val="004D32E4"/>
    <w:rsid w:val="004D45E1"/>
    <w:rsid w:val="004D53EB"/>
    <w:rsid w:val="004D571C"/>
    <w:rsid w:val="004D57F0"/>
    <w:rsid w:val="004E1449"/>
    <w:rsid w:val="004E18DC"/>
    <w:rsid w:val="004E25C0"/>
    <w:rsid w:val="004E3860"/>
    <w:rsid w:val="004E5364"/>
    <w:rsid w:val="004E5383"/>
    <w:rsid w:val="004E6E9A"/>
    <w:rsid w:val="004E70A0"/>
    <w:rsid w:val="004F0719"/>
    <w:rsid w:val="004F1566"/>
    <w:rsid w:val="004F1746"/>
    <w:rsid w:val="004F1A01"/>
    <w:rsid w:val="004F2961"/>
    <w:rsid w:val="004F3CA6"/>
    <w:rsid w:val="004F61AD"/>
    <w:rsid w:val="004F6E29"/>
    <w:rsid w:val="004F74FC"/>
    <w:rsid w:val="00500B7A"/>
    <w:rsid w:val="00500FF7"/>
    <w:rsid w:val="005021A4"/>
    <w:rsid w:val="00503DF7"/>
    <w:rsid w:val="00504854"/>
    <w:rsid w:val="0050565E"/>
    <w:rsid w:val="00507C96"/>
    <w:rsid w:val="00507CA6"/>
    <w:rsid w:val="00507E9C"/>
    <w:rsid w:val="00510C53"/>
    <w:rsid w:val="005114C6"/>
    <w:rsid w:val="0051211C"/>
    <w:rsid w:val="005129CD"/>
    <w:rsid w:val="00512AD3"/>
    <w:rsid w:val="00514B01"/>
    <w:rsid w:val="00515293"/>
    <w:rsid w:val="005155CD"/>
    <w:rsid w:val="00517A7B"/>
    <w:rsid w:val="00520F33"/>
    <w:rsid w:val="00521EFE"/>
    <w:rsid w:val="0052450F"/>
    <w:rsid w:val="00524C4D"/>
    <w:rsid w:val="005267F0"/>
    <w:rsid w:val="00526F16"/>
    <w:rsid w:val="00526FD4"/>
    <w:rsid w:val="00530381"/>
    <w:rsid w:val="00530CE5"/>
    <w:rsid w:val="005325B3"/>
    <w:rsid w:val="00532F6D"/>
    <w:rsid w:val="00533810"/>
    <w:rsid w:val="00533EC2"/>
    <w:rsid w:val="00534344"/>
    <w:rsid w:val="00534414"/>
    <w:rsid w:val="00534C41"/>
    <w:rsid w:val="00535A9B"/>
    <w:rsid w:val="0053669E"/>
    <w:rsid w:val="00537B77"/>
    <w:rsid w:val="00537FD7"/>
    <w:rsid w:val="00540779"/>
    <w:rsid w:val="00540E9D"/>
    <w:rsid w:val="00541088"/>
    <w:rsid w:val="005411A3"/>
    <w:rsid w:val="0054126A"/>
    <w:rsid w:val="00544101"/>
    <w:rsid w:val="00545715"/>
    <w:rsid w:val="00546627"/>
    <w:rsid w:val="00546FA1"/>
    <w:rsid w:val="00547CBE"/>
    <w:rsid w:val="00547E6F"/>
    <w:rsid w:val="005503D1"/>
    <w:rsid w:val="00550A2E"/>
    <w:rsid w:val="005516FD"/>
    <w:rsid w:val="00551B86"/>
    <w:rsid w:val="005537ED"/>
    <w:rsid w:val="0055485F"/>
    <w:rsid w:val="00555588"/>
    <w:rsid w:val="00555B90"/>
    <w:rsid w:val="00555C58"/>
    <w:rsid w:val="0055679A"/>
    <w:rsid w:val="00560354"/>
    <w:rsid w:val="00561298"/>
    <w:rsid w:val="00561F8E"/>
    <w:rsid w:val="00564FBA"/>
    <w:rsid w:val="00566453"/>
    <w:rsid w:val="0056732F"/>
    <w:rsid w:val="005675F3"/>
    <w:rsid w:val="00571C02"/>
    <w:rsid w:val="00571DDB"/>
    <w:rsid w:val="00571E13"/>
    <w:rsid w:val="00572050"/>
    <w:rsid w:val="00572FF2"/>
    <w:rsid w:val="005732F6"/>
    <w:rsid w:val="005736BD"/>
    <w:rsid w:val="00575B3A"/>
    <w:rsid w:val="0057648B"/>
    <w:rsid w:val="00576D08"/>
    <w:rsid w:val="00580D31"/>
    <w:rsid w:val="00581DF7"/>
    <w:rsid w:val="005822F1"/>
    <w:rsid w:val="00582678"/>
    <w:rsid w:val="00582ADD"/>
    <w:rsid w:val="00582D5C"/>
    <w:rsid w:val="00582F98"/>
    <w:rsid w:val="005838F9"/>
    <w:rsid w:val="00584D84"/>
    <w:rsid w:val="005857D9"/>
    <w:rsid w:val="00586C81"/>
    <w:rsid w:val="00587C31"/>
    <w:rsid w:val="0059072E"/>
    <w:rsid w:val="0059155E"/>
    <w:rsid w:val="00592208"/>
    <w:rsid w:val="0059255C"/>
    <w:rsid w:val="00593709"/>
    <w:rsid w:val="00594843"/>
    <w:rsid w:val="005948A8"/>
    <w:rsid w:val="0059494F"/>
    <w:rsid w:val="0059634D"/>
    <w:rsid w:val="00596DD6"/>
    <w:rsid w:val="005972E4"/>
    <w:rsid w:val="00597BF0"/>
    <w:rsid w:val="00597DBF"/>
    <w:rsid w:val="00597F64"/>
    <w:rsid w:val="005A01A5"/>
    <w:rsid w:val="005A07B9"/>
    <w:rsid w:val="005A16FE"/>
    <w:rsid w:val="005A1B7A"/>
    <w:rsid w:val="005A1C2A"/>
    <w:rsid w:val="005A2F4C"/>
    <w:rsid w:val="005A7145"/>
    <w:rsid w:val="005A716C"/>
    <w:rsid w:val="005B0908"/>
    <w:rsid w:val="005B2A61"/>
    <w:rsid w:val="005B47F4"/>
    <w:rsid w:val="005B50A3"/>
    <w:rsid w:val="005B60E0"/>
    <w:rsid w:val="005B61E8"/>
    <w:rsid w:val="005B68BD"/>
    <w:rsid w:val="005B7B99"/>
    <w:rsid w:val="005C03EB"/>
    <w:rsid w:val="005C1291"/>
    <w:rsid w:val="005C2BE9"/>
    <w:rsid w:val="005C367C"/>
    <w:rsid w:val="005C3D90"/>
    <w:rsid w:val="005C6361"/>
    <w:rsid w:val="005C728D"/>
    <w:rsid w:val="005D0789"/>
    <w:rsid w:val="005D239F"/>
    <w:rsid w:val="005D2A93"/>
    <w:rsid w:val="005D3398"/>
    <w:rsid w:val="005D3B80"/>
    <w:rsid w:val="005D48FC"/>
    <w:rsid w:val="005D4B84"/>
    <w:rsid w:val="005D5271"/>
    <w:rsid w:val="005D7525"/>
    <w:rsid w:val="005D77F4"/>
    <w:rsid w:val="005E2195"/>
    <w:rsid w:val="005E269D"/>
    <w:rsid w:val="005E2BB1"/>
    <w:rsid w:val="005E3B2C"/>
    <w:rsid w:val="005E42B5"/>
    <w:rsid w:val="005E52C7"/>
    <w:rsid w:val="005F0721"/>
    <w:rsid w:val="005F0753"/>
    <w:rsid w:val="005F0C8C"/>
    <w:rsid w:val="005F1E78"/>
    <w:rsid w:val="005F33BE"/>
    <w:rsid w:val="005F3436"/>
    <w:rsid w:val="005F3801"/>
    <w:rsid w:val="005F46F2"/>
    <w:rsid w:val="005F4861"/>
    <w:rsid w:val="005F517E"/>
    <w:rsid w:val="005F5C9A"/>
    <w:rsid w:val="005F5F42"/>
    <w:rsid w:val="005F7094"/>
    <w:rsid w:val="00600C36"/>
    <w:rsid w:val="00601065"/>
    <w:rsid w:val="0060170A"/>
    <w:rsid w:val="0060214F"/>
    <w:rsid w:val="00603433"/>
    <w:rsid w:val="0060350C"/>
    <w:rsid w:val="00604E2D"/>
    <w:rsid w:val="00605C9F"/>
    <w:rsid w:val="00606531"/>
    <w:rsid w:val="00607DFD"/>
    <w:rsid w:val="00610ABF"/>
    <w:rsid w:val="00610D6F"/>
    <w:rsid w:val="00612184"/>
    <w:rsid w:val="006146EC"/>
    <w:rsid w:val="00616373"/>
    <w:rsid w:val="006170CF"/>
    <w:rsid w:val="0061773B"/>
    <w:rsid w:val="00621435"/>
    <w:rsid w:val="00621D0B"/>
    <w:rsid w:val="006227AD"/>
    <w:rsid w:val="00625759"/>
    <w:rsid w:val="00625933"/>
    <w:rsid w:val="00625D0A"/>
    <w:rsid w:val="00626BED"/>
    <w:rsid w:val="00626F05"/>
    <w:rsid w:val="0062719F"/>
    <w:rsid w:val="00627258"/>
    <w:rsid w:val="00627F08"/>
    <w:rsid w:val="00627F5C"/>
    <w:rsid w:val="0063016E"/>
    <w:rsid w:val="00631ADE"/>
    <w:rsid w:val="00632008"/>
    <w:rsid w:val="006323A9"/>
    <w:rsid w:val="00634429"/>
    <w:rsid w:val="0063442A"/>
    <w:rsid w:val="0063537F"/>
    <w:rsid w:val="00636177"/>
    <w:rsid w:val="00637FCC"/>
    <w:rsid w:val="00640417"/>
    <w:rsid w:val="00644986"/>
    <w:rsid w:val="006452C9"/>
    <w:rsid w:val="00645B3C"/>
    <w:rsid w:val="006471B7"/>
    <w:rsid w:val="006500FA"/>
    <w:rsid w:val="00650ADB"/>
    <w:rsid w:val="00651531"/>
    <w:rsid w:val="00651A6F"/>
    <w:rsid w:val="00651D10"/>
    <w:rsid w:val="00653E85"/>
    <w:rsid w:val="006541F4"/>
    <w:rsid w:val="00656317"/>
    <w:rsid w:val="0065653B"/>
    <w:rsid w:val="006565A2"/>
    <w:rsid w:val="00657146"/>
    <w:rsid w:val="00657721"/>
    <w:rsid w:val="00661A8A"/>
    <w:rsid w:val="006630B1"/>
    <w:rsid w:val="00664554"/>
    <w:rsid w:val="00667498"/>
    <w:rsid w:val="0066785D"/>
    <w:rsid w:val="00670A27"/>
    <w:rsid w:val="00670F06"/>
    <w:rsid w:val="006710D7"/>
    <w:rsid w:val="00671370"/>
    <w:rsid w:val="0067150B"/>
    <w:rsid w:val="00671BDA"/>
    <w:rsid w:val="00671FEC"/>
    <w:rsid w:val="00672282"/>
    <w:rsid w:val="00672ECB"/>
    <w:rsid w:val="006747DE"/>
    <w:rsid w:val="00675A4C"/>
    <w:rsid w:val="0067716C"/>
    <w:rsid w:val="006771AA"/>
    <w:rsid w:val="006774C8"/>
    <w:rsid w:val="0067766C"/>
    <w:rsid w:val="0068125F"/>
    <w:rsid w:val="0068165D"/>
    <w:rsid w:val="006819B8"/>
    <w:rsid w:val="00681B50"/>
    <w:rsid w:val="00683D54"/>
    <w:rsid w:val="00684353"/>
    <w:rsid w:val="00684A5E"/>
    <w:rsid w:val="00685559"/>
    <w:rsid w:val="00685794"/>
    <w:rsid w:val="00686D71"/>
    <w:rsid w:val="00687A2E"/>
    <w:rsid w:val="00690899"/>
    <w:rsid w:val="00690CC9"/>
    <w:rsid w:val="00690D31"/>
    <w:rsid w:val="00691364"/>
    <w:rsid w:val="00691DF0"/>
    <w:rsid w:val="006926FC"/>
    <w:rsid w:val="0069461A"/>
    <w:rsid w:val="00694A98"/>
    <w:rsid w:val="00695DE0"/>
    <w:rsid w:val="00696021"/>
    <w:rsid w:val="00697E71"/>
    <w:rsid w:val="006A061C"/>
    <w:rsid w:val="006A1046"/>
    <w:rsid w:val="006A1E4E"/>
    <w:rsid w:val="006A229E"/>
    <w:rsid w:val="006A301D"/>
    <w:rsid w:val="006A3AA2"/>
    <w:rsid w:val="006A3ED6"/>
    <w:rsid w:val="006A4C91"/>
    <w:rsid w:val="006A54F3"/>
    <w:rsid w:val="006A5D7E"/>
    <w:rsid w:val="006A5ED5"/>
    <w:rsid w:val="006A5F4A"/>
    <w:rsid w:val="006A61DE"/>
    <w:rsid w:val="006A67BA"/>
    <w:rsid w:val="006A7B7A"/>
    <w:rsid w:val="006B0A3A"/>
    <w:rsid w:val="006B1070"/>
    <w:rsid w:val="006B2395"/>
    <w:rsid w:val="006B30A3"/>
    <w:rsid w:val="006B3B3C"/>
    <w:rsid w:val="006B42E1"/>
    <w:rsid w:val="006B4E50"/>
    <w:rsid w:val="006B5719"/>
    <w:rsid w:val="006B65A0"/>
    <w:rsid w:val="006B7C91"/>
    <w:rsid w:val="006C00DF"/>
    <w:rsid w:val="006C08E8"/>
    <w:rsid w:val="006C1FD9"/>
    <w:rsid w:val="006C22B2"/>
    <w:rsid w:val="006C2328"/>
    <w:rsid w:val="006C3D8B"/>
    <w:rsid w:val="006C4990"/>
    <w:rsid w:val="006C5814"/>
    <w:rsid w:val="006C5A67"/>
    <w:rsid w:val="006C5BFD"/>
    <w:rsid w:val="006D1822"/>
    <w:rsid w:val="006D2345"/>
    <w:rsid w:val="006D3B0F"/>
    <w:rsid w:val="006D3EA1"/>
    <w:rsid w:val="006D420E"/>
    <w:rsid w:val="006D42A5"/>
    <w:rsid w:val="006E1F3E"/>
    <w:rsid w:val="006E25EC"/>
    <w:rsid w:val="006E5A57"/>
    <w:rsid w:val="006E5F78"/>
    <w:rsid w:val="006E67BC"/>
    <w:rsid w:val="006E6DA9"/>
    <w:rsid w:val="006E6F22"/>
    <w:rsid w:val="006E7236"/>
    <w:rsid w:val="006F00E8"/>
    <w:rsid w:val="006F072E"/>
    <w:rsid w:val="006F1E2A"/>
    <w:rsid w:val="006F2D8C"/>
    <w:rsid w:val="006F32C5"/>
    <w:rsid w:val="006F4C12"/>
    <w:rsid w:val="006F5873"/>
    <w:rsid w:val="006F5CC4"/>
    <w:rsid w:val="006F5D8E"/>
    <w:rsid w:val="006F67C5"/>
    <w:rsid w:val="00700D17"/>
    <w:rsid w:val="00701C5C"/>
    <w:rsid w:val="00703FD4"/>
    <w:rsid w:val="00704CE9"/>
    <w:rsid w:val="00705171"/>
    <w:rsid w:val="007064B2"/>
    <w:rsid w:val="00706F4F"/>
    <w:rsid w:val="0070705B"/>
    <w:rsid w:val="00710CC3"/>
    <w:rsid w:val="007113C0"/>
    <w:rsid w:val="00711F4E"/>
    <w:rsid w:val="007122BC"/>
    <w:rsid w:val="007123F0"/>
    <w:rsid w:val="00712A46"/>
    <w:rsid w:val="00713133"/>
    <w:rsid w:val="00714982"/>
    <w:rsid w:val="00714D8C"/>
    <w:rsid w:val="00715065"/>
    <w:rsid w:val="00716DF5"/>
    <w:rsid w:val="00717D14"/>
    <w:rsid w:val="00717F15"/>
    <w:rsid w:val="007233FB"/>
    <w:rsid w:val="00723E6B"/>
    <w:rsid w:val="007243CA"/>
    <w:rsid w:val="0072504D"/>
    <w:rsid w:val="00726142"/>
    <w:rsid w:val="007267D1"/>
    <w:rsid w:val="00727506"/>
    <w:rsid w:val="00727560"/>
    <w:rsid w:val="00730B9D"/>
    <w:rsid w:val="007337C4"/>
    <w:rsid w:val="00733D61"/>
    <w:rsid w:val="00735856"/>
    <w:rsid w:val="00735DEB"/>
    <w:rsid w:val="00740399"/>
    <w:rsid w:val="007405C1"/>
    <w:rsid w:val="00740CB4"/>
    <w:rsid w:val="00741223"/>
    <w:rsid w:val="00741486"/>
    <w:rsid w:val="007420A8"/>
    <w:rsid w:val="007421F5"/>
    <w:rsid w:val="00742BE3"/>
    <w:rsid w:val="007450F3"/>
    <w:rsid w:val="0074604D"/>
    <w:rsid w:val="007467D8"/>
    <w:rsid w:val="00746B44"/>
    <w:rsid w:val="00750A88"/>
    <w:rsid w:val="00750D18"/>
    <w:rsid w:val="00751CF6"/>
    <w:rsid w:val="00751EC2"/>
    <w:rsid w:val="0075397D"/>
    <w:rsid w:val="00753D2A"/>
    <w:rsid w:val="00754726"/>
    <w:rsid w:val="00755453"/>
    <w:rsid w:val="00755B2C"/>
    <w:rsid w:val="00755B36"/>
    <w:rsid w:val="007560F4"/>
    <w:rsid w:val="00757031"/>
    <w:rsid w:val="007579D6"/>
    <w:rsid w:val="00757C2D"/>
    <w:rsid w:val="00757EA3"/>
    <w:rsid w:val="00757F64"/>
    <w:rsid w:val="007610AD"/>
    <w:rsid w:val="007613EB"/>
    <w:rsid w:val="007623BE"/>
    <w:rsid w:val="00763F84"/>
    <w:rsid w:val="00764481"/>
    <w:rsid w:val="00764BD5"/>
    <w:rsid w:val="00764E63"/>
    <w:rsid w:val="00765054"/>
    <w:rsid w:val="0076686F"/>
    <w:rsid w:val="00767E5A"/>
    <w:rsid w:val="007718D5"/>
    <w:rsid w:val="00771A3C"/>
    <w:rsid w:val="00772221"/>
    <w:rsid w:val="00772310"/>
    <w:rsid w:val="00774184"/>
    <w:rsid w:val="007743FE"/>
    <w:rsid w:val="00774424"/>
    <w:rsid w:val="0077512A"/>
    <w:rsid w:val="0077524F"/>
    <w:rsid w:val="0077534E"/>
    <w:rsid w:val="00775D3C"/>
    <w:rsid w:val="0077601C"/>
    <w:rsid w:val="0077671F"/>
    <w:rsid w:val="00776F27"/>
    <w:rsid w:val="00777F89"/>
    <w:rsid w:val="00781509"/>
    <w:rsid w:val="007816F9"/>
    <w:rsid w:val="00782063"/>
    <w:rsid w:val="00782391"/>
    <w:rsid w:val="007832F5"/>
    <w:rsid w:val="0078570E"/>
    <w:rsid w:val="00785BE4"/>
    <w:rsid w:val="007876E7"/>
    <w:rsid w:val="00790043"/>
    <w:rsid w:val="00790158"/>
    <w:rsid w:val="007901FE"/>
    <w:rsid w:val="00790BE3"/>
    <w:rsid w:val="007915FF"/>
    <w:rsid w:val="007918F4"/>
    <w:rsid w:val="00792726"/>
    <w:rsid w:val="00792F39"/>
    <w:rsid w:val="00793344"/>
    <w:rsid w:val="0079501A"/>
    <w:rsid w:val="00795397"/>
    <w:rsid w:val="007956F5"/>
    <w:rsid w:val="00796A0F"/>
    <w:rsid w:val="007979A9"/>
    <w:rsid w:val="007A04E0"/>
    <w:rsid w:val="007A08DD"/>
    <w:rsid w:val="007A1372"/>
    <w:rsid w:val="007A15D3"/>
    <w:rsid w:val="007A2F4E"/>
    <w:rsid w:val="007A3111"/>
    <w:rsid w:val="007A40B3"/>
    <w:rsid w:val="007A5E25"/>
    <w:rsid w:val="007A64AB"/>
    <w:rsid w:val="007A7173"/>
    <w:rsid w:val="007A722C"/>
    <w:rsid w:val="007A753E"/>
    <w:rsid w:val="007B0480"/>
    <w:rsid w:val="007B071C"/>
    <w:rsid w:val="007B0EA4"/>
    <w:rsid w:val="007B2487"/>
    <w:rsid w:val="007B46AD"/>
    <w:rsid w:val="007B5B80"/>
    <w:rsid w:val="007B6AE9"/>
    <w:rsid w:val="007B795E"/>
    <w:rsid w:val="007B7B5C"/>
    <w:rsid w:val="007C0613"/>
    <w:rsid w:val="007C1441"/>
    <w:rsid w:val="007C19E1"/>
    <w:rsid w:val="007C1DC1"/>
    <w:rsid w:val="007C1FCE"/>
    <w:rsid w:val="007C20FE"/>
    <w:rsid w:val="007C2F45"/>
    <w:rsid w:val="007C316D"/>
    <w:rsid w:val="007C4A0D"/>
    <w:rsid w:val="007C7FD1"/>
    <w:rsid w:val="007D14B1"/>
    <w:rsid w:val="007D192E"/>
    <w:rsid w:val="007D211F"/>
    <w:rsid w:val="007D2471"/>
    <w:rsid w:val="007D3F2E"/>
    <w:rsid w:val="007D5623"/>
    <w:rsid w:val="007D5D40"/>
    <w:rsid w:val="007D5D9B"/>
    <w:rsid w:val="007D6670"/>
    <w:rsid w:val="007E050D"/>
    <w:rsid w:val="007E07C9"/>
    <w:rsid w:val="007E0DA4"/>
    <w:rsid w:val="007E1577"/>
    <w:rsid w:val="007E171B"/>
    <w:rsid w:val="007E2541"/>
    <w:rsid w:val="007E3710"/>
    <w:rsid w:val="007E444F"/>
    <w:rsid w:val="007E4757"/>
    <w:rsid w:val="007F00D8"/>
    <w:rsid w:val="007F1DEE"/>
    <w:rsid w:val="007F245D"/>
    <w:rsid w:val="007F3510"/>
    <w:rsid w:val="007F3D5F"/>
    <w:rsid w:val="007F4229"/>
    <w:rsid w:val="007F5E46"/>
    <w:rsid w:val="007F6B49"/>
    <w:rsid w:val="007F76B8"/>
    <w:rsid w:val="008006E8"/>
    <w:rsid w:val="0080100F"/>
    <w:rsid w:val="0080334D"/>
    <w:rsid w:val="00804E42"/>
    <w:rsid w:val="008054A9"/>
    <w:rsid w:val="0080655D"/>
    <w:rsid w:val="008106D1"/>
    <w:rsid w:val="00810F42"/>
    <w:rsid w:val="0081107C"/>
    <w:rsid w:val="008114A0"/>
    <w:rsid w:val="00812F1A"/>
    <w:rsid w:val="00813104"/>
    <w:rsid w:val="00813D5C"/>
    <w:rsid w:val="00814346"/>
    <w:rsid w:val="00815D61"/>
    <w:rsid w:val="00815EBD"/>
    <w:rsid w:val="00816DED"/>
    <w:rsid w:val="008213F5"/>
    <w:rsid w:val="00821C8D"/>
    <w:rsid w:val="00823049"/>
    <w:rsid w:val="008248D3"/>
    <w:rsid w:val="00825673"/>
    <w:rsid w:val="00825C15"/>
    <w:rsid w:val="00826212"/>
    <w:rsid w:val="00826286"/>
    <w:rsid w:val="00826B2F"/>
    <w:rsid w:val="00827469"/>
    <w:rsid w:val="00827B6E"/>
    <w:rsid w:val="008316E3"/>
    <w:rsid w:val="00831E6F"/>
    <w:rsid w:val="008321C7"/>
    <w:rsid w:val="00832690"/>
    <w:rsid w:val="0083271C"/>
    <w:rsid w:val="00832A30"/>
    <w:rsid w:val="0083333F"/>
    <w:rsid w:val="008335F6"/>
    <w:rsid w:val="0083364C"/>
    <w:rsid w:val="0083378C"/>
    <w:rsid w:val="00834D63"/>
    <w:rsid w:val="008377D3"/>
    <w:rsid w:val="00837BE2"/>
    <w:rsid w:val="00840617"/>
    <w:rsid w:val="008406D1"/>
    <w:rsid w:val="00840BB3"/>
    <w:rsid w:val="00841450"/>
    <w:rsid w:val="008443A3"/>
    <w:rsid w:val="00844556"/>
    <w:rsid w:val="00845B39"/>
    <w:rsid w:val="00845E09"/>
    <w:rsid w:val="00846F08"/>
    <w:rsid w:val="0084777B"/>
    <w:rsid w:val="00850020"/>
    <w:rsid w:val="00850D17"/>
    <w:rsid w:val="00851CE9"/>
    <w:rsid w:val="00852BB8"/>
    <w:rsid w:val="00853601"/>
    <w:rsid w:val="00853CA8"/>
    <w:rsid w:val="00854BCF"/>
    <w:rsid w:val="0085772B"/>
    <w:rsid w:val="00857D43"/>
    <w:rsid w:val="00862285"/>
    <w:rsid w:val="00862438"/>
    <w:rsid w:val="00862B99"/>
    <w:rsid w:val="00862C80"/>
    <w:rsid w:val="008631B7"/>
    <w:rsid w:val="0086358F"/>
    <w:rsid w:val="00863D5C"/>
    <w:rsid w:val="00864ED0"/>
    <w:rsid w:val="00865725"/>
    <w:rsid w:val="0086621D"/>
    <w:rsid w:val="008670ED"/>
    <w:rsid w:val="008676EA"/>
    <w:rsid w:val="00870B51"/>
    <w:rsid w:val="00871596"/>
    <w:rsid w:val="008718E4"/>
    <w:rsid w:val="00874D43"/>
    <w:rsid w:val="00875183"/>
    <w:rsid w:val="00875C8E"/>
    <w:rsid w:val="008774CD"/>
    <w:rsid w:val="00877DDB"/>
    <w:rsid w:val="008800D0"/>
    <w:rsid w:val="008813E2"/>
    <w:rsid w:val="00883024"/>
    <w:rsid w:val="0088528B"/>
    <w:rsid w:val="00885ADC"/>
    <w:rsid w:val="00886B12"/>
    <w:rsid w:val="00887E54"/>
    <w:rsid w:val="00891A3F"/>
    <w:rsid w:val="00891C55"/>
    <w:rsid w:val="00892563"/>
    <w:rsid w:val="008933D0"/>
    <w:rsid w:val="008933F3"/>
    <w:rsid w:val="00895149"/>
    <w:rsid w:val="00895514"/>
    <w:rsid w:val="008957F8"/>
    <w:rsid w:val="0089636E"/>
    <w:rsid w:val="00896A00"/>
    <w:rsid w:val="00897696"/>
    <w:rsid w:val="00897BFE"/>
    <w:rsid w:val="008A092D"/>
    <w:rsid w:val="008A0F7E"/>
    <w:rsid w:val="008A1E0A"/>
    <w:rsid w:val="008A2E42"/>
    <w:rsid w:val="008A364A"/>
    <w:rsid w:val="008A4351"/>
    <w:rsid w:val="008A46FE"/>
    <w:rsid w:val="008A5A86"/>
    <w:rsid w:val="008A5F27"/>
    <w:rsid w:val="008A653E"/>
    <w:rsid w:val="008A690F"/>
    <w:rsid w:val="008A70FF"/>
    <w:rsid w:val="008B0655"/>
    <w:rsid w:val="008B07D3"/>
    <w:rsid w:val="008B3079"/>
    <w:rsid w:val="008B430F"/>
    <w:rsid w:val="008B4B72"/>
    <w:rsid w:val="008B6037"/>
    <w:rsid w:val="008B7540"/>
    <w:rsid w:val="008C0047"/>
    <w:rsid w:val="008C1616"/>
    <w:rsid w:val="008C2D97"/>
    <w:rsid w:val="008C3760"/>
    <w:rsid w:val="008C433A"/>
    <w:rsid w:val="008C4499"/>
    <w:rsid w:val="008C54A9"/>
    <w:rsid w:val="008C7320"/>
    <w:rsid w:val="008C7536"/>
    <w:rsid w:val="008C787C"/>
    <w:rsid w:val="008D1D2B"/>
    <w:rsid w:val="008D1F27"/>
    <w:rsid w:val="008D230F"/>
    <w:rsid w:val="008D3664"/>
    <w:rsid w:val="008D36EE"/>
    <w:rsid w:val="008D4118"/>
    <w:rsid w:val="008D4517"/>
    <w:rsid w:val="008D4934"/>
    <w:rsid w:val="008D51F2"/>
    <w:rsid w:val="008D59F4"/>
    <w:rsid w:val="008D5C73"/>
    <w:rsid w:val="008D6084"/>
    <w:rsid w:val="008D6D51"/>
    <w:rsid w:val="008D7132"/>
    <w:rsid w:val="008E0327"/>
    <w:rsid w:val="008E094F"/>
    <w:rsid w:val="008E1DB5"/>
    <w:rsid w:val="008E263F"/>
    <w:rsid w:val="008E2664"/>
    <w:rsid w:val="008E2800"/>
    <w:rsid w:val="008E3500"/>
    <w:rsid w:val="008E38E7"/>
    <w:rsid w:val="008E517F"/>
    <w:rsid w:val="008E5F3A"/>
    <w:rsid w:val="008E6A63"/>
    <w:rsid w:val="008E6DC7"/>
    <w:rsid w:val="008E7094"/>
    <w:rsid w:val="008E7B91"/>
    <w:rsid w:val="008F1181"/>
    <w:rsid w:val="008F2077"/>
    <w:rsid w:val="008F293D"/>
    <w:rsid w:val="008F3F79"/>
    <w:rsid w:val="008F44F7"/>
    <w:rsid w:val="008F46A4"/>
    <w:rsid w:val="008F699B"/>
    <w:rsid w:val="008F6C13"/>
    <w:rsid w:val="008F780F"/>
    <w:rsid w:val="008F7973"/>
    <w:rsid w:val="008F7D07"/>
    <w:rsid w:val="009008BE"/>
    <w:rsid w:val="00901448"/>
    <w:rsid w:val="0090267A"/>
    <w:rsid w:val="00902D94"/>
    <w:rsid w:val="00903F86"/>
    <w:rsid w:val="009042A8"/>
    <w:rsid w:val="0090471E"/>
    <w:rsid w:val="0090775C"/>
    <w:rsid w:val="009106B2"/>
    <w:rsid w:val="0091248E"/>
    <w:rsid w:val="00912EFA"/>
    <w:rsid w:val="0091363A"/>
    <w:rsid w:val="00913F47"/>
    <w:rsid w:val="00914001"/>
    <w:rsid w:val="00914DCC"/>
    <w:rsid w:val="009154EF"/>
    <w:rsid w:val="00915576"/>
    <w:rsid w:val="00915BDF"/>
    <w:rsid w:val="009208C9"/>
    <w:rsid w:val="009212D1"/>
    <w:rsid w:val="00921337"/>
    <w:rsid w:val="009224E3"/>
    <w:rsid w:val="009237BF"/>
    <w:rsid w:val="00923FBE"/>
    <w:rsid w:val="0092434F"/>
    <w:rsid w:val="00924535"/>
    <w:rsid w:val="00924AE0"/>
    <w:rsid w:val="00924BBB"/>
    <w:rsid w:val="00924DA2"/>
    <w:rsid w:val="00925DB4"/>
    <w:rsid w:val="00925E59"/>
    <w:rsid w:val="00926E20"/>
    <w:rsid w:val="00927496"/>
    <w:rsid w:val="0093090C"/>
    <w:rsid w:val="00930B9E"/>
    <w:rsid w:val="00932BBE"/>
    <w:rsid w:val="00932D34"/>
    <w:rsid w:val="00933110"/>
    <w:rsid w:val="00934459"/>
    <w:rsid w:val="00935574"/>
    <w:rsid w:val="0093561C"/>
    <w:rsid w:val="00935747"/>
    <w:rsid w:val="00935AC9"/>
    <w:rsid w:val="00937250"/>
    <w:rsid w:val="00937502"/>
    <w:rsid w:val="0093788C"/>
    <w:rsid w:val="009415CC"/>
    <w:rsid w:val="00941E5F"/>
    <w:rsid w:val="00942754"/>
    <w:rsid w:val="00943946"/>
    <w:rsid w:val="00943B57"/>
    <w:rsid w:val="00943D0A"/>
    <w:rsid w:val="00945B27"/>
    <w:rsid w:val="009460EC"/>
    <w:rsid w:val="009466FB"/>
    <w:rsid w:val="00947C57"/>
    <w:rsid w:val="00951E8C"/>
    <w:rsid w:val="0095359C"/>
    <w:rsid w:val="00953E2B"/>
    <w:rsid w:val="009552C2"/>
    <w:rsid w:val="0095535E"/>
    <w:rsid w:val="00957076"/>
    <w:rsid w:val="00960B32"/>
    <w:rsid w:val="009616F3"/>
    <w:rsid w:val="00963348"/>
    <w:rsid w:val="00964A8A"/>
    <w:rsid w:val="00964D3A"/>
    <w:rsid w:val="00964FC8"/>
    <w:rsid w:val="00965759"/>
    <w:rsid w:val="009659A5"/>
    <w:rsid w:val="00965CEA"/>
    <w:rsid w:val="0096607D"/>
    <w:rsid w:val="0096623B"/>
    <w:rsid w:val="009664FE"/>
    <w:rsid w:val="0096665D"/>
    <w:rsid w:val="00966C04"/>
    <w:rsid w:val="00966D89"/>
    <w:rsid w:val="00967027"/>
    <w:rsid w:val="00970411"/>
    <w:rsid w:val="00970F4A"/>
    <w:rsid w:val="00970FE4"/>
    <w:rsid w:val="00971C35"/>
    <w:rsid w:val="00972E50"/>
    <w:rsid w:val="00972E83"/>
    <w:rsid w:val="00974C1F"/>
    <w:rsid w:val="00976262"/>
    <w:rsid w:val="0097669E"/>
    <w:rsid w:val="009818A0"/>
    <w:rsid w:val="00981D84"/>
    <w:rsid w:val="0098398E"/>
    <w:rsid w:val="00983D76"/>
    <w:rsid w:val="009855BA"/>
    <w:rsid w:val="009856CF"/>
    <w:rsid w:val="00986FBA"/>
    <w:rsid w:val="00990475"/>
    <w:rsid w:val="00990971"/>
    <w:rsid w:val="00990BB8"/>
    <w:rsid w:val="00993454"/>
    <w:rsid w:val="00993AA6"/>
    <w:rsid w:val="00993C75"/>
    <w:rsid w:val="0099441F"/>
    <w:rsid w:val="00994950"/>
    <w:rsid w:val="009957D2"/>
    <w:rsid w:val="00995B70"/>
    <w:rsid w:val="00996162"/>
    <w:rsid w:val="00996344"/>
    <w:rsid w:val="009963A0"/>
    <w:rsid w:val="00996A3A"/>
    <w:rsid w:val="0099732D"/>
    <w:rsid w:val="00997B44"/>
    <w:rsid w:val="00997FB0"/>
    <w:rsid w:val="009A0616"/>
    <w:rsid w:val="009A0AC8"/>
    <w:rsid w:val="009A0E55"/>
    <w:rsid w:val="009A1FFA"/>
    <w:rsid w:val="009A226B"/>
    <w:rsid w:val="009A455F"/>
    <w:rsid w:val="009A6020"/>
    <w:rsid w:val="009A6FD4"/>
    <w:rsid w:val="009A7FAC"/>
    <w:rsid w:val="009B0373"/>
    <w:rsid w:val="009B1178"/>
    <w:rsid w:val="009B1806"/>
    <w:rsid w:val="009B2255"/>
    <w:rsid w:val="009B35A1"/>
    <w:rsid w:val="009B3772"/>
    <w:rsid w:val="009B3CF1"/>
    <w:rsid w:val="009B4698"/>
    <w:rsid w:val="009B5359"/>
    <w:rsid w:val="009B5751"/>
    <w:rsid w:val="009B5B53"/>
    <w:rsid w:val="009B7D91"/>
    <w:rsid w:val="009C0849"/>
    <w:rsid w:val="009C12A6"/>
    <w:rsid w:val="009C1791"/>
    <w:rsid w:val="009C263A"/>
    <w:rsid w:val="009C2DF4"/>
    <w:rsid w:val="009C2EC1"/>
    <w:rsid w:val="009C3396"/>
    <w:rsid w:val="009C3CDE"/>
    <w:rsid w:val="009C4029"/>
    <w:rsid w:val="009C6F6E"/>
    <w:rsid w:val="009D0641"/>
    <w:rsid w:val="009D0771"/>
    <w:rsid w:val="009D291F"/>
    <w:rsid w:val="009D48AC"/>
    <w:rsid w:val="009D4A42"/>
    <w:rsid w:val="009D4CC6"/>
    <w:rsid w:val="009D5016"/>
    <w:rsid w:val="009D5429"/>
    <w:rsid w:val="009D5959"/>
    <w:rsid w:val="009D5E6A"/>
    <w:rsid w:val="009D6187"/>
    <w:rsid w:val="009D626F"/>
    <w:rsid w:val="009D68EC"/>
    <w:rsid w:val="009D77F6"/>
    <w:rsid w:val="009E0587"/>
    <w:rsid w:val="009E09A7"/>
    <w:rsid w:val="009E1674"/>
    <w:rsid w:val="009E39FA"/>
    <w:rsid w:val="009E4519"/>
    <w:rsid w:val="009E4F94"/>
    <w:rsid w:val="009E58D6"/>
    <w:rsid w:val="009E5DC8"/>
    <w:rsid w:val="009E5DCD"/>
    <w:rsid w:val="009F08D3"/>
    <w:rsid w:val="009F0D7C"/>
    <w:rsid w:val="009F113A"/>
    <w:rsid w:val="009F1337"/>
    <w:rsid w:val="009F1B78"/>
    <w:rsid w:val="009F3405"/>
    <w:rsid w:val="009F4023"/>
    <w:rsid w:val="009F45CC"/>
    <w:rsid w:val="009F5217"/>
    <w:rsid w:val="009F67B6"/>
    <w:rsid w:val="009F6B2E"/>
    <w:rsid w:val="009F7A63"/>
    <w:rsid w:val="009F7C9E"/>
    <w:rsid w:val="00A00921"/>
    <w:rsid w:val="00A009EB"/>
    <w:rsid w:val="00A012C2"/>
    <w:rsid w:val="00A016BD"/>
    <w:rsid w:val="00A0220D"/>
    <w:rsid w:val="00A033B9"/>
    <w:rsid w:val="00A0364D"/>
    <w:rsid w:val="00A03818"/>
    <w:rsid w:val="00A03968"/>
    <w:rsid w:val="00A04712"/>
    <w:rsid w:val="00A04CC6"/>
    <w:rsid w:val="00A06037"/>
    <w:rsid w:val="00A0671C"/>
    <w:rsid w:val="00A069DA"/>
    <w:rsid w:val="00A0705C"/>
    <w:rsid w:val="00A07374"/>
    <w:rsid w:val="00A07460"/>
    <w:rsid w:val="00A11676"/>
    <w:rsid w:val="00A116E6"/>
    <w:rsid w:val="00A12ECE"/>
    <w:rsid w:val="00A13148"/>
    <w:rsid w:val="00A1333F"/>
    <w:rsid w:val="00A13E92"/>
    <w:rsid w:val="00A16D05"/>
    <w:rsid w:val="00A17983"/>
    <w:rsid w:val="00A2147F"/>
    <w:rsid w:val="00A2243C"/>
    <w:rsid w:val="00A23EAC"/>
    <w:rsid w:val="00A2441B"/>
    <w:rsid w:val="00A25391"/>
    <w:rsid w:val="00A25399"/>
    <w:rsid w:val="00A265CF"/>
    <w:rsid w:val="00A267AA"/>
    <w:rsid w:val="00A26DA4"/>
    <w:rsid w:val="00A2720A"/>
    <w:rsid w:val="00A27A99"/>
    <w:rsid w:val="00A27FA4"/>
    <w:rsid w:val="00A30243"/>
    <w:rsid w:val="00A340E8"/>
    <w:rsid w:val="00A35A51"/>
    <w:rsid w:val="00A362D6"/>
    <w:rsid w:val="00A37862"/>
    <w:rsid w:val="00A40BD2"/>
    <w:rsid w:val="00A42E33"/>
    <w:rsid w:val="00A42FD9"/>
    <w:rsid w:val="00A43841"/>
    <w:rsid w:val="00A443BC"/>
    <w:rsid w:val="00A44C78"/>
    <w:rsid w:val="00A457E1"/>
    <w:rsid w:val="00A45C2A"/>
    <w:rsid w:val="00A45D4C"/>
    <w:rsid w:val="00A47DEE"/>
    <w:rsid w:val="00A50A31"/>
    <w:rsid w:val="00A51C4E"/>
    <w:rsid w:val="00A53523"/>
    <w:rsid w:val="00A54764"/>
    <w:rsid w:val="00A54765"/>
    <w:rsid w:val="00A54FA3"/>
    <w:rsid w:val="00A55004"/>
    <w:rsid w:val="00A56229"/>
    <w:rsid w:val="00A57A67"/>
    <w:rsid w:val="00A57AF4"/>
    <w:rsid w:val="00A60B44"/>
    <w:rsid w:val="00A60DB9"/>
    <w:rsid w:val="00A60F06"/>
    <w:rsid w:val="00A62146"/>
    <w:rsid w:val="00A62303"/>
    <w:rsid w:val="00A62AA9"/>
    <w:rsid w:val="00A62ED3"/>
    <w:rsid w:val="00A64B9F"/>
    <w:rsid w:val="00A65B2A"/>
    <w:rsid w:val="00A660DF"/>
    <w:rsid w:val="00A67F4B"/>
    <w:rsid w:val="00A70334"/>
    <w:rsid w:val="00A703C0"/>
    <w:rsid w:val="00A71599"/>
    <w:rsid w:val="00A71964"/>
    <w:rsid w:val="00A72566"/>
    <w:rsid w:val="00A7288B"/>
    <w:rsid w:val="00A72F73"/>
    <w:rsid w:val="00A73B9F"/>
    <w:rsid w:val="00A75BE0"/>
    <w:rsid w:val="00A75C5E"/>
    <w:rsid w:val="00A76C31"/>
    <w:rsid w:val="00A76C9B"/>
    <w:rsid w:val="00A81B99"/>
    <w:rsid w:val="00A830BB"/>
    <w:rsid w:val="00A83748"/>
    <w:rsid w:val="00A84074"/>
    <w:rsid w:val="00A84911"/>
    <w:rsid w:val="00A86BF9"/>
    <w:rsid w:val="00A9002E"/>
    <w:rsid w:val="00A902AE"/>
    <w:rsid w:val="00A911AC"/>
    <w:rsid w:val="00A914E6"/>
    <w:rsid w:val="00A91C1F"/>
    <w:rsid w:val="00A91C30"/>
    <w:rsid w:val="00A925BE"/>
    <w:rsid w:val="00A9441D"/>
    <w:rsid w:val="00A94810"/>
    <w:rsid w:val="00A94F47"/>
    <w:rsid w:val="00A94F70"/>
    <w:rsid w:val="00A95620"/>
    <w:rsid w:val="00A96AA6"/>
    <w:rsid w:val="00A9765F"/>
    <w:rsid w:val="00A97ABB"/>
    <w:rsid w:val="00AA1041"/>
    <w:rsid w:val="00AA1D5F"/>
    <w:rsid w:val="00AA1DC5"/>
    <w:rsid w:val="00AA2064"/>
    <w:rsid w:val="00AA275F"/>
    <w:rsid w:val="00AA30A6"/>
    <w:rsid w:val="00AA4D62"/>
    <w:rsid w:val="00AA5428"/>
    <w:rsid w:val="00AA78E9"/>
    <w:rsid w:val="00AA7F3B"/>
    <w:rsid w:val="00AB0C88"/>
    <w:rsid w:val="00AB1427"/>
    <w:rsid w:val="00AB1CF5"/>
    <w:rsid w:val="00AB2910"/>
    <w:rsid w:val="00AB33C5"/>
    <w:rsid w:val="00AB558B"/>
    <w:rsid w:val="00AB55D3"/>
    <w:rsid w:val="00AB58E2"/>
    <w:rsid w:val="00AB698F"/>
    <w:rsid w:val="00AB7736"/>
    <w:rsid w:val="00AC03B7"/>
    <w:rsid w:val="00AC0940"/>
    <w:rsid w:val="00AC1C9E"/>
    <w:rsid w:val="00AC22FC"/>
    <w:rsid w:val="00AC3622"/>
    <w:rsid w:val="00AC4F5B"/>
    <w:rsid w:val="00AC6678"/>
    <w:rsid w:val="00AC6E01"/>
    <w:rsid w:val="00AC6F92"/>
    <w:rsid w:val="00AC7303"/>
    <w:rsid w:val="00AC7E3D"/>
    <w:rsid w:val="00AD1496"/>
    <w:rsid w:val="00AD260A"/>
    <w:rsid w:val="00AD4481"/>
    <w:rsid w:val="00AD5794"/>
    <w:rsid w:val="00AD5A72"/>
    <w:rsid w:val="00AD5EB5"/>
    <w:rsid w:val="00AD66F6"/>
    <w:rsid w:val="00AD670E"/>
    <w:rsid w:val="00AD7473"/>
    <w:rsid w:val="00AD74BE"/>
    <w:rsid w:val="00AD7E5D"/>
    <w:rsid w:val="00AD7E64"/>
    <w:rsid w:val="00AE0362"/>
    <w:rsid w:val="00AE09A8"/>
    <w:rsid w:val="00AE146B"/>
    <w:rsid w:val="00AE1D0B"/>
    <w:rsid w:val="00AE1DE1"/>
    <w:rsid w:val="00AE1EDD"/>
    <w:rsid w:val="00AE203C"/>
    <w:rsid w:val="00AE20D7"/>
    <w:rsid w:val="00AE2EB5"/>
    <w:rsid w:val="00AE3303"/>
    <w:rsid w:val="00AE3826"/>
    <w:rsid w:val="00AE401A"/>
    <w:rsid w:val="00AE473A"/>
    <w:rsid w:val="00AE63E7"/>
    <w:rsid w:val="00AE70A6"/>
    <w:rsid w:val="00AE7675"/>
    <w:rsid w:val="00AE7924"/>
    <w:rsid w:val="00AE7A2B"/>
    <w:rsid w:val="00AF06C0"/>
    <w:rsid w:val="00AF180E"/>
    <w:rsid w:val="00AF2E8C"/>
    <w:rsid w:val="00AF3D2E"/>
    <w:rsid w:val="00AF46AA"/>
    <w:rsid w:val="00AF4EAD"/>
    <w:rsid w:val="00AF4FEE"/>
    <w:rsid w:val="00AF5693"/>
    <w:rsid w:val="00AF5D41"/>
    <w:rsid w:val="00AF6589"/>
    <w:rsid w:val="00AF704E"/>
    <w:rsid w:val="00AF729D"/>
    <w:rsid w:val="00B005D6"/>
    <w:rsid w:val="00B00EAB"/>
    <w:rsid w:val="00B016EB"/>
    <w:rsid w:val="00B02437"/>
    <w:rsid w:val="00B027BA"/>
    <w:rsid w:val="00B03763"/>
    <w:rsid w:val="00B04C42"/>
    <w:rsid w:val="00B05A00"/>
    <w:rsid w:val="00B105FC"/>
    <w:rsid w:val="00B118BA"/>
    <w:rsid w:val="00B120AA"/>
    <w:rsid w:val="00B12192"/>
    <w:rsid w:val="00B13EF9"/>
    <w:rsid w:val="00B15015"/>
    <w:rsid w:val="00B151B7"/>
    <w:rsid w:val="00B1523E"/>
    <w:rsid w:val="00B15569"/>
    <w:rsid w:val="00B15CE6"/>
    <w:rsid w:val="00B163EF"/>
    <w:rsid w:val="00B17335"/>
    <w:rsid w:val="00B17797"/>
    <w:rsid w:val="00B204A4"/>
    <w:rsid w:val="00B2218E"/>
    <w:rsid w:val="00B239B0"/>
    <w:rsid w:val="00B24AB8"/>
    <w:rsid w:val="00B2540B"/>
    <w:rsid w:val="00B264AF"/>
    <w:rsid w:val="00B26677"/>
    <w:rsid w:val="00B26EA2"/>
    <w:rsid w:val="00B274AC"/>
    <w:rsid w:val="00B27829"/>
    <w:rsid w:val="00B30A02"/>
    <w:rsid w:val="00B30F4E"/>
    <w:rsid w:val="00B31591"/>
    <w:rsid w:val="00B31B9E"/>
    <w:rsid w:val="00B329E0"/>
    <w:rsid w:val="00B3430F"/>
    <w:rsid w:val="00B3586F"/>
    <w:rsid w:val="00B36343"/>
    <w:rsid w:val="00B373FD"/>
    <w:rsid w:val="00B425A8"/>
    <w:rsid w:val="00B43C18"/>
    <w:rsid w:val="00B45344"/>
    <w:rsid w:val="00B45935"/>
    <w:rsid w:val="00B465D2"/>
    <w:rsid w:val="00B466FF"/>
    <w:rsid w:val="00B47B24"/>
    <w:rsid w:val="00B5070D"/>
    <w:rsid w:val="00B50D24"/>
    <w:rsid w:val="00B50EC5"/>
    <w:rsid w:val="00B52EA3"/>
    <w:rsid w:val="00B53666"/>
    <w:rsid w:val="00B54CD2"/>
    <w:rsid w:val="00B60801"/>
    <w:rsid w:val="00B60C45"/>
    <w:rsid w:val="00B610E6"/>
    <w:rsid w:val="00B621B2"/>
    <w:rsid w:val="00B630FE"/>
    <w:rsid w:val="00B64429"/>
    <w:rsid w:val="00B649D9"/>
    <w:rsid w:val="00B64E74"/>
    <w:rsid w:val="00B66741"/>
    <w:rsid w:val="00B71399"/>
    <w:rsid w:val="00B71E4E"/>
    <w:rsid w:val="00B7215B"/>
    <w:rsid w:val="00B7365E"/>
    <w:rsid w:val="00B73AA4"/>
    <w:rsid w:val="00B73ABF"/>
    <w:rsid w:val="00B73B59"/>
    <w:rsid w:val="00B73FBA"/>
    <w:rsid w:val="00B74022"/>
    <w:rsid w:val="00B74B1A"/>
    <w:rsid w:val="00B752B8"/>
    <w:rsid w:val="00B754B1"/>
    <w:rsid w:val="00B76AD0"/>
    <w:rsid w:val="00B76B37"/>
    <w:rsid w:val="00B80BE2"/>
    <w:rsid w:val="00B80F0C"/>
    <w:rsid w:val="00B81216"/>
    <w:rsid w:val="00B816F2"/>
    <w:rsid w:val="00B856AB"/>
    <w:rsid w:val="00B863AB"/>
    <w:rsid w:val="00B87104"/>
    <w:rsid w:val="00B87371"/>
    <w:rsid w:val="00B87F43"/>
    <w:rsid w:val="00B90ED4"/>
    <w:rsid w:val="00B91DC5"/>
    <w:rsid w:val="00B92835"/>
    <w:rsid w:val="00B92971"/>
    <w:rsid w:val="00B9375A"/>
    <w:rsid w:val="00B94D27"/>
    <w:rsid w:val="00B95046"/>
    <w:rsid w:val="00B9532A"/>
    <w:rsid w:val="00B953E4"/>
    <w:rsid w:val="00B96711"/>
    <w:rsid w:val="00B97F05"/>
    <w:rsid w:val="00BA1511"/>
    <w:rsid w:val="00BA3097"/>
    <w:rsid w:val="00BA3592"/>
    <w:rsid w:val="00BA3B0A"/>
    <w:rsid w:val="00BA5F51"/>
    <w:rsid w:val="00BA7F97"/>
    <w:rsid w:val="00BB092F"/>
    <w:rsid w:val="00BB1A79"/>
    <w:rsid w:val="00BB20F1"/>
    <w:rsid w:val="00BB2B19"/>
    <w:rsid w:val="00BB2E8E"/>
    <w:rsid w:val="00BB41E3"/>
    <w:rsid w:val="00BB41F5"/>
    <w:rsid w:val="00BB47B7"/>
    <w:rsid w:val="00BB4C01"/>
    <w:rsid w:val="00BB6E86"/>
    <w:rsid w:val="00BB730E"/>
    <w:rsid w:val="00BB7CB4"/>
    <w:rsid w:val="00BC04B8"/>
    <w:rsid w:val="00BC0BEB"/>
    <w:rsid w:val="00BC16F8"/>
    <w:rsid w:val="00BC3A2B"/>
    <w:rsid w:val="00BC3B4F"/>
    <w:rsid w:val="00BC52AC"/>
    <w:rsid w:val="00BC5657"/>
    <w:rsid w:val="00BC720D"/>
    <w:rsid w:val="00BC7408"/>
    <w:rsid w:val="00BC77B0"/>
    <w:rsid w:val="00BC7B9D"/>
    <w:rsid w:val="00BC7DB5"/>
    <w:rsid w:val="00BD08CB"/>
    <w:rsid w:val="00BD0F65"/>
    <w:rsid w:val="00BD1AC8"/>
    <w:rsid w:val="00BD1ED9"/>
    <w:rsid w:val="00BD262F"/>
    <w:rsid w:val="00BD38FC"/>
    <w:rsid w:val="00BD3A07"/>
    <w:rsid w:val="00BD4604"/>
    <w:rsid w:val="00BD5643"/>
    <w:rsid w:val="00BD5F90"/>
    <w:rsid w:val="00BE18A5"/>
    <w:rsid w:val="00BE18C4"/>
    <w:rsid w:val="00BE3087"/>
    <w:rsid w:val="00BE3595"/>
    <w:rsid w:val="00BE3AC5"/>
    <w:rsid w:val="00BE3C45"/>
    <w:rsid w:val="00BE3D29"/>
    <w:rsid w:val="00BE3EE0"/>
    <w:rsid w:val="00BE4324"/>
    <w:rsid w:val="00BE675F"/>
    <w:rsid w:val="00BE7761"/>
    <w:rsid w:val="00BE7942"/>
    <w:rsid w:val="00BE7F3B"/>
    <w:rsid w:val="00BF0482"/>
    <w:rsid w:val="00BF06A9"/>
    <w:rsid w:val="00BF0F7F"/>
    <w:rsid w:val="00BF2112"/>
    <w:rsid w:val="00BF47E1"/>
    <w:rsid w:val="00BF4D7B"/>
    <w:rsid w:val="00BF69D5"/>
    <w:rsid w:val="00C01F49"/>
    <w:rsid w:val="00C01FE1"/>
    <w:rsid w:val="00C02143"/>
    <w:rsid w:val="00C027A7"/>
    <w:rsid w:val="00C03D57"/>
    <w:rsid w:val="00C05E75"/>
    <w:rsid w:val="00C06B86"/>
    <w:rsid w:val="00C06D6B"/>
    <w:rsid w:val="00C07276"/>
    <w:rsid w:val="00C10D02"/>
    <w:rsid w:val="00C1144A"/>
    <w:rsid w:val="00C115D9"/>
    <w:rsid w:val="00C11C31"/>
    <w:rsid w:val="00C1496A"/>
    <w:rsid w:val="00C15116"/>
    <w:rsid w:val="00C16AFB"/>
    <w:rsid w:val="00C1712D"/>
    <w:rsid w:val="00C17171"/>
    <w:rsid w:val="00C1718F"/>
    <w:rsid w:val="00C2030A"/>
    <w:rsid w:val="00C21B2B"/>
    <w:rsid w:val="00C221F8"/>
    <w:rsid w:val="00C22EB5"/>
    <w:rsid w:val="00C23FAD"/>
    <w:rsid w:val="00C24258"/>
    <w:rsid w:val="00C26909"/>
    <w:rsid w:val="00C2750F"/>
    <w:rsid w:val="00C27812"/>
    <w:rsid w:val="00C27D09"/>
    <w:rsid w:val="00C30DC0"/>
    <w:rsid w:val="00C30EA2"/>
    <w:rsid w:val="00C31BF1"/>
    <w:rsid w:val="00C32F72"/>
    <w:rsid w:val="00C332C1"/>
    <w:rsid w:val="00C34F84"/>
    <w:rsid w:val="00C35BB1"/>
    <w:rsid w:val="00C37896"/>
    <w:rsid w:val="00C378BF"/>
    <w:rsid w:val="00C40866"/>
    <w:rsid w:val="00C41054"/>
    <w:rsid w:val="00C41ACF"/>
    <w:rsid w:val="00C41E36"/>
    <w:rsid w:val="00C422A2"/>
    <w:rsid w:val="00C42357"/>
    <w:rsid w:val="00C427C5"/>
    <w:rsid w:val="00C43692"/>
    <w:rsid w:val="00C43D2E"/>
    <w:rsid w:val="00C458B1"/>
    <w:rsid w:val="00C46311"/>
    <w:rsid w:val="00C473F9"/>
    <w:rsid w:val="00C50524"/>
    <w:rsid w:val="00C508CB"/>
    <w:rsid w:val="00C50955"/>
    <w:rsid w:val="00C51882"/>
    <w:rsid w:val="00C51F1D"/>
    <w:rsid w:val="00C5286B"/>
    <w:rsid w:val="00C53803"/>
    <w:rsid w:val="00C53A2A"/>
    <w:rsid w:val="00C53B0F"/>
    <w:rsid w:val="00C542E6"/>
    <w:rsid w:val="00C54753"/>
    <w:rsid w:val="00C55E2B"/>
    <w:rsid w:val="00C567B4"/>
    <w:rsid w:val="00C56A0B"/>
    <w:rsid w:val="00C56C73"/>
    <w:rsid w:val="00C56F0C"/>
    <w:rsid w:val="00C5795B"/>
    <w:rsid w:val="00C62EF1"/>
    <w:rsid w:val="00C6309E"/>
    <w:rsid w:val="00C63EF0"/>
    <w:rsid w:val="00C6432F"/>
    <w:rsid w:val="00C65E11"/>
    <w:rsid w:val="00C65E3B"/>
    <w:rsid w:val="00C67DB3"/>
    <w:rsid w:val="00C729A0"/>
    <w:rsid w:val="00C73A71"/>
    <w:rsid w:val="00C74C21"/>
    <w:rsid w:val="00C75B02"/>
    <w:rsid w:val="00C75E9F"/>
    <w:rsid w:val="00C764AC"/>
    <w:rsid w:val="00C77760"/>
    <w:rsid w:val="00C803D1"/>
    <w:rsid w:val="00C8126B"/>
    <w:rsid w:val="00C82410"/>
    <w:rsid w:val="00C83969"/>
    <w:rsid w:val="00C83E62"/>
    <w:rsid w:val="00C8456B"/>
    <w:rsid w:val="00C851CE"/>
    <w:rsid w:val="00C85B52"/>
    <w:rsid w:val="00C85F32"/>
    <w:rsid w:val="00C87125"/>
    <w:rsid w:val="00C90280"/>
    <w:rsid w:val="00C904E3"/>
    <w:rsid w:val="00C919DF"/>
    <w:rsid w:val="00C91FF3"/>
    <w:rsid w:val="00C925A4"/>
    <w:rsid w:val="00C944D0"/>
    <w:rsid w:val="00C951B4"/>
    <w:rsid w:val="00C9555D"/>
    <w:rsid w:val="00C956C2"/>
    <w:rsid w:val="00C96A77"/>
    <w:rsid w:val="00C9779A"/>
    <w:rsid w:val="00C97EEB"/>
    <w:rsid w:val="00CA060A"/>
    <w:rsid w:val="00CA078B"/>
    <w:rsid w:val="00CA0910"/>
    <w:rsid w:val="00CA0B95"/>
    <w:rsid w:val="00CA1498"/>
    <w:rsid w:val="00CA20DB"/>
    <w:rsid w:val="00CA318A"/>
    <w:rsid w:val="00CA3305"/>
    <w:rsid w:val="00CA34E7"/>
    <w:rsid w:val="00CA3C73"/>
    <w:rsid w:val="00CA437D"/>
    <w:rsid w:val="00CA4C73"/>
    <w:rsid w:val="00CA4DBB"/>
    <w:rsid w:val="00CA57B1"/>
    <w:rsid w:val="00CA62E5"/>
    <w:rsid w:val="00CA7519"/>
    <w:rsid w:val="00CA775F"/>
    <w:rsid w:val="00CB0323"/>
    <w:rsid w:val="00CB0974"/>
    <w:rsid w:val="00CB0AA8"/>
    <w:rsid w:val="00CB1D23"/>
    <w:rsid w:val="00CB34FF"/>
    <w:rsid w:val="00CB38F4"/>
    <w:rsid w:val="00CB555D"/>
    <w:rsid w:val="00CB625F"/>
    <w:rsid w:val="00CB7992"/>
    <w:rsid w:val="00CB7C74"/>
    <w:rsid w:val="00CB7DFC"/>
    <w:rsid w:val="00CC146E"/>
    <w:rsid w:val="00CC233F"/>
    <w:rsid w:val="00CC27F8"/>
    <w:rsid w:val="00CC4185"/>
    <w:rsid w:val="00CC42AD"/>
    <w:rsid w:val="00CC45F0"/>
    <w:rsid w:val="00CC4C3A"/>
    <w:rsid w:val="00CC4F0D"/>
    <w:rsid w:val="00CC4F66"/>
    <w:rsid w:val="00CC5FE8"/>
    <w:rsid w:val="00CC6A05"/>
    <w:rsid w:val="00CC7A75"/>
    <w:rsid w:val="00CD125F"/>
    <w:rsid w:val="00CD128D"/>
    <w:rsid w:val="00CD1E2D"/>
    <w:rsid w:val="00CD2645"/>
    <w:rsid w:val="00CD33DC"/>
    <w:rsid w:val="00CD39F6"/>
    <w:rsid w:val="00CD3EF9"/>
    <w:rsid w:val="00CD56CA"/>
    <w:rsid w:val="00CD6A6D"/>
    <w:rsid w:val="00CD6E4D"/>
    <w:rsid w:val="00CD6F6F"/>
    <w:rsid w:val="00CD71F9"/>
    <w:rsid w:val="00CD79B4"/>
    <w:rsid w:val="00CE1572"/>
    <w:rsid w:val="00CE25E7"/>
    <w:rsid w:val="00CE42B6"/>
    <w:rsid w:val="00CE4E4C"/>
    <w:rsid w:val="00CE5A5C"/>
    <w:rsid w:val="00CF07E5"/>
    <w:rsid w:val="00CF0E02"/>
    <w:rsid w:val="00CF1134"/>
    <w:rsid w:val="00CF139B"/>
    <w:rsid w:val="00CF21F1"/>
    <w:rsid w:val="00CF264D"/>
    <w:rsid w:val="00CF3615"/>
    <w:rsid w:val="00CF5857"/>
    <w:rsid w:val="00CF5CA5"/>
    <w:rsid w:val="00CF604A"/>
    <w:rsid w:val="00CF6590"/>
    <w:rsid w:val="00CF6628"/>
    <w:rsid w:val="00CF6D74"/>
    <w:rsid w:val="00D0140B"/>
    <w:rsid w:val="00D01F91"/>
    <w:rsid w:val="00D0255F"/>
    <w:rsid w:val="00D03C6B"/>
    <w:rsid w:val="00D03FA1"/>
    <w:rsid w:val="00D066D8"/>
    <w:rsid w:val="00D066DC"/>
    <w:rsid w:val="00D07657"/>
    <w:rsid w:val="00D102F2"/>
    <w:rsid w:val="00D1375A"/>
    <w:rsid w:val="00D152A6"/>
    <w:rsid w:val="00D152F8"/>
    <w:rsid w:val="00D16563"/>
    <w:rsid w:val="00D1658B"/>
    <w:rsid w:val="00D17526"/>
    <w:rsid w:val="00D178A0"/>
    <w:rsid w:val="00D2091C"/>
    <w:rsid w:val="00D20941"/>
    <w:rsid w:val="00D209F6"/>
    <w:rsid w:val="00D21044"/>
    <w:rsid w:val="00D22C4F"/>
    <w:rsid w:val="00D23943"/>
    <w:rsid w:val="00D23E12"/>
    <w:rsid w:val="00D23FFF"/>
    <w:rsid w:val="00D24177"/>
    <w:rsid w:val="00D2436A"/>
    <w:rsid w:val="00D24935"/>
    <w:rsid w:val="00D24DC1"/>
    <w:rsid w:val="00D25E85"/>
    <w:rsid w:val="00D26309"/>
    <w:rsid w:val="00D27157"/>
    <w:rsid w:val="00D27C74"/>
    <w:rsid w:val="00D30BE7"/>
    <w:rsid w:val="00D3219D"/>
    <w:rsid w:val="00D32259"/>
    <w:rsid w:val="00D32417"/>
    <w:rsid w:val="00D32CC0"/>
    <w:rsid w:val="00D33570"/>
    <w:rsid w:val="00D33797"/>
    <w:rsid w:val="00D33B00"/>
    <w:rsid w:val="00D34B6E"/>
    <w:rsid w:val="00D34FDC"/>
    <w:rsid w:val="00D35037"/>
    <w:rsid w:val="00D3560F"/>
    <w:rsid w:val="00D35C23"/>
    <w:rsid w:val="00D421E8"/>
    <w:rsid w:val="00D42315"/>
    <w:rsid w:val="00D42F2A"/>
    <w:rsid w:val="00D438B4"/>
    <w:rsid w:val="00D4586C"/>
    <w:rsid w:val="00D52491"/>
    <w:rsid w:val="00D52762"/>
    <w:rsid w:val="00D52869"/>
    <w:rsid w:val="00D52AA1"/>
    <w:rsid w:val="00D52DB2"/>
    <w:rsid w:val="00D5451A"/>
    <w:rsid w:val="00D5455C"/>
    <w:rsid w:val="00D54F84"/>
    <w:rsid w:val="00D55838"/>
    <w:rsid w:val="00D55992"/>
    <w:rsid w:val="00D570B9"/>
    <w:rsid w:val="00D5716E"/>
    <w:rsid w:val="00D573A5"/>
    <w:rsid w:val="00D5794D"/>
    <w:rsid w:val="00D609B0"/>
    <w:rsid w:val="00D60C6F"/>
    <w:rsid w:val="00D60D6E"/>
    <w:rsid w:val="00D61E1F"/>
    <w:rsid w:val="00D62442"/>
    <w:rsid w:val="00D629C6"/>
    <w:rsid w:val="00D6330C"/>
    <w:rsid w:val="00D63350"/>
    <w:rsid w:val="00D64535"/>
    <w:rsid w:val="00D64A2C"/>
    <w:rsid w:val="00D64BC7"/>
    <w:rsid w:val="00D655D5"/>
    <w:rsid w:val="00D66633"/>
    <w:rsid w:val="00D66BCA"/>
    <w:rsid w:val="00D675B0"/>
    <w:rsid w:val="00D71AC0"/>
    <w:rsid w:val="00D724BA"/>
    <w:rsid w:val="00D72CE4"/>
    <w:rsid w:val="00D73148"/>
    <w:rsid w:val="00D73D9A"/>
    <w:rsid w:val="00D74B20"/>
    <w:rsid w:val="00D74F79"/>
    <w:rsid w:val="00D75AC3"/>
    <w:rsid w:val="00D75E64"/>
    <w:rsid w:val="00D769DA"/>
    <w:rsid w:val="00D7741D"/>
    <w:rsid w:val="00D777A7"/>
    <w:rsid w:val="00D81F24"/>
    <w:rsid w:val="00D84D4B"/>
    <w:rsid w:val="00D865C2"/>
    <w:rsid w:val="00D86930"/>
    <w:rsid w:val="00D87A63"/>
    <w:rsid w:val="00D87AD4"/>
    <w:rsid w:val="00D90098"/>
    <w:rsid w:val="00D92349"/>
    <w:rsid w:val="00D92617"/>
    <w:rsid w:val="00D92E16"/>
    <w:rsid w:val="00D93B39"/>
    <w:rsid w:val="00D9407D"/>
    <w:rsid w:val="00D94150"/>
    <w:rsid w:val="00D949B7"/>
    <w:rsid w:val="00D951BB"/>
    <w:rsid w:val="00D95CEA"/>
    <w:rsid w:val="00D9632A"/>
    <w:rsid w:val="00D9646E"/>
    <w:rsid w:val="00D9677A"/>
    <w:rsid w:val="00D97597"/>
    <w:rsid w:val="00D97D94"/>
    <w:rsid w:val="00DA0CDA"/>
    <w:rsid w:val="00DA17B5"/>
    <w:rsid w:val="00DA1C86"/>
    <w:rsid w:val="00DA1FF2"/>
    <w:rsid w:val="00DA3291"/>
    <w:rsid w:val="00DA3E4C"/>
    <w:rsid w:val="00DA45BA"/>
    <w:rsid w:val="00DA5347"/>
    <w:rsid w:val="00DA5A4A"/>
    <w:rsid w:val="00DA6DE2"/>
    <w:rsid w:val="00DB0372"/>
    <w:rsid w:val="00DB0409"/>
    <w:rsid w:val="00DB14F8"/>
    <w:rsid w:val="00DB16E7"/>
    <w:rsid w:val="00DB17B7"/>
    <w:rsid w:val="00DB1D4A"/>
    <w:rsid w:val="00DB22CD"/>
    <w:rsid w:val="00DB2AC4"/>
    <w:rsid w:val="00DB2BD5"/>
    <w:rsid w:val="00DB314E"/>
    <w:rsid w:val="00DB3B0A"/>
    <w:rsid w:val="00DB4CCE"/>
    <w:rsid w:val="00DB53EF"/>
    <w:rsid w:val="00DB599D"/>
    <w:rsid w:val="00DB5B86"/>
    <w:rsid w:val="00DB5C63"/>
    <w:rsid w:val="00DB5C92"/>
    <w:rsid w:val="00DB6069"/>
    <w:rsid w:val="00DB6732"/>
    <w:rsid w:val="00DB6DEC"/>
    <w:rsid w:val="00DB7A97"/>
    <w:rsid w:val="00DB7B37"/>
    <w:rsid w:val="00DC048B"/>
    <w:rsid w:val="00DC1EBC"/>
    <w:rsid w:val="00DC384D"/>
    <w:rsid w:val="00DC44DD"/>
    <w:rsid w:val="00DC4F26"/>
    <w:rsid w:val="00DC5833"/>
    <w:rsid w:val="00DC5C2F"/>
    <w:rsid w:val="00DC5CA2"/>
    <w:rsid w:val="00DC749E"/>
    <w:rsid w:val="00DC7558"/>
    <w:rsid w:val="00DC7877"/>
    <w:rsid w:val="00DD0D90"/>
    <w:rsid w:val="00DD16EC"/>
    <w:rsid w:val="00DD24BE"/>
    <w:rsid w:val="00DD272B"/>
    <w:rsid w:val="00DD2F68"/>
    <w:rsid w:val="00DD4FBB"/>
    <w:rsid w:val="00DD5DFC"/>
    <w:rsid w:val="00DD6D08"/>
    <w:rsid w:val="00DD72E2"/>
    <w:rsid w:val="00DD77A4"/>
    <w:rsid w:val="00DD7A6C"/>
    <w:rsid w:val="00DE18FB"/>
    <w:rsid w:val="00DE31B2"/>
    <w:rsid w:val="00DE39EC"/>
    <w:rsid w:val="00DE4C17"/>
    <w:rsid w:val="00DE4CD0"/>
    <w:rsid w:val="00DE55B3"/>
    <w:rsid w:val="00DE6FEC"/>
    <w:rsid w:val="00DE7C77"/>
    <w:rsid w:val="00DF1B51"/>
    <w:rsid w:val="00DF35AA"/>
    <w:rsid w:val="00DF3EEC"/>
    <w:rsid w:val="00E02582"/>
    <w:rsid w:val="00E02599"/>
    <w:rsid w:val="00E036E7"/>
    <w:rsid w:val="00E03F6C"/>
    <w:rsid w:val="00E0443B"/>
    <w:rsid w:val="00E05B19"/>
    <w:rsid w:val="00E1087A"/>
    <w:rsid w:val="00E10A8A"/>
    <w:rsid w:val="00E118E4"/>
    <w:rsid w:val="00E12284"/>
    <w:rsid w:val="00E12B14"/>
    <w:rsid w:val="00E12F61"/>
    <w:rsid w:val="00E14D92"/>
    <w:rsid w:val="00E15B72"/>
    <w:rsid w:val="00E15D58"/>
    <w:rsid w:val="00E1614F"/>
    <w:rsid w:val="00E171CE"/>
    <w:rsid w:val="00E2013F"/>
    <w:rsid w:val="00E20FD3"/>
    <w:rsid w:val="00E21679"/>
    <w:rsid w:val="00E23093"/>
    <w:rsid w:val="00E23714"/>
    <w:rsid w:val="00E253F4"/>
    <w:rsid w:val="00E2548F"/>
    <w:rsid w:val="00E2591B"/>
    <w:rsid w:val="00E26EFF"/>
    <w:rsid w:val="00E272B4"/>
    <w:rsid w:val="00E304FB"/>
    <w:rsid w:val="00E3166F"/>
    <w:rsid w:val="00E31FEA"/>
    <w:rsid w:val="00E3204A"/>
    <w:rsid w:val="00E328F4"/>
    <w:rsid w:val="00E32D57"/>
    <w:rsid w:val="00E3366D"/>
    <w:rsid w:val="00E3414A"/>
    <w:rsid w:val="00E34277"/>
    <w:rsid w:val="00E342A4"/>
    <w:rsid w:val="00E35046"/>
    <w:rsid w:val="00E36784"/>
    <w:rsid w:val="00E36B0C"/>
    <w:rsid w:val="00E36C8A"/>
    <w:rsid w:val="00E41638"/>
    <w:rsid w:val="00E41B25"/>
    <w:rsid w:val="00E41BEB"/>
    <w:rsid w:val="00E41C11"/>
    <w:rsid w:val="00E42DC9"/>
    <w:rsid w:val="00E44298"/>
    <w:rsid w:val="00E445FD"/>
    <w:rsid w:val="00E469F2"/>
    <w:rsid w:val="00E502B3"/>
    <w:rsid w:val="00E54716"/>
    <w:rsid w:val="00E55EF5"/>
    <w:rsid w:val="00E64351"/>
    <w:rsid w:val="00E64428"/>
    <w:rsid w:val="00E668FD"/>
    <w:rsid w:val="00E67138"/>
    <w:rsid w:val="00E675A1"/>
    <w:rsid w:val="00E7042D"/>
    <w:rsid w:val="00E7097B"/>
    <w:rsid w:val="00E719A4"/>
    <w:rsid w:val="00E72204"/>
    <w:rsid w:val="00E723F2"/>
    <w:rsid w:val="00E724E4"/>
    <w:rsid w:val="00E734DD"/>
    <w:rsid w:val="00E73707"/>
    <w:rsid w:val="00E74507"/>
    <w:rsid w:val="00E74EF2"/>
    <w:rsid w:val="00E758B5"/>
    <w:rsid w:val="00E75B58"/>
    <w:rsid w:val="00E765C1"/>
    <w:rsid w:val="00E7688E"/>
    <w:rsid w:val="00E7730A"/>
    <w:rsid w:val="00E77504"/>
    <w:rsid w:val="00E77C3D"/>
    <w:rsid w:val="00E80039"/>
    <w:rsid w:val="00E80799"/>
    <w:rsid w:val="00E807A2"/>
    <w:rsid w:val="00E80A3E"/>
    <w:rsid w:val="00E81764"/>
    <w:rsid w:val="00E827CF"/>
    <w:rsid w:val="00E8305D"/>
    <w:rsid w:val="00E83E46"/>
    <w:rsid w:val="00E84BA1"/>
    <w:rsid w:val="00E854B2"/>
    <w:rsid w:val="00E85E30"/>
    <w:rsid w:val="00E860FD"/>
    <w:rsid w:val="00E87A8A"/>
    <w:rsid w:val="00E90794"/>
    <w:rsid w:val="00E90FBA"/>
    <w:rsid w:val="00E930C5"/>
    <w:rsid w:val="00E932BE"/>
    <w:rsid w:val="00E94008"/>
    <w:rsid w:val="00E9449F"/>
    <w:rsid w:val="00E957B3"/>
    <w:rsid w:val="00E95B6D"/>
    <w:rsid w:val="00E962C9"/>
    <w:rsid w:val="00E96AB7"/>
    <w:rsid w:val="00E97239"/>
    <w:rsid w:val="00E9759A"/>
    <w:rsid w:val="00EA06FB"/>
    <w:rsid w:val="00EA0D95"/>
    <w:rsid w:val="00EA1167"/>
    <w:rsid w:val="00EA241D"/>
    <w:rsid w:val="00EA2927"/>
    <w:rsid w:val="00EA3DC4"/>
    <w:rsid w:val="00EA4290"/>
    <w:rsid w:val="00EA43B3"/>
    <w:rsid w:val="00EA47EB"/>
    <w:rsid w:val="00EA47F3"/>
    <w:rsid w:val="00EA48A6"/>
    <w:rsid w:val="00EA48D4"/>
    <w:rsid w:val="00EA4C74"/>
    <w:rsid w:val="00EA4F00"/>
    <w:rsid w:val="00EA4F95"/>
    <w:rsid w:val="00EA62EE"/>
    <w:rsid w:val="00EA6545"/>
    <w:rsid w:val="00EA6CEB"/>
    <w:rsid w:val="00EB0BD4"/>
    <w:rsid w:val="00EB26AA"/>
    <w:rsid w:val="00EB320E"/>
    <w:rsid w:val="00EB3488"/>
    <w:rsid w:val="00EB4007"/>
    <w:rsid w:val="00EB4BC2"/>
    <w:rsid w:val="00EB4E69"/>
    <w:rsid w:val="00EB5BEA"/>
    <w:rsid w:val="00EB6010"/>
    <w:rsid w:val="00EB646E"/>
    <w:rsid w:val="00EB64AA"/>
    <w:rsid w:val="00EB7566"/>
    <w:rsid w:val="00EC1525"/>
    <w:rsid w:val="00EC1993"/>
    <w:rsid w:val="00EC36AF"/>
    <w:rsid w:val="00EC467F"/>
    <w:rsid w:val="00EC4FE8"/>
    <w:rsid w:val="00EC51D4"/>
    <w:rsid w:val="00EC545C"/>
    <w:rsid w:val="00EC54F8"/>
    <w:rsid w:val="00EC5780"/>
    <w:rsid w:val="00EC5BF9"/>
    <w:rsid w:val="00EC5E1E"/>
    <w:rsid w:val="00EC64E8"/>
    <w:rsid w:val="00EC697E"/>
    <w:rsid w:val="00ED1781"/>
    <w:rsid w:val="00ED2203"/>
    <w:rsid w:val="00ED2E3F"/>
    <w:rsid w:val="00ED340A"/>
    <w:rsid w:val="00ED3CA2"/>
    <w:rsid w:val="00ED3F47"/>
    <w:rsid w:val="00ED5C7F"/>
    <w:rsid w:val="00ED5FFD"/>
    <w:rsid w:val="00ED625C"/>
    <w:rsid w:val="00ED62F0"/>
    <w:rsid w:val="00ED6C25"/>
    <w:rsid w:val="00ED7BE8"/>
    <w:rsid w:val="00EE136A"/>
    <w:rsid w:val="00EE16AE"/>
    <w:rsid w:val="00EE1738"/>
    <w:rsid w:val="00EE24EE"/>
    <w:rsid w:val="00EE2F87"/>
    <w:rsid w:val="00EE3217"/>
    <w:rsid w:val="00EE35C9"/>
    <w:rsid w:val="00EE3A67"/>
    <w:rsid w:val="00EE48CE"/>
    <w:rsid w:val="00EE5559"/>
    <w:rsid w:val="00EE5C31"/>
    <w:rsid w:val="00EE6BE6"/>
    <w:rsid w:val="00EE6EEB"/>
    <w:rsid w:val="00EF0E8E"/>
    <w:rsid w:val="00EF1204"/>
    <w:rsid w:val="00EF12FC"/>
    <w:rsid w:val="00EF1686"/>
    <w:rsid w:val="00EF2579"/>
    <w:rsid w:val="00EF265C"/>
    <w:rsid w:val="00EF4965"/>
    <w:rsid w:val="00EF5485"/>
    <w:rsid w:val="00EF7181"/>
    <w:rsid w:val="00EF7298"/>
    <w:rsid w:val="00EF7422"/>
    <w:rsid w:val="00EF749D"/>
    <w:rsid w:val="00F00F29"/>
    <w:rsid w:val="00F0170C"/>
    <w:rsid w:val="00F017D7"/>
    <w:rsid w:val="00F02483"/>
    <w:rsid w:val="00F0269D"/>
    <w:rsid w:val="00F02907"/>
    <w:rsid w:val="00F02B8B"/>
    <w:rsid w:val="00F03927"/>
    <w:rsid w:val="00F05E28"/>
    <w:rsid w:val="00F06A77"/>
    <w:rsid w:val="00F115BF"/>
    <w:rsid w:val="00F12D9A"/>
    <w:rsid w:val="00F1301E"/>
    <w:rsid w:val="00F13A0D"/>
    <w:rsid w:val="00F13F31"/>
    <w:rsid w:val="00F2015A"/>
    <w:rsid w:val="00F20908"/>
    <w:rsid w:val="00F22DE7"/>
    <w:rsid w:val="00F2338C"/>
    <w:rsid w:val="00F24292"/>
    <w:rsid w:val="00F247CD"/>
    <w:rsid w:val="00F26AE5"/>
    <w:rsid w:val="00F26B08"/>
    <w:rsid w:val="00F27A22"/>
    <w:rsid w:val="00F27A7B"/>
    <w:rsid w:val="00F306DE"/>
    <w:rsid w:val="00F335D5"/>
    <w:rsid w:val="00F338E8"/>
    <w:rsid w:val="00F34479"/>
    <w:rsid w:val="00F347F9"/>
    <w:rsid w:val="00F351EA"/>
    <w:rsid w:val="00F364D1"/>
    <w:rsid w:val="00F372EE"/>
    <w:rsid w:val="00F37525"/>
    <w:rsid w:val="00F3775C"/>
    <w:rsid w:val="00F37B55"/>
    <w:rsid w:val="00F400D6"/>
    <w:rsid w:val="00F40F83"/>
    <w:rsid w:val="00F43199"/>
    <w:rsid w:val="00F438C3"/>
    <w:rsid w:val="00F43CBE"/>
    <w:rsid w:val="00F450BC"/>
    <w:rsid w:val="00F4531A"/>
    <w:rsid w:val="00F4614C"/>
    <w:rsid w:val="00F4634F"/>
    <w:rsid w:val="00F4690F"/>
    <w:rsid w:val="00F47031"/>
    <w:rsid w:val="00F5173E"/>
    <w:rsid w:val="00F53005"/>
    <w:rsid w:val="00F53D35"/>
    <w:rsid w:val="00F54175"/>
    <w:rsid w:val="00F5493A"/>
    <w:rsid w:val="00F55513"/>
    <w:rsid w:val="00F5562F"/>
    <w:rsid w:val="00F55D87"/>
    <w:rsid w:val="00F55E0F"/>
    <w:rsid w:val="00F5623A"/>
    <w:rsid w:val="00F56481"/>
    <w:rsid w:val="00F57327"/>
    <w:rsid w:val="00F6139D"/>
    <w:rsid w:val="00F61501"/>
    <w:rsid w:val="00F6218F"/>
    <w:rsid w:val="00F62DD7"/>
    <w:rsid w:val="00F64F1B"/>
    <w:rsid w:val="00F65626"/>
    <w:rsid w:val="00F6701C"/>
    <w:rsid w:val="00F671C3"/>
    <w:rsid w:val="00F70314"/>
    <w:rsid w:val="00F71053"/>
    <w:rsid w:val="00F713C8"/>
    <w:rsid w:val="00F72CB4"/>
    <w:rsid w:val="00F72E95"/>
    <w:rsid w:val="00F72F74"/>
    <w:rsid w:val="00F7372D"/>
    <w:rsid w:val="00F75E2F"/>
    <w:rsid w:val="00F763C1"/>
    <w:rsid w:val="00F766F1"/>
    <w:rsid w:val="00F7673C"/>
    <w:rsid w:val="00F76996"/>
    <w:rsid w:val="00F77101"/>
    <w:rsid w:val="00F77F8A"/>
    <w:rsid w:val="00F803AC"/>
    <w:rsid w:val="00F80673"/>
    <w:rsid w:val="00F8067E"/>
    <w:rsid w:val="00F80E23"/>
    <w:rsid w:val="00F81808"/>
    <w:rsid w:val="00F81ACF"/>
    <w:rsid w:val="00F8271E"/>
    <w:rsid w:val="00F82900"/>
    <w:rsid w:val="00F82FE1"/>
    <w:rsid w:val="00F85CC2"/>
    <w:rsid w:val="00F868AF"/>
    <w:rsid w:val="00F870ED"/>
    <w:rsid w:val="00F878B2"/>
    <w:rsid w:val="00F9062C"/>
    <w:rsid w:val="00F91000"/>
    <w:rsid w:val="00F937F6"/>
    <w:rsid w:val="00F94D79"/>
    <w:rsid w:val="00FA0F02"/>
    <w:rsid w:val="00FA1C5F"/>
    <w:rsid w:val="00FA1FAD"/>
    <w:rsid w:val="00FA2973"/>
    <w:rsid w:val="00FA332E"/>
    <w:rsid w:val="00FA4EBD"/>
    <w:rsid w:val="00FA53EE"/>
    <w:rsid w:val="00FA589D"/>
    <w:rsid w:val="00FA5FA3"/>
    <w:rsid w:val="00FA6C82"/>
    <w:rsid w:val="00FA73B1"/>
    <w:rsid w:val="00FA7BCD"/>
    <w:rsid w:val="00FB0BAF"/>
    <w:rsid w:val="00FB2444"/>
    <w:rsid w:val="00FB2550"/>
    <w:rsid w:val="00FB2D6A"/>
    <w:rsid w:val="00FB4B39"/>
    <w:rsid w:val="00FB4C21"/>
    <w:rsid w:val="00FB4CDD"/>
    <w:rsid w:val="00FB50CC"/>
    <w:rsid w:val="00FB60BA"/>
    <w:rsid w:val="00FC08AE"/>
    <w:rsid w:val="00FC1DEF"/>
    <w:rsid w:val="00FC2AFB"/>
    <w:rsid w:val="00FC2D02"/>
    <w:rsid w:val="00FC50AA"/>
    <w:rsid w:val="00FC52CD"/>
    <w:rsid w:val="00FC5B98"/>
    <w:rsid w:val="00FD0292"/>
    <w:rsid w:val="00FD10F1"/>
    <w:rsid w:val="00FD1860"/>
    <w:rsid w:val="00FD1B79"/>
    <w:rsid w:val="00FD24D0"/>
    <w:rsid w:val="00FD3591"/>
    <w:rsid w:val="00FD3892"/>
    <w:rsid w:val="00FD40A1"/>
    <w:rsid w:val="00FD4A00"/>
    <w:rsid w:val="00FD627C"/>
    <w:rsid w:val="00FD6B48"/>
    <w:rsid w:val="00FD6CF3"/>
    <w:rsid w:val="00FD75BB"/>
    <w:rsid w:val="00FE0A16"/>
    <w:rsid w:val="00FE16C9"/>
    <w:rsid w:val="00FE1955"/>
    <w:rsid w:val="00FE1B3A"/>
    <w:rsid w:val="00FE2473"/>
    <w:rsid w:val="00FE3C12"/>
    <w:rsid w:val="00FE4140"/>
    <w:rsid w:val="00FE51EA"/>
    <w:rsid w:val="00FE5D6B"/>
    <w:rsid w:val="00FE63FD"/>
    <w:rsid w:val="00FE6EB9"/>
    <w:rsid w:val="00FE7905"/>
    <w:rsid w:val="00FE7EB9"/>
    <w:rsid w:val="00FE7F64"/>
    <w:rsid w:val="00FF0674"/>
    <w:rsid w:val="00FF1024"/>
    <w:rsid w:val="00FF1AB0"/>
    <w:rsid w:val="00FF1D47"/>
    <w:rsid w:val="00FF41C1"/>
    <w:rsid w:val="00FF49F9"/>
    <w:rsid w:val="00FF5CD0"/>
    <w:rsid w:val="00FF626A"/>
    <w:rsid w:val="00FF7C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F2ED0"/>
  <w15:docId w15:val="{4A69A8F4-B93B-41F0-AE21-9EA3EE9B2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0C0AD4"/>
    <w:rPr>
      <w:color w:val="666666"/>
    </w:rPr>
  </w:style>
  <w:style w:type="paragraph" w:styleId="Revisie">
    <w:name w:val="Revision"/>
    <w:hidden/>
    <w:uiPriority w:val="99"/>
    <w:semiHidden/>
    <w:rsid w:val="000C0AD4"/>
    <w:rPr>
      <w:rFonts w:ascii="Univers" w:hAnsi="Univers"/>
      <w:sz w:val="22"/>
      <w:szCs w:val="24"/>
    </w:rPr>
  </w:style>
  <w:style w:type="paragraph" w:styleId="Voetnoottekst">
    <w:name w:val="footnote text"/>
    <w:basedOn w:val="Standaard"/>
    <w:link w:val="VoetnoottekstChar"/>
    <w:uiPriority w:val="99"/>
    <w:semiHidden/>
    <w:unhideWhenUsed/>
    <w:rsid w:val="0034435D"/>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34435D"/>
    <w:rPr>
      <w:rFonts w:ascii="Univers" w:hAnsi="Univers"/>
      <w:kern w:val="2"/>
      <w14:ligatures w14:val="standardContextual"/>
    </w:rPr>
  </w:style>
  <w:style w:type="character" w:styleId="Voetnootmarkering">
    <w:name w:val="footnote reference"/>
    <w:basedOn w:val="Standaardalinea-lettertype"/>
    <w:uiPriority w:val="99"/>
    <w:semiHidden/>
    <w:unhideWhenUsed/>
    <w:rsid w:val="0034435D"/>
    <w:rPr>
      <w:vertAlign w:val="superscript"/>
    </w:rPr>
  </w:style>
  <w:style w:type="character" w:styleId="Verwijzingopmerking">
    <w:name w:val="annotation reference"/>
    <w:basedOn w:val="Standaardalinea-lettertype"/>
    <w:uiPriority w:val="99"/>
    <w:semiHidden/>
    <w:unhideWhenUsed/>
    <w:rsid w:val="004C187B"/>
    <w:rPr>
      <w:sz w:val="16"/>
      <w:szCs w:val="16"/>
    </w:rPr>
  </w:style>
  <w:style w:type="paragraph" w:styleId="Tekstopmerking">
    <w:name w:val="annotation text"/>
    <w:basedOn w:val="Standaard"/>
    <w:link w:val="TekstopmerkingChar"/>
    <w:uiPriority w:val="99"/>
    <w:unhideWhenUsed/>
    <w:rsid w:val="004C187B"/>
    <w:rPr>
      <w:sz w:val="20"/>
      <w:szCs w:val="20"/>
    </w:rPr>
  </w:style>
  <w:style w:type="character" w:customStyle="1" w:styleId="TekstopmerkingChar">
    <w:name w:val="Tekst opmerking Char"/>
    <w:basedOn w:val="Standaardalinea-lettertype"/>
    <w:link w:val="Tekstopmerking"/>
    <w:uiPriority w:val="99"/>
    <w:rsid w:val="004C187B"/>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4C187B"/>
    <w:rPr>
      <w:b/>
      <w:bCs/>
    </w:rPr>
  </w:style>
  <w:style w:type="character" w:customStyle="1" w:styleId="OnderwerpvanopmerkingChar">
    <w:name w:val="Onderwerp van opmerking Char"/>
    <w:basedOn w:val="TekstopmerkingChar"/>
    <w:link w:val="Onderwerpvanopmerking"/>
    <w:uiPriority w:val="99"/>
    <w:semiHidden/>
    <w:rsid w:val="004C187B"/>
    <w:rPr>
      <w:rFonts w:ascii="Univers" w:hAnsi="Univers"/>
      <w:b/>
      <w:bCs/>
    </w:rPr>
  </w:style>
  <w:style w:type="character" w:styleId="Hyperlink">
    <w:name w:val="Hyperlink"/>
    <w:basedOn w:val="Standaardalinea-lettertype"/>
    <w:uiPriority w:val="99"/>
    <w:unhideWhenUsed/>
    <w:rsid w:val="00CD6F6F"/>
    <w:rPr>
      <w:color w:val="0000FF" w:themeColor="hyperlink"/>
      <w:u w:val="single"/>
    </w:rPr>
  </w:style>
  <w:style w:type="character" w:styleId="Onopgelostemelding">
    <w:name w:val="Unresolved Mention"/>
    <w:basedOn w:val="Standaardalinea-lettertype"/>
    <w:uiPriority w:val="99"/>
    <w:rsid w:val="00CD6F6F"/>
    <w:rPr>
      <w:color w:val="605E5C"/>
      <w:shd w:val="clear" w:color="auto" w:fill="E1DFDD"/>
    </w:rPr>
  </w:style>
  <w:style w:type="paragraph" w:styleId="Lijstalinea">
    <w:name w:val="List Paragraph"/>
    <w:basedOn w:val="Standaard"/>
    <w:uiPriority w:val="34"/>
    <w:qFormat/>
    <w:rsid w:val="007F3510"/>
    <w:pPr>
      <w:ind w:left="720"/>
      <w:contextualSpacing/>
    </w:pPr>
  </w:style>
  <w:style w:type="table" w:styleId="Tabelrasterlicht">
    <w:name w:val="Grid Table Light"/>
    <w:basedOn w:val="Standaardtabel"/>
    <w:uiPriority w:val="40"/>
    <w:rsid w:val="00C50955"/>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2.xml" Id="rId18" /><Relationship Type="http://schemas.openxmlformats.org/officeDocument/2006/relationships/fontTable" Target="fontTable.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1.xml" Id="rId17"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footnotes" Target="footnotes.xml" Id="rId11" /><Relationship Type="http://schemas.openxmlformats.org/officeDocument/2006/relationships/theme" Target="theme/theme1.xml" Id="rId23" /><Relationship Type="http://schemas.openxmlformats.org/officeDocument/2006/relationships/header" Target="header1.xml" Id="rId15" /><Relationship Type="http://schemas.openxmlformats.org/officeDocument/2006/relationships/webSettings" Target="webSettings.xml" Id="rId10" /><Relationship Type="http://schemas.openxmlformats.org/officeDocument/2006/relationships/header" Target="header3.xml" Id="rId19" /><Relationship Type="http://schemas.openxmlformats.org/officeDocument/2006/relationships/glossaryDocument" Target="glossary/document.xml" Id="rId22" /><Relationship Type="http://schemas.openxmlformats.org/officeDocument/2006/relationships/settings" Target="settings.xml" Id="rId9" /><Relationship Type="http://schemas.openxmlformats.org/officeDocument/2006/relationships/image" Target="media/image10.png"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E4C708BF-946E-469A-A79B-B44CFA7AC72B}"/>
      </w:docPartPr>
      <w:docPartBody>
        <w:p w:rsidR="00DC0722" w:rsidRDefault="00DC0722">
          <w:r w:rsidRPr="00AB382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722"/>
    <w:rsid w:val="00041326"/>
    <w:rsid w:val="001522D1"/>
    <w:rsid w:val="002B367E"/>
    <w:rsid w:val="002F08D2"/>
    <w:rsid w:val="00321EB7"/>
    <w:rsid w:val="00352FF5"/>
    <w:rsid w:val="003D1E00"/>
    <w:rsid w:val="003D4112"/>
    <w:rsid w:val="004A337F"/>
    <w:rsid w:val="004D0AAC"/>
    <w:rsid w:val="004D571C"/>
    <w:rsid w:val="004E6E9A"/>
    <w:rsid w:val="00504854"/>
    <w:rsid w:val="005857D9"/>
    <w:rsid w:val="005D5271"/>
    <w:rsid w:val="00637ECD"/>
    <w:rsid w:val="00647C1E"/>
    <w:rsid w:val="006D5E77"/>
    <w:rsid w:val="00712A46"/>
    <w:rsid w:val="00740399"/>
    <w:rsid w:val="0077534E"/>
    <w:rsid w:val="00810F42"/>
    <w:rsid w:val="008335F6"/>
    <w:rsid w:val="00865725"/>
    <w:rsid w:val="008917FE"/>
    <w:rsid w:val="008E1DB5"/>
    <w:rsid w:val="008F6B33"/>
    <w:rsid w:val="00903F86"/>
    <w:rsid w:val="00990BB8"/>
    <w:rsid w:val="0099441F"/>
    <w:rsid w:val="009E39FA"/>
    <w:rsid w:val="00A1372F"/>
    <w:rsid w:val="00A97ABB"/>
    <w:rsid w:val="00AF2E8C"/>
    <w:rsid w:val="00AF3D2E"/>
    <w:rsid w:val="00B15015"/>
    <w:rsid w:val="00B43C18"/>
    <w:rsid w:val="00B62432"/>
    <w:rsid w:val="00BA3097"/>
    <w:rsid w:val="00C53A2A"/>
    <w:rsid w:val="00C75E9F"/>
    <w:rsid w:val="00CA0B8B"/>
    <w:rsid w:val="00CA318A"/>
    <w:rsid w:val="00CB38F4"/>
    <w:rsid w:val="00D1096B"/>
    <w:rsid w:val="00D724BA"/>
    <w:rsid w:val="00D87A63"/>
    <w:rsid w:val="00DC0722"/>
    <w:rsid w:val="00DD2F68"/>
    <w:rsid w:val="00DE18FB"/>
    <w:rsid w:val="00DE4CD0"/>
    <w:rsid w:val="00E40B71"/>
    <w:rsid w:val="00E75B58"/>
    <w:rsid w:val="00EE6EEB"/>
    <w:rsid w:val="00EE74EA"/>
    <w:rsid w:val="00EF12FC"/>
    <w:rsid w:val="00F8067E"/>
    <w:rsid w:val="00FC2A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C072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4.xml><?xml version="1.0" encoding="utf-8"?>
<?mso-contentType ?>
<SharedContentType xmlns="Microsoft.SharePoint.Taxonomy.ContentTypeSync" SourceId="6d04e73b-e638-4815-b44d-087a6c9d2bfd" ContentTypeId="0x010100D3DA649AE4B0D248BD463BA7E77D2FA4" PreviousValue="false" LastSyncTimeStamp="2025-02-18T10:21:58.983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4.xml><?xml version="1.0" encoding="utf-8"?>
<ds:datastoreItem xmlns:ds="http://schemas.openxmlformats.org/officeDocument/2006/customXml" ds:itemID="{BEC2DBF9-7D42-446E-BE27-9986264EBA9B}">
  <ds:schemaRefs>
    <ds:schemaRef ds:uri="Microsoft.SharePoint.Taxonomy.ContentTypeSync"/>
  </ds:schemaRefs>
</ds:datastoreItem>
</file>

<file path=customXml/itemProps5.xml><?xml version="1.0" encoding="utf-8"?>
<ds:datastoreItem xmlns:ds="http://schemas.openxmlformats.org/officeDocument/2006/customXml" ds:itemID="{47DAEB8C-D18E-4186-93F2-CC360D849B95}">
  <ds:schemaRefs>
    <ds:schemaRef ds:uri="http://schemas.microsoft.com/sharepoint/events"/>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7</ap:Pages>
  <ap:Words>1969</ap:Words>
  <ap:Characters>10833</ap:Characters>
  <ap:DocSecurity>4</ap:DocSecurity>
  <ap:Lines>90</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12777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2026-02-05T12:22:00.0000000Z</lastPrinted>
  <dcterms:created xsi:type="dcterms:W3CDTF">2026-06-09T11:02:00.0000000Z</dcterms:created>
  <dcterms:modified xsi:type="dcterms:W3CDTF">2026-06-09T11:02:00.0000000Z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W18.25.00307/IV</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_dlc_DocIdItemGuid">
    <vt:lpwstr>2f059a22-a5e3-4cea-9729-8d3611d308c1</vt:lpwstr>
  </property>
  <property fmtid="{D5CDD505-2E9C-101B-9397-08002B2CF9AE}" pid="8" name="RedactioneleBijlage">
    <vt:lpwstr>Nee</vt:lpwstr>
  </property>
  <property fmtid="{D5CDD505-2E9C-101B-9397-08002B2CF9AE}" pid="9" name="rvsBestemming">
    <vt:lpwstr>1;#Corsa|a7721b99-8166-4953-a37e-7c8574fb4b8b</vt:lpwstr>
  </property>
  <property fmtid="{D5CDD505-2E9C-101B-9397-08002B2CF9AE}" pid="10" name="dictum">
    <vt:lpwstr>B</vt:lpwstr>
  </property>
  <property fmtid="{D5CDD505-2E9C-101B-9397-08002B2CF9AE}" pid="11" name="onderdeel">
    <vt:lpwstr>Advies</vt:lpwstr>
  </property>
  <property fmtid="{D5CDD505-2E9C-101B-9397-08002B2CF9AE}" pid="12" name="DocumentSetDescription">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Order">
    <vt:r8>3500</vt:r8>
  </property>
  <property fmtid="{D5CDD505-2E9C-101B-9397-08002B2CF9AE}" pid="20" name="processtap">
    <vt:lpwstr>Advies (ter ondertekening)</vt:lpwstr>
  </property>
  <property fmtid="{D5CDD505-2E9C-101B-9397-08002B2CF9AE}" pid="21" name="ClassificationContentMarkingFooterShapeIds">
    <vt:lpwstr>30f0e9ae,10b30812,22448825</vt:lpwstr>
  </property>
  <property fmtid="{D5CDD505-2E9C-101B-9397-08002B2CF9AE}" pid="22" name="ClassificationContentMarkingFooterFontProps">
    <vt:lpwstr>#000000,10,Aptos</vt:lpwstr>
  </property>
  <property fmtid="{D5CDD505-2E9C-101B-9397-08002B2CF9AE}" pid="23" name="ClassificationContentMarkingFooterText">
    <vt:lpwstr>Intern gebruik</vt:lpwstr>
  </property>
</Properties>
</file>