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4D6A" w:rsidR="00292DE9" w:rsidP="00292DE9" w:rsidRDefault="00292DE9" w14:paraId="169B74F9" w14:textId="591ABD67">
      <w:r w:rsidRPr="00292DE9">
        <w:t xml:space="preserve">Op 2 december 2024 </w:t>
      </w:r>
      <w:r w:rsidR="00082FE3">
        <w:t>heeft de toenmalige Staatssecretaris Rechtsbescherming</w:t>
      </w:r>
      <w:r w:rsidRPr="00292DE9" w:rsidR="00082FE3">
        <w:t xml:space="preserve"> </w:t>
      </w:r>
      <w:r w:rsidRPr="00292DE9">
        <w:t xml:space="preserve">het WODC onderzoek ‘Draagvlak voor de legitieme portie’, aangeboden aan </w:t>
      </w:r>
      <w:r>
        <w:t>uw Kamer</w:t>
      </w:r>
      <w:r w:rsidRPr="00292DE9">
        <w:t xml:space="preserve">. Daarbij </w:t>
      </w:r>
      <w:r w:rsidR="00082FE3">
        <w:t>heeft hij</w:t>
      </w:r>
      <w:r w:rsidRPr="00292DE9" w:rsidR="00082FE3">
        <w:t xml:space="preserve"> </w:t>
      </w:r>
      <w:r w:rsidRPr="00292DE9">
        <w:t>toegezegd om in de loop van 2025 met een inhoudelijke reactie op het rapport te komen</w:t>
      </w:r>
      <w:r>
        <w:t>.</w:t>
      </w:r>
      <w:r>
        <w:rPr>
          <w:rStyle w:val="Voetnootmarkering"/>
        </w:rPr>
        <w:footnoteReference w:id="1"/>
      </w:r>
      <w:r w:rsidRPr="00292DE9">
        <w:t xml:space="preserve"> Vanwege de demissionaire status van het</w:t>
      </w:r>
      <w:r w:rsidR="001F4D86">
        <w:t xml:space="preserve"> toenmalige</w:t>
      </w:r>
      <w:r w:rsidRPr="00292DE9">
        <w:t xml:space="preserve"> kabinet, heeft </w:t>
      </w:r>
      <w:r>
        <w:t>mijn</w:t>
      </w:r>
      <w:r w:rsidRPr="00292DE9">
        <w:t xml:space="preserve"> ambtsvoorganger </w:t>
      </w:r>
      <w:r>
        <w:t>bij</w:t>
      </w:r>
      <w:r w:rsidRPr="00292DE9">
        <w:t xml:space="preserve"> brief van 18 november 2025 volstaan met een uiteenzetting van de uitkomsten van het onderzoek. Het is aan een volgend kabinet overgelaten om een standpunt in te nemen over het al dan niet (in zijn huidige vorm) behouden van de legitieme portie.</w:t>
      </w:r>
      <w:r>
        <w:rPr>
          <w:rStyle w:val="Voetnootmarkering"/>
        </w:rPr>
        <w:footnoteReference w:id="2"/>
      </w:r>
      <w:r w:rsidRPr="00292DE9">
        <w:t xml:space="preserve"> </w:t>
      </w:r>
      <w:r>
        <w:t xml:space="preserve">Deze kabinetsreactie treft u aan in de voorliggende brief. </w:t>
      </w:r>
      <w:r w:rsidRPr="00144D6A">
        <w:t xml:space="preserve">Daarmee kom ik ook </w:t>
      </w:r>
      <w:r w:rsidRPr="00144D6A" w:rsidR="001F4D86">
        <w:t xml:space="preserve">tegemoet </w:t>
      </w:r>
      <w:r w:rsidRPr="00144D6A">
        <w:t xml:space="preserve">aan mijn toezegging </w:t>
      </w:r>
      <w:r w:rsidRPr="00144D6A" w:rsidR="00082FE3">
        <w:t xml:space="preserve">op dit punt </w:t>
      </w:r>
      <w:r w:rsidRPr="00144D6A">
        <w:t>tijdens het Commissiedebat civielrechtelijke onderwerpen op 22 april jl.</w:t>
      </w:r>
      <w:r w:rsidRPr="00144D6A">
        <w:rPr>
          <w:rStyle w:val="Voetnootmarkering"/>
        </w:rPr>
        <w:footnoteReference w:id="3"/>
      </w:r>
      <w:r w:rsidRPr="00144D6A">
        <w:t xml:space="preserve"> </w:t>
      </w:r>
    </w:p>
    <w:p w:rsidRPr="00144D6A" w:rsidR="00D311E1" w:rsidP="00292DE9" w:rsidRDefault="00D311E1" w14:paraId="72DC4C23" w14:textId="77777777"/>
    <w:p w:rsidRPr="00144D6A" w:rsidR="00D311E1" w:rsidP="00292DE9" w:rsidRDefault="00D311E1" w14:paraId="2DAAD499" w14:textId="5CD29DF8">
      <w:r w:rsidRPr="00144D6A">
        <w:rPr>
          <w:b/>
          <w:bCs/>
        </w:rPr>
        <w:t>Het onderzoek naar het draagvlak van de legitieme portie</w:t>
      </w:r>
    </w:p>
    <w:p w:rsidRPr="00144D6A" w:rsidR="00D311E1" w:rsidP="00292DE9" w:rsidRDefault="00D311E1" w14:paraId="6DD15EF0" w14:textId="77777777"/>
    <w:p w:rsidRPr="00144D6A" w:rsidR="00C31A38" w:rsidP="00292DE9" w:rsidRDefault="00941CFD" w14:paraId="24C74ECC" w14:textId="2C367148">
      <w:r w:rsidRPr="00144D6A">
        <w:t>De uitkomst van het onderzoek is – kort samengevat – dat de legitieme portie breed wordt gedragen door de Nederlandse bevolking: 40% is in alle gevallen voorstander van de legitieme portie, 19% is altijd tegen het bestaan van de legitieme portie en 40% is soms voor en soms tegen. Binnen die laatste groep bestaat grote verdeeldheid over de gevallen waarin de legitieme portie (on)wenselijk is. De onderzoekers</w:t>
      </w:r>
      <w:r w:rsidRPr="00144D6A" w:rsidR="00EC3DD4">
        <w:t xml:space="preserve"> leiden uit de enquête af dat men in Nederland waarde hecht aan de legitieme portie</w:t>
      </w:r>
      <w:r w:rsidRPr="00144D6A" w:rsidR="00964D88">
        <w:t xml:space="preserve"> en dat</w:t>
      </w:r>
      <w:r w:rsidRPr="00144D6A" w:rsidR="00EC3DD4">
        <w:t xml:space="preserve"> </w:t>
      </w:r>
      <w:r w:rsidRPr="00144D6A" w:rsidR="00964D88">
        <w:t>a</w:t>
      </w:r>
      <w:r w:rsidRPr="00144D6A">
        <w:t>lgehele afschaffing</w:t>
      </w:r>
      <w:r w:rsidRPr="00144D6A" w:rsidR="00964D88">
        <w:t xml:space="preserve"> </w:t>
      </w:r>
      <w:r w:rsidRPr="00144D6A">
        <w:t xml:space="preserve">door een overgrote meerderheid van 80% niet </w:t>
      </w:r>
      <w:r w:rsidRPr="00144D6A" w:rsidR="00964D88">
        <w:t xml:space="preserve">wordt </w:t>
      </w:r>
      <w:r w:rsidRPr="00144D6A">
        <w:t xml:space="preserve">gesteund. </w:t>
      </w:r>
    </w:p>
    <w:p w:rsidRPr="00144D6A" w:rsidR="00C31A38" w:rsidP="00292DE9" w:rsidRDefault="00C31A38" w14:paraId="1C3AA511" w14:textId="77777777"/>
    <w:p w:rsidRPr="00144D6A" w:rsidR="00941CFD" w:rsidP="00292DE9" w:rsidRDefault="00941CFD" w14:paraId="1BC096FC" w14:textId="539E6F76">
      <w:r w:rsidRPr="00144D6A">
        <w:t>Afschaffing van de legitieme portie is volgens de onderzoekers een principiële keuze: behouden of afschaffen.</w:t>
      </w:r>
      <w:r w:rsidRPr="00144D6A" w:rsidR="00C31A38">
        <w:t xml:space="preserve"> </w:t>
      </w:r>
      <w:r w:rsidRPr="00144D6A">
        <w:t>De onderzoekers sluiten hun rapport af met een aantal suggesties ter verbetering van de regeling van de legitieme portie</w:t>
      </w:r>
      <w:r w:rsidRPr="00144D6A" w:rsidR="00964D88">
        <w:rPr>
          <w:rStyle w:val="Voetnootmarkering"/>
        </w:rPr>
        <w:footnoteReference w:id="4"/>
      </w:r>
      <w:r w:rsidRPr="00144D6A">
        <w:t xml:space="preserve"> en voor vervolgonderzoek.</w:t>
      </w:r>
      <w:r w:rsidRPr="00144D6A" w:rsidR="00964D88">
        <w:rPr>
          <w:rStyle w:val="Voetnootmarkering"/>
        </w:rPr>
        <w:footnoteReference w:id="5"/>
      </w:r>
      <w:r w:rsidRPr="00144D6A">
        <w:t xml:space="preserve"> </w:t>
      </w:r>
    </w:p>
    <w:p w:rsidRPr="00144D6A" w:rsidR="00941CFD" w:rsidP="00292DE9" w:rsidRDefault="00941CFD" w14:paraId="40646603" w14:textId="77777777"/>
    <w:p w:rsidRPr="00144D6A" w:rsidR="00D311E1" w:rsidP="00292DE9" w:rsidRDefault="00941CFD" w14:paraId="51DEA154" w14:textId="59D72ACD">
      <w:bookmarkStart w:name="_Hlk228791838" w:id="0"/>
      <w:r w:rsidRPr="00144D6A">
        <w:t xml:space="preserve">Voor een uitgebreide weergave van de achtergrond van het onderzoek, de opzet, uitkomsten en suggesties die de onderzoekers doen, </w:t>
      </w:r>
      <w:r w:rsidRPr="00144D6A" w:rsidR="001F4D86">
        <w:t>verwijs ik u</w:t>
      </w:r>
      <w:r w:rsidRPr="00144D6A">
        <w:t xml:space="preserve"> naar de brief van 18 november 2025. </w:t>
      </w:r>
      <w:bookmarkEnd w:id="0"/>
    </w:p>
    <w:p w:rsidRPr="00144D6A" w:rsidR="00D311E1" w:rsidP="00292DE9" w:rsidRDefault="00D311E1" w14:paraId="57F669BE" w14:textId="77777777">
      <w:pPr>
        <w:rPr>
          <w:b/>
          <w:bCs/>
        </w:rPr>
      </w:pPr>
    </w:p>
    <w:p w:rsidRPr="00144D6A" w:rsidR="00D311E1" w:rsidP="00292DE9" w:rsidRDefault="00D311E1" w14:paraId="6E238D69" w14:textId="0FE895B9">
      <w:pPr>
        <w:rPr>
          <w:b/>
          <w:bCs/>
        </w:rPr>
      </w:pPr>
      <w:r w:rsidRPr="00144D6A">
        <w:rPr>
          <w:b/>
          <w:bCs/>
        </w:rPr>
        <w:t>Kabinetsreactie op het onderzoek</w:t>
      </w:r>
    </w:p>
    <w:p w:rsidRPr="00144D6A" w:rsidR="000005A8" w:rsidRDefault="000005A8" w14:paraId="3B49939D" w14:textId="77777777"/>
    <w:p w:rsidRPr="00144D6A" w:rsidR="00F7099F" w:rsidP="00C31A38" w:rsidRDefault="001F4D86" w14:paraId="0A4D39CA" w14:textId="7D085CCE">
      <w:r w:rsidRPr="00144D6A">
        <w:t>Ook ik</w:t>
      </w:r>
      <w:r w:rsidRPr="00144D6A" w:rsidR="00C31A38">
        <w:t xml:space="preserve"> wil de onderzoekers van de Rijksuniversiteit Groningen danken voor het uitgebreide onderzoek dat zij hebben gedaan. </w:t>
      </w:r>
      <w:r w:rsidRPr="00144D6A" w:rsidR="00F7099F">
        <w:t>De onderzoekers hebben een zeer breed onderzoek verricht naar het draagvlak voor de legitieme portie en de gevolgen van behoud dan wel afschaffing daarvan voor burgers en de samenleving als geheel. Met de uitgebreide enquête onder een representatief deel van de Nederlandse bevolking, een diepgaande rechtsvergelijking met landen met een vergelijkbare regeling van de legitieme portie, een studie naar sociologische aspecten en de interviews met verschillende ervaringsdeskundigen (juridische professionals, burgers en andere professionals) is het onderzoeksrapport rijk aan informatie. Het onderzoeksrapport biedt daar</w:t>
      </w:r>
      <w:r w:rsidRPr="00144D6A" w:rsidR="00443523">
        <w:t>door</w:t>
      </w:r>
      <w:r w:rsidRPr="00144D6A" w:rsidR="00F7099F">
        <w:t xml:space="preserve"> een waardevolle en richtinggevende bijdrage aan de discussies over dit fundamentele onderdeel van het Nederlandse erfrecht. </w:t>
      </w:r>
    </w:p>
    <w:p w:rsidRPr="00144D6A" w:rsidR="00F7099F" w:rsidP="00C31A38" w:rsidRDefault="00F7099F" w14:paraId="7D618ACB" w14:textId="77777777"/>
    <w:p w:rsidRPr="00144D6A" w:rsidR="00F7099F" w:rsidP="00C31A38" w:rsidRDefault="00F7099F" w14:paraId="57982648" w14:textId="63FBEEB0">
      <w:r w:rsidRPr="00144D6A">
        <w:t xml:space="preserve">Het onderzoek maakt duidelijk dat voor afschaffing van de legitieme portie het naar mijn oordeel noodzakelijke brede maatschappelijk draagvlak ontbreekt. Zo toont het onderzoek overtuigend aan dat het op zichzelf krachtige argument van de vrijheid om zelf te bepalen aan wie men bij overlijden zijn vermogen nalaat, door de samenleving in het algemeen onvoldoende zwaarwegend wordt bevonden voor afschaffing van de legitieme portie. </w:t>
      </w:r>
      <w:r w:rsidRPr="00144D6A" w:rsidR="00A31D9C">
        <w:t>Uit de resultaten van de enquête blijkt dat</w:t>
      </w:r>
      <w:r w:rsidRPr="00144D6A" w:rsidR="00625CFA">
        <w:t xml:space="preserve"> de Nederlandse bevolking belang hecht aan de afstammingsband tussen ouder en kind en </w:t>
      </w:r>
      <w:r w:rsidRPr="00144D6A" w:rsidR="00A31D9C">
        <w:t xml:space="preserve">dat </w:t>
      </w:r>
      <w:r w:rsidRPr="00144D6A" w:rsidR="00625CFA">
        <w:t xml:space="preserve">die voldoende grondslag </w:t>
      </w:r>
      <w:r w:rsidRPr="00144D6A" w:rsidR="00A31D9C">
        <w:t xml:space="preserve">is </w:t>
      </w:r>
      <w:r w:rsidRPr="00144D6A" w:rsidR="00625CFA">
        <w:t>om de legitieme portie</w:t>
      </w:r>
      <w:r w:rsidRPr="00144D6A">
        <w:t xml:space="preserve"> te rechtvaardigen. </w:t>
      </w:r>
      <w:r w:rsidRPr="00144D6A" w:rsidR="00A31D9C">
        <w:t>Die overtuiging wordt ook door mij gevoeld. Hoewel intergenerationele solidariteit en sociale cohesie niet meer vanzelfsprekend zijn, heeft dit volgens de onderzoekers niet geleid tot afnemende gevoelens van verbondenheid tussen families. Familienetwerken zijn wel complexer maar niet losser geworden, zo concluderen de onderzoekers.</w:t>
      </w:r>
      <w:r w:rsidRPr="00144D6A" w:rsidR="00D501FF">
        <w:t xml:space="preserve"> Het mogelijk bij sommigen bestaande beeld dat de legitieme portie niet meer van deze tijd zou zijn, </w:t>
      </w:r>
      <w:r w:rsidRPr="00144D6A" w:rsidR="00082FE3">
        <w:t>sluit niet aan bij de conclusies van het onderzoek</w:t>
      </w:r>
      <w:r w:rsidRPr="00144D6A" w:rsidR="00D501FF">
        <w:t>.</w:t>
      </w:r>
    </w:p>
    <w:p w:rsidRPr="00144D6A" w:rsidR="00F7099F" w:rsidP="00C31A38" w:rsidRDefault="00F7099F" w14:paraId="690EFA5A" w14:textId="77777777"/>
    <w:p w:rsidRPr="00144D6A" w:rsidR="00F7099F" w:rsidP="00C31A38" w:rsidRDefault="00F7099F" w14:paraId="26988D3D" w14:textId="2B1F2B26">
      <w:r w:rsidRPr="00144D6A">
        <w:t xml:space="preserve">Ik kom </w:t>
      </w:r>
      <w:r w:rsidRPr="00144D6A" w:rsidR="00082FE3">
        <w:t xml:space="preserve">mede </w:t>
      </w:r>
      <w:r w:rsidRPr="00144D6A">
        <w:t xml:space="preserve">op basis van de uitkomsten van het onderzoek tot de conclusie dat </w:t>
      </w:r>
      <w:r w:rsidRPr="00144D6A" w:rsidR="00082FE3">
        <w:t>er geen groot maatschappelijk draagvlak bestaat voor afschaffing</w:t>
      </w:r>
      <w:r w:rsidRPr="00144D6A">
        <w:t xml:space="preserve"> van de legitieme portie en dat de </w:t>
      </w:r>
      <w:r w:rsidRPr="00144D6A" w:rsidR="00082FE3">
        <w:t xml:space="preserve">bestaande </w:t>
      </w:r>
      <w:r w:rsidRPr="00144D6A">
        <w:t>regeling ook anderszins geen blijk geeft van grote praktische problemen.</w:t>
      </w:r>
      <w:r w:rsidRPr="00144D6A" w:rsidR="00082FE3">
        <w:t xml:space="preserve"> Dat in bepaalde juridische</w:t>
      </w:r>
      <w:r w:rsidRPr="00144D6A">
        <w:t xml:space="preserve"> </w:t>
      </w:r>
      <w:r w:rsidRPr="00144D6A" w:rsidR="00082FE3">
        <w:t xml:space="preserve">kringen mogelijk anders wordt aangekeken tegen de wenselijkheid van het behoud van de legitieme portie, doet hieraan niet af. </w:t>
      </w:r>
      <w:r w:rsidRPr="00144D6A">
        <w:t>Ik zie dan ook</w:t>
      </w:r>
      <w:r w:rsidRPr="00144D6A" w:rsidR="00BB7303">
        <w:t xml:space="preserve"> geen</w:t>
      </w:r>
      <w:r w:rsidRPr="00144D6A">
        <w:t xml:space="preserve"> </w:t>
      </w:r>
      <w:r w:rsidRPr="00144D6A" w:rsidR="00D501FF">
        <w:t>aanleiding</w:t>
      </w:r>
      <w:r w:rsidRPr="00144D6A" w:rsidR="00625CFA">
        <w:t xml:space="preserve"> </w:t>
      </w:r>
      <w:r w:rsidRPr="00144D6A" w:rsidR="00D501FF">
        <w:t xml:space="preserve">om over te gaan </w:t>
      </w:r>
      <w:r w:rsidRPr="00144D6A" w:rsidR="00625CFA">
        <w:t xml:space="preserve">tot afschaffing van de legitieme portie. </w:t>
      </w:r>
    </w:p>
    <w:p w:rsidRPr="00144D6A" w:rsidR="00A31D9C" w:rsidP="00C31A38" w:rsidRDefault="00A31D9C" w14:paraId="01AADA75" w14:textId="77777777"/>
    <w:p w:rsidRPr="00144D6A" w:rsidR="00D437A3" w:rsidP="00C31A38" w:rsidRDefault="00605A17" w14:paraId="2728BC99" w14:textId="1FCC9ECC">
      <w:r w:rsidRPr="00144D6A">
        <w:t xml:space="preserve">De verschillende suggesties die </w:t>
      </w:r>
      <w:r w:rsidRPr="00144D6A" w:rsidR="00082FE3">
        <w:t>de onderzoekers hebben</w:t>
      </w:r>
      <w:r w:rsidRPr="00144D6A">
        <w:t xml:space="preserve"> gedaan ter verbetering van de regeling van de legitieme portie zijn </w:t>
      </w:r>
      <w:r w:rsidRPr="00144D6A" w:rsidR="00D501FF">
        <w:t xml:space="preserve">op dit moment </w:t>
      </w:r>
      <w:r w:rsidRPr="00144D6A" w:rsidR="0000637B">
        <w:t>on</w:t>
      </w:r>
      <w:r w:rsidRPr="00144D6A">
        <w:t xml:space="preserve">voldoende verkend </w:t>
      </w:r>
      <w:r w:rsidRPr="00144D6A" w:rsidR="00082FE3">
        <w:t xml:space="preserve">en beoordeeld op nut, noodzaak en effecten </w:t>
      </w:r>
      <w:r w:rsidRPr="00144D6A">
        <w:t xml:space="preserve">om </w:t>
      </w:r>
      <w:r w:rsidRPr="00144D6A" w:rsidR="0000637B">
        <w:t xml:space="preserve">te vertalen naar wetswijzigingen. </w:t>
      </w:r>
      <w:r w:rsidRPr="00144D6A" w:rsidR="00985C27">
        <w:t xml:space="preserve">Uit het onderzoek blijkt dat de meningen over een deel van de suggesties (zoals een verplichte considerans en vernietiging van het testament wegens misbruik van omstandigheden) sterk verdeeld zijn. De onderzoekers merken bovendien op dat over de suggesties nog geen verdere gedachtewisseling heeft plaatsgevonden. </w:t>
      </w:r>
      <w:r w:rsidRPr="00144D6A" w:rsidR="00D437A3">
        <w:t>Er is</w:t>
      </w:r>
      <w:r w:rsidRPr="00144D6A" w:rsidR="000274BD">
        <w:t xml:space="preserve"> naar mijn mening</w:t>
      </w:r>
      <w:r w:rsidRPr="00144D6A" w:rsidR="00985C27">
        <w:t xml:space="preserve"> dan ook</w:t>
      </w:r>
      <w:r w:rsidRPr="00144D6A" w:rsidR="00D437A3">
        <w:t xml:space="preserve"> onvoldoende beeld van het draagvlak voor de verschillende suggesties, de juridische haalbaarheid daarvan en de effecten op het erf(proces)recht in het algemeen. </w:t>
      </w:r>
      <w:r w:rsidRPr="00144D6A" w:rsidR="000274BD">
        <w:t>Ik vind het</w:t>
      </w:r>
      <w:r w:rsidRPr="00144D6A" w:rsidR="00D437A3">
        <w:t xml:space="preserve"> niet wenselijk om op dit moment één of meer suggesties te selecteren waarover meer eenduidigheid bestaat, omdat aanpassing van </w:t>
      </w:r>
      <w:r w:rsidRPr="00144D6A" w:rsidR="000274BD">
        <w:t>de regeling</w:t>
      </w:r>
      <w:r w:rsidRPr="00144D6A" w:rsidR="00D437A3">
        <w:t xml:space="preserve"> een gedegen en volledig beeld vereist. Daarvoor </w:t>
      </w:r>
      <w:r w:rsidRPr="00144D6A" w:rsidR="000274BD">
        <w:t>wacht ik</w:t>
      </w:r>
      <w:r w:rsidRPr="00144D6A" w:rsidR="00D437A3">
        <w:t xml:space="preserve"> de verdere discussie </w:t>
      </w:r>
      <w:r w:rsidRPr="00144D6A" w:rsidR="003564EB">
        <w:t xml:space="preserve">en ontwikkeling af </w:t>
      </w:r>
      <w:r w:rsidRPr="00144D6A" w:rsidR="00D437A3">
        <w:t xml:space="preserve">in </w:t>
      </w:r>
      <w:r w:rsidRPr="00144D6A" w:rsidR="003564EB">
        <w:t xml:space="preserve">onder meer </w:t>
      </w:r>
      <w:r w:rsidRPr="00144D6A" w:rsidR="00D437A3">
        <w:t xml:space="preserve">de </w:t>
      </w:r>
      <w:r w:rsidRPr="00144D6A" w:rsidR="003564EB">
        <w:t>wetenschap en de rechtspraktijk</w:t>
      </w:r>
      <w:r w:rsidRPr="00144D6A" w:rsidR="008F4719">
        <w:t xml:space="preserve"> </w:t>
      </w:r>
      <w:r w:rsidRPr="00144D6A" w:rsidR="00D437A3">
        <w:t xml:space="preserve">naar aanleiding van het onderzoek en deze kabinetsreactie. </w:t>
      </w:r>
    </w:p>
    <w:p w:rsidRPr="00144D6A" w:rsidR="00605A17" w:rsidP="00C31A38" w:rsidRDefault="00605A17" w14:paraId="1E3A81F1" w14:textId="77777777"/>
    <w:p w:rsidRPr="00144D6A" w:rsidR="00605A17" w:rsidP="00C31A38" w:rsidRDefault="008241E3" w14:paraId="6A716C61" w14:textId="37FAE734">
      <w:r w:rsidRPr="00144D6A">
        <w:t>Ik z</w:t>
      </w:r>
      <w:r w:rsidRPr="00144D6A" w:rsidR="003564EB">
        <w:t xml:space="preserve">al </w:t>
      </w:r>
      <w:r w:rsidRPr="00144D6A">
        <w:t xml:space="preserve">het verdere maatschappelijke debat </w:t>
      </w:r>
      <w:r w:rsidRPr="00144D6A" w:rsidR="003564EB">
        <w:t xml:space="preserve">hierover </w:t>
      </w:r>
      <w:r w:rsidRPr="00144D6A">
        <w:t xml:space="preserve">met belangstelling </w:t>
      </w:r>
      <w:r w:rsidRPr="00144D6A" w:rsidR="003564EB">
        <w:t>volgen</w:t>
      </w:r>
      <w:r w:rsidRPr="00144D6A">
        <w:t xml:space="preserve">. </w:t>
      </w:r>
    </w:p>
    <w:p w:rsidRPr="00144D6A" w:rsidR="000005A8" w:rsidRDefault="000005A8" w14:paraId="10B0B286" w14:textId="77777777"/>
    <w:p w:rsidRPr="00144D6A" w:rsidR="000005A8" w:rsidRDefault="000005A8" w14:paraId="65BD72E7" w14:textId="77777777">
      <w:pPr>
        <w:pStyle w:val="WitregelW1bodytekst"/>
      </w:pPr>
    </w:p>
    <w:p w:rsidRPr="00144D6A" w:rsidR="000005A8" w:rsidRDefault="00160B72" w14:paraId="2FEDF8E9" w14:textId="3F34355D">
      <w:r w:rsidRPr="00144D6A">
        <w:t>De Staatssecretaris van Justitie en Veiligheid</w:t>
      </w:r>
      <w:r w:rsidRPr="00144D6A" w:rsidR="008241E3">
        <w:t>,</w:t>
      </w:r>
    </w:p>
    <w:p w:rsidRPr="00144D6A" w:rsidR="000005A8" w:rsidRDefault="000005A8" w14:paraId="5772D930" w14:textId="77777777"/>
    <w:p w:rsidRPr="00144D6A" w:rsidR="000005A8" w:rsidRDefault="000005A8" w14:paraId="6C02D868" w14:textId="77777777"/>
    <w:p w:rsidRPr="00144D6A" w:rsidR="000005A8" w:rsidRDefault="000005A8" w14:paraId="4435030B" w14:textId="77777777"/>
    <w:p w:rsidRPr="00144D6A" w:rsidR="000005A8" w:rsidRDefault="000005A8" w14:paraId="05AE0F92" w14:textId="77777777"/>
    <w:p w:rsidR="000005A8" w:rsidRDefault="0044016E" w14:paraId="01980DD0" w14:textId="33DAD3C2">
      <w:r w:rsidRPr="00144D6A">
        <w:t xml:space="preserve">Claudia </w:t>
      </w:r>
      <w:r w:rsidRPr="00144D6A" w:rsidR="008241E3">
        <w:t>van Bruggen</w:t>
      </w:r>
    </w:p>
    <w:p w:rsidR="000005A8" w:rsidRDefault="000005A8" w14:paraId="415699C3" w14:textId="50EFF98A"/>
    <w:sectPr w:rsidR="000005A8">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FBE6" w14:textId="77777777" w:rsidR="00107D92" w:rsidRDefault="00107D92">
      <w:pPr>
        <w:spacing w:line="240" w:lineRule="auto"/>
      </w:pPr>
      <w:r>
        <w:separator/>
      </w:r>
    </w:p>
  </w:endnote>
  <w:endnote w:type="continuationSeparator" w:id="0">
    <w:p w14:paraId="1F0DD8D6" w14:textId="77777777" w:rsidR="00107D92" w:rsidRDefault="00107D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0DF5" w14:textId="77777777" w:rsidR="00107D92" w:rsidRDefault="00107D92">
      <w:pPr>
        <w:spacing w:line="240" w:lineRule="auto"/>
      </w:pPr>
      <w:r>
        <w:separator/>
      </w:r>
    </w:p>
  </w:footnote>
  <w:footnote w:type="continuationSeparator" w:id="0">
    <w:p w14:paraId="27C4D42E" w14:textId="77777777" w:rsidR="00107D92" w:rsidRDefault="00107D92">
      <w:pPr>
        <w:spacing w:line="240" w:lineRule="auto"/>
      </w:pPr>
      <w:r>
        <w:continuationSeparator/>
      </w:r>
    </w:p>
  </w:footnote>
  <w:footnote w:id="1">
    <w:p w14:paraId="5FB74195" w14:textId="4DEC05E4" w:rsidR="00292DE9" w:rsidRPr="00292DE9" w:rsidRDefault="00292DE9">
      <w:pPr>
        <w:pStyle w:val="Voetnoottekst"/>
        <w:rPr>
          <w:sz w:val="16"/>
          <w:szCs w:val="16"/>
        </w:rPr>
      </w:pPr>
      <w:r w:rsidRPr="00292DE9">
        <w:rPr>
          <w:rStyle w:val="Voetnootmarkering"/>
          <w:sz w:val="16"/>
          <w:szCs w:val="16"/>
        </w:rPr>
        <w:footnoteRef/>
      </w:r>
      <w:r w:rsidRPr="00292DE9">
        <w:rPr>
          <w:sz w:val="16"/>
          <w:szCs w:val="16"/>
        </w:rPr>
        <w:t xml:space="preserve"> Kamerstukken II 2024/25, 33836, 101.</w:t>
      </w:r>
    </w:p>
  </w:footnote>
  <w:footnote w:id="2">
    <w:p w14:paraId="149BD523" w14:textId="02226C45" w:rsidR="00292DE9" w:rsidRPr="00292DE9" w:rsidRDefault="00292DE9">
      <w:pPr>
        <w:pStyle w:val="Voetnoottekst"/>
        <w:rPr>
          <w:sz w:val="16"/>
          <w:szCs w:val="16"/>
        </w:rPr>
      </w:pPr>
      <w:r w:rsidRPr="00292DE9">
        <w:rPr>
          <w:rStyle w:val="Voetnootmarkering"/>
          <w:sz w:val="16"/>
          <w:szCs w:val="16"/>
        </w:rPr>
        <w:footnoteRef/>
      </w:r>
      <w:r w:rsidRPr="00292DE9">
        <w:rPr>
          <w:sz w:val="16"/>
          <w:szCs w:val="16"/>
        </w:rPr>
        <w:t xml:space="preserve"> Kamerstukken II 2024/25, 33836, 128.</w:t>
      </w:r>
    </w:p>
  </w:footnote>
  <w:footnote w:id="3">
    <w:p w14:paraId="04578595" w14:textId="792FC802" w:rsidR="00292DE9" w:rsidRPr="00292DE9" w:rsidRDefault="00292DE9">
      <w:pPr>
        <w:pStyle w:val="Voetnoottekst"/>
        <w:rPr>
          <w:sz w:val="16"/>
          <w:szCs w:val="16"/>
        </w:rPr>
      </w:pPr>
      <w:r w:rsidRPr="00292DE9">
        <w:rPr>
          <w:rStyle w:val="Voetnootmarkering"/>
          <w:sz w:val="16"/>
          <w:szCs w:val="16"/>
        </w:rPr>
        <w:footnoteRef/>
      </w:r>
      <w:r w:rsidRPr="00292DE9">
        <w:rPr>
          <w:sz w:val="16"/>
          <w:szCs w:val="16"/>
        </w:rPr>
        <w:t xml:space="preserve"> TZ202604-201.</w:t>
      </w:r>
    </w:p>
  </w:footnote>
  <w:footnote w:id="4">
    <w:p w14:paraId="0026D50B" w14:textId="22D4287E" w:rsidR="00964D88" w:rsidRDefault="00964D88">
      <w:pPr>
        <w:pStyle w:val="Voetnoottekst"/>
      </w:pPr>
      <w:r w:rsidRPr="00964D88">
        <w:rPr>
          <w:rStyle w:val="Voetnootmarkering"/>
          <w:sz w:val="16"/>
          <w:szCs w:val="16"/>
        </w:rPr>
        <w:footnoteRef/>
      </w:r>
      <w:r w:rsidRPr="00964D88">
        <w:rPr>
          <w:sz w:val="16"/>
          <w:szCs w:val="16"/>
        </w:rPr>
        <w:t xml:space="preserve"> </w:t>
      </w:r>
      <w:r>
        <w:rPr>
          <w:sz w:val="16"/>
          <w:szCs w:val="16"/>
        </w:rPr>
        <w:t xml:space="preserve">De meest fundamentele suggesties zijn: het </w:t>
      </w:r>
      <w:r w:rsidRPr="00964D88">
        <w:rPr>
          <w:sz w:val="16"/>
          <w:szCs w:val="16"/>
        </w:rPr>
        <w:t xml:space="preserve">mogelijk maken </w:t>
      </w:r>
      <w:r w:rsidR="00985C27">
        <w:rPr>
          <w:sz w:val="16"/>
          <w:szCs w:val="16"/>
        </w:rPr>
        <w:t>om</w:t>
      </w:r>
      <w:r w:rsidRPr="00964D88">
        <w:rPr>
          <w:sz w:val="16"/>
          <w:szCs w:val="16"/>
        </w:rPr>
        <w:t xml:space="preserve"> een erfovereenkomst</w:t>
      </w:r>
      <w:r w:rsidR="00985C27">
        <w:rPr>
          <w:sz w:val="16"/>
          <w:szCs w:val="16"/>
        </w:rPr>
        <w:t xml:space="preserve"> te sluiten</w:t>
      </w:r>
      <w:r w:rsidRPr="00964D88">
        <w:rPr>
          <w:sz w:val="16"/>
          <w:szCs w:val="16"/>
        </w:rPr>
        <w:t>, de mogelijkheid om een testament te vernietigen wegens misbruik van omstandigheden, een verplichte considerans in testamenten waarin kinderen worden onterfd en verduidelijk</w:t>
      </w:r>
      <w:r w:rsidR="00985C27">
        <w:rPr>
          <w:sz w:val="16"/>
          <w:szCs w:val="16"/>
        </w:rPr>
        <w:t>ing</w:t>
      </w:r>
      <w:r w:rsidRPr="00964D88">
        <w:rPr>
          <w:sz w:val="16"/>
          <w:szCs w:val="16"/>
        </w:rPr>
        <w:t xml:space="preserve"> van de regels over het recht op inzage en informatie.</w:t>
      </w:r>
    </w:p>
  </w:footnote>
  <w:footnote w:id="5">
    <w:p w14:paraId="4078F5DD" w14:textId="56A1B3BB" w:rsidR="00964D88" w:rsidRPr="00964D88" w:rsidRDefault="00964D88">
      <w:pPr>
        <w:pStyle w:val="Voetnoottekst"/>
        <w:rPr>
          <w:sz w:val="16"/>
          <w:szCs w:val="16"/>
        </w:rPr>
      </w:pPr>
      <w:r w:rsidRPr="00964D88">
        <w:rPr>
          <w:rStyle w:val="Voetnootmarkering"/>
          <w:sz w:val="16"/>
          <w:szCs w:val="16"/>
        </w:rPr>
        <w:footnoteRef/>
      </w:r>
      <w:r w:rsidRPr="00964D88">
        <w:rPr>
          <w:sz w:val="16"/>
          <w:szCs w:val="16"/>
        </w:rPr>
        <w:t xml:space="preserve"> </w:t>
      </w:r>
      <w:r>
        <w:rPr>
          <w:sz w:val="16"/>
          <w:szCs w:val="16"/>
        </w:rPr>
        <w:t>Het betreft onderzoek naar de volgende thema’s: d</w:t>
      </w:r>
      <w:r w:rsidRPr="00964D88">
        <w:rPr>
          <w:sz w:val="16"/>
          <w:szCs w:val="16"/>
        </w:rPr>
        <w:t xml:space="preserve">e verhouding tussen de langstlevende echtgenoot en (onterfde) kinderen, </w:t>
      </w:r>
      <w:r w:rsidRPr="00964D88">
        <w:rPr>
          <w:color w:val="auto"/>
          <w:sz w:val="16"/>
          <w:szCs w:val="16"/>
        </w:rPr>
        <w:t xml:space="preserve">de specifieke rol van de legitieme portie en andere erfrechtelijke aanspraken op familiebanden, </w:t>
      </w:r>
      <w:r w:rsidR="00985C27">
        <w:rPr>
          <w:color w:val="auto"/>
          <w:sz w:val="16"/>
          <w:szCs w:val="16"/>
        </w:rPr>
        <w:t>v</w:t>
      </w:r>
      <w:r w:rsidRPr="00964D88">
        <w:rPr>
          <w:color w:val="auto"/>
          <w:sz w:val="16"/>
          <w:szCs w:val="16"/>
        </w:rPr>
        <w:t>erbetering van de regeling van de legitieme portie en de (on)mogelijkheden om de regeling van de legitieme portie te omzeilen.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7B25" w14:textId="77777777" w:rsidR="000005A8" w:rsidRDefault="008241E3">
    <w:r>
      <w:rPr>
        <w:noProof/>
      </w:rPr>
      <mc:AlternateContent>
        <mc:Choice Requires="wps">
          <w:drawing>
            <wp:anchor distT="0" distB="0" distL="0" distR="0" simplePos="0" relativeHeight="251652096" behindDoc="0" locked="1" layoutInCell="1" allowOverlap="1" wp14:anchorId="610F1EEB" wp14:editId="1C2206D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715CCB2" w14:textId="77777777" w:rsidR="008241E3" w:rsidRDefault="008241E3"/>
                      </w:txbxContent>
                    </wps:txbx>
                    <wps:bodyPr vert="horz" wrap="square" lIns="0" tIns="0" rIns="0" bIns="0" anchor="t" anchorCtr="0"/>
                  </wps:wsp>
                </a:graphicData>
              </a:graphic>
            </wp:anchor>
          </w:drawing>
        </mc:Choice>
        <mc:Fallback>
          <w:pict>
            <v:shapetype w14:anchorId="610F1EE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715CCB2" w14:textId="77777777" w:rsidR="008241E3" w:rsidRDefault="008241E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06E6942" wp14:editId="4644FD0D">
              <wp:simplePos x="0" y="0"/>
              <wp:positionH relativeFrom="page">
                <wp:posOffset>5949950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60F4FA" w14:textId="3435442F" w:rsidR="000005A8" w:rsidRDefault="008241E3" w:rsidP="0034667F">
                          <w:pPr>
                            <w:pStyle w:val="Referentiegegevensbold"/>
                          </w:pPr>
                          <w:r>
                            <w:t>Directie Wetgeving en Juridische Zaken</w:t>
                          </w:r>
                        </w:p>
                        <w:p w14:paraId="3BA31F12" w14:textId="77777777" w:rsidR="000005A8" w:rsidRDefault="008241E3">
                          <w:pPr>
                            <w:pStyle w:val="Referentiegegevens"/>
                          </w:pPr>
                          <w:r>
                            <w:t>Privaatrecht</w:t>
                          </w:r>
                        </w:p>
                        <w:p w14:paraId="7BEBBFF1" w14:textId="77777777" w:rsidR="000005A8" w:rsidRDefault="000005A8">
                          <w:pPr>
                            <w:pStyle w:val="WitregelW2"/>
                          </w:pPr>
                        </w:p>
                        <w:p w14:paraId="1E2F688E" w14:textId="77777777" w:rsidR="000005A8" w:rsidRDefault="008241E3">
                          <w:pPr>
                            <w:pStyle w:val="Referentiegegevensbold"/>
                          </w:pPr>
                          <w:r>
                            <w:t>Datum</w:t>
                          </w:r>
                        </w:p>
                        <w:p w14:paraId="1BCAC78F" w14:textId="503E0F7C" w:rsidR="000005A8" w:rsidRDefault="00082BF0">
                          <w:pPr>
                            <w:pStyle w:val="Referentiegegevens"/>
                          </w:pPr>
                          <w:r>
                            <w:t xml:space="preserve">10 </w:t>
                          </w:r>
                          <w:r w:rsidR="0034667F">
                            <w:t xml:space="preserve">juni </w:t>
                          </w:r>
                          <w:r w:rsidR="00942CA2">
                            <w:t>2026</w:t>
                          </w:r>
                        </w:p>
                        <w:p w14:paraId="4D5686B9" w14:textId="77777777" w:rsidR="000005A8" w:rsidRDefault="000005A8">
                          <w:pPr>
                            <w:pStyle w:val="WitregelW1"/>
                          </w:pPr>
                        </w:p>
                        <w:p w14:paraId="0B7B55E1" w14:textId="77777777" w:rsidR="000005A8" w:rsidRDefault="008241E3">
                          <w:pPr>
                            <w:pStyle w:val="Referentiegegevensbold"/>
                          </w:pPr>
                          <w:r>
                            <w:t>Onze referentie</w:t>
                          </w:r>
                        </w:p>
                        <w:p w14:paraId="159A5715" w14:textId="77777777" w:rsidR="000005A8" w:rsidRDefault="008241E3">
                          <w:pPr>
                            <w:pStyle w:val="Referentiegegevens"/>
                          </w:pPr>
                          <w:r>
                            <w:t>7649539</w:t>
                          </w:r>
                        </w:p>
                      </w:txbxContent>
                    </wps:txbx>
                    <wps:bodyPr vert="horz" wrap="square" lIns="0" tIns="0" rIns="0" bIns="0" anchor="t" anchorCtr="0"/>
                  </wps:wsp>
                </a:graphicData>
              </a:graphic>
            </wp:anchor>
          </w:drawing>
        </mc:Choice>
        <mc:Fallback>
          <w:pict>
            <v:shape w14:anchorId="606E6942" id="46fef022-aa3c-11ea-a756-beb5f67e67be" o:spid="_x0000_s1027" type="#_x0000_t202" style="position:absolute;margin-left:468.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H7h4x3gAAAA&#10;CgEAAA8AAABkcnMvZG93bnJldi54bWxMj0FPg0AQhe8m/ofNmHizC9RgiyxNY/RkYqR48LjAFDZl&#10;Z5HdtvjvnZ7sZTKT9/Lme/lmtoM44eSNIwXxIgKB1LjWUKfgq3p7WIHwQVOrB0eo4Bc9bIrbm1xn&#10;rTtTiadd6ASHkM+0gj6EMZPSNz1a7RduRGJt7yarA59TJ9tJnzncDjKJolRabYg/9HrElx6bw+5o&#10;FWy/qXw1Px/1Z7kvTVWtI3pPD0rd383bZxAB5/Bvhgs+o0PBTLU7UuvFoGC9fOIuQQHPixwvVwmI&#10;mrckjR9BFrm8rlD8AQAA//8DAFBLAQItABQABgAIAAAAIQC2gziS/gAAAOEBAAATAAAAAAAAAAAA&#10;AAAAAAAAAABbQ29udGVudF9UeXBlc10ueG1sUEsBAi0AFAAGAAgAAAAhADj9If/WAAAAlAEAAAsA&#10;AAAAAAAAAAAAAAAALwEAAF9yZWxzLy5yZWxzUEsBAi0AFAAGAAgAAAAhAOVfdBWSAQAAFQMAAA4A&#10;AAAAAAAAAAAAAAAALgIAAGRycy9lMm9Eb2MueG1sUEsBAi0AFAAGAAgAAAAhAH7h4x3gAAAACgEA&#10;AA8AAAAAAAAAAAAAAAAA7AMAAGRycy9kb3ducmV2LnhtbFBLBQYAAAAABAAEAPMAAAD5BAAAAAA=&#10;" filled="f" stroked="f">
              <v:textbox inset="0,0,0,0">
                <w:txbxContent>
                  <w:p w14:paraId="6D60F4FA" w14:textId="3435442F" w:rsidR="000005A8" w:rsidRDefault="008241E3" w:rsidP="0034667F">
                    <w:pPr>
                      <w:pStyle w:val="Referentiegegevensbold"/>
                    </w:pPr>
                    <w:r>
                      <w:t>Directie Wetgeving en Juridische Zaken</w:t>
                    </w:r>
                  </w:p>
                  <w:p w14:paraId="3BA31F12" w14:textId="77777777" w:rsidR="000005A8" w:rsidRDefault="008241E3">
                    <w:pPr>
                      <w:pStyle w:val="Referentiegegevens"/>
                    </w:pPr>
                    <w:r>
                      <w:t>Privaatrecht</w:t>
                    </w:r>
                  </w:p>
                  <w:p w14:paraId="7BEBBFF1" w14:textId="77777777" w:rsidR="000005A8" w:rsidRDefault="000005A8">
                    <w:pPr>
                      <w:pStyle w:val="WitregelW2"/>
                    </w:pPr>
                  </w:p>
                  <w:p w14:paraId="1E2F688E" w14:textId="77777777" w:rsidR="000005A8" w:rsidRDefault="008241E3">
                    <w:pPr>
                      <w:pStyle w:val="Referentiegegevensbold"/>
                    </w:pPr>
                    <w:r>
                      <w:t>Datum</w:t>
                    </w:r>
                  </w:p>
                  <w:p w14:paraId="1BCAC78F" w14:textId="503E0F7C" w:rsidR="000005A8" w:rsidRDefault="00082BF0">
                    <w:pPr>
                      <w:pStyle w:val="Referentiegegevens"/>
                    </w:pPr>
                    <w:r>
                      <w:t xml:space="preserve">10 </w:t>
                    </w:r>
                    <w:r w:rsidR="0034667F">
                      <w:t xml:space="preserve">juni </w:t>
                    </w:r>
                    <w:r w:rsidR="00942CA2">
                      <w:t>2026</w:t>
                    </w:r>
                  </w:p>
                  <w:p w14:paraId="4D5686B9" w14:textId="77777777" w:rsidR="000005A8" w:rsidRDefault="000005A8">
                    <w:pPr>
                      <w:pStyle w:val="WitregelW1"/>
                    </w:pPr>
                  </w:p>
                  <w:p w14:paraId="0B7B55E1" w14:textId="77777777" w:rsidR="000005A8" w:rsidRDefault="008241E3">
                    <w:pPr>
                      <w:pStyle w:val="Referentiegegevensbold"/>
                    </w:pPr>
                    <w:r>
                      <w:t>Onze referentie</w:t>
                    </w:r>
                  </w:p>
                  <w:p w14:paraId="159A5715" w14:textId="77777777" w:rsidR="000005A8" w:rsidRDefault="008241E3">
                    <w:pPr>
                      <w:pStyle w:val="Referentiegegevens"/>
                    </w:pPr>
                    <w:r>
                      <w:t>7649539</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66C8BA08" wp14:editId="3D95AFE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29F935" w14:textId="77777777" w:rsidR="008241E3" w:rsidRDefault="008241E3"/>
                      </w:txbxContent>
                    </wps:txbx>
                    <wps:bodyPr vert="horz" wrap="square" lIns="0" tIns="0" rIns="0" bIns="0" anchor="t" anchorCtr="0"/>
                  </wps:wsp>
                </a:graphicData>
              </a:graphic>
            </wp:anchor>
          </w:drawing>
        </mc:Choice>
        <mc:Fallback>
          <w:pict>
            <v:shape w14:anchorId="66C8BA0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C29F935" w14:textId="77777777" w:rsidR="008241E3" w:rsidRDefault="008241E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28A1972" wp14:editId="76FEECC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370A51A" w14:textId="7A2348A6" w:rsidR="000005A8" w:rsidRDefault="008241E3">
                          <w:pPr>
                            <w:pStyle w:val="Referentiegegevens"/>
                          </w:pPr>
                          <w:r>
                            <w:t xml:space="preserve">Pagina </w:t>
                          </w:r>
                          <w:r>
                            <w:fldChar w:fldCharType="begin"/>
                          </w:r>
                          <w:r>
                            <w:instrText>PAGE</w:instrText>
                          </w:r>
                          <w:r>
                            <w:fldChar w:fldCharType="separate"/>
                          </w:r>
                          <w:r w:rsidR="00941CFD">
                            <w:rPr>
                              <w:noProof/>
                            </w:rPr>
                            <w:t>2</w:t>
                          </w:r>
                          <w:r>
                            <w:fldChar w:fldCharType="end"/>
                          </w:r>
                          <w:r>
                            <w:t xml:space="preserve"> van </w:t>
                          </w:r>
                          <w:r>
                            <w:fldChar w:fldCharType="begin"/>
                          </w:r>
                          <w:r>
                            <w:instrText>NUMPAGES</w:instrText>
                          </w:r>
                          <w:r>
                            <w:fldChar w:fldCharType="separate"/>
                          </w:r>
                          <w:r w:rsidR="00160B72">
                            <w:rPr>
                              <w:noProof/>
                            </w:rPr>
                            <w:t>1</w:t>
                          </w:r>
                          <w:r>
                            <w:fldChar w:fldCharType="end"/>
                          </w:r>
                        </w:p>
                      </w:txbxContent>
                    </wps:txbx>
                    <wps:bodyPr vert="horz" wrap="square" lIns="0" tIns="0" rIns="0" bIns="0" anchor="t" anchorCtr="0"/>
                  </wps:wsp>
                </a:graphicData>
              </a:graphic>
            </wp:anchor>
          </w:drawing>
        </mc:Choice>
        <mc:Fallback>
          <w:pict>
            <v:shape w14:anchorId="328A197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370A51A" w14:textId="7A2348A6" w:rsidR="000005A8" w:rsidRDefault="008241E3">
                    <w:pPr>
                      <w:pStyle w:val="Referentiegegevens"/>
                    </w:pPr>
                    <w:r>
                      <w:t xml:space="preserve">Pagina </w:t>
                    </w:r>
                    <w:r>
                      <w:fldChar w:fldCharType="begin"/>
                    </w:r>
                    <w:r>
                      <w:instrText>PAGE</w:instrText>
                    </w:r>
                    <w:r>
                      <w:fldChar w:fldCharType="separate"/>
                    </w:r>
                    <w:r w:rsidR="00941CFD">
                      <w:rPr>
                        <w:noProof/>
                      </w:rPr>
                      <w:t>2</w:t>
                    </w:r>
                    <w:r>
                      <w:fldChar w:fldCharType="end"/>
                    </w:r>
                    <w:r>
                      <w:t xml:space="preserve"> van </w:t>
                    </w:r>
                    <w:r>
                      <w:fldChar w:fldCharType="begin"/>
                    </w:r>
                    <w:r>
                      <w:instrText>NUMPAGES</w:instrText>
                    </w:r>
                    <w:r>
                      <w:fldChar w:fldCharType="separate"/>
                    </w:r>
                    <w:r w:rsidR="00160B7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9606" w14:textId="77777777" w:rsidR="000005A8" w:rsidRDefault="008241E3">
    <w:pPr>
      <w:spacing w:after="6377" w:line="14" w:lineRule="exact"/>
    </w:pPr>
    <w:r>
      <w:rPr>
        <w:noProof/>
      </w:rPr>
      <mc:AlternateContent>
        <mc:Choice Requires="wps">
          <w:drawing>
            <wp:anchor distT="0" distB="0" distL="0" distR="0" simplePos="0" relativeHeight="251656192" behindDoc="0" locked="1" layoutInCell="1" allowOverlap="1" wp14:anchorId="2CCF4BC4" wp14:editId="279A693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9250003" w14:textId="77777777" w:rsidR="000005A8" w:rsidRDefault="008241E3">
                          <w:pPr>
                            <w:spacing w:line="240" w:lineRule="auto"/>
                          </w:pPr>
                          <w:r>
                            <w:rPr>
                              <w:noProof/>
                            </w:rPr>
                            <w:drawing>
                              <wp:inline distT="0" distB="0" distL="0" distR="0" wp14:anchorId="0D7F39BF" wp14:editId="64D7061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CCF4BC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9250003" w14:textId="77777777" w:rsidR="000005A8" w:rsidRDefault="008241E3">
                    <w:pPr>
                      <w:spacing w:line="240" w:lineRule="auto"/>
                    </w:pPr>
                    <w:r>
                      <w:rPr>
                        <w:noProof/>
                      </w:rPr>
                      <w:drawing>
                        <wp:inline distT="0" distB="0" distL="0" distR="0" wp14:anchorId="0D7F39BF" wp14:editId="64D7061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9C2E946" wp14:editId="757C062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260371" w14:textId="77777777" w:rsidR="000005A8" w:rsidRDefault="008241E3">
                          <w:pPr>
                            <w:spacing w:line="240" w:lineRule="auto"/>
                          </w:pPr>
                          <w:r>
                            <w:rPr>
                              <w:noProof/>
                            </w:rPr>
                            <w:drawing>
                              <wp:inline distT="0" distB="0" distL="0" distR="0" wp14:anchorId="28107E10" wp14:editId="1BC0F50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C2E94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9260371" w14:textId="77777777" w:rsidR="000005A8" w:rsidRDefault="008241E3">
                    <w:pPr>
                      <w:spacing w:line="240" w:lineRule="auto"/>
                    </w:pPr>
                    <w:r>
                      <w:rPr>
                        <w:noProof/>
                      </w:rPr>
                      <w:drawing>
                        <wp:inline distT="0" distB="0" distL="0" distR="0" wp14:anchorId="28107E10" wp14:editId="1BC0F50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20523AB" wp14:editId="0A3629C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9ACCB0" w14:textId="77777777" w:rsidR="000005A8" w:rsidRDefault="008241E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20523A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B9ACCB0" w14:textId="77777777" w:rsidR="000005A8" w:rsidRDefault="008241E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AED2B74" wp14:editId="57A8E68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ACCCEFB" w14:textId="77777777" w:rsidR="00776D0A" w:rsidRDefault="008241E3">
                          <w:r>
                            <w:t xml:space="preserve">Aan de Voorzitter van de Tweede Kamer </w:t>
                          </w:r>
                        </w:p>
                        <w:p w14:paraId="5975C672" w14:textId="4A1034F7" w:rsidR="000005A8" w:rsidRDefault="008241E3">
                          <w:r>
                            <w:t>der Staten-Generaal</w:t>
                          </w:r>
                        </w:p>
                        <w:p w14:paraId="164AE426" w14:textId="77777777" w:rsidR="000005A8" w:rsidRDefault="008241E3">
                          <w:r>
                            <w:t xml:space="preserve">Postbus 20018 </w:t>
                          </w:r>
                        </w:p>
                        <w:p w14:paraId="521F4C63" w14:textId="77777777" w:rsidR="000005A8" w:rsidRDefault="008241E3">
                          <w:r>
                            <w:t>2500 EA  Den Haag</w:t>
                          </w:r>
                        </w:p>
                      </w:txbxContent>
                    </wps:txbx>
                    <wps:bodyPr vert="horz" wrap="square" lIns="0" tIns="0" rIns="0" bIns="0" anchor="t" anchorCtr="0"/>
                  </wps:wsp>
                </a:graphicData>
              </a:graphic>
            </wp:anchor>
          </w:drawing>
        </mc:Choice>
        <mc:Fallback>
          <w:pict>
            <v:shape w14:anchorId="5AED2B7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ACCCEFB" w14:textId="77777777" w:rsidR="00776D0A" w:rsidRDefault="008241E3">
                    <w:r>
                      <w:t xml:space="preserve">Aan de Voorzitter van de Tweede Kamer </w:t>
                    </w:r>
                  </w:p>
                  <w:p w14:paraId="5975C672" w14:textId="4A1034F7" w:rsidR="000005A8" w:rsidRDefault="008241E3">
                    <w:r>
                      <w:t>der Staten-Generaal</w:t>
                    </w:r>
                  </w:p>
                  <w:p w14:paraId="164AE426" w14:textId="77777777" w:rsidR="000005A8" w:rsidRDefault="008241E3">
                    <w:r>
                      <w:t xml:space="preserve">Postbus 20018 </w:t>
                    </w:r>
                  </w:p>
                  <w:p w14:paraId="521F4C63" w14:textId="77777777" w:rsidR="000005A8" w:rsidRDefault="008241E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5A04CF1" wp14:editId="71B47E1C">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005A8" w14:paraId="63149192" w14:textId="77777777">
                            <w:trPr>
                              <w:trHeight w:val="240"/>
                            </w:trPr>
                            <w:tc>
                              <w:tcPr>
                                <w:tcW w:w="1140" w:type="dxa"/>
                              </w:tcPr>
                              <w:p w14:paraId="5A7E2886" w14:textId="77777777" w:rsidR="000005A8" w:rsidRDefault="008241E3">
                                <w:r>
                                  <w:t>Datum</w:t>
                                </w:r>
                              </w:p>
                            </w:tc>
                            <w:tc>
                              <w:tcPr>
                                <w:tcW w:w="5918" w:type="dxa"/>
                              </w:tcPr>
                              <w:p w14:paraId="34E57DB6" w14:textId="6C1BD443" w:rsidR="000005A8" w:rsidRDefault="00144D6A">
                                <w:r>
                                  <w:t>10</w:t>
                                </w:r>
                                <w:r w:rsidR="0034667F">
                                  <w:t xml:space="preserve"> juni 2026</w:t>
                                </w:r>
                              </w:p>
                            </w:tc>
                          </w:tr>
                          <w:tr w:rsidR="000005A8" w14:paraId="29CA57B5" w14:textId="77777777">
                            <w:trPr>
                              <w:trHeight w:val="240"/>
                            </w:trPr>
                            <w:tc>
                              <w:tcPr>
                                <w:tcW w:w="1140" w:type="dxa"/>
                              </w:tcPr>
                              <w:p w14:paraId="272181CE" w14:textId="77777777" w:rsidR="000005A8" w:rsidRDefault="008241E3">
                                <w:r>
                                  <w:t>Betreft</w:t>
                                </w:r>
                              </w:p>
                            </w:tc>
                            <w:tc>
                              <w:tcPr>
                                <w:tcW w:w="5918" w:type="dxa"/>
                              </w:tcPr>
                              <w:p w14:paraId="4B7D87AA" w14:textId="77777777" w:rsidR="000005A8" w:rsidRDefault="008241E3">
                                <w:r>
                                  <w:t>Kabinetsreactie WODC-onderzoek legitieme portie in het erfrecht</w:t>
                                </w:r>
                              </w:p>
                            </w:tc>
                          </w:tr>
                        </w:tbl>
                        <w:p w14:paraId="52937127" w14:textId="77777777" w:rsidR="008241E3" w:rsidRDefault="008241E3"/>
                      </w:txbxContent>
                    </wps:txbx>
                    <wps:bodyPr vert="horz" wrap="square" lIns="0" tIns="0" rIns="0" bIns="0" anchor="t" anchorCtr="0"/>
                  </wps:wsp>
                </a:graphicData>
              </a:graphic>
            </wp:anchor>
          </w:drawing>
        </mc:Choice>
        <mc:Fallback>
          <w:pict>
            <v:shape w14:anchorId="05A04CF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005A8" w14:paraId="63149192" w14:textId="77777777">
                      <w:trPr>
                        <w:trHeight w:val="240"/>
                      </w:trPr>
                      <w:tc>
                        <w:tcPr>
                          <w:tcW w:w="1140" w:type="dxa"/>
                        </w:tcPr>
                        <w:p w14:paraId="5A7E2886" w14:textId="77777777" w:rsidR="000005A8" w:rsidRDefault="008241E3">
                          <w:r>
                            <w:t>Datum</w:t>
                          </w:r>
                        </w:p>
                      </w:tc>
                      <w:tc>
                        <w:tcPr>
                          <w:tcW w:w="5918" w:type="dxa"/>
                        </w:tcPr>
                        <w:p w14:paraId="34E57DB6" w14:textId="6C1BD443" w:rsidR="000005A8" w:rsidRDefault="00144D6A">
                          <w:r>
                            <w:t>10</w:t>
                          </w:r>
                          <w:r w:rsidR="0034667F">
                            <w:t xml:space="preserve"> juni 2026</w:t>
                          </w:r>
                        </w:p>
                      </w:tc>
                    </w:tr>
                    <w:tr w:rsidR="000005A8" w14:paraId="29CA57B5" w14:textId="77777777">
                      <w:trPr>
                        <w:trHeight w:val="240"/>
                      </w:trPr>
                      <w:tc>
                        <w:tcPr>
                          <w:tcW w:w="1140" w:type="dxa"/>
                        </w:tcPr>
                        <w:p w14:paraId="272181CE" w14:textId="77777777" w:rsidR="000005A8" w:rsidRDefault="008241E3">
                          <w:r>
                            <w:t>Betreft</w:t>
                          </w:r>
                        </w:p>
                      </w:tc>
                      <w:tc>
                        <w:tcPr>
                          <w:tcW w:w="5918" w:type="dxa"/>
                        </w:tcPr>
                        <w:p w14:paraId="4B7D87AA" w14:textId="77777777" w:rsidR="000005A8" w:rsidRDefault="008241E3">
                          <w:r>
                            <w:t>Kabinetsreactie WODC-onderzoek legitieme portie in het erfrecht</w:t>
                          </w:r>
                        </w:p>
                      </w:tc>
                    </w:tr>
                  </w:tbl>
                  <w:p w14:paraId="52937127" w14:textId="77777777" w:rsidR="008241E3" w:rsidRDefault="008241E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456D9BB" wp14:editId="02EBA19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6DB2A9" w14:textId="023A7C54" w:rsidR="000005A8" w:rsidRDefault="008241E3" w:rsidP="0034667F">
                          <w:pPr>
                            <w:pStyle w:val="Referentiegegevensbold"/>
                          </w:pPr>
                          <w:r>
                            <w:t>Directie Wetgeving en Juridische Zaken</w:t>
                          </w:r>
                        </w:p>
                        <w:p w14:paraId="4B6BD942" w14:textId="77777777" w:rsidR="000005A8" w:rsidRDefault="008241E3">
                          <w:pPr>
                            <w:pStyle w:val="Referentiegegevens"/>
                          </w:pPr>
                          <w:r>
                            <w:t>Privaatrecht</w:t>
                          </w:r>
                        </w:p>
                        <w:p w14:paraId="037A86FB" w14:textId="77777777" w:rsidR="000005A8" w:rsidRDefault="000005A8">
                          <w:pPr>
                            <w:pStyle w:val="WitregelW1"/>
                          </w:pPr>
                        </w:p>
                        <w:p w14:paraId="0E990209" w14:textId="77777777" w:rsidR="000005A8" w:rsidRPr="00082BF0" w:rsidRDefault="008241E3">
                          <w:pPr>
                            <w:pStyle w:val="Referentiegegevens"/>
                            <w:rPr>
                              <w:lang w:val="de-DE"/>
                            </w:rPr>
                          </w:pPr>
                          <w:proofErr w:type="spellStart"/>
                          <w:r w:rsidRPr="00082BF0">
                            <w:rPr>
                              <w:lang w:val="de-DE"/>
                            </w:rPr>
                            <w:t>Turfmarkt</w:t>
                          </w:r>
                          <w:proofErr w:type="spellEnd"/>
                          <w:r w:rsidRPr="00082BF0">
                            <w:rPr>
                              <w:lang w:val="de-DE"/>
                            </w:rPr>
                            <w:t xml:space="preserve"> 147</w:t>
                          </w:r>
                        </w:p>
                        <w:p w14:paraId="1EEFC540" w14:textId="77777777" w:rsidR="000005A8" w:rsidRPr="00082BF0" w:rsidRDefault="008241E3">
                          <w:pPr>
                            <w:pStyle w:val="Referentiegegevens"/>
                            <w:rPr>
                              <w:lang w:val="de-DE"/>
                            </w:rPr>
                          </w:pPr>
                          <w:r w:rsidRPr="00082BF0">
                            <w:rPr>
                              <w:lang w:val="de-DE"/>
                            </w:rPr>
                            <w:t>2511 DP  Den Haag</w:t>
                          </w:r>
                        </w:p>
                        <w:p w14:paraId="6F6EE1A4" w14:textId="77777777" w:rsidR="000005A8" w:rsidRPr="00082BF0" w:rsidRDefault="008241E3">
                          <w:pPr>
                            <w:pStyle w:val="Referentiegegevens"/>
                            <w:rPr>
                              <w:lang w:val="de-DE"/>
                            </w:rPr>
                          </w:pPr>
                          <w:r w:rsidRPr="00082BF0">
                            <w:rPr>
                              <w:lang w:val="de-DE"/>
                            </w:rPr>
                            <w:t>Postbus 20301</w:t>
                          </w:r>
                        </w:p>
                        <w:p w14:paraId="0BD35607" w14:textId="77777777" w:rsidR="000005A8" w:rsidRPr="00082BF0" w:rsidRDefault="008241E3">
                          <w:pPr>
                            <w:pStyle w:val="Referentiegegevens"/>
                            <w:rPr>
                              <w:lang w:val="de-DE"/>
                            </w:rPr>
                          </w:pPr>
                          <w:r w:rsidRPr="00082BF0">
                            <w:rPr>
                              <w:lang w:val="de-DE"/>
                            </w:rPr>
                            <w:t>2500 EH  Den Haag</w:t>
                          </w:r>
                        </w:p>
                        <w:p w14:paraId="4598115A" w14:textId="77777777" w:rsidR="000005A8" w:rsidRPr="00082BF0" w:rsidRDefault="008241E3">
                          <w:pPr>
                            <w:pStyle w:val="Referentiegegevens"/>
                            <w:rPr>
                              <w:lang w:val="de-DE"/>
                            </w:rPr>
                          </w:pPr>
                          <w:r w:rsidRPr="00082BF0">
                            <w:rPr>
                              <w:lang w:val="de-DE"/>
                            </w:rPr>
                            <w:t>www.rijksoverheid.nl/jenv</w:t>
                          </w:r>
                        </w:p>
                        <w:p w14:paraId="75DE761F" w14:textId="77777777" w:rsidR="000005A8" w:rsidRPr="00082BF0" w:rsidRDefault="000005A8">
                          <w:pPr>
                            <w:pStyle w:val="WitregelW1"/>
                            <w:rPr>
                              <w:lang w:val="de-DE"/>
                            </w:rPr>
                          </w:pPr>
                        </w:p>
                        <w:p w14:paraId="7605138C" w14:textId="77777777" w:rsidR="000005A8" w:rsidRPr="00082BF0" w:rsidRDefault="000005A8">
                          <w:pPr>
                            <w:pStyle w:val="WitregelW2"/>
                            <w:rPr>
                              <w:lang w:val="de-DE"/>
                            </w:rPr>
                          </w:pPr>
                        </w:p>
                        <w:p w14:paraId="3BCBE7FB" w14:textId="77777777" w:rsidR="000005A8" w:rsidRDefault="008241E3">
                          <w:pPr>
                            <w:pStyle w:val="Referentiegegevensbold"/>
                          </w:pPr>
                          <w:r>
                            <w:t>Onze referentie</w:t>
                          </w:r>
                        </w:p>
                        <w:p w14:paraId="188F676C" w14:textId="77777777" w:rsidR="000005A8" w:rsidRDefault="008241E3">
                          <w:pPr>
                            <w:pStyle w:val="Referentiegegevens"/>
                          </w:pPr>
                          <w:r>
                            <w:t>7649539</w:t>
                          </w:r>
                        </w:p>
                        <w:p w14:paraId="507F488A" w14:textId="77777777" w:rsidR="000005A8" w:rsidRDefault="000005A8">
                          <w:pPr>
                            <w:pStyle w:val="WitregelW1"/>
                          </w:pPr>
                        </w:p>
                        <w:p w14:paraId="55F76451" w14:textId="42DDC2C7" w:rsidR="000005A8" w:rsidRDefault="000005A8">
                          <w:pPr>
                            <w:pStyle w:val="Referentiegegevens"/>
                          </w:pPr>
                        </w:p>
                      </w:txbxContent>
                    </wps:txbx>
                    <wps:bodyPr vert="horz" wrap="square" lIns="0" tIns="0" rIns="0" bIns="0" anchor="t" anchorCtr="0"/>
                  </wps:wsp>
                </a:graphicData>
              </a:graphic>
            </wp:anchor>
          </w:drawing>
        </mc:Choice>
        <mc:Fallback>
          <w:pict>
            <v:shape w14:anchorId="3456D9B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06DB2A9" w14:textId="023A7C54" w:rsidR="000005A8" w:rsidRDefault="008241E3" w:rsidP="0034667F">
                    <w:pPr>
                      <w:pStyle w:val="Referentiegegevensbold"/>
                    </w:pPr>
                    <w:r>
                      <w:t>Directie Wetgeving en Juridische Zaken</w:t>
                    </w:r>
                  </w:p>
                  <w:p w14:paraId="4B6BD942" w14:textId="77777777" w:rsidR="000005A8" w:rsidRDefault="008241E3">
                    <w:pPr>
                      <w:pStyle w:val="Referentiegegevens"/>
                    </w:pPr>
                    <w:r>
                      <w:t>Privaatrecht</w:t>
                    </w:r>
                  </w:p>
                  <w:p w14:paraId="037A86FB" w14:textId="77777777" w:rsidR="000005A8" w:rsidRDefault="000005A8">
                    <w:pPr>
                      <w:pStyle w:val="WitregelW1"/>
                    </w:pPr>
                  </w:p>
                  <w:p w14:paraId="0E990209" w14:textId="77777777" w:rsidR="000005A8" w:rsidRPr="00082BF0" w:rsidRDefault="008241E3">
                    <w:pPr>
                      <w:pStyle w:val="Referentiegegevens"/>
                      <w:rPr>
                        <w:lang w:val="de-DE"/>
                      </w:rPr>
                    </w:pPr>
                    <w:proofErr w:type="spellStart"/>
                    <w:r w:rsidRPr="00082BF0">
                      <w:rPr>
                        <w:lang w:val="de-DE"/>
                      </w:rPr>
                      <w:t>Turfmarkt</w:t>
                    </w:r>
                    <w:proofErr w:type="spellEnd"/>
                    <w:r w:rsidRPr="00082BF0">
                      <w:rPr>
                        <w:lang w:val="de-DE"/>
                      </w:rPr>
                      <w:t xml:space="preserve"> 147</w:t>
                    </w:r>
                  </w:p>
                  <w:p w14:paraId="1EEFC540" w14:textId="77777777" w:rsidR="000005A8" w:rsidRPr="00082BF0" w:rsidRDefault="008241E3">
                    <w:pPr>
                      <w:pStyle w:val="Referentiegegevens"/>
                      <w:rPr>
                        <w:lang w:val="de-DE"/>
                      </w:rPr>
                    </w:pPr>
                    <w:r w:rsidRPr="00082BF0">
                      <w:rPr>
                        <w:lang w:val="de-DE"/>
                      </w:rPr>
                      <w:t>2511 DP  Den Haag</w:t>
                    </w:r>
                  </w:p>
                  <w:p w14:paraId="6F6EE1A4" w14:textId="77777777" w:rsidR="000005A8" w:rsidRPr="00082BF0" w:rsidRDefault="008241E3">
                    <w:pPr>
                      <w:pStyle w:val="Referentiegegevens"/>
                      <w:rPr>
                        <w:lang w:val="de-DE"/>
                      </w:rPr>
                    </w:pPr>
                    <w:r w:rsidRPr="00082BF0">
                      <w:rPr>
                        <w:lang w:val="de-DE"/>
                      </w:rPr>
                      <w:t>Postbus 20301</w:t>
                    </w:r>
                  </w:p>
                  <w:p w14:paraId="0BD35607" w14:textId="77777777" w:rsidR="000005A8" w:rsidRPr="00082BF0" w:rsidRDefault="008241E3">
                    <w:pPr>
                      <w:pStyle w:val="Referentiegegevens"/>
                      <w:rPr>
                        <w:lang w:val="de-DE"/>
                      </w:rPr>
                    </w:pPr>
                    <w:r w:rsidRPr="00082BF0">
                      <w:rPr>
                        <w:lang w:val="de-DE"/>
                      </w:rPr>
                      <w:t>2500 EH  Den Haag</w:t>
                    </w:r>
                  </w:p>
                  <w:p w14:paraId="4598115A" w14:textId="77777777" w:rsidR="000005A8" w:rsidRPr="00082BF0" w:rsidRDefault="008241E3">
                    <w:pPr>
                      <w:pStyle w:val="Referentiegegevens"/>
                      <w:rPr>
                        <w:lang w:val="de-DE"/>
                      </w:rPr>
                    </w:pPr>
                    <w:r w:rsidRPr="00082BF0">
                      <w:rPr>
                        <w:lang w:val="de-DE"/>
                      </w:rPr>
                      <w:t>www.rijksoverheid.nl/jenv</w:t>
                    </w:r>
                  </w:p>
                  <w:p w14:paraId="75DE761F" w14:textId="77777777" w:rsidR="000005A8" w:rsidRPr="00082BF0" w:rsidRDefault="000005A8">
                    <w:pPr>
                      <w:pStyle w:val="WitregelW1"/>
                      <w:rPr>
                        <w:lang w:val="de-DE"/>
                      </w:rPr>
                    </w:pPr>
                  </w:p>
                  <w:p w14:paraId="7605138C" w14:textId="77777777" w:rsidR="000005A8" w:rsidRPr="00082BF0" w:rsidRDefault="000005A8">
                    <w:pPr>
                      <w:pStyle w:val="WitregelW2"/>
                      <w:rPr>
                        <w:lang w:val="de-DE"/>
                      </w:rPr>
                    </w:pPr>
                  </w:p>
                  <w:p w14:paraId="3BCBE7FB" w14:textId="77777777" w:rsidR="000005A8" w:rsidRDefault="008241E3">
                    <w:pPr>
                      <w:pStyle w:val="Referentiegegevensbold"/>
                    </w:pPr>
                    <w:r>
                      <w:t>Onze referentie</w:t>
                    </w:r>
                  </w:p>
                  <w:p w14:paraId="188F676C" w14:textId="77777777" w:rsidR="000005A8" w:rsidRDefault="008241E3">
                    <w:pPr>
                      <w:pStyle w:val="Referentiegegevens"/>
                    </w:pPr>
                    <w:r>
                      <w:t>7649539</w:t>
                    </w:r>
                  </w:p>
                  <w:p w14:paraId="507F488A" w14:textId="77777777" w:rsidR="000005A8" w:rsidRDefault="000005A8">
                    <w:pPr>
                      <w:pStyle w:val="WitregelW1"/>
                    </w:pPr>
                  </w:p>
                  <w:p w14:paraId="55F76451" w14:textId="42DDC2C7" w:rsidR="000005A8" w:rsidRDefault="000005A8">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4A302B6" wp14:editId="1CABC65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8ECEDD2" w14:textId="77777777" w:rsidR="000005A8" w:rsidRDefault="008241E3">
                          <w:pPr>
                            <w:pStyle w:val="Referentiegegevens"/>
                          </w:pPr>
                          <w:r>
                            <w:t xml:space="preserve">Pagina </w:t>
                          </w:r>
                          <w:r>
                            <w:fldChar w:fldCharType="begin"/>
                          </w:r>
                          <w:r>
                            <w:instrText>PAGE</w:instrText>
                          </w:r>
                          <w:r>
                            <w:fldChar w:fldCharType="separate"/>
                          </w:r>
                          <w:r w:rsidR="00160B72">
                            <w:rPr>
                              <w:noProof/>
                            </w:rPr>
                            <w:t>1</w:t>
                          </w:r>
                          <w:r>
                            <w:fldChar w:fldCharType="end"/>
                          </w:r>
                          <w:r>
                            <w:t xml:space="preserve"> van </w:t>
                          </w:r>
                          <w:r>
                            <w:fldChar w:fldCharType="begin"/>
                          </w:r>
                          <w:r>
                            <w:instrText>NUMPAGES</w:instrText>
                          </w:r>
                          <w:r>
                            <w:fldChar w:fldCharType="separate"/>
                          </w:r>
                          <w:r w:rsidR="00160B72">
                            <w:rPr>
                              <w:noProof/>
                            </w:rPr>
                            <w:t>1</w:t>
                          </w:r>
                          <w:r>
                            <w:fldChar w:fldCharType="end"/>
                          </w:r>
                        </w:p>
                      </w:txbxContent>
                    </wps:txbx>
                    <wps:bodyPr vert="horz" wrap="square" lIns="0" tIns="0" rIns="0" bIns="0" anchor="t" anchorCtr="0"/>
                  </wps:wsp>
                </a:graphicData>
              </a:graphic>
            </wp:anchor>
          </w:drawing>
        </mc:Choice>
        <mc:Fallback>
          <w:pict>
            <v:shape w14:anchorId="24A302B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8ECEDD2" w14:textId="77777777" w:rsidR="000005A8" w:rsidRDefault="008241E3">
                    <w:pPr>
                      <w:pStyle w:val="Referentiegegevens"/>
                    </w:pPr>
                    <w:r>
                      <w:t xml:space="preserve">Pagina </w:t>
                    </w:r>
                    <w:r>
                      <w:fldChar w:fldCharType="begin"/>
                    </w:r>
                    <w:r>
                      <w:instrText>PAGE</w:instrText>
                    </w:r>
                    <w:r>
                      <w:fldChar w:fldCharType="separate"/>
                    </w:r>
                    <w:r w:rsidR="00160B72">
                      <w:rPr>
                        <w:noProof/>
                      </w:rPr>
                      <w:t>1</w:t>
                    </w:r>
                    <w:r>
                      <w:fldChar w:fldCharType="end"/>
                    </w:r>
                    <w:r>
                      <w:t xml:space="preserve"> van </w:t>
                    </w:r>
                    <w:r>
                      <w:fldChar w:fldCharType="begin"/>
                    </w:r>
                    <w:r>
                      <w:instrText>NUMPAGES</w:instrText>
                    </w:r>
                    <w:r>
                      <w:fldChar w:fldCharType="separate"/>
                    </w:r>
                    <w:r w:rsidR="00160B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4E45691" wp14:editId="46D9A82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5BB45D" w14:textId="77777777" w:rsidR="008241E3" w:rsidRDefault="008241E3"/>
                      </w:txbxContent>
                    </wps:txbx>
                    <wps:bodyPr vert="horz" wrap="square" lIns="0" tIns="0" rIns="0" bIns="0" anchor="t" anchorCtr="0"/>
                  </wps:wsp>
                </a:graphicData>
              </a:graphic>
            </wp:anchor>
          </w:drawing>
        </mc:Choice>
        <mc:Fallback>
          <w:pict>
            <v:shape w14:anchorId="04E4569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25BB45D" w14:textId="77777777" w:rsidR="008241E3" w:rsidRDefault="008241E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2D5967"/>
    <w:multiLevelType w:val="multilevel"/>
    <w:tmpl w:val="88A8587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EE3F107"/>
    <w:multiLevelType w:val="multilevel"/>
    <w:tmpl w:val="A69F8DD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F074046"/>
    <w:multiLevelType w:val="multilevel"/>
    <w:tmpl w:val="64813A7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C0388FD"/>
    <w:multiLevelType w:val="multilevel"/>
    <w:tmpl w:val="BA16902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ACD4023"/>
    <w:multiLevelType w:val="multilevel"/>
    <w:tmpl w:val="39564E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679DAB4"/>
    <w:multiLevelType w:val="multilevel"/>
    <w:tmpl w:val="A804628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95711801">
    <w:abstractNumId w:val="0"/>
  </w:num>
  <w:num w:numId="2" w16cid:durableId="1062290774">
    <w:abstractNumId w:val="2"/>
  </w:num>
  <w:num w:numId="3" w16cid:durableId="1513370976">
    <w:abstractNumId w:val="1"/>
  </w:num>
  <w:num w:numId="4" w16cid:durableId="1567455003">
    <w:abstractNumId w:val="4"/>
  </w:num>
  <w:num w:numId="5" w16cid:durableId="197739530">
    <w:abstractNumId w:val="5"/>
  </w:num>
  <w:num w:numId="6" w16cid:durableId="2014844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2"/>
    <w:rsid w:val="000005A8"/>
    <w:rsid w:val="0000637B"/>
    <w:rsid w:val="000274BD"/>
    <w:rsid w:val="000658D8"/>
    <w:rsid w:val="00082BF0"/>
    <w:rsid w:val="00082FE3"/>
    <w:rsid w:val="000A7850"/>
    <w:rsid w:val="000D03E6"/>
    <w:rsid w:val="000D3358"/>
    <w:rsid w:val="000D5FF7"/>
    <w:rsid w:val="00107D92"/>
    <w:rsid w:val="00144D6A"/>
    <w:rsid w:val="001505E5"/>
    <w:rsid w:val="00160B72"/>
    <w:rsid w:val="001F4D86"/>
    <w:rsid w:val="001F5ACA"/>
    <w:rsid w:val="0020047A"/>
    <w:rsid w:val="002036EA"/>
    <w:rsid w:val="00243EBB"/>
    <w:rsid w:val="00292DE9"/>
    <w:rsid w:val="0029732D"/>
    <w:rsid w:val="003365C2"/>
    <w:rsid w:val="0034667F"/>
    <w:rsid w:val="003564EB"/>
    <w:rsid w:val="003D122D"/>
    <w:rsid w:val="003E22E7"/>
    <w:rsid w:val="003E44CF"/>
    <w:rsid w:val="003F18E6"/>
    <w:rsid w:val="0044016E"/>
    <w:rsid w:val="00443523"/>
    <w:rsid w:val="00452B92"/>
    <w:rsid w:val="0047149E"/>
    <w:rsid w:val="00490C09"/>
    <w:rsid w:val="004A22B8"/>
    <w:rsid w:val="004B4AF7"/>
    <w:rsid w:val="004D55C6"/>
    <w:rsid w:val="004F07D8"/>
    <w:rsid w:val="00537EAE"/>
    <w:rsid w:val="005413FA"/>
    <w:rsid w:val="00564F21"/>
    <w:rsid w:val="005964C8"/>
    <w:rsid w:val="00596FF0"/>
    <w:rsid w:val="00605A17"/>
    <w:rsid w:val="00625CFA"/>
    <w:rsid w:val="0067393E"/>
    <w:rsid w:val="00776D0A"/>
    <w:rsid w:val="00786421"/>
    <w:rsid w:val="007A7DDE"/>
    <w:rsid w:val="008241E3"/>
    <w:rsid w:val="008F4719"/>
    <w:rsid w:val="0090657D"/>
    <w:rsid w:val="00941CFD"/>
    <w:rsid w:val="00942CA2"/>
    <w:rsid w:val="00964B0B"/>
    <w:rsid w:val="00964D88"/>
    <w:rsid w:val="00966A34"/>
    <w:rsid w:val="00985C27"/>
    <w:rsid w:val="00A01BBB"/>
    <w:rsid w:val="00A01F44"/>
    <w:rsid w:val="00A22C72"/>
    <w:rsid w:val="00A31D9C"/>
    <w:rsid w:val="00AA7BA9"/>
    <w:rsid w:val="00B63441"/>
    <w:rsid w:val="00BB7303"/>
    <w:rsid w:val="00BC0D83"/>
    <w:rsid w:val="00C31A38"/>
    <w:rsid w:val="00C361F3"/>
    <w:rsid w:val="00C508F3"/>
    <w:rsid w:val="00C83680"/>
    <w:rsid w:val="00C94315"/>
    <w:rsid w:val="00CD2FB4"/>
    <w:rsid w:val="00D311E1"/>
    <w:rsid w:val="00D437A3"/>
    <w:rsid w:val="00D501FF"/>
    <w:rsid w:val="00E54D0A"/>
    <w:rsid w:val="00EA2783"/>
    <w:rsid w:val="00EC3DD4"/>
    <w:rsid w:val="00F02724"/>
    <w:rsid w:val="00F677C3"/>
    <w:rsid w:val="00F7099F"/>
    <w:rsid w:val="00F87D87"/>
    <w:rsid w:val="00FD7AF1"/>
    <w:rsid w:val="00FE0C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7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292DE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92DE9"/>
    <w:rPr>
      <w:rFonts w:ascii="Verdana" w:hAnsi="Verdana"/>
      <w:color w:val="000000"/>
    </w:rPr>
  </w:style>
  <w:style w:type="character" w:styleId="Voetnootmarkering">
    <w:name w:val="footnote reference"/>
    <w:basedOn w:val="Standaardalinea-lettertype"/>
    <w:uiPriority w:val="99"/>
    <w:semiHidden/>
    <w:unhideWhenUsed/>
    <w:rsid w:val="00292DE9"/>
    <w:rPr>
      <w:vertAlign w:val="superscript"/>
    </w:rPr>
  </w:style>
  <w:style w:type="paragraph" w:styleId="Koptekst">
    <w:name w:val="header"/>
    <w:basedOn w:val="Standaard"/>
    <w:link w:val="KoptekstChar"/>
    <w:uiPriority w:val="99"/>
    <w:unhideWhenUsed/>
    <w:rsid w:val="00D311E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311E1"/>
    <w:rPr>
      <w:rFonts w:ascii="Verdana" w:hAnsi="Verdana"/>
      <w:color w:val="000000"/>
      <w:sz w:val="18"/>
      <w:szCs w:val="18"/>
    </w:rPr>
  </w:style>
  <w:style w:type="paragraph" w:styleId="Revisie">
    <w:name w:val="Revision"/>
    <w:hidden/>
    <w:uiPriority w:val="99"/>
    <w:semiHidden/>
    <w:rsid w:val="001F4D8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F4D86"/>
    <w:rPr>
      <w:sz w:val="16"/>
      <w:szCs w:val="16"/>
    </w:rPr>
  </w:style>
  <w:style w:type="paragraph" w:styleId="Tekstopmerking">
    <w:name w:val="annotation text"/>
    <w:basedOn w:val="Standaard"/>
    <w:link w:val="TekstopmerkingChar"/>
    <w:uiPriority w:val="99"/>
    <w:unhideWhenUsed/>
    <w:rsid w:val="001F4D86"/>
    <w:pPr>
      <w:spacing w:line="240" w:lineRule="auto"/>
    </w:pPr>
    <w:rPr>
      <w:sz w:val="20"/>
      <w:szCs w:val="20"/>
    </w:rPr>
  </w:style>
  <w:style w:type="character" w:customStyle="1" w:styleId="TekstopmerkingChar">
    <w:name w:val="Tekst opmerking Char"/>
    <w:basedOn w:val="Standaardalinea-lettertype"/>
    <w:link w:val="Tekstopmerking"/>
    <w:uiPriority w:val="99"/>
    <w:rsid w:val="001F4D8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F4D86"/>
    <w:rPr>
      <w:b/>
      <w:bCs/>
    </w:rPr>
  </w:style>
  <w:style w:type="character" w:customStyle="1" w:styleId="OnderwerpvanopmerkingChar">
    <w:name w:val="Onderwerp van opmerking Char"/>
    <w:basedOn w:val="TekstopmerkingChar"/>
    <w:link w:val="Onderwerpvanopmerking"/>
    <w:uiPriority w:val="99"/>
    <w:semiHidden/>
    <w:rsid w:val="001F4D86"/>
    <w:rPr>
      <w:rFonts w:ascii="Verdana" w:hAnsi="Verdana"/>
      <w:b/>
      <w:bCs/>
      <w:color w:val="000000"/>
    </w:rPr>
  </w:style>
  <w:style w:type="character" w:styleId="Onopgelostemelding">
    <w:name w:val="Unresolved Mention"/>
    <w:basedOn w:val="Standaardalinea-lettertype"/>
    <w:uiPriority w:val="99"/>
    <w:semiHidden/>
    <w:unhideWhenUsed/>
    <w:rsid w:val="0078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871</ap:Words>
  <ap:Characters>4793</ap:Characters>
  <ap:DocSecurity>0</ap:DocSecurity>
  <ap:Lines>39</ap:Lines>
  <ap:Paragraphs>11</ap:Paragraphs>
  <ap:ScaleCrop>false</ap:ScaleCrop>
  <ap:LinksUpToDate>false</ap:LinksUpToDate>
  <ap:CharactersWithSpaces>5653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2026-06-10T10:53:00.0000000Z</dcterms:created>
  <dcterms:modified xsi:type="dcterms:W3CDTF">2026-06-10T10:53:00.0000000Z</dcterms:modified>
  <dc:description>------------------------</dc:description>
  <version/>
  <category/>
</coreProperties>
</file>