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6317" w:rsidR="00950E15" w:rsidP="00E6057F" w:rsidRDefault="00A578EE" w14:paraId="48ED04CF" w14:textId="7951CD8B">
      <w:pPr>
        <w:jc w:val="both"/>
        <w:rPr>
          <w:b/>
          <w:bCs/>
        </w:rPr>
      </w:pPr>
      <w:r w:rsidRPr="00D36317">
        <w:rPr>
          <w:b/>
          <w:bCs/>
        </w:rPr>
        <w:t>Besluit van </w:t>
      </w:r>
    </w:p>
    <w:p w:rsidRPr="009F0CBB" w:rsidR="00950E15" w:rsidP="00E6057F" w:rsidRDefault="00950E15" w14:paraId="47DE4F24" w14:textId="77777777">
      <w:pPr>
        <w:jc w:val="both"/>
      </w:pPr>
    </w:p>
    <w:p w:rsidR="00950E15" w:rsidP="00E6057F" w:rsidRDefault="00967DC0" w14:paraId="368EFF08" w14:textId="50A6E515">
      <w:pPr>
        <w:jc w:val="both"/>
        <w:rPr>
          <w:b/>
          <w:bCs/>
        </w:rPr>
      </w:pPr>
      <w:r w:rsidRPr="00D36317">
        <w:rPr>
          <w:b/>
          <w:bCs/>
        </w:rPr>
        <w:t xml:space="preserve">tot wijziging van het Besluit inhoud bestuursverslag </w:t>
      </w:r>
      <w:r w:rsidRPr="00D36317" w:rsidR="00A578EE">
        <w:rPr>
          <w:b/>
          <w:bCs/>
        </w:rPr>
        <w:t>ter implementatie van</w:t>
      </w:r>
      <w:r w:rsidRPr="00D36317" w:rsidR="00900D2F">
        <w:rPr>
          <w:b/>
          <w:bCs/>
        </w:rPr>
        <w:t xml:space="preserve"> artikel 5, derde lid</w:t>
      </w:r>
      <w:r w:rsidRPr="00D36317" w:rsidR="00AA187F">
        <w:rPr>
          <w:b/>
          <w:bCs/>
        </w:rPr>
        <w:t>,</w:t>
      </w:r>
      <w:r w:rsidRPr="00D36317" w:rsidR="00900D2F">
        <w:rPr>
          <w:b/>
          <w:bCs/>
        </w:rPr>
        <w:t xml:space="preserve"> van</w:t>
      </w:r>
      <w:r w:rsidRPr="00D36317" w:rsidR="00A578EE">
        <w:rPr>
          <w:b/>
          <w:bCs/>
        </w:rPr>
        <w:t xml:space="preserve"> Richtlijn (EU) 2024/2810 van</w:t>
      </w:r>
      <w:r w:rsidRPr="00D36317" w:rsidR="00DB6767">
        <w:rPr>
          <w:b/>
          <w:bCs/>
        </w:rPr>
        <w:t xml:space="preserve"> </w:t>
      </w:r>
      <w:r w:rsidRPr="00D36317" w:rsidR="00A578EE">
        <w:rPr>
          <w:b/>
          <w:bCs/>
        </w:rPr>
        <w:t>het Europees Parlement en de Raad van 23 oktober 2024 betreffende structuren met aandelen met meervoudig stemrecht in ondernemingen die om de toelating tot de handel van hun</w:t>
      </w:r>
      <w:r w:rsidR="00DF4E3C">
        <w:rPr>
          <w:b/>
          <w:bCs/>
        </w:rPr>
        <w:t xml:space="preserve"> </w:t>
      </w:r>
      <w:r w:rsidRPr="00D36317" w:rsidR="00A578EE">
        <w:rPr>
          <w:b/>
          <w:bCs/>
        </w:rPr>
        <w:t>aandelen op een multilaterale handelsfaciliteit verzoeken (Implementatie</w:t>
      </w:r>
      <w:r w:rsidRPr="00D36317" w:rsidR="00DB6767">
        <w:rPr>
          <w:b/>
          <w:bCs/>
        </w:rPr>
        <w:t>besluit</w:t>
      </w:r>
      <w:r w:rsidRPr="00D36317" w:rsidR="00A578EE">
        <w:rPr>
          <w:b/>
          <w:bCs/>
        </w:rPr>
        <w:t xml:space="preserve"> richtlijn </w:t>
      </w:r>
      <w:r w:rsidRPr="00D36317" w:rsidR="00DB6767">
        <w:rPr>
          <w:b/>
          <w:bCs/>
        </w:rPr>
        <w:t xml:space="preserve">aandelen met </w:t>
      </w:r>
      <w:r w:rsidRPr="00D36317" w:rsidR="00A578EE">
        <w:rPr>
          <w:b/>
          <w:bCs/>
        </w:rPr>
        <w:t>meervoudig stemrecht)</w:t>
      </w:r>
      <w:r w:rsidRPr="00D36317" w:rsidR="00815252">
        <w:rPr>
          <w:b/>
          <w:bCs/>
        </w:rPr>
        <w:t xml:space="preserve"> </w:t>
      </w:r>
    </w:p>
    <w:p w:rsidRPr="00D36317" w:rsidR="00D36317" w:rsidP="00E6057F" w:rsidRDefault="00D36317" w14:paraId="1568532C" w14:textId="02BC1748">
      <w:pPr>
        <w:jc w:val="both"/>
        <w:rPr>
          <w:b/>
          <w:bCs/>
        </w:rPr>
      </w:pPr>
      <w:r>
        <w:rPr>
          <w:b/>
          <w:bCs/>
        </w:rPr>
        <w:t>[KetenID WGK0</w:t>
      </w:r>
      <w:r w:rsidR="005F04CD">
        <w:rPr>
          <w:b/>
          <w:bCs/>
        </w:rPr>
        <w:t>29138]</w:t>
      </w:r>
    </w:p>
    <w:p w:rsidRPr="009F0CBB" w:rsidR="00950E15" w:rsidP="00E6057F" w:rsidRDefault="00950E15" w14:paraId="26DA9F6A" w14:textId="77777777">
      <w:pPr>
        <w:jc w:val="both"/>
      </w:pPr>
    </w:p>
    <w:p w:rsidRPr="009F0CBB" w:rsidR="00950E15" w:rsidP="00E6057F" w:rsidRDefault="00DA7D2C" w14:paraId="2C226041" w14:textId="47EEC7D3">
      <w:pPr>
        <w:jc w:val="both"/>
      </w:pPr>
      <w:r>
        <w:t>O</w:t>
      </w:r>
      <w:r w:rsidRPr="009F0CBB" w:rsidR="00A578EE">
        <w:t xml:space="preserve">p de voordracht van </w:t>
      </w:r>
      <w:r w:rsidR="00DF4E3C">
        <w:t xml:space="preserve">de </w:t>
      </w:r>
      <w:r w:rsidRPr="009F0CBB" w:rsidR="00A578EE">
        <w:t>Staatssecretaris van Justitie en Veiligheid van</w:t>
      </w:r>
      <w:r w:rsidR="00DF22D2">
        <w:t xml:space="preserve"> 4 juni 2026</w:t>
      </w:r>
      <w:r w:rsidRPr="009F0CBB" w:rsidR="00A578EE">
        <w:t xml:space="preserve">, </w:t>
      </w:r>
      <w:r w:rsidR="00DF4E3C">
        <w:t>directie Wetgeving en Juridische Zaken,</w:t>
      </w:r>
      <w:r w:rsidRPr="009F0CBB" w:rsidR="00A578EE">
        <w:t xml:space="preserve"> nr.</w:t>
      </w:r>
      <w:r w:rsidR="00DF22D2">
        <w:t>7667292</w:t>
      </w:r>
      <w:r w:rsidR="00DF4E3C">
        <w:t>;</w:t>
      </w:r>
      <w:r w:rsidRPr="009F0CBB" w:rsidR="00A578EE">
        <w:t xml:space="preserve"> </w:t>
      </w:r>
      <w:r>
        <w:t>gedaan in overeenstemming met</w:t>
      </w:r>
      <w:r w:rsidRPr="009F0CBB" w:rsidR="00900D2F">
        <w:t xml:space="preserve"> </w:t>
      </w:r>
      <w:r>
        <w:t>Onze</w:t>
      </w:r>
      <w:r w:rsidRPr="009F0CBB" w:rsidR="00A578EE">
        <w:t> Minister van Financiën;</w:t>
      </w:r>
    </w:p>
    <w:p w:rsidRPr="009F0CBB" w:rsidR="00950E15" w:rsidP="00E6057F" w:rsidRDefault="00950E15" w14:paraId="3DD360AD" w14:textId="0EA5CBAD">
      <w:pPr>
        <w:jc w:val="both"/>
      </w:pPr>
    </w:p>
    <w:p w:rsidRPr="009F0CBB" w:rsidR="00950E15" w:rsidP="00E6057F" w:rsidRDefault="00A578EE" w14:paraId="71309620" w14:textId="13894378">
      <w:pPr>
        <w:jc w:val="both"/>
      </w:pPr>
      <w:r w:rsidRPr="009F0CBB">
        <w:t xml:space="preserve">Gelet op artikel 391a, tweede lid, </w:t>
      </w:r>
      <w:r w:rsidR="00336B4E">
        <w:t xml:space="preserve">onderdeel a, </w:t>
      </w:r>
      <w:r w:rsidRPr="009F0CBB">
        <w:t>van Boek 2 van het Burgerlijk Wetboek;</w:t>
      </w:r>
    </w:p>
    <w:p w:rsidRPr="009F0CBB" w:rsidR="00EB6F32" w:rsidP="00E6057F" w:rsidRDefault="00EB6F32" w14:paraId="0665AE7E" w14:textId="77777777">
      <w:pPr>
        <w:jc w:val="both"/>
      </w:pPr>
    </w:p>
    <w:p w:rsidRPr="009F0CBB" w:rsidR="00950E15" w:rsidP="00E6057F" w:rsidRDefault="00A578EE" w14:paraId="3A9DF34D" w14:textId="77777777">
      <w:pPr>
        <w:jc w:val="both"/>
      </w:pPr>
      <w:r w:rsidRPr="009F0CBB">
        <w:t>De Afdeling advisering van de Raad van State gehoord (advies van , nr. );</w:t>
      </w:r>
    </w:p>
    <w:p w:rsidRPr="009F0CBB" w:rsidR="00950E15" w:rsidP="00E6057F" w:rsidRDefault="00950E15" w14:paraId="588BA02C" w14:textId="77777777">
      <w:pPr>
        <w:jc w:val="both"/>
      </w:pPr>
    </w:p>
    <w:p w:rsidRPr="009F0CBB" w:rsidR="00DF4E3C" w:rsidP="00DF4E3C" w:rsidRDefault="00A578EE" w14:paraId="49EC9D50" w14:textId="6C1A85A5">
      <w:pPr>
        <w:jc w:val="both"/>
      </w:pPr>
      <w:r w:rsidRPr="009F0CBB">
        <w:t>Gezien het nader rapport van</w:t>
      </w:r>
      <w:r w:rsidR="00DF4E3C">
        <w:t xml:space="preserve"> de Staatssecretaris van Justitie en Veiligheid van</w:t>
      </w:r>
      <w:r w:rsidRPr="009F0CBB">
        <w:t> </w:t>
      </w:r>
      <w:r w:rsidR="00DF4E3C">
        <w:t xml:space="preserve">..2026, </w:t>
      </w:r>
      <w:r w:rsidRPr="00DF4E3C" w:rsidR="00DF4E3C">
        <w:t>directie Wetgeving en Juridische Zaken, nr</w:t>
      </w:r>
      <w:r w:rsidRPr="00FA4F33" w:rsidR="00DF4E3C">
        <w:t>. (kenmerk nader rapport),</w:t>
      </w:r>
      <w:r w:rsidR="00DF4E3C">
        <w:t xml:space="preserve"> gedaan in overeenstemming met</w:t>
      </w:r>
      <w:r w:rsidRPr="009F0CBB" w:rsidR="00DF4E3C">
        <w:t xml:space="preserve"> </w:t>
      </w:r>
      <w:r w:rsidR="00DF4E3C">
        <w:t>Onze</w:t>
      </w:r>
      <w:r w:rsidRPr="009F0CBB" w:rsidR="00DF4E3C">
        <w:t> Minister van Financiën;</w:t>
      </w:r>
    </w:p>
    <w:p w:rsidRPr="009F0CBB" w:rsidR="00950E15" w:rsidP="00E6057F" w:rsidRDefault="00950E15" w14:paraId="7F8C9198" w14:textId="155BE90C">
      <w:pPr>
        <w:jc w:val="both"/>
      </w:pPr>
    </w:p>
    <w:p w:rsidRPr="009F0CBB" w:rsidR="00950E15" w:rsidP="00E6057F" w:rsidRDefault="00950E15" w14:paraId="4EBA7DB6" w14:textId="77777777">
      <w:pPr>
        <w:jc w:val="both"/>
      </w:pPr>
    </w:p>
    <w:p w:rsidRPr="009F0CBB" w:rsidR="00950E15" w:rsidP="00E6057F" w:rsidRDefault="00A578EE" w14:paraId="30DFDBFC" w14:textId="7187E71A">
      <w:pPr>
        <w:jc w:val="both"/>
      </w:pPr>
      <w:r w:rsidRPr="009F0CBB">
        <w:t>Hebben goedgevonden en verstaan:</w:t>
      </w:r>
    </w:p>
    <w:p w:rsidRPr="009F0CBB" w:rsidR="00A578EE" w:rsidP="00E6057F" w:rsidRDefault="00A578EE" w14:paraId="41A3835D" w14:textId="77777777">
      <w:pPr>
        <w:jc w:val="both"/>
      </w:pPr>
    </w:p>
    <w:p w:rsidRPr="009F0CBB" w:rsidR="00950E15" w:rsidP="00E6057F" w:rsidRDefault="00950E15" w14:paraId="170724BF" w14:textId="77777777">
      <w:pPr>
        <w:jc w:val="both"/>
      </w:pPr>
    </w:p>
    <w:p w:rsidR="00950E15" w:rsidP="00E6057F" w:rsidRDefault="00746CEF" w14:paraId="69241833" w14:textId="6FE7E92D">
      <w:pPr>
        <w:jc w:val="both"/>
        <w:rPr>
          <w:b/>
          <w:bCs/>
        </w:rPr>
      </w:pPr>
      <w:r w:rsidRPr="009F0CBB">
        <w:rPr>
          <w:b/>
          <w:bCs/>
        </w:rPr>
        <w:t xml:space="preserve">Artikel </w:t>
      </w:r>
      <w:r w:rsidR="00967DC0">
        <w:rPr>
          <w:b/>
          <w:bCs/>
        </w:rPr>
        <w:t>I</w:t>
      </w:r>
    </w:p>
    <w:p w:rsidR="00967DC0" w:rsidP="00E6057F" w:rsidRDefault="00967DC0" w14:paraId="2629BA73" w14:textId="77777777">
      <w:pPr>
        <w:jc w:val="both"/>
        <w:rPr>
          <w:b/>
          <w:bCs/>
        </w:rPr>
      </w:pPr>
    </w:p>
    <w:p w:rsidRPr="00324A7C" w:rsidR="00967DC0" w:rsidP="00E6057F" w:rsidRDefault="0047631D" w14:paraId="7821CDCD" w14:textId="2FB184EE">
      <w:pPr>
        <w:jc w:val="both"/>
      </w:pPr>
      <w:r w:rsidRPr="00324A7C">
        <w:t>Na artikel 3d</w:t>
      </w:r>
      <w:r w:rsidR="00F45039">
        <w:t xml:space="preserve"> van het </w:t>
      </w:r>
      <w:r w:rsidRPr="00C158A5" w:rsidR="00F45039">
        <w:t>Besluit inhoud bestuursverslag</w:t>
      </w:r>
      <w:r w:rsidRPr="00324A7C">
        <w:t xml:space="preserve"> wordt een artikel ingevoegd, luidende:</w:t>
      </w:r>
    </w:p>
    <w:p w:rsidRPr="00324A7C" w:rsidR="0047631D" w:rsidP="00E6057F" w:rsidRDefault="0047631D" w14:paraId="6822A97C" w14:textId="77777777">
      <w:pPr>
        <w:jc w:val="both"/>
      </w:pPr>
    </w:p>
    <w:p w:rsidRPr="00C158A5" w:rsidR="0047631D" w:rsidP="00E6057F" w:rsidRDefault="0047631D" w14:paraId="6E199FAB" w14:textId="713B43AF">
      <w:pPr>
        <w:jc w:val="both"/>
        <w:rPr>
          <w:b/>
          <w:bCs/>
        </w:rPr>
      </w:pPr>
      <w:r w:rsidRPr="00C158A5">
        <w:rPr>
          <w:b/>
          <w:bCs/>
        </w:rPr>
        <w:t>Artikel 3e</w:t>
      </w:r>
    </w:p>
    <w:p w:rsidRPr="00324A7C" w:rsidR="00746CEF" w:rsidP="00E6057F" w:rsidRDefault="00746CEF" w14:paraId="38528D1D" w14:textId="77777777">
      <w:pPr>
        <w:jc w:val="both"/>
      </w:pPr>
    </w:p>
    <w:p w:rsidRPr="00F45039" w:rsidR="00837C85" w:rsidP="00E6057F" w:rsidRDefault="00746CEF" w14:paraId="4D879416" w14:textId="548E28BE">
      <w:pPr>
        <w:spacing w:after="160" w:line="259" w:lineRule="auto"/>
        <w:jc w:val="both"/>
        <w:outlineLvl w:val="0"/>
        <w:rPr>
          <w:rFonts w:cs="Arial"/>
        </w:rPr>
      </w:pPr>
      <w:r w:rsidRPr="00F45039">
        <w:rPr>
          <w:rFonts w:cs="Arial"/>
        </w:rPr>
        <w:t xml:space="preserve">Indien </w:t>
      </w:r>
      <w:r w:rsidRPr="00C158A5" w:rsidR="00F45039">
        <w:rPr>
          <w:rFonts w:cs="Arial"/>
        </w:rPr>
        <w:t xml:space="preserve">het tweede lid van </w:t>
      </w:r>
      <w:r w:rsidRPr="00F45039">
        <w:rPr>
          <w:rFonts w:cs="Arial"/>
        </w:rPr>
        <w:t xml:space="preserve">artikel </w:t>
      </w:r>
      <w:r w:rsidRPr="00F45039" w:rsidR="00E60A6D">
        <w:rPr>
          <w:rFonts w:cs="Arial"/>
        </w:rPr>
        <w:t>5:6</w:t>
      </w:r>
      <w:r w:rsidRPr="00F45039">
        <w:rPr>
          <w:rFonts w:cs="Arial"/>
        </w:rPr>
        <w:t xml:space="preserve"> van de Wet op het financieel toezicht van toepassing is</w:t>
      </w:r>
      <w:r w:rsidRPr="00F45039" w:rsidR="00837C85">
        <w:rPr>
          <w:rFonts w:cs="Arial"/>
        </w:rPr>
        <w:t xml:space="preserve"> op </w:t>
      </w:r>
      <w:r w:rsidRPr="00F45039" w:rsidR="00DA2DE7">
        <w:rPr>
          <w:rFonts w:cs="Arial"/>
        </w:rPr>
        <w:t>een</w:t>
      </w:r>
      <w:r w:rsidRPr="00F45039" w:rsidR="00837C85">
        <w:rPr>
          <w:rFonts w:cs="Arial"/>
        </w:rPr>
        <w:t xml:space="preserve"> </w:t>
      </w:r>
      <w:r w:rsidRPr="00F45039" w:rsidR="00EC6EFD">
        <w:rPr>
          <w:rFonts w:cs="Arial"/>
        </w:rPr>
        <w:t>vennootschap</w:t>
      </w:r>
      <w:r w:rsidRPr="00F45039">
        <w:rPr>
          <w:rFonts w:cs="Arial"/>
        </w:rPr>
        <w:t>,</w:t>
      </w:r>
      <w:r w:rsidRPr="00F45039" w:rsidR="00837C85">
        <w:rPr>
          <w:rFonts w:cs="Arial"/>
        </w:rPr>
        <w:t xml:space="preserve"> neemt zij in het bestuursverslag</w:t>
      </w:r>
      <w:r w:rsidRPr="00F45039" w:rsidR="00506B10">
        <w:rPr>
          <w:rFonts w:cs="Arial"/>
        </w:rPr>
        <w:t xml:space="preserve"> gedetailleerde</w:t>
      </w:r>
      <w:r w:rsidRPr="00F45039" w:rsidR="00837C85">
        <w:rPr>
          <w:rFonts w:cs="Arial"/>
        </w:rPr>
        <w:t xml:space="preserve"> informatie op over</w:t>
      </w:r>
      <w:r w:rsidRPr="00F45039">
        <w:rPr>
          <w:rFonts w:cs="Arial"/>
        </w:rPr>
        <w:t>:</w:t>
      </w:r>
      <w:r w:rsidRPr="00F45039" w:rsidR="00837C85">
        <w:rPr>
          <w:rFonts w:cs="Arial"/>
        </w:rPr>
        <w:t xml:space="preserve"> </w:t>
      </w:r>
    </w:p>
    <w:p w:rsidRPr="009F0CBB" w:rsidR="00837C85" w:rsidP="00E6057F" w:rsidRDefault="00746CEF" w14:paraId="6A0625E7" w14:textId="436554F4">
      <w:pPr>
        <w:pStyle w:val="Lijstalinea"/>
        <w:numPr>
          <w:ilvl w:val="1"/>
          <w:numId w:val="12"/>
        </w:numPr>
        <w:spacing w:after="160" w:line="259" w:lineRule="auto"/>
        <w:jc w:val="both"/>
        <w:outlineLvl w:val="0"/>
        <w:rPr>
          <w:rFonts w:cs="Arial"/>
        </w:rPr>
      </w:pPr>
      <w:bookmarkStart w:name="_Hlk224830441" w:id="0"/>
      <w:r w:rsidRPr="009F0CBB">
        <w:rPr>
          <w:rFonts w:cs="Arial"/>
        </w:rPr>
        <w:t>de aandelenstructuur van de</w:t>
      </w:r>
      <w:r w:rsidRPr="009F0CBB" w:rsidR="00EC6EFD">
        <w:rPr>
          <w:rFonts w:cs="Arial"/>
        </w:rPr>
        <w:t xml:space="preserve"> vennootschap</w:t>
      </w:r>
      <w:r w:rsidRPr="009F0CBB">
        <w:rPr>
          <w:rFonts w:cs="Arial"/>
        </w:rPr>
        <w:t xml:space="preserve"> met vermelding van de verschillende soorten aandelen, met inbegrip van de aandelen die niet tot de handel zijn toegelaten en, voor elke soort aandelen:</w:t>
      </w:r>
    </w:p>
    <w:p w:rsidRPr="009F0CBB" w:rsidR="00837C85" w:rsidP="00E6057F" w:rsidRDefault="00746CEF" w14:paraId="2C82ED77" w14:textId="41B81112">
      <w:pPr>
        <w:spacing w:after="160" w:line="259" w:lineRule="auto"/>
        <w:ind w:firstLine="360"/>
        <w:jc w:val="both"/>
        <w:outlineLvl w:val="0"/>
        <w:rPr>
          <w:rFonts w:cs="Arial"/>
        </w:rPr>
      </w:pPr>
      <w:bookmarkStart w:name="_Hlk224830412" w:id="1"/>
      <w:bookmarkEnd w:id="0"/>
      <w:r w:rsidRPr="009F0CBB">
        <w:rPr>
          <w:rFonts w:cs="Arial"/>
        </w:rPr>
        <w:t>1°. de rechten en plichten die aan de aandelen van die soort zijn verbonden,</w:t>
      </w:r>
    </w:p>
    <w:p w:rsidRPr="009F0CBB" w:rsidR="00837C85" w:rsidP="00E6057F" w:rsidRDefault="00746CEF" w14:paraId="3ED781F5" w14:textId="77777777">
      <w:pPr>
        <w:spacing w:after="160" w:line="259" w:lineRule="auto"/>
        <w:ind w:left="360"/>
        <w:jc w:val="both"/>
        <w:outlineLvl w:val="0"/>
        <w:rPr>
          <w:rFonts w:cs="Arial"/>
        </w:rPr>
      </w:pPr>
      <w:r w:rsidRPr="009F0CBB">
        <w:rPr>
          <w:rFonts w:cs="Arial"/>
        </w:rPr>
        <w:lastRenderedPageBreak/>
        <w:t>2°. het percentage van het totale aandelenkapitaal of van het totale aantal aandelen dat de aandelen van die soort vertegenwoordigen, en</w:t>
      </w:r>
    </w:p>
    <w:p w:rsidRPr="009F0CBB" w:rsidR="00746CEF" w:rsidP="00E6057F" w:rsidRDefault="00746CEF" w14:paraId="2760D4D8" w14:textId="6CA1787B">
      <w:pPr>
        <w:spacing w:after="160" w:line="259" w:lineRule="auto"/>
        <w:ind w:firstLine="360"/>
        <w:jc w:val="both"/>
        <w:outlineLvl w:val="0"/>
        <w:rPr>
          <w:rFonts w:cs="Arial"/>
        </w:rPr>
      </w:pPr>
      <w:r w:rsidRPr="009F0CBB">
        <w:rPr>
          <w:rFonts w:cs="Arial"/>
        </w:rPr>
        <w:t>3°. het totale aantal stemmen dat de aandelen van die soort vertegenwoordigen;</w:t>
      </w:r>
    </w:p>
    <w:p w:rsidRPr="009F0CBB" w:rsidR="00837C85" w:rsidP="00E6057F" w:rsidRDefault="00746CEF" w14:paraId="2DFAB193" w14:textId="2E5E3C0D">
      <w:pPr>
        <w:pStyle w:val="Lijstalinea"/>
        <w:numPr>
          <w:ilvl w:val="1"/>
          <w:numId w:val="12"/>
        </w:numPr>
        <w:spacing w:after="160" w:line="259" w:lineRule="auto"/>
        <w:jc w:val="both"/>
        <w:outlineLvl w:val="0"/>
        <w:rPr>
          <w:rFonts w:cs="Arial"/>
        </w:rPr>
      </w:pPr>
      <w:bookmarkStart w:name="_Hlk224830448" w:id="2"/>
      <w:bookmarkEnd w:id="1"/>
      <w:r w:rsidRPr="009F0CBB">
        <w:rPr>
          <w:rFonts w:cs="Arial"/>
        </w:rPr>
        <w:t xml:space="preserve">alle beperkingen op de overdracht </w:t>
      </w:r>
      <w:r w:rsidR="006F7509">
        <w:rPr>
          <w:rFonts w:cs="Arial"/>
        </w:rPr>
        <w:t xml:space="preserve">en </w:t>
      </w:r>
      <w:r w:rsidR="005F5382">
        <w:rPr>
          <w:rFonts w:cs="Arial"/>
        </w:rPr>
        <w:t xml:space="preserve">alle beperkingen </w:t>
      </w:r>
      <w:r w:rsidR="006F7509">
        <w:rPr>
          <w:rFonts w:cs="Arial"/>
        </w:rPr>
        <w:t xml:space="preserve">op stemrechten </w:t>
      </w:r>
      <w:r w:rsidRPr="009F0CBB">
        <w:rPr>
          <w:rFonts w:cs="Arial"/>
        </w:rPr>
        <w:t xml:space="preserve">van aandelen, met inbegrip van overeenkomsten tussen aandeelhouders die bij de </w:t>
      </w:r>
      <w:r w:rsidRPr="009F0CBB" w:rsidR="00EC6EFD">
        <w:rPr>
          <w:rFonts w:cs="Arial"/>
        </w:rPr>
        <w:t>vennootschap</w:t>
      </w:r>
      <w:r w:rsidRPr="009F0CBB">
        <w:rPr>
          <w:rFonts w:cs="Arial"/>
        </w:rPr>
        <w:t xml:space="preserve"> bekend zijn en die kunnen leiden tot dergelijke beperkingen;</w:t>
      </w:r>
    </w:p>
    <w:p w:rsidRPr="009F0CBB" w:rsidR="00837C85" w:rsidP="00E6057F" w:rsidRDefault="00837C85" w14:paraId="6208C4EE" w14:textId="77777777">
      <w:pPr>
        <w:pStyle w:val="Lijstalinea"/>
        <w:spacing w:after="160" w:line="259" w:lineRule="auto"/>
        <w:ind w:left="1440"/>
        <w:jc w:val="both"/>
        <w:outlineLvl w:val="0"/>
        <w:rPr>
          <w:rFonts w:cs="Arial"/>
        </w:rPr>
      </w:pPr>
    </w:p>
    <w:p w:rsidRPr="009F0CBB" w:rsidR="00746CEF" w:rsidP="00E6057F" w:rsidRDefault="00746CEF" w14:paraId="7AA08FA8" w14:textId="4EE28C59">
      <w:pPr>
        <w:pStyle w:val="Lijstalinea"/>
        <w:numPr>
          <w:ilvl w:val="1"/>
          <w:numId w:val="12"/>
        </w:numPr>
        <w:spacing w:after="160" w:line="259" w:lineRule="auto"/>
        <w:jc w:val="both"/>
        <w:outlineLvl w:val="0"/>
        <w:rPr>
          <w:rFonts w:cs="Arial"/>
        </w:rPr>
      </w:pPr>
      <w:r w:rsidRPr="009F0CBB">
        <w:rPr>
          <w:rFonts w:cs="Arial"/>
        </w:rPr>
        <w:t>de identiteit,</w:t>
      </w:r>
      <w:r w:rsidR="0006370E">
        <w:rPr>
          <w:rFonts w:cs="Arial"/>
        </w:rPr>
        <w:t xml:space="preserve"> voor natuurlijke personen enkel </w:t>
      </w:r>
      <w:r w:rsidR="00C458A6">
        <w:rPr>
          <w:rFonts w:cs="Arial"/>
        </w:rPr>
        <w:t>de</w:t>
      </w:r>
      <w:r w:rsidR="0006370E">
        <w:rPr>
          <w:rFonts w:cs="Arial"/>
        </w:rPr>
        <w:t xml:space="preserve"> naam, </w:t>
      </w:r>
      <w:r w:rsidRPr="009F0CBB">
        <w:rPr>
          <w:rFonts w:cs="Arial"/>
        </w:rPr>
        <w:t xml:space="preserve">indien bekend bij de </w:t>
      </w:r>
      <w:r w:rsidRPr="009F0CBB" w:rsidR="00EC6EFD">
        <w:rPr>
          <w:rFonts w:cs="Arial"/>
        </w:rPr>
        <w:t>vennootschap</w:t>
      </w:r>
      <w:r w:rsidRPr="009F0CBB">
        <w:rPr>
          <w:rFonts w:cs="Arial"/>
        </w:rPr>
        <w:t xml:space="preserve">, van aandeelhouders met aandelen met meervoudig stemrecht die meer dan vijf procent van de stemrechten van alle aandelen in de </w:t>
      </w:r>
      <w:r w:rsidRPr="009F0CBB" w:rsidR="00EC6EFD">
        <w:rPr>
          <w:rFonts w:cs="Arial"/>
        </w:rPr>
        <w:t>vennootschap</w:t>
      </w:r>
      <w:r w:rsidRPr="009F0CBB">
        <w:rPr>
          <w:rFonts w:cs="Arial"/>
        </w:rPr>
        <w:t xml:space="preserve"> vertegenwoordigen, en van natuurlijke personen of rechtspersonen die gemachtigd zijn om in voorkomend geval namens die aandeelhouders stemrechten uit te oefenen</w:t>
      </w:r>
      <w:r w:rsidR="00C458A6">
        <w:rPr>
          <w:rFonts w:cs="Arial"/>
        </w:rPr>
        <w:t>.</w:t>
      </w:r>
    </w:p>
    <w:bookmarkEnd w:id="2"/>
    <w:p w:rsidRPr="009F0CBB" w:rsidR="00DA2DE7" w:rsidP="00E6057F" w:rsidRDefault="00DA2DE7" w14:paraId="666D8E13" w14:textId="77777777">
      <w:pPr>
        <w:pStyle w:val="Lijstalinea"/>
        <w:jc w:val="both"/>
        <w:rPr>
          <w:rFonts w:cs="Arial"/>
        </w:rPr>
      </w:pPr>
    </w:p>
    <w:p w:rsidRPr="009F0CBB" w:rsidR="00950E15" w:rsidP="00E6057F" w:rsidRDefault="00837C85" w14:paraId="187A7860" w14:textId="2EE9650D">
      <w:pPr>
        <w:jc w:val="both"/>
        <w:rPr>
          <w:b/>
          <w:bCs/>
        </w:rPr>
      </w:pPr>
      <w:r w:rsidRPr="009F0CBB">
        <w:rPr>
          <w:b/>
          <w:bCs/>
        </w:rPr>
        <w:t xml:space="preserve">Artikel </w:t>
      </w:r>
      <w:r w:rsidR="00967DC0">
        <w:rPr>
          <w:b/>
          <w:bCs/>
        </w:rPr>
        <w:t>II</w:t>
      </w:r>
    </w:p>
    <w:p w:rsidRPr="009F0CBB" w:rsidR="00837C85" w:rsidP="00E6057F" w:rsidRDefault="00837C85" w14:paraId="555119C7" w14:textId="77777777">
      <w:pPr>
        <w:jc w:val="both"/>
      </w:pPr>
    </w:p>
    <w:p w:rsidRPr="009F0CBB" w:rsidR="00837C85" w:rsidP="00E6057F" w:rsidRDefault="00837C85" w14:paraId="62EE6B3F" w14:textId="3DEBF4B9">
      <w:pPr>
        <w:spacing w:after="160" w:line="259" w:lineRule="auto"/>
        <w:jc w:val="both"/>
        <w:outlineLvl w:val="0"/>
      </w:pPr>
      <w:r w:rsidRPr="009F0CBB">
        <w:t>Dit besluit treedt in werking op een bij koninklijk besluit te bepalen tijdstip</w:t>
      </w:r>
      <w:bookmarkStart w:name="_Hlk213152545" w:id="3"/>
      <w:r w:rsidRPr="009F0CBB" w:rsidR="00085F2A">
        <w:t>.</w:t>
      </w:r>
    </w:p>
    <w:bookmarkEnd w:id="3"/>
    <w:p w:rsidRPr="009F0CBB" w:rsidR="002D5537" w:rsidP="00E6057F" w:rsidRDefault="002D5537" w14:paraId="16B3526C" w14:textId="77777777">
      <w:pPr>
        <w:jc w:val="both"/>
        <w:rPr>
          <w:b/>
          <w:bCs/>
        </w:rPr>
      </w:pPr>
    </w:p>
    <w:p w:rsidRPr="009F0CBB" w:rsidR="00837C85" w:rsidP="00E6057F" w:rsidRDefault="00837C85" w14:paraId="544A0F5B" w14:textId="4AD66762">
      <w:pPr>
        <w:jc w:val="both"/>
        <w:rPr>
          <w:b/>
          <w:bCs/>
        </w:rPr>
      </w:pPr>
      <w:r w:rsidRPr="009F0CBB">
        <w:rPr>
          <w:b/>
          <w:bCs/>
        </w:rPr>
        <w:t xml:space="preserve">Artikel </w:t>
      </w:r>
      <w:r w:rsidR="00707DE9">
        <w:rPr>
          <w:b/>
          <w:bCs/>
        </w:rPr>
        <w:t>III</w:t>
      </w:r>
    </w:p>
    <w:p w:rsidRPr="009F0CBB" w:rsidR="00837C85" w:rsidP="00E6057F" w:rsidRDefault="00837C85" w14:paraId="3451A3DF" w14:textId="44E81339">
      <w:pPr>
        <w:jc w:val="both"/>
      </w:pPr>
    </w:p>
    <w:p w:rsidRPr="009F0CBB" w:rsidR="00837C85" w:rsidP="00E6057F" w:rsidRDefault="00837C85" w14:paraId="4D288706" w14:textId="62BC619E">
      <w:pPr>
        <w:jc w:val="both"/>
      </w:pPr>
      <w:r w:rsidRPr="009F0CBB">
        <w:t xml:space="preserve">Dit besluit wordt aangehaald als: Implementatiebesluit </w:t>
      </w:r>
      <w:r w:rsidRPr="009F0CBB" w:rsidR="00DB6767">
        <w:t>r</w:t>
      </w:r>
      <w:r w:rsidRPr="009F0CBB">
        <w:t>ichtlijn</w:t>
      </w:r>
      <w:r w:rsidRPr="009F0CBB" w:rsidR="00DB6767">
        <w:t xml:space="preserve"> aandelen met</w:t>
      </w:r>
      <w:r w:rsidRPr="009F0CBB">
        <w:t xml:space="preserve"> meervoudig stemrecht.</w:t>
      </w:r>
    </w:p>
    <w:p w:rsidRPr="009F0CBB" w:rsidR="00950E15" w:rsidP="00E6057F" w:rsidRDefault="00950E15" w14:paraId="2D68A74F" w14:textId="77777777">
      <w:pPr>
        <w:jc w:val="both"/>
      </w:pPr>
    </w:p>
    <w:p w:rsidRPr="009F0CBB" w:rsidR="00DA2DE7" w:rsidP="00E6057F" w:rsidRDefault="00DA2DE7" w14:paraId="4A8BF46D" w14:textId="77777777">
      <w:pPr>
        <w:jc w:val="both"/>
      </w:pPr>
    </w:p>
    <w:p w:rsidRPr="009F0CBB" w:rsidR="00DA2DE7" w:rsidP="00E6057F" w:rsidRDefault="00DA2DE7" w14:paraId="33C05E71" w14:textId="1892D2FC">
      <w:pPr>
        <w:jc w:val="both"/>
      </w:pPr>
      <w:r w:rsidRPr="009F0CBB">
        <w:t>Lasten en bevelen dat dit besluit met de daarbij behorende nota van toelichting in het Staatsblad zal worden geplaatst.</w:t>
      </w:r>
    </w:p>
    <w:p w:rsidRPr="009F0CBB" w:rsidR="00DA2DE7" w:rsidP="00E6057F" w:rsidRDefault="00DA2DE7" w14:paraId="7E17A4ED" w14:textId="77777777">
      <w:pPr>
        <w:jc w:val="both"/>
      </w:pPr>
    </w:p>
    <w:p w:rsidRPr="009F0CBB" w:rsidR="00DA2DE7" w:rsidP="00E6057F" w:rsidRDefault="00DA2DE7" w14:paraId="055EAF4D" w14:textId="77777777">
      <w:pPr>
        <w:jc w:val="both"/>
      </w:pPr>
    </w:p>
    <w:p w:rsidR="00950E15" w:rsidP="00E6057F" w:rsidRDefault="00950E15" w14:paraId="22E75087" w14:textId="77777777">
      <w:pPr>
        <w:jc w:val="both"/>
      </w:pPr>
    </w:p>
    <w:p w:rsidR="00C92E29" w:rsidP="00E6057F" w:rsidRDefault="00C92E29" w14:paraId="40FE1E9F" w14:textId="77777777">
      <w:pPr>
        <w:jc w:val="both"/>
      </w:pPr>
    </w:p>
    <w:p w:rsidRPr="009F0CBB" w:rsidR="00C92E29" w:rsidP="00E6057F" w:rsidRDefault="00C92E29" w14:paraId="5621A063" w14:textId="77777777">
      <w:pPr>
        <w:jc w:val="both"/>
      </w:pPr>
    </w:p>
    <w:p w:rsidR="00341AFB" w:rsidP="00E6057F" w:rsidRDefault="00341AFB" w14:paraId="4D9012BF" w14:textId="77777777">
      <w:pPr>
        <w:jc w:val="both"/>
      </w:pPr>
    </w:p>
    <w:p w:rsidR="00341AFB" w:rsidP="00E6057F" w:rsidRDefault="00341AFB" w14:paraId="55F4322B" w14:textId="77777777">
      <w:pPr>
        <w:jc w:val="both"/>
      </w:pPr>
    </w:p>
    <w:p w:rsidR="00341AFB" w:rsidP="00E6057F" w:rsidRDefault="00341AFB" w14:paraId="629479C7" w14:textId="77777777">
      <w:pPr>
        <w:jc w:val="both"/>
      </w:pPr>
    </w:p>
    <w:p w:rsidRPr="009F0CBB" w:rsidR="00950E15" w:rsidP="00E6057F" w:rsidRDefault="00A578EE" w14:paraId="1F0901D1" w14:textId="143579F5">
      <w:pPr>
        <w:jc w:val="both"/>
      </w:pPr>
      <w:r w:rsidRPr="009F0CBB">
        <w:t>De Staatssecretaris van Justitie en Veiligheid,</w:t>
      </w:r>
    </w:p>
    <w:p w:rsidRPr="009F0CBB" w:rsidR="00950E15" w:rsidP="00E6057F" w:rsidRDefault="00950E15" w14:paraId="3797804C" w14:textId="77777777">
      <w:pPr>
        <w:jc w:val="both"/>
      </w:pPr>
    </w:p>
    <w:p w:rsidRPr="009F0CBB" w:rsidR="00950E15" w:rsidP="00E6057F" w:rsidRDefault="00950E15" w14:paraId="4A21C77D" w14:textId="77777777">
      <w:pPr>
        <w:jc w:val="both"/>
      </w:pPr>
    </w:p>
    <w:p w:rsidRPr="009F0CBB" w:rsidR="00950E15" w:rsidP="00E6057F" w:rsidRDefault="00950E15" w14:paraId="0CEEE51F" w14:textId="77777777">
      <w:pPr>
        <w:jc w:val="both"/>
      </w:pPr>
    </w:p>
    <w:p w:rsidRPr="009F0CBB" w:rsidR="00950E15" w:rsidP="00E6057F" w:rsidRDefault="00A578EE" w14:paraId="2269D1EF" w14:textId="77777777">
      <w:pPr>
        <w:pStyle w:val="Pagina-eindeKop1"/>
        <w:jc w:val="both"/>
      </w:pPr>
      <w:r w:rsidRPr="009F0CBB">
        <w:lastRenderedPageBreak/>
        <w:t>Nota van toelichting</w:t>
      </w:r>
    </w:p>
    <w:p w:rsidRPr="009F0CBB" w:rsidR="00A578EE" w:rsidP="00E6057F" w:rsidRDefault="00A578EE" w14:paraId="553A7764" w14:textId="77777777">
      <w:pPr>
        <w:jc w:val="both"/>
      </w:pPr>
    </w:p>
    <w:p w:rsidRPr="009F0CBB" w:rsidR="00950E15" w:rsidP="00E6057F" w:rsidRDefault="00085F2A" w14:paraId="50A78D2C" w14:textId="3E0ECF9F">
      <w:pPr>
        <w:pStyle w:val="Lijstalinea"/>
        <w:numPr>
          <w:ilvl w:val="0"/>
          <w:numId w:val="13"/>
        </w:numPr>
        <w:jc w:val="both"/>
        <w:rPr>
          <w:b/>
          <w:bCs/>
        </w:rPr>
      </w:pPr>
      <w:r w:rsidRPr="009F0CBB">
        <w:rPr>
          <w:b/>
          <w:bCs/>
        </w:rPr>
        <w:t>Inleiding</w:t>
      </w:r>
    </w:p>
    <w:p w:rsidRPr="009F0CBB" w:rsidR="00363670" w:rsidP="00E6057F" w:rsidRDefault="00363670" w14:paraId="1B903E4F" w14:textId="77777777">
      <w:pPr>
        <w:jc w:val="both"/>
        <w:rPr>
          <w:b/>
          <w:bCs/>
        </w:rPr>
      </w:pPr>
    </w:p>
    <w:p w:rsidRPr="009F0CBB" w:rsidR="00662ED8" w:rsidP="00E6057F" w:rsidRDefault="001078C9" w14:paraId="487D39F7" w14:textId="38E938AB">
      <w:pPr>
        <w:jc w:val="both"/>
      </w:pPr>
      <w:r>
        <w:t xml:space="preserve">Dit besluit strekt tot wijziging van het Besluit van 23 december 2004 tot vaststelling van nadere voorschriften omtrent de inhoud van het jaarverslag (hierna: Besluit inhoud bestuursverslag) in verband met </w:t>
      </w:r>
      <w:r w:rsidRPr="009F0CBB" w:rsidR="00363670">
        <w:t xml:space="preserve"> de uitvoering van artikel 5</w:t>
      </w:r>
      <w:r w:rsidRPr="009F0CBB" w:rsidR="006B62CA">
        <w:t>, derde lid</w:t>
      </w:r>
      <w:r w:rsidR="00EF68A0">
        <w:t>,</w:t>
      </w:r>
      <w:r w:rsidRPr="009F0CBB" w:rsidR="00363670">
        <w:t xml:space="preserve"> van Richtlijn (EU) 2024/2810 van het Europees Parlement en de Raad van 23 oktober 2024 betreffende structuren met aandelen met meervoudig stemrecht in ondernemingen die om de toelating tot de handel van hun aandelen op een multilaterale handelsfaciliteit verzoeken (hierna: de richtlijn). </w:t>
      </w:r>
    </w:p>
    <w:p w:rsidRPr="009F0CBB" w:rsidR="00662ED8" w:rsidP="00E6057F" w:rsidRDefault="00662ED8" w14:paraId="6F4853CC" w14:textId="77777777">
      <w:pPr>
        <w:jc w:val="both"/>
      </w:pPr>
    </w:p>
    <w:p w:rsidRPr="009F0CBB" w:rsidR="00662ED8" w:rsidP="00E6057F" w:rsidRDefault="00765A7A" w14:paraId="48B98E19" w14:textId="3C27F8FB">
      <w:pPr>
        <w:jc w:val="both"/>
        <w:rPr>
          <w:color w:val="auto"/>
        </w:rPr>
      </w:pPr>
      <w:r w:rsidRPr="009F0CBB">
        <w:rPr>
          <w:color w:val="auto"/>
        </w:rPr>
        <w:t>De richtlijn beoogt een beursgang aantrekkelijker te maken door in iedere lidstaat een mogelijkheid te introduceren om</w:t>
      </w:r>
      <w:r w:rsidRPr="009F0CBB" w:rsidR="007B1A1D">
        <w:rPr>
          <w:color w:val="auto"/>
        </w:rPr>
        <w:t>,</w:t>
      </w:r>
      <w:r w:rsidRPr="009F0CBB">
        <w:rPr>
          <w:color w:val="auto"/>
        </w:rPr>
        <w:t xml:space="preserve"> met het oog op een notering aan </w:t>
      </w:r>
      <w:r w:rsidRPr="009F0CBB" w:rsidR="00AA582E">
        <w:rPr>
          <w:color w:val="auto"/>
        </w:rPr>
        <w:t xml:space="preserve">een </w:t>
      </w:r>
      <w:r w:rsidRPr="009F0CBB">
        <w:rPr>
          <w:color w:val="auto"/>
        </w:rPr>
        <w:t>multilaterale handelsfaciliteit (hierna: MTF)</w:t>
      </w:r>
      <w:r w:rsidRPr="009F0CBB" w:rsidR="007B1A1D">
        <w:rPr>
          <w:color w:val="auto"/>
        </w:rPr>
        <w:t>,</w:t>
      </w:r>
      <w:r w:rsidRPr="009F0CBB">
        <w:rPr>
          <w:color w:val="auto"/>
        </w:rPr>
        <w:t xml:space="preserve"> gebruik te maken van aandelen met meervoudig stemrecht. Dit stelt ondernemers in staat om zeggenschap te behouden over de onderneming, terwijl publiek kapitaal kan worden aangetrokken. </w:t>
      </w:r>
      <w:r w:rsidRPr="009F0CBB" w:rsidR="00662ED8">
        <w:rPr>
          <w:color w:val="auto"/>
        </w:rPr>
        <w:t xml:space="preserve">De richtlijn bevat regels over de </w:t>
      </w:r>
      <w:r w:rsidR="00112748">
        <w:rPr>
          <w:color w:val="auto"/>
        </w:rPr>
        <w:t>invoering van een</w:t>
      </w:r>
      <w:r w:rsidRPr="009F0CBB" w:rsidR="00662ED8">
        <w:rPr>
          <w:color w:val="auto"/>
        </w:rPr>
        <w:t xml:space="preserve"> aandelenstructuur met meervoudig stemrecht</w:t>
      </w:r>
      <w:r w:rsidRPr="009F0CBB" w:rsidR="007B1A1D">
        <w:rPr>
          <w:color w:val="auto"/>
        </w:rPr>
        <w:t>,</w:t>
      </w:r>
      <w:r w:rsidRPr="009F0CBB" w:rsidR="00662ED8">
        <w:rPr>
          <w:color w:val="auto"/>
        </w:rPr>
        <w:t xml:space="preserve"> waarborgen ter bescherming van aandeelhouders zonder meervoudig stemrecht en transparantieverplichtingen ten behoeve van beleggers.</w:t>
      </w:r>
      <w:r w:rsidRPr="009F0CBB">
        <w:rPr>
          <w:color w:val="auto"/>
        </w:rPr>
        <w:t xml:space="preserve"> </w:t>
      </w:r>
    </w:p>
    <w:p w:rsidRPr="009F0CBB" w:rsidR="00765A7A" w:rsidP="00E6057F" w:rsidRDefault="00765A7A" w14:paraId="0AC70179" w14:textId="77777777">
      <w:pPr>
        <w:jc w:val="both"/>
      </w:pPr>
    </w:p>
    <w:p w:rsidRPr="009F0CBB" w:rsidR="00363670" w:rsidP="00112748" w:rsidRDefault="00363670" w14:paraId="5FF20F8E" w14:textId="26AA67C0">
      <w:pPr>
        <w:jc w:val="both"/>
      </w:pPr>
      <w:r w:rsidRPr="009F0CBB">
        <w:t>De richtlijn wordt hoo</w:t>
      </w:r>
      <w:r w:rsidRPr="009F0CBB" w:rsidR="00662ED8">
        <w:t xml:space="preserve">fdzakelijk </w:t>
      </w:r>
      <w:r w:rsidR="00573702">
        <w:t>geïmplementeerd</w:t>
      </w:r>
      <w:r w:rsidRPr="009F0CBB" w:rsidR="00573702">
        <w:t xml:space="preserve"> </w:t>
      </w:r>
      <w:r w:rsidR="00F45039">
        <w:t>in de Implementatiewet richtlijn aandelen met meervoudig stemrecht</w:t>
      </w:r>
      <w:r w:rsidRPr="009F0CBB" w:rsidR="00F45039">
        <w:t xml:space="preserve"> </w:t>
      </w:r>
      <w:r w:rsidRPr="009F0CBB" w:rsidR="007B1A1D">
        <w:t>door wijziging van</w:t>
      </w:r>
      <w:r w:rsidRPr="009F0CBB" w:rsidR="00662ED8">
        <w:t xml:space="preserve"> Boek 2 van het Burgerlijk Wetboek (hierna: BW) en de Wet op het financieel toezicht (hierna: Wft)</w:t>
      </w:r>
      <w:r w:rsidR="00F45039">
        <w:t>.</w:t>
      </w:r>
      <w:r w:rsidR="000205EE">
        <w:t xml:space="preserve"> </w:t>
      </w:r>
      <w:r w:rsidRPr="009F0CBB" w:rsidR="007B1A1D">
        <w:t>Een uitzondering betreft artikel 5, derde lid</w:t>
      </w:r>
      <w:r w:rsidR="00336B4E">
        <w:t>,</w:t>
      </w:r>
      <w:r w:rsidRPr="009F0CBB" w:rsidR="007B1A1D">
        <w:t xml:space="preserve"> van de richtlijn</w:t>
      </w:r>
      <w:r w:rsidR="00F45039">
        <w:t>, d</w:t>
      </w:r>
      <w:r w:rsidR="007B7317">
        <w:t xml:space="preserve">at wordt geïmplementeerd door </w:t>
      </w:r>
      <w:r w:rsidR="00F45039">
        <w:t>dit besluit</w:t>
      </w:r>
      <w:r w:rsidR="007B7317">
        <w:t xml:space="preserve">. </w:t>
      </w:r>
      <w:r w:rsidR="00D64663">
        <w:t>Deze richtlijnbepaling</w:t>
      </w:r>
      <w:r w:rsidRPr="009F0CBB" w:rsidR="007B1A1D">
        <w:t xml:space="preserve"> vormt onderdeel van </w:t>
      </w:r>
      <w:r w:rsidRPr="009F0CBB" w:rsidR="00765A7A">
        <w:t>de transparantieverplichtingen ten behoeve van beleggers</w:t>
      </w:r>
      <w:r w:rsidR="00112748">
        <w:t>. Het</w:t>
      </w:r>
      <w:r w:rsidRPr="009F0CBB" w:rsidR="007B1A1D">
        <w:t xml:space="preserve"> werkt uit welke informatie vennootschappen openbaar moeten maken</w:t>
      </w:r>
      <w:r w:rsidR="00D64663">
        <w:t>, onder meer</w:t>
      </w:r>
      <w:r w:rsidRPr="009F0CBB" w:rsidR="007B1A1D">
        <w:t xml:space="preserve"> in</w:t>
      </w:r>
      <w:r w:rsidR="00112748">
        <w:t xml:space="preserve"> financiële jaarverslagen die op grond van het nationale recht vereist zijn. </w:t>
      </w:r>
      <w:r w:rsidRPr="009F0CBB" w:rsidR="007B1A1D">
        <w:t xml:space="preserve">Dit betreft informatie </w:t>
      </w:r>
      <w:r w:rsidRPr="009F0CBB" w:rsidR="00662ED8">
        <w:t>over de ingevoerde aandelenstructuur met aandelen met meervoudig stemrecht.</w:t>
      </w:r>
      <w:r w:rsidRPr="009F0CBB" w:rsidR="00512547">
        <w:t xml:space="preserve"> </w:t>
      </w:r>
      <w:r w:rsidRPr="009F0CBB" w:rsidR="007B1A1D">
        <w:t>Dergelijke</w:t>
      </w:r>
      <w:r w:rsidRPr="009F0CBB" w:rsidR="00512547">
        <w:t xml:space="preserve"> niet-financiële informatie dient</w:t>
      </w:r>
      <w:r w:rsidR="00F45039">
        <w:t xml:space="preserve"> ingevolge dit besluit</w:t>
      </w:r>
      <w:r w:rsidRPr="009F0CBB" w:rsidR="00512547">
        <w:t xml:space="preserve"> te worden opgenomen in het bestuursverslag</w:t>
      </w:r>
      <w:r w:rsidR="000205EE">
        <w:t xml:space="preserve"> van de vennootschap</w:t>
      </w:r>
      <w:r w:rsidRPr="009F0CBB" w:rsidR="00512547">
        <w:t xml:space="preserve">. </w:t>
      </w:r>
      <w:r w:rsidRPr="009F0CBB" w:rsidR="007B1A1D">
        <w:t>Met dit besluit</w:t>
      </w:r>
      <w:r w:rsidRPr="009F0CBB" w:rsidR="00512547">
        <w:t xml:space="preserve"> wordt </w:t>
      </w:r>
      <w:r w:rsidR="000205EE">
        <w:t>vervolg gegeven</w:t>
      </w:r>
      <w:r w:rsidRPr="009F0CBB" w:rsidR="000205EE">
        <w:t xml:space="preserve"> </w:t>
      </w:r>
      <w:r w:rsidRPr="009F0CBB" w:rsidR="00512547">
        <w:t>aan het gebruik om richtlijn</w:t>
      </w:r>
      <w:r w:rsidR="00336B4E">
        <w:t>(bepaling)</w:t>
      </w:r>
      <w:r w:rsidRPr="009F0CBB" w:rsidR="00512547">
        <w:t xml:space="preserve">en </w:t>
      </w:r>
      <w:r w:rsidR="00336B4E">
        <w:t>over d</w:t>
      </w:r>
      <w:r w:rsidRPr="009F0CBB" w:rsidR="00512547">
        <w:t>e inhoud van het bestuursverslag te implementeren via een algemene maatregel van bestuur.</w:t>
      </w:r>
      <w:r w:rsidRPr="009F0CBB" w:rsidR="007B1A1D">
        <w:t xml:space="preserve"> </w:t>
      </w:r>
      <w:r w:rsidRPr="009F0CBB" w:rsidR="00512547">
        <w:t>De rechtsgrondslag hiervoor is artikel 3</w:t>
      </w:r>
      <w:r w:rsidRPr="009F0CBB" w:rsidR="005A7039">
        <w:t>9</w:t>
      </w:r>
      <w:r w:rsidRPr="009F0CBB" w:rsidR="00512547">
        <w:t xml:space="preserve">1a, tweede lid, </w:t>
      </w:r>
      <w:r w:rsidR="00336B4E">
        <w:t xml:space="preserve">onderdeel a, </w:t>
      </w:r>
      <w:r w:rsidRPr="009F0CBB" w:rsidR="00512547">
        <w:t xml:space="preserve">van Boek 2 BW. </w:t>
      </w:r>
    </w:p>
    <w:p w:rsidRPr="009F0CBB" w:rsidR="00092C73" w:rsidP="00E6057F" w:rsidRDefault="00092C73" w14:paraId="7BC87A17" w14:textId="77777777">
      <w:pPr>
        <w:jc w:val="both"/>
        <w:rPr>
          <w:b/>
          <w:bCs/>
        </w:rPr>
      </w:pPr>
    </w:p>
    <w:p w:rsidRPr="009F0CBB" w:rsidR="00092C73" w:rsidP="00E6057F" w:rsidRDefault="00092C73" w14:paraId="564D22E6" w14:textId="77777777">
      <w:pPr>
        <w:pStyle w:val="Lijstalinea"/>
        <w:numPr>
          <w:ilvl w:val="0"/>
          <w:numId w:val="13"/>
        </w:numPr>
        <w:jc w:val="both"/>
        <w:rPr>
          <w:b/>
          <w:bCs/>
        </w:rPr>
      </w:pPr>
      <w:r w:rsidRPr="009F0CBB">
        <w:rPr>
          <w:b/>
          <w:bCs/>
        </w:rPr>
        <w:t>Het besluit</w:t>
      </w:r>
    </w:p>
    <w:p w:rsidRPr="009F0CBB" w:rsidR="00526556" w:rsidP="00E6057F" w:rsidRDefault="00526556" w14:paraId="40CC8265" w14:textId="77777777">
      <w:pPr>
        <w:jc w:val="both"/>
        <w:rPr>
          <w:b/>
          <w:bCs/>
        </w:rPr>
      </w:pPr>
    </w:p>
    <w:p w:rsidRPr="009F0CBB" w:rsidR="00092C73" w:rsidP="00E6057F" w:rsidRDefault="00092C73" w14:paraId="77DEAA4A" w14:textId="47925D43">
      <w:pPr>
        <w:pStyle w:val="Lijstalinea"/>
        <w:numPr>
          <w:ilvl w:val="1"/>
          <w:numId w:val="13"/>
        </w:numPr>
        <w:jc w:val="both"/>
        <w:rPr>
          <w:b/>
          <w:bCs/>
        </w:rPr>
      </w:pPr>
      <w:r w:rsidRPr="009F0CBB">
        <w:rPr>
          <w:b/>
          <w:bCs/>
        </w:rPr>
        <w:t xml:space="preserve">Inhoud van het besluit </w:t>
      </w:r>
    </w:p>
    <w:p w:rsidRPr="009F0CBB" w:rsidR="00526556" w:rsidP="00E6057F" w:rsidRDefault="00526556" w14:paraId="313C37F7" w14:textId="77777777">
      <w:pPr>
        <w:pStyle w:val="Lijstalinea"/>
        <w:jc w:val="both"/>
        <w:rPr>
          <w:b/>
          <w:bCs/>
          <w:color w:val="auto"/>
        </w:rPr>
      </w:pPr>
    </w:p>
    <w:p w:rsidRPr="009F0CBB" w:rsidR="00526556" w:rsidP="00E6057F" w:rsidRDefault="00D64663" w14:paraId="584F1779" w14:textId="12539FC2">
      <w:pPr>
        <w:jc w:val="both"/>
        <w:rPr>
          <w:color w:val="auto"/>
        </w:rPr>
      </w:pPr>
      <w:r>
        <w:rPr>
          <w:color w:val="auto"/>
        </w:rPr>
        <w:t>Op grond van de richtlijn dienen o</w:t>
      </w:r>
      <w:r w:rsidRPr="009F0CBB" w:rsidR="00A136B2">
        <w:rPr>
          <w:color w:val="auto"/>
        </w:rPr>
        <w:t>ndernemingen</w:t>
      </w:r>
      <w:r w:rsidRPr="009F0CBB" w:rsidR="003D302D">
        <w:rPr>
          <w:rStyle w:val="Voetnootmarkering"/>
          <w:color w:val="auto"/>
        </w:rPr>
        <w:footnoteReference w:id="1"/>
      </w:r>
      <w:r w:rsidRPr="009F0CBB" w:rsidR="00526556">
        <w:rPr>
          <w:color w:val="auto"/>
        </w:rPr>
        <w:t xml:space="preserve"> met een </w:t>
      </w:r>
      <w:r w:rsidRPr="009F0CBB" w:rsidR="00F63CE3">
        <w:rPr>
          <w:color w:val="auto"/>
        </w:rPr>
        <w:t>structuur met aandelen met meervoudig stemrecht</w:t>
      </w:r>
      <w:r w:rsidRPr="009F0CBB" w:rsidR="00526556">
        <w:rPr>
          <w:color w:val="auto"/>
        </w:rPr>
        <w:t xml:space="preserve"> </w:t>
      </w:r>
      <w:r>
        <w:rPr>
          <w:color w:val="auto"/>
        </w:rPr>
        <w:t xml:space="preserve">informatie die </w:t>
      </w:r>
      <w:r w:rsidRPr="009F0CBB" w:rsidR="00526556">
        <w:rPr>
          <w:color w:val="auto"/>
        </w:rPr>
        <w:t>voor beleggers relevant</w:t>
      </w:r>
      <w:r>
        <w:rPr>
          <w:color w:val="auto"/>
        </w:rPr>
        <w:t xml:space="preserve"> is </w:t>
      </w:r>
      <w:r w:rsidRPr="009F0CBB" w:rsidR="00526556">
        <w:rPr>
          <w:color w:val="auto"/>
        </w:rPr>
        <w:t>op te nemen in documenten</w:t>
      </w:r>
      <w:r w:rsidRPr="009F0CBB" w:rsidR="00F63CE3">
        <w:rPr>
          <w:color w:val="auto"/>
        </w:rPr>
        <w:t xml:space="preserve"> die gebruikelijk worden gepubliceerd bij een beursnotering</w:t>
      </w:r>
      <w:r>
        <w:rPr>
          <w:color w:val="auto"/>
        </w:rPr>
        <w:t>. Dat kan bijvoorbeeld</w:t>
      </w:r>
      <w:r w:rsidRPr="009F0CBB" w:rsidR="00526556">
        <w:rPr>
          <w:color w:val="auto"/>
        </w:rPr>
        <w:t xml:space="preserve"> </w:t>
      </w:r>
      <w:r w:rsidRPr="009F0CBB" w:rsidR="00F63CE3">
        <w:rPr>
          <w:color w:val="auto"/>
        </w:rPr>
        <w:t>het</w:t>
      </w:r>
      <w:r w:rsidRPr="009F0CBB" w:rsidR="00526556">
        <w:rPr>
          <w:color w:val="auto"/>
        </w:rPr>
        <w:t xml:space="preserve"> prospectus of </w:t>
      </w:r>
      <w:r w:rsidRPr="009F0CBB" w:rsidR="00F63CE3">
        <w:rPr>
          <w:color w:val="auto"/>
        </w:rPr>
        <w:t xml:space="preserve">een </w:t>
      </w:r>
      <w:r w:rsidRPr="009F0CBB" w:rsidR="00526556">
        <w:rPr>
          <w:color w:val="auto"/>
        </w:rPr>
        <w:t>ander toelatingsdocument</w:t>
      </w:r>
      <w:r>
        <w:rPr>
          <w:color w:val="auto"/>
        </w:rPr>
        <w:t xml:space="preserve"> zijn</w:t>
      </w:r>
      <w:r w:rsidRPr="009F0CBB" w:rsidR="00526556">
        <w:rPr>
          <w:color w:val="auto"/>
        </w:rPr>
        <w:t>.</w:t>
      </w:r>
      <w:r w:rsidRPr="009F0CBB" w:rsidR="00A136B2">
        <w:rPr>
          <w:rStyle w:val="Voetnootmarkering"/>
          <w:color w:val="auto"/>
        </w:rPr>
        <w:footnoteReference w:id="2"/>
      </w:r>
      <w:r w:rsidRPr="009F0CBB" w:rsidR="00526556">
        <w:rPr>
          <w:color w:val="auto"/>
        </w:rPr>
        <w:t xml:space="preserve"> De</w:t>
      </w:r>
      <w:r w:rsidRPr="009F0CBB" w:rsidR="00A136B2">
        <w:rPr>
          <w:color w:val="auto"/>
        </w:rPr>
        <w:t>ze</w:t>
      </w:r>
      <w:r w:rsidRPr="009F0CBB" w:rsidR="00F63CE3">
        <w:rPr>
          <w:color w:val="auto"/>
        </w:rPr>
        <w:t xml:space="preserve"> verplichting</w:t>
      </w:r>
      <w:r w:rsidRPr="009F0CBB" w:rsidR="00A136B2">
        <w:rPr>
          <w:color w:val="auto"/>
        </w:rPr>
        <w:t xml:space="preserve"> voor ondernemingen </w:t>
      </w:r>
      <w:r w:rsidRPr="009F0CBB" w:rsidR="00526556">
        <w:rPr>
          <w:color w:val="auto"/>
        </w:rPr>
        <w:t xml:space="preserve">wordt </w:t>
      </w:r>
      <w:r w:rsidRPr="009F0CBB" w:rsidR="00AA582E">
        <w:rPr>
          <w:color w:val="auto"/>
        </w:rPr>
        <w:t xml:space="preserve">uitgevoerd </w:t>
      </w:r>
      <w:r w:rsidRPr="009F0CBB" w:rsidR="00526556">
        <w:rPr>
          <w:color w:val="auto"/>
        </w:rPr>
        <w:t xml:space="preserve">in </w:t>
      </w:r>
      <w:r w:rsidRPr="009F0CBB" w:rsidR="00F63CE3">
        <w:rPr>
          <w:color w:val="auto"/>
        </w:rPr>
        <w:t>artikel</w:t>
      </w:r>
      <w:r w:rsidRPr="009F0CBB" w:rsidR="00AA582E">
        <w:rPr>
          <w:color w:val="auto"/>
        </w:rPr>
        <w:t xml:space="preserve"> 5:</w:t>
      </w:r>
      <w:r w:rsidR="00E60A6D">
        <w:rPr>
          <w:color w:val="auto"/>
        </w:rPr>
        <w:t>5</w:t>
      </w:r>
      <w:r w:rsidRPr="009F0CBB" w:rsidR="00AA582E">
        <w:rPr>
          <w:color w:val="auto"/>
        </w:rPr>
        <w:t xml:space="preserve"> Wft </w:t>
      </w:r>
      <w:r w:rsidRPr="009F0CBB" w:rsidR="00F63CE3">
        <w:rPr>
          <w:color w:val="auto"/>
        </w:rPr>
        <w:t xml:space="preserve">(bij een notering aan een mkb-groeimarkt) </w:t>
      </w:r>
      <w:r w:rsidRPr="009F0CBB" w:rsidR="00AA582E">
        <w:rPr>
          <w:color w:val="auto"/>
        </w:rPr>
        <w:t>en artikel 5</w:t>
      </w:r>
      <w:r w:rsidR="00E60A6D">
        <w:rPr>
          <w:color w:val="auto"/>
        </w:rPr>
        <w:t>:6</w:t>
      </w:r>
      <w:r w:rsidRPr="009F0CBB" w:rsidR="00AA582E">
        <w:rPr>
          <w:color w:val="auto"/>
        </w:rPr>
        <w:t xml:space="preserve"> Wft </w:t>
      </w:r>
      <w:r w:rsidRPr="009F0CBB" w:rsidR="00F63CE3">
        <w:rPr>
          <w:color w:val="auto"/>
        </w:rPr>
        <w:t xml:space="preserve">(bij een notering aan een MTF). </w:t>
      </w:r>
      <w:r>
        <w:rPr>
          <w:color w:val="auto"/>
        </w:rPr>
        <w:t xml:space="preserve">In bepaalde gevallen dient deze informatie echter (ook) in het bestuursverslag te worden opgenomen. Dat </w:t>
      </w:r>
      <w:r w:rsidR="00EE409C">
        <w:rPr>
          <w:color w:val="auto"/>
        </w:rPr>
        <w:t xml:space="preserve">gaat op bij een notering aan MTF (zie artikel 5:6 Wft), wanneer </w:t>
      </w:r>
      <w:r w:rsidRPr="009F0CBB" w:rsidR="00526556">
        <w:rPr>
          <w:color w:val="auto"/>
        </w:rPr>
        <w:t xml:space="preserve">de voorgeschreven informatie </w:t>
      </w:r>
      <w:r w:rsidRPr="009F0CBB" w:rsidR="00AA582E">
        <w:rPr>
          <w:color w:val="auto"/>
        </w:rPr>
        <w:t xml:space="preserve">niet </w:t>
      </w:r>
      <w:r w:rsidRPr="009F0CBB" w:rsidR="00AA582E">
        <w:rPr>
          <w:color w:val="auto"/>
        </w:rPr>
        <w:lastRenderedPageBreak/>
        <w:t xml:space="preserve">eerder is bekendgemaakt of </w:t>
      </w:r>
      <w:r w:rsidRPr="009F0CBB" w:rsidR="00526556">
        <w:rPr>
          <w:color w:val="auto"/>
        </w:rPr>
        <w:t>is gewijzigd sinds die voor het laatst openbaar werd gemaakt</w:t>
      </w:r>
      <w:r w:rsidRPr="009F0CBB" w:rsidR="00F63CE3">
        <w:rPr>
          <w:color w:val="auto"/>
        </w:rPr>
        <w:t>,</w:t>
      </w:r>
      <w:r w:rsidRPr="009F0CBB" w:rsidR="00526556">
        <w:rPr>
          <w:color w:val="auto"/>
        </w:rPr>
        <w:t xml:space="preserve"> </w:t>
      </w:r>
      <w:r w:rsidR="0086216F">
        <w:rPr>
          <w:color w:val="auto"/>
        </w:rPr>
        <w:t>en</w:t>
      </w:r>
      <w:r>
        <w:rPr>
          <w:color w:val="auto"/>
        </w:rPr>
        <w:t xml:space="preserve"> enkel voor zover de onderneming al verplicht is een bestuursverslag op te stellen</w:t>
      </w:r>
      <w:r w:rsidRPr="009F0CBB" w:rsidR="0019432E">
        <w:rPr>
          <w:color w:val="auto"/>
        </w:rPr>
        <w:t>.</w:t>
      </w:r>
      <w:r w:rsidR="0086216F">
        <w:rPr>
          <w:color w:val="auto"/>
        </w:rPr>
        <w:t xml:space="preserve"> </w:t>
      </w:r>
      <w:r w:rsidRPr="0086216F" w:rsidR="0086216F">
        <w:rPr>
          <w:color w:val="auto"/>
        </w:rPr>
        <w:t xml:space="preserve">De verplichting geldt dus niet voor ondernemingen die zijn vrijgesteld van het opstellen van een bestuursverslag, zoals kleine ondernemingen (artikel 2:396 BW) of ondernemingen </w:t>
      </w:r>
      <w:r w:rsidR="0086216F">
        <w:rPr>
          <w:color w:val="auto"/>
        </w:rPr>
        <w:t xml:space="preserve">die op grond van </w:t>
      </w:r>
      <w:r w:rsidRPr="0086216F" w:rsidR="0086216F">
        <w:rPr>
          <w:color w:val="auto"/>
        </w:rPr>
        <w:t>het groepsregime van artikel 2:403 BW</w:t>
      </w:r>
      <w:r w:rsidR="0086216F">
        <w:rPr>
          <w:color w:val="auto"/>
        </w:rPr>
        <w:t xml:space="preserve"> zijn vrijgesteld.</w:t>
      </w:r>
      <w:r w:rsidRPr="009F0CBB" w:rsidR="0019432E">
        <w:rPr>
          <w:rStyle w:val="Voetnootmarkering"/>
          <w:color w:val="auto"/>
        </w:rPr>
        <w:footnoteReference w:id="3"/>
      </w:r>
      <w:r w:rsidRPr="009F0CBB" w:rsidR="00AA582E">
        <w:rPr>
          <w:color w:val="auto"/>
        </w:rPr>
        <w:t xml:space="preserve"> </w:t>
      </w:r>
    </w:p>
    <w:p w:rsidRPr="009F0CBB" w:rsidR="0019432E" w:rsidP="00E6057F" w:rsidRDefault="0019432E" w14:paraId="38014E02" w14:textId="77777777">
      <w:pPr>
        <w:jc w:val="both"/>
        <w:rPr>
          <w:color w:val="auto"/>
        </w:rPr>
      </w:pPr>
    </w:p>
    <w:p w:rsidR="00EF68A0" w:rsidP="00E6057F" w:rsidRDefault="00A136B2" w14:paraId="19B75130" w14:textId="3A280A09">
      <w:pPr>
        <w:jc w:val="both"/>
        <w:rPr>
          <w:color w:val="auto"/>
        </w:rPr>
      </w:pPr>
      <w:r w:rsidRPr="009F0CBB">
        <w:rPr>
          <w:color w:val="auto"/>
        </w:rPr>
        <w:t>Dit besluit implementeert artikel 5, derde lid</w:t>
      </w:r>
      <w:r w:rsidR="00EF68A0">
        <w:rPr>
          <w:color w:val="auto"/>
        </w:rPr>
        <w:t>,</w:t>
      </w:r>
      <w:r w:rsidRPr="009F0CBB">
        <w:rPr>
          <w:color w:val="auto"/>
        </w:rPr>
        <w:t xml:space="preserve"> van de richtlijn, waarin is bepaald wélke informatie door de onderneming </w:t>
      </w:r>
      <w:r w:rsidRPr="009F0CBB" w:rsidR="0019432E">
        <w:rPr>
          <w:color w:val="auto"/>
        </w:rPr>
        <w:t>openbaar dient te worden gemaakt.</w:t>
      </w:r>
      <w:r w:rsidRPr="009F0CBB">
        <w:rPr>
          <w:color w:val="auto"/>
        </w:rPr>
        <w:t xml:space="preserve"> </w:t>
      </w:r>
      <w:r w:rsidRPr="009F0CBB" w:rsidR="007E3A8E">
        <w:rPr>
          <w:color w:val="auto"/>
        </w:rPr>
        <w:t xml:space="preserve">Het gaat </w:t>
      </w:r>
      <w:r w:rsidRPr="009F0CBB" w:rsidR="00CA255B">
        <w:rPr>
          <w:color w:val="auto"/>
        </w:rPr>
        <w:t xml:space="preserve">ten eerste </w:t>
      </w:r>
      <w:r w:rsidRPr="009F0CBB" w:rsidR="007E3A8E">
        <w:rPr>
          <w:color w:val="auto"/>
        </w:rPr>
        <w:t xml:space="preserve">om gedetailleerde informatie over de aandelenstructuur van de onderneming met vermelding van de verschillende </w:t>
      </w:r>
      <w:r w:rsidR="00EE409C">
        <w:rPr>
          <w:color w:val="auto"/>
        </w:rPr>
        <w:t xml:space="preserve">soorten </w:t>
      </w:r>
      <w:r w:rsidRPr="009F0CBB" w:rsidR="007E3A8E">
        <w:rPr>
          <w:color w:val="auto"/>
        </w:rPr>
        <w:t>aandelen, met inbegrip van de aandelen die niet tot de handel zijn toegelaten</w:t>
      </w:r>
      <w:r w:rsidRPr="009F0CBB" w:rsidR="00CA255B">
        <w:rPr>
          <w:color w:val="auto"/>
        </w:rPr>
        <w:t>.</w:t>
      </w:r>
      <w:r w:rsidRPr="009F0CBB" w:rsidR="007E3A8E">
        <w:rPr>
          <w:color w:val="auto"/>
        </w:rPr>
        <w:t xml:space="preserve"> </w:t>
      </w:r>
      <w:r w:rsidRPr="009F0CBB" w:rsidR="00CA255B">
        <w:rPr>
          <w:color w:val="auto"/>
        </w:rPr>
        <w:t xml:space="preserve">Tevens worden </w:t>
      </w:r>
      <w:r w:rsidRPr="009F0CBB" w:rsidR="007E3A8E">
        <w:rPr>
          <w:color w:val="auto"/>
        </w:rPr>
        <w:t xml:space="preserve">voor elke </w:t>
      </w:r>
      <w:r w:rsidR="00EE409C">
        <w:rPr>
          <w:color w:val="auto"/>
        </w:rPr>
        <w:t xml:space="preserve">soort </w:t>
      </w:r>
      <w:r w:rsidRPr="009F0CBB" w:rsidR="007E3A8E">
        <w:rPr>
          <w:color w:val="auto"/>
        </w:rPr>
        <w:t>aandelen</w:t>
      </w:r>
      <w:r w:rsidRPr="009F0CBB" w:rsidR="00CA255B">
        <w:rPr>
          <w:color w:val="auto"/>
        </w:rPr>
        <w:t xml:space="preserve"> vermeld:</w:t>
      </w:r>
      <w:r w:rsidRPr="009F0CBB" w:rsidR="007E3A8E">
        <w:rPr>
          <w:color w:val="auto"/>
        </w:rPr>
        <w:t xml:space="preserve"> </w:t>
      </w:r>
    </w:p>
    <w:p w:rsidR="00EF68A0" w:rsidP="00E6057F" w:rsidRDefault="00EF68A0" w14:paraId="5DA0FCCC" w14:textId="77777777">
      <w:pPr>
        <w:jc w:val="both"/>
        <w:rPr>
          <w:color w:val="auto"/>
        </w:rPr>
      </w:pPr>
    </w:p>
    <w:p w:rsidR="00EF68A0" w:rsidP="00E6057F" w:rsidRDefault="007E3A8E" w14:paraId="4F0B62C6" w14:textId="2D15C826">
      <w:pPr>
        <w:jc w:val="both"/>
        <w:rPr>
          <w:color w:val="auto"/>
        </w:rPr>
      </w:pPr>
      <w:r w:rsidRPr="009F0CBB">
        <w:rPr>
          <w:color w:val="auto"/>
        </w:rPr>
        <w:t xml:space="preserve">(i) de rechten en plichten die aan de aandelen </w:t>
      </w:r>
      <w:r w:rsidR="00EE409C">
        <w:rPr>
          <w:color w:val="auto"/>
        </w:rPr>
        <w:t>van die soort</w:t>
      </w:r>
      <w:r w:rsidRPr="009F0CBB">
        <w:rPr>
          <w:color w:val="auto"/>
        </w:rPr>
        <w:t xml:space="preserve"> zijn verbonden,</w:t>
      </w:r>
    </w:p>
    <w:p w:rsidR="00EF68A0" w:rsidP="00E6057F" w:rsidRDefault="007E3A8E" w14:paraId="3C50CDBC" w14:textId="37AC1B38">
      <w:pPr>
        <w:jc w:val="both"/>
        <w:rPr>
          <w:color w:val="auto"/>
        </w:rPr>
      </w:pPr>
      <w:r w:rsidRPr="009F0CBB">
        <w:rPr>
          <w:color w:val="auto"/>
        </w:rPr>
        <w:t xml:space="preserve">(ii) het percentage van het totale aandelenkapitaal of van het totale aantal aandelen dat de aandelen </w:t>
      </w:r>
      <w:r w:rsidR="00EE409C">
        <w:rPr>
          <w:color w:val="auto"/>
        </w:rPr>
        <w:t xml:space="preserve">van die soort </w:t>
      </w:r>
      <w:r w:rsidRPr="009F0CBB">
        <w:rPr>
          <w:color w:val="auto"/>
        </w:rPr>
        <w:t xml:space="preserve">vertegenwoordigen, en </w:t>
      </w:r>
    </w:p>
    <w:p w:rsidR="00EF68A0" w:rsidP="00E6057F" w:rsidRDefault="007E3A8E" w14:paraId="0276D81F" w14:textId="019A1213">
      <w:pPr>
        <w:jc w:val="both"/>
        <w:rPr>
          <w:color w:val="auto"/>
        </w:rPr>
      </w:pPr>
      <w:r w:rsidRPr="009F0CBB">
        <w:rPr>
          <w:color w:val="auto"/>
        </w:rPr>
        <w:t xml:space="preserve">(iii) het totale aantal stemmen dat de aandelen </w:t>
      </w:r>
      <w:r w:rsidR="00EE409C">
        <w:rPr>
          <w:color w:val="auto"/>
        </w:rPr>
        <w:t>van</w:t>
      </w:r>
      <w:r w:rsidRPr="009F0CBB">
        <w:rPr>
          <w:color w:val="auto"/>
        </w:rPr>
        <w:t xml:space="preserve"> die </w:t>
      </w:r>
      <w:r w:rsidR="00EE409C">
        <w:rPr>
          <w:color w:val="auto"/>
        </w:rPr>
        <w:t xml:space="preserve">soort </w:t>
      </w:r>
      <w:r w:rsidRPr="009F0CBB">
        <w:rPr>
          <w:color w:val="auto"/>
        </w:rPr>
        <w:t xml:space="preserve">vertegenwoordigen. </w:t>
      </w:r>
    </w:p>
    <w:p w:rsidR="00EF68A0" w:rsidP="00E6057F" w:rsidRDefault="00EF68A0" w14:paraId="55682CB2" w14:textId="77777777">
      <w:pPr>
        <w:jc w:val="both"/>
        <w:rPr>
          <w:color w:val="auto"/>
        </w:rPr>
      </w:pPr>
    </w:p>
    <w:p w:rsidR="005F5382" w:rsidP="00E6057F" w:rsidRDefault="007E3A8E" w14:paraId="76E8FC7D" w14:textId="68181AB0">
      <w:pPr>
        <w:jc w:val="both"/>
        <w:rPr>
          <w:color w:val="auto"/>
        </w:rPr>
      </w:pPr>
      <w:r w:rsidRPr="009F0CBB">
        <w:rPr>
          <w:color w:val="auto"/>
        </w:rPr>
        <w:t>Daarnaast dient gedetailleerde informatie te worden verstrekt over alle beperkingen op de overdracht</w:t>
      </w:r>
      <w:r w:rsidR="00EF68A0">
        <w:rPr>
          <w:color w:val="auto"/>
        </w:rPr>
        <w:t xml:space="preserve"> </w:t>
      </w:r>
      <w:r w:rsidR="005F5382">
        <w:rPr>
          <w:color w:val="auto"/>
        </w:rPr>
        <w:t>van aandelen en over alle beperkingen</w:t>
      </w:r>
      <w:r w:rsidR="00EF68A0">
        <w:rPr>
          <w:color w:val="auto"/>
        </w:rPr>
        <w:t xml:space="preserve"> op stemrechten</w:t>
      </w:r>
      <w:r w:rsidRPr="009F0CBB">
        <w:rPr>
          <w:color w:val="auto"/>
        </w:rPr>
        <w:t xml:space="preserve"> van aandelen, beide met inbegrip van overeenkomsten tussen aandeelhouders die bij de onderneming bekend zijn en die kunnen leiden tot dergelijke beperkingen.</w:t>
      </w:r>
    </w:p>
    <w:p w:rsidR="005F5382" w:rsidP="00E6057F" w:rsidRDefault="005F5382" w14:paraId="0D3F1108" w14:textId="77777777">
      <w:pPr>
        <w:jc w:val="both"/>
        <w:rPr>
          <w:color w:val="auto"/>
        </w:rPr>
      </w:pPr>
    </w:p>
    <w:p w:rsidRPr="009F0CBB" w:rsidR="007E3A8E" w:rsidP="00E6057F" w:rsidRDefault="00573702" w14:paraId="520F9C8A" w14:textId="603CEC3A">
      <w:pPr>
        <w:jc w:val="both"/>
        <w:rPr>
          <w:color w:val="auto"/>
        </w:rPr>
      </w:pPr>
      <w:r>
        <w:rPr>
          <w:color w:val="auto"/>
        </w:rPr>
        <w:t>T</w:t>
      </w:r>
      <w:r w:rsidRPr="009F0CBB" w:rsidR="007E3A8E">
        <w:rPr>
          <w:color w:val="auto"/>
        </w:rPr>
        <w:t xml:space="preserve">ot slot dient ook gedetailleerde informatie te worden verstrekt over de identiteit, indien </w:t>
      </w:r>
      <w:r w:rsidRPr="009F0CBB" w:rsidR="00CA255B">
        <w:rPr>
          <w:color w:val="auto"/>
        </w:rPr>
        <w:t xml:space="preserve">die </w:t>
      </w:r>
      <w:r w:rsidRPr="009F0CBB" w:rsidR="007E3A8E">
        <w:rPr>
          <w:color w:val="auto"/>
        </w:rPr>
        <w:t xml:space="preserve">bekend </w:t>
      </w:r>
      <w:r w:rsidRPr="009F0CBB" w:rsidR="00CA255B">
        <w:rPr>
          <w:color w:val="auto"/>
        </w:rPr>
        <w:t xml:space="preserve">is </w:t>
      </w:r>
      <w:r w:rsidRPr="009F0CBB" w:rsidR="007E3A8E">
        <w:rPr>
          <w:color w:val="auto"/>
        </w:rPr>
        <w:t>bij de onderneming, van aandeelhouders met aandelen met meervoudig stemrecht die meer dan 5% van de stemrechten van alle aandelen in de onderneming vertegenwoordigen</w:t>
      </w:r>
      <w:r w:rsidRPr="009F0CBB" w:rsidR="006B62CA">
        <w:rPr>
          <w:color w:val="auto"/>
        </w:rPr>
        <w:t>,</w:t>
      </w:r>
      <w:r w:rsidRPr="009F0CBB" w:rsidR="007E3A8E">
        <w:rPr>
          <w:color w:val="auto"/>
        </w:rPr>
        <w:t xml:space="preserve"> en van natuurlijke personen of rechtspersonen die gemachtigd zijn om in voorkomend geval namens die aandeelhouders stemrechten uit te oefenen. In het geval </w:t>
      </w:r>
      <w:r w:rsidR="001E3C6C">
        <w:rPr>
          <w:color w:val="auto"/>
        </w:rPr>
        <w:t>dit</w:t>
      </w:r>
      <w:r w:rsidRPr="009F0CBB" w:rsidR="007E3A8E">
        <w:rPr>
          <w:color w:val="auto"/>
        </w:rPr>
        <w:t xml:space="preserve"> natuurlijke personen zijn, is enkel de verstrekking van hun naam vereist. Informatie over de (controlerende) grootaandeelhouders </w:t>
      </w:r>
      <w:r w:rsidR="001E3C6C">
        <w:rPr>
          <w:color w:val="auto"/>
        </w:rPr>
        <w:t>stelt</w:t>
      </w:r>
      <w:r w:rsidRPr="009F0CBB" w:rsidR="007E3A8E">
        <w:rPr>
          <w:color w:val="auto"/>
        </w:rPr>
        <w:t xml:space="preserve"> mogelijke beleggers </w:t>
      </w:r>
      <w:r w:rsidR="001E3C6C">
        <w:rPr>
          <w:color w:val="auto"/>
        </w:rPr>
        <w:t xml:space="preserve">in staat om </w:t>
      </w:r>
      <w:r w:rsidRPr="009F0CBB" w:rsidR="007E3A8E">
        <w:rPr>
          <w:color w:val="auto"/>
        </w:rPr>
        <w:t xml:space="preserve">een weloverwogen beleggingsbeslissing </w:t>
      </w:r>
      <w:r w:rsidR="001E3C6C">
        <w:rPr>
          <w:color w:val="auto"/>
        </w:rPr>
        <w:t>te</w:t>
      </w:r>
      <w:r w:rsidRPr="009F0CBB" w:rsidR="001E3C6C">
        <w:rPr>
          <w:color w:val="auto"/>
        </w:rPr>
        <w:t xml:space="preserve"> </w:t>
      </w:r>
      <w:r w:rsidRPr="009F0CBB" w:rsidR="007E3A8E">
        <w:rPr>
          <w:color w:val="auto"/>
        </w:rPr>
        <w:t>maken.</w:t>
      </w:r>
    </w:p>
    <w:p w:rsidRPr="009F0CBB" w:rsidR="00AA582E" w:rsidP="00E6057F" w:rsidRDefault="00AA582E" w14:paraId="3CA98F31" w14:textId="77777777">
      <w:pPr>
        <w:jc w:val="both"/>
        <w:rPr>
          <w:color w:val="auto"/>
        </w:rPr>
      </w:pPr>
    </w:p>
    <w:p w:rsidRPr="009F0CBB" w:rsidR="00AA582E" w:rsidP="00E6057F" w:rsidRDefault="00AA582E" w14:paraId="25B59441" w14:textId="77777777">
      <w:pPr>
        <w:pStyle w:val="Lijstalinea"/>
        <w:numPr>
          <w:ilvl w:val="1"/>
          <w:numId w:val="13"/>
        </w:numPr>
        <w:jc w:val="both"/>
        <w:rPr>
          <w:b/>
          <w:bCs/>
        </w:rPr>
      </w:pPr>
      <w:r w:rsidRPr="009F0CBB">
        <w:rPr>
          <w:b/>
          <w:bCs/>
        </w:rPr>
        <w:t xml:space="preserve">Wijze van implementatie </w:t>
      </w:r>
    </w:p>
    <w:p w:rsidRPr="009F0CBB" w:rsidR="00AA582E" w:rsidP="00E6057F" w:rsidRDefault="00AA582E" w14:paraId="42055A1B" w14:textId="77777777">
      <w:pPr>
        <w:jc w:val="both"/>
        <w:rPr>
          <w:b/>
          <w:bCs/>
        </w:rPr>
      </w:pPr>
    </w:p>
    <w:p w:rsidR="00565C3E" w:rsidP="00565C3E" w:rsidRDefault="0063271C" w14:paraId="2D2392A2" w14:textId="7BE67626">
      <w:pPr>
        <w:jc w:val="both"/>
      </w:pPr>
      <w:r>
        <w:t xml:space="preserve">De implementatie van </w:t>
      </w:r>
      <w:r w:rsidRPr="009F0CBB" w:rsidR="00F45039">
        <w:t>artikel 5, derde lid</w:t>
      </w:r>
      <w:r w:rsidR="00F45039">
        <w:t>,</w:t>
      </w:r>
      <w:r w:rsidRPr="009F0CBB" w:rsidR="00F45039">
        <w:t xml:space="preserve"> van de richtlijn</w:t>
      </w:r>
      <w:r w:rsidR="00F45039">
        <w:t xml:space="preserve"> </w:t>
      </w:r>
      <w:r>
        <w:t>heeft enige voorgeschiedenis. In het voorontwerp van de Implementatiewet aandelen met meervoudig stemrecht</w:t>
      </w:r>
      <w:r w:rsidR="00F45039">
        <w:t>, waarover in de zomer van 2025 is geconsulteerd,</w:t>
      </w:r>
      <w:r>
        <w:t xml:space="preserve"> werd voorgesteld deze richtlijnbepaling te implementeren als toevoeging aan artikel 392 van Boek 2 BW. </w:t>
      </w:r>
      <w:r w:rsidR="004405AF">
        <w:t>O</w:t>
      </w:r>
      <w:r>
        <w:t>ndernemingen zouden de informatie uit artikel 5, derde lid, van de richtlijn op moeten nemen in de ‘overige gegevens’</w:t>
      </w:r>
      <w:r w:rsidR="004405AF">
        <w:t xml:space="preserve"> die het bestuur toevoegt aan de jaarrekening en het bestuursverslag</w:t>
      </w:r>
      <w:r>
        <w:t xml:space="preserve">. </w:t>
      </w:r>
      <w:r w:rsidR="004405AF">
        <w:t>Zodoende maakte de</w:t>
      </w:r>
      <w:r w:rsidR="00F45039">
        <w:t xml:space="preserve"> </w:t>
      </w:r>
      <w:r>
        <w:t>materiële inhoud van dit besluit onderdeel uit</w:t>
      </w:r>
      <w:r w:rsidR="00565C3E">
        <w:t xml:space="preserve"> van </w:t>
      </w:r>
      <w:r w:rsidRPr="009F0CBB" w:rsidR="00565C3E">
        <w:t>het voorontwerp van de Implementatiewet richtlijn aandelen met meervoudig stemrecht</w:t>
      </w:r>
      <w:r w:rsidR="00565C3E">
        <w:t xml:space="preserve">. In het kader van de consultatie is met </w:t>
      </w:r>
      <w:r w:rsidRPr="009F0CBB" w:rsidR="00565C3E">
        <w:t>de Raad voor de Jaarverslaggeving</w:t>
      </w:r>
      <w:r w:rsidR="004405AF">
        <w:t xml:space="preserve"> gesproken over de openbaarmaking van deze informatie</w:t>
      </w:r>
      <w:r w:rsidR="00565C3E">
        <w:t>.</w:t>
      </w:r>
      <w:r w:rsidR="004405AF">
        <w:t xml:space="preserve"> Dat overleg heeft geleid tot de keuze om ondernemingen deze informatie niet in de ‘overige gegevens’ te laten opnemen, maar </w:t>
      </w:r>
      <w:r w:rsidR="00565C3E">
        <w:t xml:space="preserve">in het bestuursverslag. </w:t>
      </w:r>
      <w:r w:rsidR="004405AF">
        <w:t>Het</w:t>
      </w:r>
      <w:r w:rsidR="00565C3E">
        <w:t xml:space="preserve"> bestuursverslag </w:t>
      </w:r>
      <w:r w:rsidR="004405AF">
        <w:t xml:space="preserve">is </w:t>
      </w:r>
      <w:r w:rsidR="00565C3E">
        <w:t xml:space="preserve">internationaal bekender en de openbaarmaking in het bestuursverslag </w:t>
      </w:r>
      <w:r w:rsidR="004405AF">
        <w:t xml:space="preserve">sluit aan </w:t>
      </w:r>
      <w:r w:rsidR="00565C3E">
        <w:t>bij bestaande praktijk voor beursvennootschappen.</w:t>
      </w:r>
      <w:r w:rsidR="00565C3E">
        <w:rPr>
          <w:rStyle w:val="Voetnootmarkering"/>
        </w:rPr>
        <w:footnoteReference w:id="4"/>
      </w:r>
      <w:r w:rsidR="00565C3E">
        <w:t xml:space="preserve"> Deze wijziging </w:t>
      </w:r>
      <w:r w:rsidR="004405AF">
        <w:t>b</w:t>
      </w:r>
      <w:r w:rsidR="00565C3E">
        <w:t>rengt met zich dat de opsomming van de informatie waar de onderneming verslag over moet doen niet langer terug te vinden</w:t>
      </w:r>
      <w:r w:rsidR="004405AF">
        <w:t xml:space="preserve"> is</w:t>
      </w:r>
      <w:r w:rsidR="00565C3E">
        <w:t xml:space="preserve"> in de Implementatiewet – zoals in </w:t>
      </w:r>
      <w:r w:rsidR="00565C3E">
        <w:lastRenderedPageBreak/>
        <w:t>het voorontwerp nog het geval was – maar dat deze informatie</w:t>
      </w:r>
      <w:r w:rsidR="00F45039">
        <w:t xml:space="preserve"> door</w:t>
      </w:r>
      <w:r w:rsidR="004405AF">
        <w:t xml:space="preserve"> middel</w:t>
      </w:r>
      <w:r w:rsidR="00F45039">
        <w:t xml:space="preserve"> van</w:t>
      </w:r>
      <w:r w:rsidR="004405AF">
        <w:t xml:space="preserve"> dit besluit</w:t>
      </w:r>
      <w:r w:rsidR="00565C3E">
        <w:t xml:space="preserve"> wordt geïmplementeerd in het Besluit inhoud bestuursverslag.</w:t>
      </w:r>
    </w:p>
    <w:p w:rsidR="00565C3E" w:rsidP="00E6057F" w:rsidRDefault="00565C3E" w14:paraId="20C290F0" w14:textId="77777777">
      <w:pPr>
        <w:jc w:val="both"/>
      </w:pPr>
    </w:p>
    <w:p w:rsidRPr="009F0CBB" w:rsidR="00AA582E" w:rsidP="00E6057F" w:rsidRDefault="004405AF" w14:paraId="71221B14" w14:textId="6B44E9F1">
      <w:pPr>
        <w:jc w:val="both"/>
      </w:pPr>
      <w:r>
        <w:t>De rechtsgrondslag voor deze implementatie is</w:t>
      </w:r>
      <w:r w:rsidRPr="009F0CBB" w:rsidR="00AA582E">
        <w:t xml:space="preserve"> artikel 391a, tweede lid, </w:t>
      </w:r>
      <w:r w:rsidR="00EF0693">
        <w:t xml:space="preserve">onderdeel a, </w:t>
      </w:r>
      <w:r w:rsidRPr="009F0CBB" w:rsidR="00AA582E">
        <w:t>van Boek 2 BW.</w:t>
      </w:r>
      <w:r w:rsidRPr="009F0CBB" w:rsidR="006B62CA">
        <w:t xml:space="preserve"> Dit artikel bevat een grondslag om ter uitvoering van bindende EU-rechtshandelingen bij algemene maatregel van bestuur regels te stellen omtrent de verplichtingen van bepaalde rechtspersonen tot het opnemen van informatie in het bestuursverslag. Dergelijke regels kunnen betrekking hebben op onder andere de inhoud van de informatie.</w:t>
      </w:r>
      <w:r w:rsidR="00EF0693">
        <w:t xml:space="preserve"> </w:t>
      </w:r>
      <w:r w:rsidRPr="009F0CBB" w:rsidR="00AA582E">
        <w:t xml:space="preserve">Implementatie via een algemene maatregel van bestuur is </w:t>
      </w:r>
      <w:r w:rsidR="00EF0693">
        <w:t xml:space="preserve">dan </w:t>
      </w:r>
      <w:r w:rsidRPr="009F0CBB" w:rsidR="00AA582E">
        <w:t>de</w:t>
      </w:r>
      <w:r w:rsidRPr="009F0CBB" w:rsidR="00CA255B">
        <w:t xml:space="preserve"> gebruikelijke</w:t>
      </w:r>
      <w:r w:rsidRPr="009F0CBB" w:rsidR="00AA582E">
        <w:t xml:space="preserve"> wijze van implementatie</w:t>
      </w:r>
      <w:r w:rsidR="00EF68A0">
        <w:t xml:space="preserve"> van EU-richtlijn(bepaling)en</w:t>
      </w:r>
      <w:r w:rsidRPr="009F0CBB" w:rsidR="00AA582E">
        <w:t>.</w:t>
      </w:r>
    </w:p>
    <w:p w:rsidRPr="009F0CBB" w:rsidR="00AE1D56" w:rsidP="00E6057F" w:rsidRDefault="00AE1D56" w14:paraId="3E5F0D0E" w14:textId="77777777">
      <w:pPr>
        <w:jc w:val="both"/>
      </w:pPr>
    </w:p>
    <w:p w:rsidR="00C3046F" w:rsidP="00C3046F" w:rsidRDefault="0086216F" w14:paraId="504563F9" w14:textId="08DE8B82">
      <w:pPr>
        <w:jc w:val="both"/>
      </w:pPr>
      <w:r>
        <w:t>De</w:t>
      </w:r>
      <w:r w:rsidR="001E3C6C">
        <w:t xml:space="preserve"> richtlijnbepaling </w:t>
      </w:r>
      <w:r>
        <w:t xml:space="preserve">wordt geïmplementeerd door toevoeging van een nieuw artikel 3e aan </w:t>
      </w:r>
      <w:r w:rsidR="001E3C6C">
        <w:t>het Besluit inhoud bestuursverslag.</w:t>
      </w:r>
      <w:r w:rsidR="00571506">
        <w:t xml:space="preserve"> Dit besluit bevat </w:t>
      </w:r>
      <w:r w:rsidR="004405AF">
        <w:t>reeds verschillende</w:t>
      </w:r>
      <w:r w:rsidR="00571506">
        <w:t xml:space="preserve"> voorschriften over de inhoud van het bestuursverslag</w:t>
      </w:r>
      <w:r w:rsidR="005E6FF8">
        <w:t xml:space="preserve">. </w:t>
      </w:r>
    </w:p>
    <w:p w:rsidR="00C3046F" w:rsidP="00C3046F" w:rsidRDefault="00C3046F" w14:paraId="584306AD" w14:textId="77777777">
      <w:pPr>
        <w:jc w:val="both"/>
      </w:pPr>
    </w:p>
    <w:p w:rsidRPr="009F0CBB" w:rsidR="00AE1D56" w:rsidP="00E6057F" w:rsidRDefault="00AE1D56" w14:paraId="111E7976" w14:textId="5A002C3C">
      <w:pPr>
        <w:jc w:val="both"/>
      </w:pPr>
      <w:r w:rsidRPr="009F0CBB">
        <w:t xml:space="preserve">In </w:t>
      </w:r>
      <w:r w:rsidR="00C31F6A">
        <w:t>dit wijzigings</w:t>
      </w:r>
      <w:r w:rsidRPr="009F0CBB">
        <w:t>besluit is niet</w:t>
      </w:r>
      <w:r w:rsidR="00EF0693">
        <w:t>,</w:t>
      </w:r>
      <w:r w:rsidRPr="009F0CBB">
        <w:t xml:space="preserve"> zoals gebruikelijk</w:t>
      </w:r>
      <w:r w:rsidR="00EF0693">
        <w:t>,</w:t>
      </w:r>
      <w:r w:rsidRPr="009F0CBB">
        <w:t xml:space="preserve"> opgenomen vanaf welk boekjaar de verplichting tot het </w:t>
      </w:r>
      <w:r w:rsidRPr="009F0CBB" w:rsidR="005015AD">
        <w:t>opnemen</w:t>
      </w:r>
      <w:r w:rsidRPr="009F0CBB">
        <w:t xml:space="preserve"> van de informatie</w:t>
      </w:r>
      <w:r w:rsidRPr="009F0CBB" w:rsidR="005015AD">
        <w:t xml:space="preserve"> in het bestuursverslag</w:t>
      </w:r>
      <w:r w:rsidRPr="009F0CBB">
        <w:t xml:space="preserve"> van toepassing is. Dat is niet nodig omdat die verplichting is gekoppeld </w:t>
      </w:r>
      <w:r w:rsidRPr="009F0CBB" w:rsidR="005015AD">
        <w:t>aan de toepasselijkheid van artikel 5</w:t>
      </w:r>
      <w:r w:rsidR="00E60A6D">
        <w:t>:6</w:t>
      </w:r>
      <w:r w:rsidRPr="009F0CBB" w:rsidR="005015AD">
        <w:t xml:space="preserve"> Wft. Dat artikel is van toepassing op </w:t>
      </w:r>
      <w:r w:rsidRPr="009F0CBB" w:rsidR="000E5A7D">
        <w:t xml:space="preserve">bestuursverslagen die worden opgesteld over </w:t>
      </w:r>
      <w:r w:rsidRPr="009F0CBB" w:rsidR="005015AD">
        <w:t xml:space="preserve">de boekjaren die aanvangen op of na 5 december 2026. </w:t>
      </w:r>
      <w:r w:rsidRPr="009F0CBB" w:rsidR="000E5A7D">
        <w:t xml:space="preserve">Daarmee </w:t>
      </w:r>
      <w:r w:rsidR="00C31F6A">
        <w:t xml:space="preserve">zijn ook de artikelen die met dit besluit worden ingevoerd </w:t>
      </w:r>
      <w:r w:rsidRPr="009F0CBB" w:rsidR="000E5A7D">
        <w:t xml:space="preserve"> vanaf dat </w:t>
      </w:r>
      <w:r w:rsidR="00EF0693">
        <w:t>moment</w:t>
      </w:r>
      <w:r w:rsidRPr="009F0CBB" w:rsidR="000E5A7D">
        <w:t xml:space="preserve"> van toepassing.</w:t>
      </w:r>
    </w:p>
    <w:p w:rsidR="00AA582E" w:rsidP="00E6057F" w:rsidRDefault="00AA582E" w14:paraId="6E509D75" w14:textId="77777777">
      <w:pPr>
        <w:jc w:val="both"/>
        <w:rPr>
          <w:color w:val="auto"/>
        </w:rPr>
      </w:pPr>
    </w:p>
    <w:p w:rsidRPr="009F0CBB" w:rsidR="00092C73" w:rsidP="00E6057F" w:rsidRDefault="00092C73" w14:paraId="6A6CAA89" w14:textId="08D65ADE">
      <w:pPr>
        <w:pStyle w:val="Lijstalinea"/>
        <w:numPr>
          <w:ilvl w:val="0"/>
          <w:numId w:val="13"/>
        </w:numPr>
        <w:jc w:val="both"/>
        <w:rPr>
          <w:b/>
          <w:bCs/>
        </w:rPr>
      </w:pPr>
      <w:r w:rsidRPr="009F0CBB">
        <w:rPr>
          <w:b/>
          <w:bCs/>
        </w:rPr>
        <w:t>Administratieve lasten</w:t>
      </w:r>
    </w:p>
    <w:p w:rsidRPr="009F0CBB" w:rsidR="00526556" w:rsidP="00E6057F" w:rsidRDefault="00526556" w14:paraId="18E8938C" w14:textId="77777777">
      <w:pPr>
        <w:jc w:val="both"/>
      </w:pPr>
    </w:p>
    <w:p w:rsidR="004451DD" w:rsidP="00472BF5" w:rsidRDefault="00E6057F" w14:paraId="64C38713" w14:textId="77777777">
      <w:pPr>
        <w:jc w:val="both"/>
        <w:rPr>
          <w:color w:val="auto"/>
        </w:rPr>
      </w:pPr>
      <w:r w:rsidRPr="009F0CBB">
        <w:rPr>
          <w:color w:val="auto"/>
        </w:rPr>
        <w:t>Dit besluit bevat</w:t>
      </w:r>
      <w:r w:rsidRPr="009F0CBB" w:rsidR="005230DA">
        <w:rPr>
          <w:color w:val="auto"/>
        </w:rPr>
        <w:t xml:space="preserve"> niet de verplichting tot openbaarmaking van informatie, maar</w:t>
      </w:r>
      <w:r w:rsidRPr="009F0CBB">
        <w:rPr>
          <w:color w:val="auto"/>
        </w:rPr>
        <w:t xml:space="preserve"> slechts de </w:t>
      </w:r>
      <w:r w:rsidR="00EF0693">
        <w:rPr>
          <w:color w:val="auto"/>
        </w:rPr>
        <w:t xml:space="preserve">vraag welke </w:t>
      </w:r>
      <w:r w:rsidRPr="009F0CBB">
        <w:rPr>
          <w:color w:val="auto"/>
        </w:rPr>
        <w:t xml:space="preserve">informatie </w:t>
      </w:r>
      <w:r w:rsidRPr="009F0CBB" w:rsidR="005230DA">
        <w:rPr>
          <w:color w:val="auto"/>
        </w:rPr>
        <w:t>openbaar gemaakt moet worden.</w:t>
      </w:r>
      <w:r w:rsidR="004A0518">
        <w:rPr>
          <w:color w:val="auto"/>
        </w:rPr>
        <w:t xml:space="preserve"> De verplichting staat in de Implementatiewet.</w:t>
      </w:r>
      <w:r w:rsidR="00A8310F">
        <w:rPr>
          <w:color w:val="auto"/>
        </w:rPr>
        <w:t xml:space="preserve"> </w:t>
      </w:r>
      <w:r w:rsidRPr="009F0CBB" w:rsidR="005230DA">
        <w:rPr>
          <w:color w:val="auto"/>
        </w:rPr>
        <w:t xml:space="preserve">De administratieve lasten bij de verplichting tot openbaarmaking zijn uitgewerkt </w:t>
      </w:r>
      <w:bookmarkStart w:name="_Hlk213164760" w:id="4"/>
      <w:r w:rsidRPr="009F0CBB" w:rsidR="008C28E8">
        <w:rPr>
          <w:color w:val="auto"/>
        </w:rPr>
        <w:t>in de toelichting bij d</w:t>
      </w:r>
      <w:r w:rsidR="004405AF">
        <w:rPr>
          <w:color w:val="auto"/>
        </w:rPr>
        <w:t>it voorontwerp van de</w:t>
      </w:r>
      <w:r w:rsidRPr="009F0CBB" w:rsidR="008C28E8">
        <w:rPr>
          <w:color w:val="auto"/>
        </w:rPr>
        <w:t xml:space="preserve"> Implementatiewet.</w:t>
      </w:r>
      <w:r w:rsidR="00643DAC">
        <w:rPr>
          <w:color w:val="auto"/>
        </w:rPr>
        <w:t xml:space="preserve"> </w:t>
      </w:r>
      <w:r w:rsidR="004A0518">
        <w:rPr>
          <w:color w:val="auto"/>
        </w:rPr>
        <w:t xml:space="preserve">De bepaling waarin deze informatie op een rij wordt gezet maakte, zoals hiervoor </w:t>
      </w:r>
      <w:r w:rsidR="00D12F03">
        <w:rPr>
          <w:color w:val="auto"/>
        </w:rPr>
        <w:t>al is aangegeven</w:t>
      </w:r>
      <w:r w:rsidR="004A0518">
        <w:rPr>
          <w:color w:val="auto"/>
        </w:rPr>
        <w:t>, in een eerder stadium wel onderdeel uit van het voorontwerp van de Implementatiewet richtlijn aandelen met meervoudig stemrecht.</w:t>
      </w:r>
      <w:r w:rsidRPr="009F0CBB" w:rsidR="004A0518">
        <w:rPr>
          <w:color w:val="auto"/>
        </w:rPr>
        <w:t xml:space="preserve"> </w:t>
      </w:r>
      <w:r w:rsidR="00B241EE">
        <w:rPr>
          <w:color w:val="auto"/>
        </w:rPr>
        <w:t>De ATR heeft</w:t>
      </w:r>
      <w:r w:rsidR="004405AF">
        <w:rPr>
          <w:color w:val="auto"/>
        </w:rPr>
        <w:t xml:space="preserve"> </w:t>
      </w:r>
      <w:r w:rsidR="002B780C">
        <w:rPr>
          <w:color w:val="auto"/>
        </w:rPr>
        <w:t xml:space="preserve">op </w:t>
      </w:r>
      <w:r w:rsidR="00643DAC">
        <w:rPr>
          <w:color w:val="auto"/>
        </w:rPr>
        <w:t>30 juli 2025</w:t>
      </w:r>
      <w:r w:rsidR="00D12F03">
        <w:rPr>
          <w:color w:val="auto"/>
        </w:rPr>
        <w:t xml:space="preserve"> </w:t>
      </w:r>
      <w:r w:rsidR="00B241EE">
        <w:rPr>
          <w:color w:val="auto"/>
        </w:rPr>
        <w:t xml:space="preserve">een positief advies uitgebracht bij </w:t>
      </w:r>
      <w:r w:rsidR="004405AF">
        <w:rPr>
          <w:color w:val="auto"/>
        </w:rPr>
        <w:t>dit</w:t>
      </w:r>
      <w:r w:rsidR="00BD51C4">
        <w:rPr>
          <w:color w:val="auto"/>
        </w:rPr>
        <w:t xml:space="preserve"> voorontwerp</w:t>
      </w:r>
      <w:r w:rsidR="00643DAC">
        <w:rPr>
          <w:color w:val="auto"/>
        </w:rPr>
        <w:t>.</w:t>
      </w:r>
      <w:r w:rsidRPr="009F0CBB" w:rsidR="00643DAC">
        <w:rPr>
          <w:rStyle w:val="Voetnootmarkering"/>
          <w:color w:val="auto"/>
        </w:rPr>
        <w:footnoteReference w:id="5"/>
      </w:r>
      <w:r w:rsidR="00643DAC">
        <w:rPr>
          <w:color w:val="auto"/>
        </w:rPr>
        <w:t xml:space="preserve"> </w:t>
      </w:r>
    </w:p>
    <w:p w:rsidR="004451DD" w:rsidP="00472BF5" w:rsidRDefault="004451DD" w14:paraId="79F3E017" w14:textId="77777777">
      <w:pPr>
        <w:jc w:val="both"/>
        <w:rPr>
          <w:color w:val="auto"/>
        </w:rPr>
      </w:pPr>
    </w:p>
    <w:p w:rsidRPr="009F0CBB" w:rsidR="00C158A5" w:rsidP="00472BF5" w:rsidRDefault="004451DD" w14:paraId="31DA0C5E" w14:textId="4316A7F3">
      <w:pPr>
        <w:jc w:val="both"/>
        <w:rPr>
          <w:color w:val="auto"/>
        </w:rPr>
      </w:pPr>
      <w:r>
        <w:rPr>
          <w:color w:val="auto"/>
        </w:rPr>
        <w:t xml:space="preserve">De </w:t>
      </w:r>
      <w:r w:rsidRPr="004451DD">
        <w:rPr>
          <w:color w:val="auto"/>
        </w:rPr>
        <w:t xml:space="preserve">ATR heeft </w:t>
      </w:r>
      <w:r>
        <w:rPr>
          <w:color w:val="auto"/>
        </w:rPr>
        <w:t xml:space="preserve">dit Implementatiebesluit richtlijn aandelen met meervoudig stemrecht </w:t>
      </w:r>
      <w:r w:rsidRPr="004451DD">
        <w:rPr>
          <w:color w:val="auto"/>
        </w:rPr>
        <w:t>niet geselecteerd voor een formeel advies, omdat het geen gevolgen heeft voor de regeldruk.</w:t>
      </w:r>
    </w:p>
    <w:p w:rsidRPr="009F0CBB" w:rsidR="00A42244" w:rsidP="00E6057F" w:rsidRDefault="00A42244" w14:paraId="52C7C54C" w14:textId="77777777">
      <w:pPr>
        <w:jc w:val="both"/>
        <w:rPr>
          <w:color w:val="747474" w:themeColor="background2" w:themeShade="80"/>
        </w:rPr>
      </w:pPr>
    </w:p>
    <w:bookmarkEnd w:id="4"/>
    <w:p w:rsidRPr="009F0CBB" w:rsidR="00092C73" w:rsidP="00E6057F" w:rsidRDefault="00092C73" w14:paraId="24A6BB8C" w14:textId="51989212">
      <w:pPr>
        <w:pStyle w:val="Lijstalinea"/>
        <w:numPr>
          <w:ilvl w:val="0"/>
          <w:numId w:val="13"/>
        </w:numPr>
        <w:jc w:val="both"/>
        <w:rPr>
          <w:b/>
          <w:bCs/>
        </w:rPr>
      </w:pPr>
      <w:r w:rsidRPr="009F0CBB">
        <w:rPr>
          <w:b/>
          <w:bCs/>
        </w:rPr>
        <w:t>Advies</w:t>
      </w:r>
    </w:p>
    <w:p w:rsidR="00526556" w:rsidP="00E6057F" w:rsidRDefault="00526556" w14:paraId="6E1F8CC9" w14:textId="77777777">
      <w:pPr>
        <w:jc w:val="both"/>
        <w:rPr>
          <w:b/>
          <w:bCs/>
        </w:rPr>
      </w:pPr>
    </w:p>
    <w:p w:rsidR="002B780C" w:rsidP="00E6057F" w:rsidRDefault="002B780C" w14:paraId="431FB7B3" w14:textId="01917855">
      <w:pPr>
        <w:jc w:val="both"/>
      </w:pPr>
      <w:r w:rsidRPr="00CC1E3D">
        <w:t>De Autoriteit Persoonsgegevens heeft</w:t>
      </w:r>
      <w:r w:rsidR="00CC1E3D">
        <w:t xml:space="preserve"> een wetgevingstoets uitgevoerd bij het voorontwerp van de Implementatiewet.</w:t>
      </w:r>
      <w:r w:rsidR="004405AF">
        <w:t xml:space="preserve"> Die wetgevingstoets is verricht </w:t>
      </w:r>
      <w:r w:rsidR="00FB5FD0">
        <w:t>met het oog op de publicatie van de informatie in dit besluit, meer specifiek de</w:t>
      </w:r>
      <w:r w:rsidR="00CC1E3D">
        <w:t xml:space="preserve"> informatie over de identiteit van aandeelhouders met aandelen met meervoudig stemrecht die meer dan 5% van de stemrechten vertegenwoordigen (artikel 3e, onderdeel c</w:t>
      </w:r>
      <w:r w:rsidR="00565C3E">
        <w:t xml:space="preserve">). Dit onderdeel maakte ten tijde van de wetgevingstoets </w:t>
      </w:r>
      <w:r w:rsidR="00CC1E3D">
        <w:t xml:space="preserve">nog deel uit van </w:t>
      </w:r>
      <w:r w:rsidR="00565C3E">
        <w:t>het</w:t>
      </w:r>
      <w:r w:rsidR="00CC1E3D">
        <w:t xml:space="preserve"> voorontwerp</w:t>
      </w:r>
      <w:r w:rsidR="00565C3E">
        <w:t xml:space="preserve"> van de Implementatiewet</w:t>
      </w:r>
      <w:r w:rsidR="00CC1E3D">
        <w:t xml:space="preserve"> (als voorgestelde toevoeging aan artikel 392 van Boek 2 BW). De AP </w:t>
      </w:r>
      <w:r w:rsidR="00565C3E">
        <w:t>had</w:t>
      </w:r>
      <w:r w:rsidR="00CC1E3D">
        <w:t xml:space="preserve"> geen aanmerkingen op het </w:t>
      </w:r>
      <w:r w:rsidR="00565C3E">
        <w:t>voorontwerp</w:t>
      </w:r>
      <w:r w:rsidRPr="00CC1E3D" w:rsidR="00CC1E3D">
        <w:t>.</w:t>
      </w:r>
      <w:r w:rsidRPr="00CC1E3D" w:rsidR="00CC1E3D">
        <w:rPr>
          <w:rStyle w:val="Voetnootmarkering"/>
        </w:rPr>
        <w:footnoteReference w:id="6"/>
      </w:r>
    </w:p>
    <w:p w:rsidR="00CC1E3D" w:rsidP="00E6057F" w:rsidRDefault="00CC1E3D" w14:paraId="3DBE9EBE" w14:textId="77777777">
      <w:pPr>
        <w:jc w:val="both"/>
      </w:pPr>
    </w:p>
    <w:p w:rsidRPr="009F0CBB" w:rsidR="00526556" w:rsidP="00E6057F" w:rsidRDefault="00E55249" w14:paraId="4ECEF7EC" w14:textId="404085DF">
      <w:pPr>
        <w:jc w:val="both"/>
      </w:pPr>
      <w:r>
        <w:t>Een concept van een</w:t>
      </w:r>
      <w:r w:rsidRPr="009F0CBB" w:rsidR="00526556">
        <w:t xml:space="preserve"> besluit</w:t>
      </w:r>
      <w:r>
        <w:t xml:space="preserve"> waarin de voorgeschreven informatie onderdeel zou vormen van het bestuursverslag</w:t>
      </w:r>
      <w:r w:rsidRPr="009F0CBB" w:rsidR="00526556">
        <w:t xml:space="preserve"> is vervolgens besproken met de </w:t>
      </w:r>
      <w:r w:rsidR="00D12F03">
        <w:t>C</w:t>
      </w:r>
      <w:r w:rsidRPr="009F0CBB" w:rsidR="00D12F03">
        <w:t xml:space="preserve">ommissie </w:t>
      </w:r>
      <w:r w:rsidRPr="009F0CBB" w:rsidR="00526556">
        <w:t>vennootschapsrecht</w:t>
      </w:r>
      <w:r w:rsidR="00D12F03">
        <w:t>, een adviescollege van het ministerie van Justitie en Veiligheid</w:t>
      </w:r>
      <w:r w:rsidRPr="009F0CBB" w:rsidR="005969C9">
        <w:t xml:space="preserve">. </w:t>
      </w:r>
      <w:r w:rsidR="00B241EE">
        <w:t xml:space="preserve">De commissie onderschreef </w:t>
      </w:r>
      <w:r w:rsidR="00B241EE">
        <w:lastRenderedPageBreak/>
        <w:t>de keuze om dit besluit te baseren op de grondslag van artikel</w:t>
      </w:r>
      <w:r w:rsidR="006A39DD">
        <w:t xml:space="preserve"> </w:t>
      </w:r>
      <w:r w:rsidR="00B241EE">
        <w:t>391</w:t>
      </w:r>
      <w:r w:rsidR="00F40CBD">
        <w:t>a, tweede lid</w:t>
      </w:r>
      <w:r w:rsidR="006A39DD">
        <w:t>, van Boek 2</w:t>
      </w:r>
      <w:r w:rsidR="00F40CBD">
        <w:t xml:space="preserve"> </w:t>
      </w:r>
      <w:r w:rsidR="00B241EE">
        <w:t>BW.</w:t>
      </w:r>
    </w:p>
    <w:p w:rsidRPr="009F0CBB" w:rsidR="00092C73" w:rsidP="00E6057F" w:rsidRDefault="00092C73" w14:paraId="629297EE" w14:textId="77777777">
      <w:pPr>
        <w:jc w:val="both"/>
        <w:rPr>
          <w:b/>
          <w:bCs/>
        </w:rPr>
      </w:pPr>
    </w:p>
    <w:p w:rsidRPr="009F0CBB" w:rsidR="00092C73" w:rsidP="00E6057F" w:rsidRDefault="00092C73" w14:paraId="6290A83A" w14:textId="016C2325">
      <w:pPr>
        <w:pStyle w:val="Lijstalinea"/>
        <w:numPr>
          <w:ilvl w:val="0"/>
          <w:numId w:val="13"/>
        </w:numPr>
        <w:jc w:val="both"/>
        <w:rPr>
          <w:b/>
          <w:bCs/>
        </w:rPr>
      </w:pPr>
      <w:r w:rsidRPr="009F0CBB">
        <w:rPr>
          <w:b/>
          <w:bCs/>
        </w:rPr>
        <w:t>Voorhang parlement</w:t>
      </w:r>
    </w:p>
    <w:p w:rsidRPr="009F0CBB" w:rsidR="00950E15" w:rsidP="00E6057F" w:rsidRDefault="00950E15" w14:paraId="46DFB889" w14:textId="77777777">
      <w:pPr>
        <w:jc w:val="both"/>
      </w:pPr>
    </w:p>
    <w:p w:rsidRPr="009F0CBB" w:rsidR="00526556" w:rsidP="00E6057F" w:rsidRDefault="00907078" w14:paraId="4529FE74" w14:textId="0983634C">
      <w:pPr>
        <w:jc w:val="both"/>
      </w:pPr>
      <w:r w:rsidRPr="009F0CBB">
        <w:t xml:space="preserve">Conform het bepaalde in artikel 391a, vierde lid, van Boek 2 BW </w:t>
      </w:r>
      <w:r w:rsidR="00D12F03">
        <w:t>is</w:t>
      </w:r>
      <w:r w:rsidRPr="009F0CBB" w:rsidR="00D12F03">
        <w:t xml:space="preserve"> </w:t>
      </w:r>
      <w:r w:rsidRPr="009F0CBB">
        <w:t>h</w:t>
      </w:r>
      <w:r w:rsidRPr="009F0CBB" w:rsidR="00526556">
        <w:t xml:space="preserve">et ontwerpbesluit gedurende vier weken voorgehangen bij de Tweede Kamer en de Eerste Kamer. </w:t>
      </w:r>
    </w:p>
    <w:p w:rsidRPr="009F0CBB" w:rsidR="00EC6EFD" w:rsidP="00E6057F" w:rsidRDefault="00EC6EFD" w14:paraId="77D72B7A" w14:textId="77777777">
      <w:pPr>
        <w:jc w:val="both"/>
      </w:pPr>
    </w:p>
    <w:p w:rsidRPr="009F0CBB" w:rsidR="0019432E" w:rsidP="00E6057F" w:rsidRDefault="0019432E" w14:paraId="40B8014F" w14:textId="77777777">
      <w:pPr>
        <w:jc w:val="both"/>
      </w:pPr>
    </w:p>
    <w:p w:rsidRPr="009F0CBB" w:rsidR="0019432E" w:rsidP="00E6057F" w:rsidRDefault="0019432E" w14:paraId="6FE53C45" w14:textId="77777777">
      <w:pPr>
        <w:jc w:val="both"/>
      </w:pPr>
    </w:p>
    <w:p w:rsidR="00D36317" w:rsidP="00E6057F" w:rsidRDefault="00D36317" w14:paraId="669AD764" w14:textId="77777777">
      <w:pPr>
        <w:jc w:val="both"/>
      </w:pPr>
    </w:p>
    <w:p w:rsidR="0019432E" w:rsidP="00E6057F" w:rsidRDefault="0019432E" w14:paraId="5A025082" w14:textId="1CA44FEC">
      <w:pPr>
        <w:jc w:val="both"/>
      </w:pPr>
      <w:r w:rsidRPr="009F0CBB">
        <w:t>De Staatssecretaris van Justitie en Veiligheid,</w:t>
      </w:r>
    </w:p>
    <w:sectPr w:rsidR="0019432E">
      <w:headerReference w:type="first" r:id="rId9"/>
      <w:pgSz w:w="11905" w:h="16837"/>
      <w:pgMar w:top="209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6DE6" w14:textId="77777777" w:rsidR="0056588E" w:rsidRDefault="0056588E">
      <w:pPr>
        <w:spacing w:line="240" w:lineRule="auto"/>
      </w:pPr>
      <w:r>
        <w:separator/>
      </w:r>
    </w:p>
  </w:endnote>
  <w:endnote w:type="continuationSeparator" w:id="0">
    <w:p w14:paraId="03CCC066" w14:textId="77777777" w:rsidR="0056588E" w:rsidRDefault="00565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53390" w14:textId="77777777" w:rsidR="0056588E" w:rsidRDefault="0056588E">
      <w:pPr>
        <w:spacing w:line="240" w:lineRule="auto"/>
      </w:pPr>
      <w:r>
        <w:separator/>
      </w:r>
    </w:p>
  </w:footnote>
  <w:footnote w:type="continuationSeparator" w:id="0">
    <w:p w14:paraId="7860F351" w14:textId="77777777" w:rsidR="0056588E" w:rsidRDefault="0056588E">
      <w:pPr>
        <w:spacing w:line="240" w:lineRule="auto"/>
      </w:pPr>
      <w:r>
        <w:continuationSeparator/>
      </w:r>
    </w:p>
  </w:footnote>
  <w:footnote w:id="1">
    <w:p w14:paraId="5735FA25" w14:textId="65B8868D" w:rsidR="003D302D" w:rsidRPr="009F0CBB" w:rsidRDefault="003D302D">
      <w:pPr>
        <w:pStyle w:val="Voetnoottekst"/>
        <w:rPr>
          <w:sz w:val="16"/>
          <w:szCs w:val="16"/>
          <w:lang w:val="nl-NL"/>
        </w:rPr>
      </w:pPr>
      <w:r w:rsidRPr="009F0CBB">
        <w:rPr>
          <w:rStyle w:val="Voetnootmarkering"/>
          <w:sz w:val="16"/>
          <w:szCs w:val="16"/>
        </w:rPr>
        <w:footnoteRef/>
      </w:r>
      <w:r w:rsidRPr="009F0CBB">
        <w:rPr>
          <w:sz w:val="16"/>
          <w:szCs w:val="16"/>
          <w:lang w:val="nl-NL"/>
        </w:rPr>
        <w:t xml:space="preserve"> In artikel </w:t>
      </w:r>
      <w:r w:rsidR="00E60A6D">
        <w:rPr>
          <w:sz w:val="16"/>
          <w:szCs w:val="16"/>
          <w:lang w:val="nl-NL"/>
        </w:rPr>
        <w:t>5:6</w:t>
      </w:r>
      <w:r w:rsidRPr="009F0CBB">
        <w:rPr>
          <w:sz w:val="16"/>
          <w:szCs w:val="16"/>
          <w:lang w:val="nl-NL"/>
        </w:rPr>
        <w:t xml:space="preserve"> Wft wordt</w:t>
      </w:r>
      <w:r w:rsidR="00BF3CBB" w:rsidRPr="009F0CBB">
        <w:rPr>
          <w:sz w:val="16"/>
          <w:szCs w:val="16"/>
          <w:lang w:val="nl-NL"/>
        </w:rPr>
        <w:t xml:space="preserve"> </w:t>
      </w:r>
      <w:r w:rsidRPr="009F0CBB">
        <w:rPr>
          <w:sz w:val="16"/>
          <w:szCs w:val="16"/>
          <w:lang w:val="nl-NL"/>
        </w:rPr>
        <w:t>gesproken over de ‘onderneming’, zoals bedoeld in artikel 2 van de richtlijn. Dit begrip is in de Wft gehanteerd, omdat de Wft niet alleen op Nederlandse vennootschappen ziet, maar ook op buitenlandse vennootschappen met een notering in Nederland.</w:t>
      </w:r>
      <w:r w:rsidR="00BF3CBB" w:rsidRPr="009F0CBB">
        <w:rPr>
          <w:sz w:val="16"/>
          <w:szCs w:val="16"/>
          <w:lang w:val="nl-NL"/>
        </w:rPr>
        <w:t xml:space="preserve"> Voor de bredere context die in deze nota van toelichting wordt geschetst, wordt dan ook aangesloten bij het in de Wft gebruikte begrip ‘onderneming’.</w:t>
      </w:r>
      <w:r w:rsidRPr="009F0CBB">
        <w:rPr>
          <w:sz w:val="16"/>
          <w:szCs w:val="16"/>
          <w:lang w:val="nl-NL"/>
        </w:rPr>
        <w:t xml:space="preserve"> </w:t>
      </w:r>
      <w:r w:rsidR="00BF3CBB" w:rsidRPr="009F0CBB">
        <w:rPr>
          <w:sz w:val="16"/>
          <w:szCs w:val="16"/>
          <w:lang w:val="nl-NL"/>
        </w:rPr>
        <w:t>Het besluit zelf betreft echter de inhoud van het bestuursverslag. De verplichtingen over de inhoud en openbaarmaking van het bestuursverslag gelden op grond van Boek 2 BW voor Nederlandse vennootschappen. In het besluit wordt daarom</w:t>
      </w:r>
      <w:r w:rsidRPr="009F0CBB">
        <w:rPr>
          <w:sz w:val="16"/>
          <w:szCs w:val="16"/>
          <w:lang w:val="nl-NL"/>
        </w:rPr>
        <w:t xml:space="preserve"> gesproken over de ‘vennootschap’.</w:t>
      </w:r>
    </w:p>
  </w:footnote>
  <w:footnote w:id="2">
    <w:p w14:paraId="2E74E7F8" w14:textId="27921994" w:rsidR="00A136B2" w:rsidRPr="009F0CBB" w:rsidRDefault="00A136B2">
      <w:pPr>
        <w:pStyle w:val="Voetnoottekst"/>
        <w:rPr>
          <w:sz w:val="16"/>
          <w:szCs w:val="16"/>
          <w:lang w:val="nl-NL"/>
        </w:rPr>
      </w:pPr>
      <w:r w:rsidRPr="009F0CBB">
        <w:rPr>
          <w:rStyle w:val="Voetnootmarkering"/>
          <w:sz w:val="16"/>
          <w:szCs w:val="16"/>
        </w:rPr>
        <w:footnoteRef/>
      </w:r>
      <w:r w:rsidRPr="009F0CBB">
        <w:rPr>
          <w:sz w:val="16"/>
          <w:szCs w:val="16"/>
          <w:lang w:val="nl-NL"/>
        </w:rPr>
        <w:t xml:space="preserve"> Op grond van artikel 5, eerste en tweede lid van de richtlijn.</w:t>
      </w:r>
    </w:p>
  </w:footnote>
  <w:footnote w:id="3">
    <w:p w14:paraId="034C424F" w14:textId="29C73ADE" w:rsidR="0019432E" w:rsidRPr="009F0CBB" w:rsidRDefault="0019432E">
      <w:pPr>
        <w:pStyle w:val="Voetnoottekst"/>
        <w:rPr>
          <w:sz w:val="16"/>
          <w:szCs w:val="16"/>
          <w:lang w:val="nl-NL"/>
        </w:rPr>
      </w:pPr>
      <w:r w:rsidRPr="009F0CBB">
        <w:rPr>
          <w:rStyle w:val="Voetnootmarkering"/>
          <w:sz w:val="16"/>
          <w:szCs w:val="16"/>
        </w:rPr>
        <w:footnoteRef/>
      </w:r>
      <w:r w:rsidRPr="009F0CBB">
        <w:rPr>
          <w:sz w:val="16"/>
          <w:szCs w:val="16"/>
          <w:lang w:val="nl-NL"/>
        </w:rPr>
        <w:t xml:space="preserve"> </w:t>
      </w:r>
      <w:r w:rsidR="00EF68A0">
        <w:rPr>
          <w:sz w:val="16"/>
          <w:szCs w:val="16"/>
          <w:lang w:val="nl-NL"/>
        </w:rPr>
        <w:t>Zie ook de</w:t>
      </w:r>
      <w:r w:rsidR="00EF0693">
        <w:rPr>
          <w:sz w:val="16"/>
          <w:szCs w:val="16"/>
          <w:lang w:val="nl-NL"/>
        </w:rPr>
        <w:t xml:space="preserve"> </w:t>
      </w:r>
      <w:r w:rsidR="00EF68A0">
        <w:rPr>
          <w:sz w:val="16"/>
          <w:szCs w:val="16"/>
          <w:lang w:val="nl-NL"/>
        </w:rPr>
        <w:t>artikelsgewijze toelichting op artikel 5:6 Wft in</w:t>
      </w:r>
      <w:r w:rsidR="00EF68A0" w:rsidRPr="009F0CBB">
        <w:rPr>
          <w:sz w:val="16"/>
          <w:szCs w:val="16"/>
          <w:lang w:val="nl-NL"/>
        </w:rPr>
        <w:t xml:space="preserve"> de memorie van toelichting bij de Implementatiewet richtlijn aandelen met meervoudig stemrecht</w:t>
      </w:r>
      <w:r w:rsidR="00EE409C">
        <w:rPr>
          <w:sz w:val="16"/>
          <w:szCs w:val="16"/>
          <w:lang w:val="nl-NL"/>
        </w:rPr>
        <w:t>. In die toelichting wordt ook verwezen naar artikel 5, tweede lid, onderdeel b van de richtlijn, waaruit blijkt dat deze informatie slechts hoeft te worden opgenomen in “</w:t>
      </w:r>
      <w:r w:rsidR="00EE409C" w:rsidRPr="00C158A5">
        <w:rPr>
          <w:sz w:val="16"/>
          <w:szCs w:val="16"/>
          <w:u w:val="single"/>
          <w:lang w:val="nl-NL"/>
        </w:rPr>
        <w:t>eventuele</w:t>
      </w:r>
      <w:r w:rsidR="00EE409C">
        <w:rPr>
          <w:sz w:val="16"/>
          <w:szCs w:val="16"/>
          <w:lang w:val="nl-NL"/>
        </w:rPr>
        <w:t xml:space="preserve"> op grond van het nationale recht vereiste financiële jaarverslagen”. </w:t>
      </w:r>
    </w:p>
  </w:footnote>
  <w:footnote w:id="4">
    <w:p w14:paraId="48BD1C87" w14:textId="77777777" w:rsidR="00565C3E" w:rsidRPr="006F7EAE" w:rsidRDefault="00565C3E" w:rsidP="00565C3E">
      <w:pPr>
        <w:pStyle w:val="Voetnoottekst"/>
        <w:rPr>
          <w:sz w:val="16"/>
          <w:szCs w:val="16"/>
          <w:lang w:val="nl-NL"/>
        </w:rPr>
      </w:pPr>
      <w:r w:rsidRPr="006F7EAE">
        <w:rPr>
          <w:rStyle w:val="Voetnootmarkering"/>
          <w:sz w:val="16"/>
          <w:szCs w:val="16"/>
        </w:rPr>
        <w:footnoteRef/>
      </w:r>
      <w:r w:rsidRPr="006F7EAE">
        <w:rPr>
          <w:sz w:val="16"/>
          <w:szCs w:val="16"/>
          <w:lang w:val="nl-NL"/>
        </w:rPr>
        <w:t xml:space="preserve"> Zie </w:t>
      </w:r>
      <w:r>
        <w:rPr>
          <w:sz w:val="16"/>
          <w:szCs w:val="16"/>
          <w:lang w:val="nl-NL"/>
        </w:rPr>
        <w:t xml:space="preserve">over deze keuze </w:t>
      </w:r>
      <w:r w:rsidRPr="006F7EAE">
        <w:rPr>
          <w:sz w:val="16"/>
          <w:szCs w:val="16"/>
          <w:lang w:val="nl-NL"/>
        </w:rPr>
        <w:t xml:space="preserve">nader </w:t>
      </w:r>
      <w:r>
        <w:rPr>
          <w:sz w:val="16"/>
          <w:szCs w:val="16"/>
          <w:lang w:val="nl-NL"/>
        </w:rPr>
        <w:t xml:space="preserve">de artikelsgewijze toelichting op artikel 5:6 Wft in </w:t>
      </w:r>
      <w:r w:rsidRPr="006F7EAE">
        <w:rPr>
          <w:sz w:val="16"/>
          <w:szCs w:val="16"/>
          <w:lang w:val="nl-NL"/>
        </w:rPr>
        <w:t xml:space="preserve">de memorie van toelichting bij het </w:t>
      </w:r>
      <w:r>
        <w:rPr>
          <w:sz w:val="16"/>
          <w:szCs w:val="16"/>
          <w:lang w:val="nl-NL"/>
        </w:rPr>
        <w:t>implementatie</w:t>
      </w:r>
      <w:r w:rsidRPr="006F7EAE">
        <w:rPr>
          <w:sz w:val="16"/>
          <w:szCs w:val="16"/>
          <w:lang w:val="nl-NL"/>
        </w:rPr>
        <w:t>wetvoorstel.</w:t>
      </w:r>
      <w:r>
        <w:rPr>
          <w:sz w:val="16"/>
          <w:szCs w:val="16"/>
          <w:lang w:val="nl-NL"/>
        </w:rPr>
        <w:t xml:space="preserve"> </w:t>
      </w:r>
    </w:p>
  </w:footnote>
  <w:footnote w:id="5">
    <w:p w14:paraId="7486EADE" w14:textId="77777777" w:rsidR="00643DAC" w:rsidRPr="006F7EAE" w:rsidRDefault="00643DAC" w:rsidP="00643DAC">
      <w:pPr>
        <w:pStyle w:val="Voetnoottekst"/>
        <w:rPr>
          <w:sz w:val="16"/>
          <w:szCs w:val="16"/>
          <w:lang w:val="nl-NL"/>
        </w:rPr>
      </w:pPr>
      <w:r w:rsidRPr="006F7EAE">
        <w:rPr>
          <w:rStyle w:val="Voetnootmarkering"/>
          <w:sz w:val="16"/>
          <w:szCs w:val="16"/>
        </w:rPr>
        <w:footnoteRef/>
      </w:r>
      <w:r w:rsidRPr="006F7EAE">
        <w:rPr>
          <w:sz w:val="16"/>
          <w:szCs w:val="16"/>
          <w:lang w:val="nl-NL"/>
        </w:rPr>
        <w:t xml:space="preserve"> Bij advies van 30 juli 2025</w:t>
      </w:r>
      <w:r>
        <w:rPr>
          <w:sz w:val="16"/>
          <w:szCs w:val="16"/>
          <w:lang w:val="nl-NL"/>
        </w:rPr>
        <w:t xml:space="preserve">: </w:t>
      </w:r>
      <w:hyperlink r:id="rId1" w:history="1">
        <w:r w:rsidRPr="00441F9F">
          <w:rPr>
            <w:rStyle w:val="Hyperlink"/>
            <w:sz w:val="16"/>
            <w:szCs w:val="16"/>
            <w:lang w:val="nl-NL"/>
          </w:rPr>
          <w:t>ATR Advies</w:t>
        </w:r>
      </w:hyperlink>
      <w:r>
        <w:rPr>
          <w:sz w:val="16"/>
          <w:szCs w:val="16"/>
          <w:lang w:val="nl-NL"/>
        </w:rPr>
        <w:t xml:space="preserve"> </w:t>
      </w:r>
      <w:r w:rsidRPr="006F7EAE">
        <w:rPr>
          <w:sz w:val="16"/>
          <w:szCs w:val="16"/>
          <w:lang w:val="nl-NL"/>
        </w:rPr>
        <w:t>Zie ook paragraaf 7 (Advies en consultatie) in de memorie van toelichting bij het wetsvoorstel Implementatiewet richtlijn aandelen met meervoudig stemrecht.</w:t>
      </w:r>
    </w:p>
  </w:footnote>
  <w:footnote w:id="6">
    <w:p w14:paraId="45BDCCA1" w14:textId="2BE969F3" w:rsidR="00CC1E3D" w:rsidRPr="00C158A5" w:rsidRDefault="00CC1E3D">
      <w:pPr>
        <w:pStyle w:val="Voetnoottekst"/>
        <w:rPr>
          <w:sz w:val="16"/>
          <w:szCs w:val="16"/>
          <w:lang w:val="nl-NL"/>
        </w:rPr>
      </w:pPr>
      <w:r w:rsidRPr="00C158A5">
        <w:rPr>
          <w:rStyle w:val="Voetnootmarkering"/>
          <w:sz w:val="16"/>
          <w:szCs w:val="16"/>
        </w:rPr>
        <w:footnoteRef/>
      </w:r>
      <w:r w:rsidRPr="00C158A5">
        <w:rPr>
          <w:sz w:val="16"/>
          <w:szCs w:val="16"/>
          <w:lang w:val="nl-NL"/>
        </w:rPr>
        <w:t xml:space="preserve"> Bij toets van 2 september 2025:</w:t>
      </w:r>
      <w:r w:rsidR="00472BF5">
        <w:rPr>
          <w:sz w:val="16"/>
          <w:szCs w:val="16"/>
          <w:lang w:val="nl-NL"/>
        </w:rPr>
        <w:t xml:space="preserve"> </w:t>
      </w:r>
      <w:hyperlink r:id="rId2" w:history="1">
        <w:r w:rsidR="00472BF5" w:rsidRPr="00472BF5">
          <w:rPr>
            <w:rStyle w:val="Hyperlink"/>
            <w:sz w:val="16"/>
            <w:szCs w:val="16"/>
            <w:lang w:val="nl-NL"/>
          </w:rPr>
          <w:t>Toets Implementatiewet richtlijn aandelen met meervoudig stemrecht | Autoriteit Persoonsgegevens</w:t>
        </w:r>
      </w:hyperlink>
      <w:r w:rsidR="00472BF5">
        <w:rPr>
          <w:sz w:val="16"/>
          <w:szCs w:val="16"/>
          <w:lang w:val="nl-NL"/>
        </w:rPr>
        <w:t>.</w:t>
      </w:r>
      <w:r w:rsidRPr="00C158A5">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5D32" w14:textId="77777777" w:rsidR="00950E15" w:rsidRDefault="00A578EE">
    <w:pPr>
      <w:spacing w:after="4971" w:line="14" w:lineRule="exact"/>
    </w:pPr>
    <w:r>
      <w:rPr>
        <w:noProof/>
      </w:rPr>
      <mc:AlternateContent>
        <mc:Choice Requires="wps">
          <w:drawing>
            <wp:anchor distT="0" distB="0" distL="0" distR="0" simplePos="0" relativeHeight="100" behindDoc="0" locked="1" layoutInCell="1" allowOverlap="1" wp14:anchorId="60F23E45" wp14:editId="484BCC1C">
              <wp:simplePos x="0" y="0"/>
              <wp:positionH relativeFrom="page">
                <wp:posOffset>762635</wp:posOffset>
              </wp:positionH>
              <wp:positionV relativeFrom="page">
                <wp:posOffset>0</wp:posOffset>
              </wp:positionV>
              <wp:extent cx="6598284" cy="2545080"/>
              <wp:effectExtent l="0" t="0" r="0" b="0"/>
              <wp:wrapNone/>
              <wp:docPr id="1" name="098654b7-5325-4b38-8dc7-92eb590f2159"/>
              <wp:cNvGraphicFramePr/>
              <a:graphic xmlns:a="http://schemas.openxmlformats.org/drawingml/2006/main">
                <a:graphicData uri="http://schemas.microsoft.com/office/word/2010/wordprocessingShape">
                  <wps:wsp>
                    <wps:cNvSpPr txBox="1"/>
                    <wps:spPr>
                      <a:xfrm>
                        <a:off x="0" y="0"/>
                        <a:ext cx="6598284" cy="2545080"/>
                      </a:xfrm>
                      <a:prstGeom prst="rect">
                        <a:avLst/>
                      </a:prstGeom>
                      <a:noFill/>
                    </wps:spPr>
                    <wps:txbx>
                      <w:txbxContent>
                        <w:p w14:paraId="1EE22F5B" w14:textId="77777777" w:rsidR="00950E15" w:rsidRDefault="00A578EE">
                          <w:pPr>
                            <w:spacing w:line="240" w:lineRule="auto"/>
                          </w:pPr>
                          <w:r>
                            <w:rPr>
                              <w:noProof/>
                            </w:rPr>
                            <w:drawing>
                              <wp:inline distT="0" distB="0" distL="0" distR="0" wp14:anchorId="018A0F89" wp14:editId="2882A04F">
                                <wp:extent cx="6598284" cy="2548040"/>
                                <wp:effectExtent l="0" t="0" r="0" b="0"/>
                                <wp:docPr id="2" name="Wij_Willem_Alexander" descr="Woordmerk WIJ Willem Alexander" title="Woordmerk WIJ Willem 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804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0F23E45" id="_x0000_t202" coordsize="21600,21600" o:spt="202" path="m,l,21600r21600,l21600,xe">
              <v:stroke joinstyle="miter"/>
              <v:path gradientshapeok="t" o:connecttype="rect"/>
            </v:shapetype>
            <v:shape id="098654b7-5325-4b38-8dc7-92eb590f2159" o:spid="_x0000_s1026" type="#_x0000_t202" style="position:absolute;margin-left:60.05pt;margin-top:0;width:519.55pt;height:200.4pt;z-index:1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" filled="f" stroked="f">
              <v:textbox inset="0,0,0,0">
                <w:txbxContent>
                  <w:p w14:paraId="1EE22F5B" w14:textId="77777777" w:rsidR="00950E15" w:rsidRDefault="00A578EE">
                    <w:pPr>
                      <w:spacing w:line="240" w:lineRule="auto"/>
                    </w:pPr>
                    <w:r>
                      <w:rPr>
                        <w:noProof/>
                      </w:rPr>
                      <w:drawing>
                        <wp:inline distT="0" distB="0" distL="0" distR="0" wp14:anchorId="018A0F89" wp14:editId="2882A04F">
                          <wp:extent cx="6598284" cy="2548040"/>
                          <wp:effectExtent l="0" t="0" r="0" b="0"/>
                          <wp:docPr id="2" name="Wij_Willem_Alexander" descr="Woordmerk WIJ Willem Alexander" title="Woordmerk WIJ Willem 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804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B35DEE"/>
    <w:multiLevelType w:val="multilevel"/>
    <w:tmpl w:val="9DBCFC7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D096DED"/>
    <w:multiLevelType w:val="multilevel"/>
    <w:tmpl w:val="821BB60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1B7387D"/>
    <w:multiLevelType w:val="multilevel"/>
    <w:tmpl w:val="B62D577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DB9D5CB"/>
    <w:multiLevelType w:val="multilevel"/>
    <w:tmpl w:val="D825B43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E655986F"/>
    <w:multiLevelType w:val="multilevel"/>
    <w:tmpl w:val="CF6FF44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77956A2"/>
    <w:multiLevelType w:val="hybridMultilevel"/>
    <w:tmpl w:val="A64C36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514C59"/>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06652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9B6D5F"/>
    <w:multiLevelType w:val="hybridMultilevel"/>
    <w:tmpl w:val="B1DE3F0C"/>
    <w:lvl w:ilvl="0" w:tplc="0413000F">
      <w:start w:val="1"/>
      <w:numFmt w:val="decimal"/>
      <w:lvlText w:val="%1."/>
      <w:lvlJc w:val="left"/>
      <w:pPr>
        <w:ind w:left="720" w:hanging="360"/>
      </w:pPr>
      <w:rPr>
        <w:rFonts w:hint="default"/>
      </w:rPr>
    </w:lvl>
    <w:lvl w:ilvl="1" w:tplc="04130019">
      <w:start w:val="1"/>
      <w:numFmt w:val="lowerLetter"/>
      <w:lvlText w:val="%2."/>
      <w:lvlJc w:val="left"/>
      <w:pPr>
        <w:ind w:left="36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ABF6928"/>
    <w:multiLevelType w:val="multilevel"/>
    <w:tmpl w:val="F77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77BEC"/>
    <w:multiLevelType w:val="multilevel"/>
    <w:tmpl w:val="DA1E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342EA"/>
    <w:multiLevelType w:val="hybridMultilevel"/>
    <w:tmpl w:val="E38889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8811107"/>
    <w:multiLevelType w:val="hybridMultilevel"/>
    <w:tmpl w:val="0CFCA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9386D5"/>
    <w:multiLevelType w:val="multilevel"/>
    <w:tmpl w:val="51BD108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78594871">
    <w:abstractNumId w:val="13"/>
  </w:num>
  <w:num w:numId="2" w16cid:durableId="187110304">
    <w:abstractNumId w:val="0"/>
  </w:num>
  <w:num w:numId="3" w16cid:durableId="1524241377">
    <w:abstractNumId w:val="1"/>
  </w:num>
  <w:num w:numId="4" w16cid:durableId="1954238644">
    <w:abstractNumId w:val="2"/>
  </w:num>
  <w:num w:numId="5" w16cid:durableId="1959605746">
    <w:abstractNumId w:val="4"/>
  </w:num>
  <w:num w:numId="6" w16cid:durableId="998538239">
    <w:abstractNumId w:val="3"/>
  </w:num>
  <w:num w:numId="7" w16cid:durableId="1853371941">
    <w:abstractNumId w:val="11"/>
  </w:num>
  <w:num w:numId="8" w16cid:durableId="637682383">
    <w:abstractNumId w:val="9"/>
  </w:num>
  <w:num w:numId="9" w16cid:durableId="690884758">
    <w:abstractNumId w:val="10"/>
  </w:num>
  <w:num w:numId="10" w16cid:durableId="364447370">
    <w:abstractNumId w:val="12"/>
  </w:num>
  <w:num w:numId="11" w16cid:durableId="686174563">
    <w:abstractNumId w:val="5"/>
  </w:num>
  <w:num w:numId="12" w16cid:durableId="1279525062">
    <w:abstractNumId w:val="8"/>
  </w:num>
  <w:num w:numId="13" w16cid:durableId="971399131">
    <w:abstractNumId w:val="6"/>
  </w:num>
  <w:num w:numId="14" w16cid:durableId="18589591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EF"/>
    <w:rsid w:val="000205EE"/>
    <w:rsid w:val="00052C32"/>
    <w:rsid w:val="0006370E"/>
    <w:rsid w:val="00085F2A"/>
    <w:rsid w:val="00092C73"/>
    <w:rsid w:val="000A7C0C"/>
    <w:rsid w:val="000E5A7D"/>
    <w:rsid w:val="001078C9"/>
    <w:rsid w:val="00112748"/>
    <w:rsid w:val="0014337C"/>
    <w:rsid w:val="0019432E"/>
    <w:rsid w:val="001B3317"/>
    <w:rsid w:val="001E3C6C"/>
    <w:rsid w:val="00207B99"/>
    <w:rsid w:val="00230FF3"/>
    <w:rsid w:val="00233E2C"/>
    <w:rsid w:val="00267EDB"/>
    <w:rsid w:val="00270C4C"/>
    <w:rsid w:val="002B780C"/>
    <w:rsid w:val="002D5537"/>
    <w:rsid w:val="002F34C4"/>
    <w:rsid w:val="00324A7C"/>
    <w:rsid w:val="00336B4E"/>
    <w:rsid w:val="003376F9"/>
    <w:rsid w:val="00341AFB"/>
    <w:rsid w:val="0034282A"/>
    <w:rsid w:val="00363670"/>
    <w:rsid w:val="00394461"/>
    <w:rsid w:val="003A3DF1"/>
    <w:rsid w:val="003C4BF3"/>
    <w:rsid w:val="003D243B"/>
    <w:rsid w:val="003D302D"/>
    <w:rsid w:val="003F5A7B"/>
    <w:rsid w:val="003F7816"/>
    <w:rsid w:val="00407A80"/>
    <w:rsid w:val="004171B3"/>
    <w:rsid w:val="00432306"/>
    <w:rsid w:val="004405AF"/>
    <w:rsid w:val="00441F9F"/>
    <w:rsid w:val="004451DD"/>
    <w:rsid w:val="00462294"/>
    <w:rsid w:val="00465206"/>
    <w:rsid w:val="00472BF5"/>
    <w:rsid w:val="0047631D"/>
    <w:rsid w:val="00485C87"/>
    <w:rsid w:val="004929DC"/>
    <w:rsid w:val="004A0518"/>
    <w:rsid w:val="004E30D4"/>
    <w:rsid w:val="004E39A1"/>
    <w:rsid w:val="004F0489"/>
    <w:rsid w:val="004F4898"/>
    <w:rsid w:val="005015AD"/>
    <w:rsid w:val="00506B10"/>
    <w:rsid w:val="00512547"/>
    <w:rsid w:val="00513F23"/>
    <w:rsid w:val="005146E2"/>
    <w:rsid w:val="005230DA"/>
    <w:rsid w:val="00526556"/>
    <w:rsid w:val="0056588E"/>
    <w:rsid w:val="00565C3E"/>
    <w:rsid w:val="00571506"/>
    <w:rsid w:val="00573702"/>
    <w:rsid w:val="00591AF0"/>
    <w:rsid w:val="00593DBC"/>
    <w:rsid w:val="005969C9"/>
    <w:rsid w:val="005A21CF"/>
    <w:rsid w:val="005A7039"/>
    <w:rsid w:val="005B1CB3"/>
    <w:rsid w:val="005D0232"/>
    <w:rsid w:val="005E6FF8"/>
    <w:rsid w:val="005F04CD"/>
    <w:rsid w:val="005F0D31"/>
    <w:rsid w:val="005F5382"/>
    <w:rsid w:val="00603B42"/>
    <w:rsid w:val="0063271C"/>
    <w:rsid w:val="00643DAC"/>
    <w:rsid w:val="00662ED8"/>
    <w:rsid w:val="006649E3"/>
    <w:rsid w:val="006738E8"/>
    <w:rsid w:val="006A39DD"/>
    <w:rsid w:val="006B5AC7"/>
    <w:rsid w:val="006B62CA"/>
    <w:rsid w:val="006C58E4"/>
    <w:rsid w:val="006F7509"/>
    <w:rsid w:val="006F752B"/>
    <w:rsid w:val="006F7EAE"/>
    <w:rsid w:val="00707DE9"/>
    <w:rsid w:val="0071227D"/>
    <w:rsid w:val="0073165B"/>
    <w:rsid w:val="00745DDB"/>
    <w:rsid w:val="00746CEF"/>
    <w:rsid w:val="00765A7A"/>
    <w:rsid w:val="007B1A1D"/>
    <w:rsid w:val="007B4E0A"/>
    <w:rsid w:val="007B7317"/>
    <w:rsid w:val="007E3A8E"/>
    <w:rsid w:val="00815252"/>
    <w:rsid w:val="008310C3"/>
    <w:rsid w:val="00837C85"/>
    <w:rsid w:val="00856225"/>
    <w:rsid w:val="0086216F"/>
    <w:rsid w:val="00871B61"/>
    <w:rsid w:val="0088355C"/>
    <w:rsid w:val="008A5E83"/>
    <w:rsid w:val="008C28E8"/>
    <w:rsid w:val="008C69FA"/>
    <w:rsid w:val="0090057F"/>
    <w:rsid w:val="00900D2F"/>
    <w:rsid w:val="00903027"/>
    <w:rsid w:val="00907078"/>
    <w:rsid w:val="00915997"/>
    <w:rsid w:val="00921C6B"/>
    <w:rsid w:val="00930B3B"/>
    <w:rsid w:val="009310A5"/>
    <w:rsid w:val="00950E15"/>
    <w:rsid w:val="00967DC0"/>
    <w:rsid w:val="0098355C"/>
    <w:rsid w:val="009B474C"/>
    <w:rsid w:val="009B6D7A"/>
    <w:rsid w:val="009C6B00"/>
    <w:rsid w:val="009D787D"/>
    <w:rsid w:val="009E21B3"/>
    <w:rsid w:val="009F0CBB"/>
    <w:rsid w:val="00A070CE"/>
    <w:rsid w:val="00A136B2"/>
    <w:rsid w:val="00A161C5"/>
    <w:rsid w:val="00A2635D"/>
    <w:rsid w:val="00A42244"/>
    <w:rsid w:val="00A51920"/>
    <w:rsid w:val="00A578EE"/>
    <w:rsid w:val="00A644A3"/>
    <w:rsid w:val="00A67BA0"/>
    <w:rsid w:val="00A8310F"/>
    <w:rsid w:val="00AA187F"/>
    <w:rsid w:val="00AA582E"/>
    <w:rsid w:val="00AE1D56"/>
    <w:rsid w:val="00B0211A"/>
    <w:rsid w:val="00B14F6A"/>
    <w:rsid w:val="00B241EE"/>
    <w:rsid w:val="00B77C3F"/>
    <w:rsid w:val="00BA352A"/>
    <w:rsid w:val="00BC467A"/>
    <w:rsid w:val="00BD2E2D"/>
    <w:rsid w:val="00BD51C4"/>
    <w:rsid w:val="00BF3CBB"/>
    <w:rsid w:val="00BF3FB8"/>
    <w:rsid w:val="00C158A5"/>
    <w:rsid w:val="00C30253"/>
    <w:rsid w:val="00C3046F"/>
    <w:rsid w:val="00C31F6A"/>
    <w:rsid w:val="00C3518E"/>
    <w:rsid w:val="00C4305D"/>
    <w:rsid w:val="00C458A6"/>
    <w:rsid w:val="00C52DF6"/>
    <w:rsid w:val="00C92E29"/>
    <w:rsid w:val="00CA255B"/>
    <w:rsid w:val="00CB5BD1"/>
    <w:rsid w:val="00CC1E3D"/>
    <w:rsid w:val="00CD2B43"/>
    <w:rsid w:val="00CE6B32"/>
    <w:rsid w:val="00CF624C"/>
    <w:rsid w:val="00D07B81"/>
    <w:rsid w:val="00D12F03"/>
    <w:rsid w:val="00D16ED3"/>
    <w:rsid w:val="00D25A01"/>
    <w:rsid w:val="00D36317"/>
    <w:rsid w:val="00D60FCF"/>
    <w:rsid w:val="00D64663"/>
    <w:rsid w:val="00D64FAE"/>
    <w:rsid w:val="00D65E71"/>
    <w:rsid w:val="00D871AD"/>
    <w:rsid w:val="00D87F8D"/>
    <w:rsid w:val="00DA2DE7"/>
    <w:rsid w:val="00DA7D2C"/>
    <w:rsid w:val="00DB6767"/>
    <w:rsid w:val="00DB6E0D"/>
    <w:rsid w:val="00DD4E3B"/>
    <w:rsid w:val="00DF22D2"/>
    <w:rsid w:val="00DF4E3C"/>
    <w:rsid w:val="00E47897"/>
    <w:rsid w:val="00E55249"/>
    <w:rsid w:val="00E6057F"/>
    <w:rsid w:val="00E60A6D"/>
    <w:rsid w:val="00E86ADB"/>
    <w:rsid w:val="00E97D13"/>
    <w:rsid w:val="00EB6F32"/>
    <w:rsid w:val="00EC6EFD"/>
    <w:rsid w:val="00EE409C"/>
    <w:rsid w:val="00EF0693"/>
    <w:rsid w:val="00EF68A0"/>
    <w:rsid w:val="00F40CBD"/>
    <w:rsid w:val="00F45039"/>
    <w:rsid w:val="00F63CE3"/>
    <w:rsid w:val="00F86AFE"/>
    <w:rsid w:val="00F97A30"/>
    <w:rsid w:val="00FA0C89"/>
    <w:rsid w:val="00FA4F33"/>
    <w:rsid w:val="00FB23C2"/>
    <w:rsid w:val="00FB5F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B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746CEF"/>
    <w:pPr>
      <w:ind w:left="720"/>
      <w:contextualSpacing/>
    </w:pPr>
  </w:style>
  <w:style w:type="paragraph" w:styleId="Voetnoottekst">
    <w:name w:val="footnote text"/>
    <w:basedOn w:val="Standaard"/>
    <w:link w:val="VoetnoottekstChar"/>
    <w:uiPriority w:val="99"/>
    <w:unhideWhenUsed/>
    <w:rsid w:val="00EC6EFD"/>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EC6EFD"/>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EC6EFD"/>
    <w:rPr>
      <w:vertAlign w:val="superscript"/>
    </w:rPr>
  </w:style>
  <w:style w:type="paragraph" w:styleId="Revisie">
    <w:name w:val="Revision"/>
    <w:hidden/>
    <w:uiPriority w:val="99"/>
    <w:semiHidden/>
    <w:rsid w:val="00C3025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4305D"/>
    <w:rPr>
      <w:sz w:val="16"/>
      <w:szCs w:val="16"/>
    </w:rPr>
  </w:style>
  <w:style w:type="paragraph" w:styleId="Tekstopmerking">
    <w:name w:val="annotation text"/>
    <w:basedOn w:val="Standaard"/>
    <w:link w:val="TekstopmerkingChar"/>
    <w:uiPriority w:val="99"/>
    <w:unhideWhenUsed/>
    <w:rsid w:val="00C4305D"/>
    <w:pPr>
      <w:spacing w:line="240" w:lineRule="auto"/>
    </w:pPr>
    <w:rPr>
      <w:sz w:val="20"/>
      <w:szCs w:val="20"/>
    </w:rPr>
  </w:style>
  <w:style w:type="character" w:customStyle="1" w:styleId="TekstopmerkingChar">
    <w:name w:val="Tekst opmerking Char"/>
    <w:basedOn w:val="Standaardalinea-lettertype"/>
    <w:link w:val="Tekstopmerking"/>
    <w:uiPriority w:val="99"/>
    <w:rsid w:val="00C4305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4305D"/>
    <w:rPr>
      <w:b/>
      <w:bCs/>
    </w:rPr>
  </w:style>
  <w:style w:type="character" w:customStyle="1" w:styleId="OnderwerpvanopmerkingChar">
    <w:name w:val="Onderwerp van opmerking Char"/>
    <w:basedOn w:val="TekstopmerkingChar"/>
    <w:link w:val="Onderwerpvanopmerking"/>
    <w:uiPriority w:val="99"/>
    <w:semiHidden/>
    <w:rsid w:val="00C4305D"/>
    <w:rPr>
      <w:rFonts w:ascii="Verdana" w:hAnsi="Verdana"/>
      <w:b/>
      <w:bCs/>
      <w:color w:val="000000"/>
    </w:rPr>
  </w:style>
  <w:style w:type="paragraph" w:styleId="Koptekst">
    <w:name w:val="header"/>
    <w:basedOn w:val="Standaard"/>
    <w:link w:val="KoptekstChar"/>
    <w:uiPriority w:val="99"/>
    <w:unhideWhenUsed/>
    <w:rsid w:val="005146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46E2"/>
    <w:rPr>
      <w:rFonts w:ascii="Verdana" w:hAnsi="Verdana"/>
      <w:color w:val="000000"/>
      <w:sz w:val="18"/>
      <w:szCs w:val="18"/>
    </w:rPr>
  </w:style>
  <w:style w:type="character" w:styleId="Onopgelostemelding">
    <w:name w:val="Unresolved Mention"/>
    <w:basedOn w:val="Standaardalinea-lettertype"/>
    <w:uiPriority w:val="99"/>
    <w:semiHidden/>
    <w:unhideWhenUsed/>
    <w:rsid w:val="00D87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1743">
      <w:bodyDiv w:val="1"/>
      <w:marLeft w:val="0"/>
      <w:marRight w:val="0"/>
      <w:marTop w:val="0"/>
      <w:marBottom w:val="0"/>
      <w:divBdr>
        <w:top w:val="none" w:sz="0" w:space="0" w:color="auto"/>
        <w:left w:val="none" w:sz="0" w:space="0" w:color="auto"/>
        <w:bottom w:val="none" w:sz="0" w:space="0" w:color="auto"/>
        <w:right w:val="none" w:sz="0" w:space="0" w:color="auto"/>
      </w:divBdr>
    </w:div>
    <w:div w:id="197756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autoriteitpersoonsgegevens.nl/documenten/toets-implementatiewet-richtlijn-aandelen-met-meervoudig-stemrecht" TargetMode="External"/><Relationship Id="rId1" Type="http://schemas.openxmlformats.org/officeDocument/2006/relationships/hyperlink" Target="https://www.adviescollegeregeldruk.nl/site/binaries/site-content/collections/documents/2025/07/30/implementatiewet-richtlijn-aandelen-met-meervoudig-stemrecht/19-2025-u108-min-jenv-implementatie-richtlijn-meervoudig-stemrecht-w-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1964</ap:Words>
  <ap:Characters>10802</ap:Characters>
  <ap:DocSecurity>0</ap:DocSecurity>
  <ap:Lines>90</ap:Lines>
  <ap:Paragraphs>25</ap:Paragraphs>
  <ap:ScaleCrop>false</ap:ScaleCrop>
  <ap:LinksUpToDate>false</ap:LinksUpToDate>
  <ap:CharactersWithSpaces>12741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2026-06-10T06:49:00.0000000Z</dcterms:created>
  <dcterms:modified xsi:type="dcterms:W3CDTF">2026-06-10T06:49:00.0000000Z</dcterms:modified>
  <dc:description>------------------------</dc:description>
  <version/>
  <category/>
</coreProperties>
</file>