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D01A6" w:rsidP="00FD01A6" w14:paraId="46B77EE6" w14:textId="296BED20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1" layoutInCell="1" allowOverlap="1">
                <wp:simplePos x="0" y="0"/>
                <wp:positionH relativeFrom="page">
                  <wp:posOffset>6141720</wp:posOffset>
                </wp:positionH>
                <wp:positionV relativeFrom="paragraph">
                  <wp:posOffset>-2076450</wp:posOffset>
                </wp:positionV>
                <wp:extent cx="1277620" cy="8009890"/>
                <wp:effectExtent l="0" t="0" r="0" b="0"/>
                <wp:wrapNone/>
                <wp:docPr id="470182699" name="aa29ef58-fa5a-4ef1-bc47-43f659f7c670" descr="Colofon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7620" cy="800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CCA" w:rsidP="00440CCA" w14:textId="77777777">
                            <w:pPr>
                              <w:pStyle w:val="Referentiegegevensbold"/>
                            </w:pPr>
                            <w:r>
                              <w:t>DG Digitalisering &amp; Overheidsorganisatie</w:t>
                            </w:r>
                          </w:p>
                          <w:p w:rsidR="00440CCA" w:rsidP="00440CCA" w14:textId="77777777">
                            <w:pPr>
                              <w:pStyle w:val="Referentiegegevens"/>
                            </w:pPr>
                            <w:r>
                              <w:t>DGDOO-IFHR-CIO Rijk</w:t>
                            </w:r>
                          </w:p>
                          <w:p w:rsidR="00440CCA" w:rsidP="00440CCA" w14:textId="77777777">
                            <w:pPr>
                              <w:pStyle w:val="Referentiegegevens"/>
                            </w:pPr>
                            <w:r>
                              <w:t>Taskforce Continuïteit ICT Dienstverlening</w:t>
                            </w:r>
                          </w:p>
                          <w:p w:rsidR="00440CCA" w:rsidP="00440CCA" w14:textId="77777777">
                            <w:pPr>
                              <w:pStyle w:val="WitregelW1"/>
                            </w:pPr>
                          </w:p>
                          <w:p w:rsidR="00440CCA" w:rsidP="00440CCA" w14:textId="77777777">
                            <w:pPr>
                              <w:pStyle w:val="Referentiegegevens"/>
                            </w:pPr>
                            <w:r>
                              <w:t>Turfmarkt 147</w:t>
                            </w:r>
                          </w:p>
                          <w:p w:rsidR="00440CCA" w:rsidP="00440CCA" w14:textId="77777777">
                            <w:pPr>
                              <w:pStyle w:val="Referentiegegevens"/>
                            </w:pPr>
                            <w:r>
                              <w:t>2511 DP Den Haag</w:t>
                            </w:r>
                          </w:p>
                          <w:p w:rsidR="00440CCA" w:rsidP="00440CCA" w14:textId="77777777">
                            <w:pPr>
                              <w:pStyle w:val="Referentiegegevens"/>
                            </w:pPr>
                            <w:r>
                              <w:t>Postbus 20011</w:t>
                            </w:r>
                          </w:p>
                          <w:p w:rsidR="00440CCA" w:rsidP="00666EC0" w14:textId="43E342FF">
                            <w:pPr>
                              <w:pStyle w:val="Referentiegegevens"/>
                            </w:pPr>
                            <w:r>
                              <w:t>2500 EA  Den Haag</w:t>
                            </w:r>
                            <w:r w:rsidR="00666EC0">
                              <w:br/>
                            </w:r>
                          </w:p>
                          <w:p w:rsidR="00440CCA" w:rsidP="00440CCA" w14:textId="77777777">
                            <w:pPr>
                              <w:pStyle w:val="Referentiegegevensbold"/>
                            </w:pPr>
                            <w:r>
                              <w:t>Onze referentie</w:t>
                            </w:r>
                          </w:p>
                          <w:p w:rsidR="00440CCA" w:rsidP="00440CCA" w14:textId="77777777">
                            <w:pPr>
                              <w:pStyle w:val="Referentiegegevens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"Kenmerk"  \* MERGEFORMAT </w:instrText>
                            </w:r>
                            <w:r>
                              <w:fldChar w:fldCharType="separate"/>
                            </w:r>
                            <w:r>
                              <w:t>2026-0000217333</w:t>
                            </w:r>
                            <w:r>
                              <w:fldChar w:fldCharType="end"/>
                            </w:r>
                          </w:p>
                          <w:p w:rsidR="00440CCA" w:rsidP="00440CCA" w14:textId="77777777">
                            <w:pPr>
                              <w:pStyle w:val="WitregelW1"/>
                            </w:pPr>
                          </w:p>
                          <w:p w:rsidR="00440CCA" w:rsidP="00440CCA" w14:textId="77777777"/>
                          <w:p w:rsidR="00440CCA" w14:textId="77777777"/>
                        </w:txbxContent>
                      </wps:txbx>
                      <wps:bodyPr vert="horz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a29ef58-fa5a-4ef1-bc47-43f659f7c670" style="width:100.6pt;height:630.7pt;margin-top:-163.5pt;margin-left:483.6pt;mso-position-horizontal-relative:page;mso-wrap-distance-bottom:0;mso-wrap-distance-left:0;mso-wrap-distance-right:0;mso-wrap-distance-top:0;mso-wrap-style:square;position:absolute;v-text-anchor:top;visibility:visible;z-index:251659264" alt="Colofon" o:spid="_x0000_s1025" filled="f" stroked="f" type="#_x0000_t202">
                <v:textbox inset="0,0,0,0">
                  <w:txbxContent>
                    <w:p w:rsidR="00440CCA" w:rsidP="00440CCA" w14:paraId="1AB6FAF5" w14:textId="77777777">
                      <w:pPr>
                        <w:pStyle w:val="Referentiegegevensbold"/>
                      </w:pPr>
                      <w:r>
                        <w:t>DG Digitalisering &amp; Overheidsorganisatie</w:t>
                      </w:r>
                    </w:p>
                    <w:p w:rsidR="00440CCA" w:rsidP="00440CCA" w14:paraId="78C6422C" w14:textId="77777777">
                      <w:pPr>
                        <w:pStyle w:val="Referentiegegevens"/>
                      </w:pPr>
                      <w:r>
                        <w:t>DGDOO-IFHR-CIO Rijk</w:t>
                      </w:r>
                    </w:p>
                    <w:p w:rsidR="00440CCA" w:rsidP="00440CCA" w14:paraId="68E58286" w14:textId="77777777">
                      <w:pPr>
                        <w:pStyle w:val="Referentiegegevens"/>
                      </w:pPr>
                      <w:r>
                        <w:t>Taskforce Continuïteit ICT Dienstverlening</w:t>
                      </w:r>
                    </w:p>
                    <w:p w:rsidR="00440CCA" w:rsidP="00440CCA" w14:paraId="47CD484A" w14:textId="77777777">
                      <w:pPr>
                        <w:pStyle w:val="WitregelW1"/>
                      </w:pPr>
                    </w:p>
                    <w:p w:rsidR="00440CCA" w:rsidP="00440CCA" w14:paraId="295B1128" w14:textId="77777777">
                      <w:pPr>
                        <w:pStyle w:val="Referentiegegevens"/>
                      </w:pPr>
                      <w:r>
                        <w:t>Turfmarkt 147</w:t>
                      </w:r>
                    </w:p>
                    <w:p w:rsidR="00440CCA" w:rsidP="00440CCA" w14:paraId="25ADEFF1" w14:textId="77777777">
                      <w:pPr>
                        <w:pStyle w:val="Referentiegegevens"/>
                      </w:pPr>
                      <w:r>
                        <w:t>2511 DP Den Haag</w:t>
                      </w:r>
                    </w:p>
                    <w:p w:rsidR="00440CCA" w:rsidP="00440CCA" w14:paraId="1CDAC42C" w14:textId="77777777">
                      <w:pPr>
                        <w:pStyle w:val="Referentiegegevens"/>
                      </w:pPr>
                      <w:r>
                        <w:t>Postbus 20011</w:t>
                      </w:r>
                    </w:p>
                    <w:p w:rsidR="00440CCA" w:rsidP="00666EC0" w14:paraId="1C4572DD" w14:textId="43E342FF">
                      <w:pPr>
                        <w:pStyle w:val="Referentiegegevens"/>
                      </w:pPr>
                      <w:r>
                        <w:t>2500 EA  Den Haag</w:t>
                      </w:r>
                      <w:r w:rsidR="00666EC0">
                        <w:br/>
                      </w:r>
                    </w:p>
                    <w:p w:rsidR="00440CCA" w:rsidP="00440CCA" w14:paraId="2F5455FD" w14:textId="77777777">
                      <w:pPr>
                        <w:pStyle w:val="Referentiegegevensbold"/>
                      </w:pPr>
                      <w:r>
                        <w:t>Onze referentie</w:t>
                      </w:r>
                    </w:p>
                    <w:p w:rsidR="00440CCA" w:rsidP="00440CCA" w14:paraId="51738C3F" w14:textId="77777777">
                      <w:pPr>
                        <w:pStyle w:val="Referentiegegevens"/>
                      </w:pPr>
                      <w:r>
                        <w:fldChar w:fldCharType="begin"/>
                      </w:r>
                      <w:r>
                        <w:instrText xml:space="preserve"> DOCPROPERTY  "Kenmerk"  \* MERGEFORMAT </w:instrText>
                      </w:r>
                      <w:r>
                        <w:fldChar w:fldCharType="separate"/>
                      </w:r>
                      <w:r>
                        <w:t>2026-0000217333</w:t>
                      </w:r>
                      <w:r>
                        <w:fldChar w:fldCharType="end"/>
                      </w:r>
                    </w:p>
                    <w:p w:rsidR="00440CCA" w:rsidP="00440CCA" w14:paraId="58D835B6" w14:textId="77777777">
                      <w:pPr>
                        <w:pStyle w:val="WitregelW1"/>
                      </w:pPr>
                    </w:p>
                    <w:p w:rsidR="00440CCA" w:rsidP="00440CCA" w14:paraId="79916560" w14:textId="77777777"/>
                    <w:p w:rsidR="00440CCA" w14:paraId="642AE46D" w14:textId="77777777"/>
                  </w:txbxContent>
                </v:textbox>
                <w10:anchorlock/>
              </v:shape>
            </w:pict>
          </mc:Fallback>
        </mc:AlternateContent>
      </w:r>
      <w:r w:rsidR="00AA40DE">
        <w:t xml:space="preserve"> </w:t>
      </w:r>
      <w:r w:rsidR="00776F08">
        <w:t xml:space="preserve"> </w:t>
      </w:r>
      <w:r w:rsidR="00987060">
        <w:br/>
      </w:r>
      <w:r w:rsidR="00FD01A6">
        <w:br/>
      </w:r>
      <w:r w:rsidRPr="00FD01A6" w:rsidR="00FD01A6">
        <w:t>Tijdens</w:t>
      </w:r>
      <w:r w:rsidR="00B2060F">
        <w:t xml:space="preserve"> </w:t>
      </w:r>
      <w:r w:rsidR="00602E8E">
        <w:t xml:space="preserve">de </w:t>
      </w:r>
      <w:r w:rsidR="00B2060F">
        <w:t>procedurevergadering</w:t>
      </w:r>
      <w:r w:rsidRPr="00FD01A6" w:rsidR="00FD01A6">
        <w:t xml:space="preserve"> </w:t>
      </w:r>
      <w:r w:rsidRPr="00B2060F" w:rsidR="00B2060F">
        <w:t>van de commissie Digitale Zaken d.d. 22 april 2026</w:t>
      </w:r>
      <w:r w:rsidR="00B2060F">
        <w:t xml:space="preserve"> </w:t>
      </w:r>
      <w:r w:rsidRPr="00FD01A6" w:rsidR="00FD01A6">
        <w:t xml:space="preserve">hebben de leden </w:t>
      </w:r>
      <w:r w:rsidRPr="00FD01A6" w:rsidR="00FD01A6">
        <w:t>Kathmann</w:t>
      </w:r>
      <w:r w:rsidRPr="00FD01A6" w:rsidR="00FD01A6">
        <w:t xml:space="preserve"> (GroenLinks</w:t>
      </w:r>
      <w:r w:rsidRPr="00FD01A6" w:rsidR="00FD01A6">
        <w:rPr>
          <w:rFonts w:ascii="Cambria Math" w:hAnsi="Cambria Math" w:cs="Cambria Math"/>
        </w:rPr>
        <w:t>‑</w:t>
      </w:r>
      <w:r w:rsidRPr="00FD01A6" w:rsidR="00FD01A6">
        <w:t xml:space="preserve">PvdA) en Stoffer (SGP) verzocht om een overzicht </w:t>
      </w:r>
      <w:r w:rsidR="005D5F24">
        <w:t xml:space="preserve">te ontvangen </w:t>
      </w:r>
      <w:r w:rsidRPr="00FD01A6" w:rsidR="00FD01A6">
        <w:t xml:space="preserve">van alle lopende contracten van de </w:t>
      </w:r>
      <w:r w:rsidR="00602E8E">
        <w:t>r</w:t>
      </w:r>
      <w:r w:rsidRPr="00FD01A6" w:rsidR="00FD01A6">
        <w:t xml:space="preserve">ijksoverheid met </w:t>
      </w:r>
      <w:r w:rsidRPr="00FD01A6" w:rsidR="00FD01A6">
        <w:t>Solvinity</w:t>
      </w:r>
      <w:r w:rsidRPr="00FD01A6" w:rsidR="00FD01A6">
        <w:t xml:space="preserve">, inclusief informatie over looptijd en eventuele verlengingsmomenten. </w:t>
      </w:r>
    </w:p>
    <w:p w:rsidR="00755F4B" w:rsidP="00041EAB" w14:paraId="5165872A" w14:textId="7B976239">
      <w:pPr>
        <w:tabs>
          <w:tab w:val="left" w:pos="2490"/>
        </w:tabs>
      </w:pPr>
      <w:r>
        <w:tab/>
      </w:r>
    </w:p>
    <w:p w:rsidRPr="00540336" w:rsidR="00540336" w:rsidP="00FE2355" w14:paraId="20E703A1" w14:textId="6669AAE5">
      <w:r>
        <w:t xml:space="preserve">Deze vraag is uitgezet bij alle ministeries, agentschappen en ZBO’s. </w:t>
      </w:r>
      <w:bookmarkStart w:name="_Hlk229994369" w:id="0"/>
    </w:p>
    <w:bookmarkEnd w:id="0"/>
    <w:p w:rsidR="00540336" w:rsidP="00540336" w14:paraId="0EB934B1" w14:textId="77777777">
      <w:pPr>
        <w:rPr>
          <w:b/>
          <w:bCs/>
        </w:rPr>
      </w:pPr>
    </w:p>
    <w:p w:rsidR="00540336" w:rsidP="00540336" w14:paraId="7B10A8CC" w14:textId="1679A714">
      <w:r>
        <w:t>In de bijlage worden per contract de looptijd en eventuele verleningsmomenten gespecifieerd.</w:t>
      </w:r>
      <w:r w:rsidR="00D51691">
        <w:br/>
      </w:r>
      <w:r w:rsidR="00D51691">
        <w:br/>
      </w:r>
      <w:r w:rsidRPr="00D51691" w:rsidR="00D51691">
        <w:t>Graag informe</w:t>
      </w:r>
      <w:r w:rsidR="00602E8E">
        <w:t>er</w:t>
      </w:r>
      <w:r w:rsidRPr="00D51691" w:rsidR="00D51691">
        <w:t xml:space="preserve"> </w:t>
      </w:r>
      <w:r w:rsidR="00602E8E">
        <w:t>ik</w:t>
      </w:r>
      <w:r w:rsidRPr="00D51691" w:rsidR="00D51691">
        <w:t xml:space="preserve"> uw Kamer vertrouwelijk over deze kwestie. </w:t>
      </w:r>
      <w:r w:rsidR="00D51691">
        <w:t>Deze i</w:t>
      </w:r>
      <w:r w:rsidRPr="00D51691" w:rsidR="00D51691">
        <w:t xml:space="preserve">nformatie over </w:t>
      </w:r>
      <w:r w:rsidR="00D51691">
        <w:t xml:space="preserve">de </w:t>
      </w:r>
      <w:r w:rsidRPr="00D51691" w:rsidR="00D51691">
        <w:t xml:space="preserve">lopende en aflopende contracten </w:t>
      </w:r>
      <w:r w:rsidR="00D51691">
        <w:t xml:space="preserve">raakt </w:t>
      </w:r>
      <w:r w:rsidRPr="00D51691" w:rsidR="00D51691">
        <w:t>bedrijfs</w:t>
      </w:r>
      <w:r w:rsidR="001110ED">
        <w:t>vertrouwelijke</w:t>
      </w:r>
      <w:r w:rsidRPr="00D51691" w:rsidR="00D51691">
        <w:t xml:space="preserve"> gegevens. Daarnaast acht</w:t>
      </w:r>
      <w:r w:rsidR="00602E8E">
        <w:t xml:space="preserve"> ik </w:t>
      </w:r>
      <w:r w:rsidR="00D51691">
        <w:t>het,</w:t>
      </w:r>
      <w:r w:rsidRPr="00D51691" w:rsidR="00D51691">
        <w:t xml:space="preserve"> met het oog op weerbaarheid </w:t>
      </w:r>
      <w:r w:rsidR="0034020D">
        <w:t xml:space="preserve">van de betreffende overheidsorganisaties </w:t>
      </w:r>
      <w:r w:rsidRPr="00D51691" w:rsidR="00D51691">
        <w:t xml:space="preserve">en </w:t>
      </w:r>
      <w:r w:rsidR="00D51691">
        <w:t xml:space="preserve">de </w:t>
      </w:r>
      <w:r w:rsidRPr="00D51691" w:rsidR="00D51691">
        <w:t>nationale veiligheid, niet wenselijk</w:t>
      </w:r>
      <w:r w:rsidR="0034020D">
        <w:t xml:space="preserve"> om</w:t>
      </w:r>
      <w:r w:rsidRPr="00D51691" w:rsidR="00D51691">
        <w:t xml:space="preserve"> deze informatie openbaar te delen.</w:t>
      </w:r>
      <w:r w:rsidR="00C80739">
        <w:t xml:space="preserve"> </w:t>
      </w:r>
      <w:bookmarkStart w:name="_Hlk231991078" w:id="1"/>
      <w:r w:rsidR="00C80739">
        <w:t>De bijlage wordt ter vertrouwelijke inzage met de Kamer gedeeld.</w:t>
      </w:r>
    </w:p>
    <w:bookmarkEnd w:id="1"/>
    <w:p w:rsidRPr="00540336" w:rsidR="00540336" w:rsidP="00540336" w14:paraId="1524D830" w14:textId="77777777"/>
    <w:p w:rsidR="00755F4B" w14:paraId="3EFF3F62" w14:textId="397F9199">
      <w:r w:rsidRPr="004E5D57">
        <w:t>De inkoop van ICT</w:t>
      </w:r>
      <w:r w:rsidRPr="004E5D57">
        <w:rPr>
          <w:rFonts w:ascii="Cambria Math" w:hAnsi="Cambria Math" w:cs="Cambria Math"/>
        </w:rPr>
        <w:t>‑</w:t>
      </w:r>
      <w:r w:rsidRPr="004E5D57">
        <w:t>diensten en het sluiten van contracten is een decentrale verantwoordelijkheid van de ministeries. Zij maken daarbij in elke fase een proportionele risicoafweging, passend bij hun specifieke taken, systemen en uitvoeringscontext.</w:t>
      </w:r>
    </w:p>
    <w:p w:rsidR="00AA40DE" w14:paraId="25FAFA44" w14:textId="77777777"/>
    <w:p w:rsidR="00A85205" w14:paraId="435670D0" w14:textId="77777777">
      <w:r>
        <w:br/>
      </w:r>
      <w:r w:rsidR="00AA40DE">
        <w:t>De s</w:t>
      </w:r>
      <w:r w:rsidRPr="00A610CA">
        <w:t>taatssecretaris van Binnenlandse Zaken en Koninkrijksrelaties</w:t>
      </w:r>
      <w:r>
        <w:t>,</w:t>
      </w:r>
      <w:r w:rsidR="00602E8E">
        <w:br/>
      </w:r>
      <w:r w:rsidR="000B11B7">
        <w:br/>
      </w:r>
    </w:p>
    <w:p w:rsidR="00A85205" w14:paraId="42D61D0C" w14:textId="77777777"/>
    <w:p w:rsidR="005D5F24" w14:paraId="12B94F91" w14:textId="77777777"/>
    <w:p w:rsidR="00755F4B" w14:paraId="72772732" w14:textId="34E11602">
      <w:r>
        <w:br/>
      </w:r>
      <w:r w:rsidRPr="00B66BDA">
        <w:t>E</w:t>
      </w:r>
      <w:r w:rsidR="00A85205">
        <w:t>ric</w:t>
      </w:r>
      <w:r w:rsidRPr="00B66BDA">
        <w:t xml:space="preserve"> van der Burg</w:t>
      </w:r>
    </w:p>
    <w:p w:rsidR="00755F4B" w14:paraId="60279D73" w14:textId="77777777"/>
    <w:p w:rsidR="00755F4B" w14:paraId="6AD04161" w14:textId="77777777"/>
    <w:p w:rsidR="00755F4B" w14:paraId="52692910" w14:textId="77777777"/>
    <w:p w:rsidR="00755F4B" w14:paraId="27592A59" w14:textId="77777777"/>
    <w:p w:rsidR="00755F4B" w14:paraId="22BA6283" w14:textId="77777777"/>
    <w:p w:rsidR="00755F4B" w14:paraId="63620EAF" w14:textId="77777777"/>
    <w:sectPr>
      <w:headerReference w:type="default" r:id="rId6"/>
      <w:footerReference w:type="default" r:id="rId7"/>
      <w:headerReference w:type="first" r:id="rId8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F4B" w14:paraId="4B5608F6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5F4B" w14:paraId="50C4849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77777777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.2pt;height:12.7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755F4B" w14:paraId="55C3D5FA" w14:textId="77777777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77777777">
                          <w:pPr>
                            <w:pStyle w:val="Referentiegegevensbold"/>
                          </w:pPr>
                          <w:r>
                            <w:t>DG Vastgoed en Bedrijfsvoering Rijk</w:t>
                          </w:r>
                        </w:p>
                        <w:p w:rsidR="00755F4B" w14:textId="77777777">
                          <w:pPr>
                            <w:pStyle w:val="WitregelW2"/>
                          </w:pPr>
                        </w:p>
                        <w:p w:rsidR="00755F4B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55F4B" w14:textId="77777777">
                          <w:pPr>
                            <w:pStyle w:val="Referentiegegevens"/>
                          </w:pPr>
                          <w:sdt>
                            <w:sdtPr>
                              <w:id w:val="-97414703"/>
                              <w:date w:fullDate="2026-05-07T15:1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02E8E">
                                <w:t>7 mei 2026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55F4B" w14:paraId="4A2833E0" w14:textId="77777777">
                    <w:pPr>
                      <w:pStyle w:val="Referentiegegevensbold"/>
                    </w:pPr>
                    <w:r>
                      <w:t>DG Vastgoed en Bedrijfsvoering Rijk</w:t>
                    </w:r>
                  </w:p>
                  <w:p w:rsidR="00755F4B" w14:paraId="035B051A" w14:textId="77777777">
                    <w:pPr>
                      <w:pStyle w:val="WitregelW2"/>
                    </w:pPr>
                  </w:p>
                  <w:p w:rsidR="00755F4B" w14:paraId="55DF591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55F4B" w14:paraId="74689180" w14:textId="77777777">
                    <w:pPr>
                      <w:pStyle w:val="Referentiegegevens"/>
                    </w:pPr>
                    <w:sdt>
                      <w:sdtPr>
                        <w:id w:val="1240858462"/>
                        <w:date w:fullDate="2026-05-07T15:1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602E8E">
                          <w:t>7 mei 2026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77777777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.25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55F4B" w14:paraId="05BC2F97" w14:textId="77777777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13AAD1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5169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870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55F4B" w14:paraId="3781868A" w14:textId="13AAD1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5169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870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23AF" w:rsidP="001023AF" w14:paraId="01B5020D" w14:textId="77777777">
    <w:pPr>
      <w:pStyle w:val="Referentiegegevens"/>
    </w:pPr>
  </w:p>
  <w:p w:rsidR="00755F4B" w14:paraId="0285A61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14429609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42960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755F4B" w14:paraId="202CB61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 title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66634205" name="RVB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6634205" name="RVB_Standaard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755F4B" w14:paraId="491155D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RVB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RVB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41797A1F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Pr="00440CCA" w:rsidR="00440CCA">
                            <w:t>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55F4B" w14:paraId="19B03E05" w14:textId="41797A1F">
                    <w:pPr>
                      <w:pStyle w:val="Referentiegegevens"/>
                    </w:pPr>
                    <w:r>
                      <w:t xml:space="preserve">&gt; Retouradres </w:t>
                    </w:r>
                    <w:r w:rsidRPr="00440CCA" w:rsidR="00440CCA">
                      <w:t>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40DE" w:rsidRPr="00AA40DE" w:rsidP="00AA40DE" w14:textId="6EC77D0E">
                          <w:r>
                            <w:t>Aan d</w:t>
                          </w:r>
                          <w:r w:rsidRPr="00AA40DE">
                            <w:t>e Voorzitter van de Tweede Kamer der Staten-Generaal</w:t>
                          </w:r>
                        </w:p>
                        <w:p w:rsidR="00AA40DE" w:rsidRPr="00AA40DE" w:rsidP="00AA40DE" w14:textId="3C19AB16">
                          <w:r w:rsidRPr="0088166C">
                            <w:rPr>
                              <w:rFonts w:cs="Arial"/>
                              <w:color w:val="auto"/>
                            </w:rPr>
                            <w:t>Postbus 20018</w:t>
                          </w:r>
                          <w:r>
                            <w:rPr>
                              <w:rFonts w:cs="Arial"/>
                              <w:color w:val="auto"/>
                            </w:rPr>
                            <w:br/>
                          </w:r>
                          <w:r w:rsidRPr="0088166C">
                            <w:rPr>
                              <w:rFonts w:cs="Arial"/>
                              <w:color w:val="auto"/>
                            </w:rPr>
                            <w:t xml:space="preserve">2500 EA </w:t>
                          </w:r>
                          <w:r>
                            <w:rPr>
                              <w:rFonts w:cs="Arial"/>
                              <w:color w:val="auto"/>
                            </w:rPr>
                            <w:t xml:space="preserve"> </w:t>
                          </w:r>
                          <w:r w:rsidRPr="0088166C">
                            <w:rPr>
                              <w:rFonts w:cs="Arial"/>
                              <w:color w:val="auto"/>
                            </w:rPr>
                            <w:t>Den Haag</w:t>
                          </w:r>
                        </w:p>
                        <w:p w:rsidR="00755F4B" w14:textId="7580ED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A40DE" w:rsidRPr="00AA40DE" w:rsidP="00AA40DE" w14:paraId="7286FAE9" w14:textId="6EC77D0E">
                    <w:r>
                      <w:t>Aan d</w:t>
                    </w:r>
                    <w:r w:rsidRPr="00AA40DE">
                      <w:t>e Voorzitter van de Tweede Kamer der Staten-Generaal</w:t>
                    </w:r>
                  </w:p>
                  <w:p w:rsidR="00AA40DE" w:rsidRPr="00AA40DE" w:rsidP="00AA40DE" w14:paraId="2D628AAC" w14:textId="3C19AB16">
                    <w:r w:rsidRPr="0088166C">
                      <w:rPr>
                        <w:rFonts w:cs="Arial"/>
                        <w:color w:val="auto"/>
                      </w:rPr>
                      <w:t>Postbus 20018</w:t>
                    </w:r>
                    <w:r>
                      <w:rPr>
                        <w:rFonts w:cs="Arial"/>
                        <w:color w:val="auto"/>
                      </w:rPr>
                      <w:br/>
                    </w:r>
                    <w:r w:rsidRPr="0088166C">
                      <w:rPr>
                        <w:rFonts w:cs="Arial"/>
                        <w:color w:val="auto"/>
                      </w:rPr>
                      <w:t xml:space="preserve">2500 EA </w:t>
                    </w:r>
                    <w:r>
                      <w:rPr>
                        <w:rFonts w:cs="Arial"/>
                        <w:color w:val="auto"/>
                      </w:rPr>
                      <w:t xml:space="preserve"> </w:t>
                    </w:r>
                    <w:r w:rsidRPr="0088166C">
                      <w:rPr>
                        <w:rFonts w:cs="Arial"/>
                        <w:color w:val="auto"/>
                      </w:rPr>
                      <w:t>Den Haag</w:t>
                    </w:r>
                  </w:p>
                  <w:p w:rsidR="00755F4B" w14:paraId="61926615" w14:textId="7580EDEA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4667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466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540431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55F4B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55F4B" w14:textId="2505894F">
                                <w:r>
                                  <w:t>10 juni 2026</w:t>
                                </w:r>
                              </w:p>
                            </w:tc>
                          </w:tr>
                          <w:tr w14:paraId="4CB2C31C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755F4B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55F4B" w14:textId="77777777">
                                <w:r>
                                  <w:t>Reactie op verzoek overzicht lopende contracten</w:t>
                                </w:r>
                              </w:p>
                            </w:tc>
                          </w:tr>
                        </w:tbl>
                        <w:p w:rsidR="00CC14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36.75pt;margin-top:263.95pt;margin-left:79.5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5404318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55F4B" w14:paraId="1FB1709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55F4B" w14:paraId="753960B7" w14:textId="2505894F">
                          <w:r>
                            <w:t>10 juni 2026</w:t>
                          </w:r>
                        </w:p>
                      </w:tc>
                    </w:tr>
                    <w:tr w14:paraId="4CB2C31B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755F4B" w14:paraId="7D5AB7D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55F4B" w14:paraId="1C4CE325" w14:textId="77777777">
                          <w:r>
                            <w:t>Reactie op verzoek overzicht lopende contracten</w:t>
                          </w:r>
                        </w:p>
                      </w:tc>
                    </w:tr>
                  </w:tbl>
                  <w:p w:rsidR="00CC141C" w14:paraId="00F3B34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1" layoutInCell="1" allowOverlap="1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23AF" w14:textId="77777777"/>
                        <w:p w:rsidR="001023A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2058" type="#_x0000_t202" style="width:100.6pt;height:630.7pt;margin-top:154.5pt;margin-left:466.5pt;mso-position-horizontal-relative:page;mso-position-vertical-relative:page;mso-wrap-distance-bottom:0;mso-wrap-distance-left:0;mso-wrap-distance-right:0;mso-wrap-distance-top:0;mso-wrap-style:square;position:absolute;v-text-anchor:top;visibility:visible;z-index:-251638784" filled="f" stroked="f">
              <v:textbox inset="0,0,0,0">
                <w:txbxContent>
                  <w:p w:rsidR="001023AF" w14:paraId="714DE7EF" w14:textId="77777777"/>
                  <w:p w:rsidR="001023AF" w14:paraId="181C5EB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F4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70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8706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55F4B" w14:paraId="220A9EC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70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8706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141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CC141C" w14:paraId="455DCE43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5F0F954"/>
    <w:multiLevelType w:val="multilevel"/>
    <w:tmpl w:val="A6491BB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B04BA221"/>
    <w:multiLevelType w:val="multilevel"/>
    <w:tmpl w:val="2AE6FFE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F7D8F6A5"/>
    <w:multiLevelType w:val="multilevel"/>
    <w:tmpl w:val="B9CD267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60D7FF9"/>
    <w:multiLevelType w:val="multilevel"/>
    <w:tmpl w:val="5495C5B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2B3E4190"/>
    <w:multiLevelType w:val="multilevel"/>
    <w:tmpl w:val="A643E7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1710215"/>
    <w:multiLevelType w:val="hybridMultilevel"/>
    <w:tmpl w:val="1248A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934F2"/>
    <w:multiLevelType w:val="multilevel"/>
    <w:tmpl w:val="19D0D092"/>
    <w:name w:val="Opsomming"/>
    <w:lvl w:ilvl="0">
      <w:start w:val="1"/>
      <w:numFmt w:val="none"/>
      <w:pStyle w:val="Opsommingstreepje"/>
      <w:lvlText w:val="-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>
    <w:nsid w:val="6B38199A"/>
    <w:multiLevelType w:val="hybridMultilevel"/>
    <w:tmpl w:val="B1161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93138">
    <w:abstractNumId w:val="3"/>
  </w:num>
  <w:num w:numId="2" w16cid:durableId="1831675631">
    <w:abstractNumId w:val="0"/>
  </w:num>
  <w:num w:numId="3" w16cid:durableId="2020501582">
    <w:abstractNumId w:val="1"/>
  </w:num>
  <w:num w:numId="4" w16cid:durableId="1860200118">
    <w:abstractNumId w:val="2"/>
  </w:num>
  <w:num w:numId="5" w16cid:durableId="515265270">
    <w:abstractNumId w:val="4"/>
  </w:num>
  <w:num w:numId="6" w16cid:durableId="1746875930">
    <w:abstractNumId w:val="6"/>
  </w:num>
  <w:num w:numId="7" w16cid:durableId="1821771318">
    <w:abstractNumId w:val="7"/>
  </w:num>
  <w:num w:numId="8" w16cid:durableId="2068799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60"/>
    <w:rsid w:val="00041EAB"/>
    <w:rsid w:val="0006345D"/>
    <w:rsid w:val="0007087F"/>
    <w:rsid w:val="000B11B7"/>
    <w:rsid w:val="000D30D1"/>
    <w:rsid w:val="000E670C"/>
    <w:rsid w:val="001023AF"/>
    <w:rsid w:val="001110ED"/>
    <w:rsid w:val="0015206A"/>
    <w:rsid w:val="001C4010"/>
    <w:rsid w:val="002119D0"/>
    <w:rsid w:val="00277316"/>
    <w:rsid w:val="002B74CD"/>
    <w:rsid w:val="002C5C76"/>
    <w:rsid w:val="003077B0"/>
    <w:rsid w:val="0034020D"/>
    <w:rsid w:val="00366DF2"/>
    <w:rsid w:val="00440CCA"/>
    <w:rsid w:val="0046478A"/>
    <w:rsid w:val="004A1512"/>
    <w:rsid w:val="004A3C11"/>
    <w:rsid w:val="004E5D57"/>
    <w:rsid w:val="00540336"/>
    <w:rsid w:val="00554AEE"/>
    <w:rsid w:val="005D5F24"/>
    <w:rsid w:val="005E1B7A"/>
    <w:rsid w:val="005F79B7"/>
    <w:rsid w:val="00602E8E"/>
    <w:rsid w:val="00636214"/>
    <w:rsid w:val="006417CB"/>
    <w:rsid w:val="00666EC0"/>
    <w:rsid w:val="00755F4B"/>
    <w:rsid w:val="0076672D"/>
    <w:rsid w:val="00776F08"/>
    <w:rsid w:val="00792FB9"/>
    <w:rsid w:val="00806EFE"/>
    <w:rsid w:val="00821A4E"/>
    <w:rsid w:val="0088166C"/>
    <w:rsid w:val="00896B66"/>
    <w:rsid w:val="008D4E49"/>
    <w:rsid w:val="009533FA"/>
    <w:rsid w:val="00955E11"/>
    <w:rsid w:val="00987060"/>
    <w:rsid w:val="009D0607"/>
    <w:rsid w:val="009D2B7D"/>
    <w:rsid w:val="009F058E"/>
    <w:rsid w:val="00A610CA"/>
    <w:rsid w:val="00A85205"/>
    <w:rsid w:val="00AA40DE"/>
    <w:rsid w:val="00AB35EB"/>
    <w:rsid w:val="00AD6246"/>
    <w:rsid w:val="00AE413C"/>
    <w:rsid w:val="00AF426F"/>
    <w:rsid w:val="00B12744"/>
    <w:rsid w:val="00B2060F"/>
    <w:rsid w:val="00B5374B"/>
    <w:rsid w:val="00B66BDA"/>
    <w:rsid w:val="00B675F9"/>
    <w:rsid w:val="00B71DF6"/>
    <w:rsid w:val="00BE20A9"/>
    <w:rsid w:val="00C53C14"/>
    <w:rsid w:val="00C746E0"/>
    <w:rsid w:val="00C764A9"/>
    <w:rsid w:val="00C80739"/>
    <w:rsid w:val="00CA2511"/>
    <w:rsid w:val="00CA7B3B"/>
    <w:rsid w:val="00CC141C"/>
    <w:rsid w:val="00D51691"/>
    <w:rsid w:val="00D73CB8"/>
    <w:rsid w:val="00E148A2"/>
    <w:rsid w:val="00E23ED2"/>
    <w:rsid w:val="00F21412"/>
    <w:rsid w:val="00F56272"/>
    <w:rsid w:val="00F8168F"/>
    <w:rsid w:val="00FD01A6"/>
    <w:rsid w:val="00FE235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9C7666"/>
  <w15:docId w15:val="{180C73BA-66F0-466D-AE25-FC60D24D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statisch">
    <w:name w:val="Lidnummer (statisch)"/>
    <w:basedOn w:val="Normal"/>
    <w:next w:val="Normal"/>
    <w:pPr>
      <w:tabs>
        <w:tab w:val="left" w:pos="419"/>
      </w:tabs>
      <w:ind w:left="425" w:hanging="425"/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nzichtbaarkarakterwit">
    <w:name w:val="Onzichtbaar karakter (wit)"/>
    <w:basedOn w:val="Normal"/>
    <w:next w:val="Normal"/>
    <w:rPr>
      <w:color w:val="FFFFFF"/>
    </w:rPr>
  </w:style>
  <w:style w:type="paragraph" w:customStyle="1" w:styleId="Opsommingstreepje">
    <w:name w:val="Opsomming streepje"/>
    <w:basedOn w:val="Normal"/>
    <w:next w:val="Normal"/>
    <w:pPr>
      <w:numPr>
        <w:numId w:val="6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870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8706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870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87060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54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1040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op verzoek overzicht lopende contracten</vt:lpstr>
    </vt:vector>
  </ap:TitlesOfParts>
  <ap:LinksUpToDate>false</ap:LinksUpToDate>
  <ap:CharactersWithSpaces>1226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2026-06-10T11:38:00.0000000Z</dcterms:created>
  <dcterms:modified xsi:type="dcterms:W3CDTF">2026-06-10T11:38:00.0000000Z</dcterms:modified>
  <dc:creator/>
  <lastModifiedBy/>
  <dc:description>------------------------</dc:description>
  <dc:subject/>
  <keywords/>
  <version/>
  <category/>
</coreProperties>
</file>