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D9A" w:rsidR="00200D9A" w:rsidP="00200D9A" w:rsidRDefault="00200D9A" w14:paraId="1A70B686" w14:textId="69427AEE">
      <w:r w:rsidRPr="008F6298">
        <w:rPr>
          <w:szCs w:val="18"/>
        </w:rPr>
        <w:t>Geachte Voorzitter, </w:t>
      </w:r>
    </w:p>
    <w:p w:rsidRPr="008F6298" w:rsidR="00200D9A" w:rsidP="00200D9A" w:rsidRDefault="00200D9A" w14:paraId="7116E04F" w14:textId="77777777">
      <w:pPr>
        <w:rPr>
          <w:szCs w:val="18"/>
        </w:rPr>
      </w:pPr>
      <w:r w:rsidRPr="008F6298">
        <w:rPr>
          <w:szCs w:val="18"/>
        </w:rPr>
        <w:t> </w:t>
      </w:r>
    </w:p>
    <w:p w:rsidRPr="008F6298" w:rsidR="00200D9A" w:rsidP="00200D9A" w:rsidRDefault="00200D9A" w14:paraId="15A8284B" w14:textId="356CC888">
      <w:pPr>
        <w:rPr>
          <w:szCs w:val="18"/>
        </w:rPr>
      </w:pPr>
      <w:r w:rsidRPr="008F6298">
        <w:rPr>
          <w:szCs w:val="18"/>
        </w:rPr>
        <w:t xml:space="preserve">Graag informeer ik u, in het licht van artikel 23.5a, tweede lid, van de Omgevingswet, dat ik voornemens ben </w:t>
      </w:r>
      <w:r>
        <w:rPr>
          <w:szCs w:val="18"/>
        </w:rPr>
        <w:t xml:space="preserve">ten aanzien van </w:t>
      </w:r>
      <w:r w:rsidRPr="008F6298">
        <w:rPr>
          <w:szCs w:val="18"/>
        </w:rPr>
        <w:t>de Natura 2000-gebieden Bruine Bank, Doggersbank, Klaverbank, Friese Front en Vlakte van de </w:t>
      </w:r>
      <w:proofErr w:type="spellStart"/>
      <w:r w:rsidRPr="008F6298">
        <w:rPr>
          <w:szCs w:val="18"/>
        </w:rPr>
        <w:t>Raan</w:t>
      </w:r>
      <w:proofErr w:type="spellEnd"/>
      <w:r w:rsidRPr="008F6298">
        <w:rPr>
          <w:szCs w:val="18"/>
        </w:rPr>
        <w:t> enkele technische correcties door te voeren in de aanwijzingsbesluiten. </w:t>
      </w:r>
      <w:r>
        <w:rPr>
          <w:szCs w:val="18"/>
        </w:rPr>
        <w:t xml:space="preserve">De </w:t>
      </w:r>
      <w:r w:rsidR="00C945E0">
        <w:rPr>
          <w:szCs w:val="18"/>
        </w:rPr>
        <w:t>concep</w:t>
      </w:r>
      <w:r w:rsidR="00FE3171">
        <w:rPr>
          <w:szCs w:val="18"/>
        </w:rPr>
        <w:t>t</w:t>
      </w:r>
      <w:r>
        <w:rPr>
          <w:szCs w:val="18"/>
        </w:rPr>
        <w:t xml:space="preserve">besluiten treft u bijgaand aan. </w:t>
      </w:r>
    </w:p>
    <w:p w:rsidRPr="008F6298" w:rsidR="00200D9A" w:rsidP="00200D9A" w:rsidRDefault="00200D9A" w14:paraId="6F1E86CE" w14:textId="77777777">
      <w:pPr>
        <w:rPr>
          <w:szCs w:val="18"/>
        </w:rPr>
      </w:pPr>
      <w:r w:rsidRPr="008F6298">
        <w:rPr>
          <w:szCs w:val="18"/>
        </w:rPr>
        <w:t> </w:t>
      </w:r>
    </w:p>
    <w:p w:rsidRPr="008F6298" w:rsidR="00200D9A" w:rsidP="00200D9A" w:rsidRDefault="00200D9A" w14:paraId="01268A92" w14:textId="77777777">
      <w:pPr>
        <w:rPr>
          <w:szCs w:val="18"/>
        </w:rPr>
      </w:pPr>
      <w:r w:rsidRPr="008F6298">
        <w:rPr>
          <w:b/>
          <w:bCs/>
          <w:szCs w:val="18"/>
        </w:rPr>
        <w:t>Aanleiding</w:t>
      </w:r>
      <w:r w:rsidRPr="008F6298">
        <w:rPr>
          <w:szCs w:val="18"/>
        </w:rPr>
        <w:t> </w:t>
      </w:r>
    </w:p>
    <w:p w:rsidRPr="008F6298" w:rsidR="00200D9A" w:rsidP="00200D9A" w:rsidRDefault="00200D9A" w14:paraId="3E9EAEB9" w14:textId="77777777">
      <w:pPr>
        <w:rPr>
          <w:szCs w:val="18"/>
        </w:rPr>
      </w:pPr>
      <w:r w:rsidRPr="008F6298">
        <w:rPr>
          <w:szCs w:val="18"/>
        </w:rPr>
        <w:t>De Omgevingswet, die 1 januari 2024 in werking trad, bundelt de regelgeving over de fysieke leefomgeving. Het Digitaal Stelsel Omgevingswet (DSO) ondersteunt de uitvoering van de Omgevingswet. Sinds de ingang van de Omgevingswet worden de Natura 2000-aanwijzingsbesluiten gefaseerd in het DSO geplaatst. Dit wordt procedureel gedaan door de besluiten opnieuw vast te stellen op het platform. Er kunnen daarbij tekstuele en technische wijzigingen plaatsvinden zodat de tekst duidelijk en uniform is.   </w:t>
      </w:r>
    </w:p>
    <w:p w:rsidRPr="008F6298" w:rsidR="00200D9A" w:rsidP="00200D9A" w:rsidRDefault="00200D9A" w14:paraId="68A1C513" w14:textId="77777777">
      <w:pPr>
        <w:rPr>
          <w:szCs w:val="18"/>
        </w:rPr>
      </w:pPr>
      <w:r w:rsidRPr="008F6298">
        <w:rPr>
          <w:szCs w:val="18"/>
        </w:rPr>
        <w:t> </w:t>
      </w:r>
    </w:p>
    <w:p w:rsidRPr="008F6298" w:rsidR="00200D9A" w:rsidP="00200D9A" w:rsidRDefault="00200D9A" w14:paraId="2112555A" w14:textId="77777777">
      <w:pPr>
        <w:rPr>
          <w:szCs w:val="18"/>
        </w:rPr>
      </w:pPr>
      <w:r w:rsidRPr="008F6298">
        <w:rPr>
          <w:szCs w:val="18"/>
        </w:rPr>
        <w:t>Met deze Kamerbrief informeer ik u over de geplande vaststelling van de mariene Natura 2000-gebieden Bruine Bank, Doggersbank, Klaverbank, Friese Front en Vlakte van de </w:t>
      </w:r>
      <w:proofErr w:type="spellStart"/>
      <w:r w:rsidRPr="008F6298">
        <w:rPr>
          <w:szCs w:val="18"/>
        </w:rPr>
        <w:t>Raan</w:t>
      </w:r>
      <w:proofErr w:type="spellEnd"/>
      <w:r w:rsidRPr="008F6298">
        <w:rPr>
          <w:szCs w:val="18"/>
        </w:rPr>
        <w:t> in het DSO. Er is voor deze gebieden sprake van een aantal door te voeren technische correcties.</w:t>
      </w:r>
      <w:r>
        <w:rPr>
          <w:szCs w:val="18"/>
        </w:rPr>
        <w:t xml:space="preserve"> </w:t>
      </w:r>
      <w:r w:rsidRPr="008F6298">
        <w:rPr>
          <w:szCs w:val="18"/>
        </w:rPr>
        <w:t xml:space="preserve">Het gaat om een rectificatie van coördinaten en oppervlakten zodat ze aansluiten bij de bestaande tekst in het besluit. Hieronder licht ik kort toe welke technische correcties ik </w:t>
      </w:r>
      <w:r>
        <w:rPr>
          <w:szCs w:val="18"/>
        </w:rPr>
        <w:t xml:space="preserve">voornemens ben om </w:t>
      </w:r>
      <w:r w:rsidRPr="008F6298">
        <w:rPr>
          <w:szCs w:val="18"/>
        </w:rPr>
        <w:t>door</w:t>
      </w:r>
      <w:r>
        <w:rPr>
          <w:szCs w:val="18"/>
        </w:rPr>
        <w:t xml:space="preserve"> te </w:t>
      </w:r>
      <w:r w:rsidRPr="008F6298">
        <w:rPr>
          <w:szCs w:val="18"/>
        </w:rPr>
        <w:t>voeren. </w:t>
      </w:r>
    </w:p>
    <w:p w:rsidRPr="008F6298" w:rsidR="00200D9A" w:rsidP="00200D9A" w:rsidRDefault="00200D9A" w14:paraId="5761234D" w14:textId="77777777">
      <w:pPr>
        <w:rPr>
          <w:szCs w:val="18"/>
        </w:rPr>
      </w:pPr>
      <w:r w:rsidRPr="008F6298">
        <w:rPr>
          <w:szCs w:val="18"/>
        </w:rPr>
        <w:t> </w:t>
      </w:r>
    </w:p>
    <w:p w:rsidRPr="008F6298" w:rsidR="00200D9A" w:rsidP="00200D9A" w:rsidRDefault="00200D9A" w14:paraId="4494375C" w14:textId="77777777">
      <w:pPr>
        <w:rPr>
          <w:szCs w:val="18"/>
        </w:rPr>
      </w:pPr>
      <w:r w:rsidRPr="008F6298">
        <w:rPr>
          <w:b/>
          <w:bCs/>
          <w:szCs w:val="18"/>
        </w:rPr>
        <w:t>Coördinaten en oppervlak</w:t>
      </w:r>
      <w:r>
        <w:rPr>
          <w:b/>
          <w:bCs/>
          <w:szCs w:val="18"/>
        </w:rPr>
        <w:t>t</w:t>
      </w:r>
      <w:r w:rsidRPr="008F6298">
        <w:rPr>
          <w:b/>
          <w:bCs/>
          <w:szCs w:val="18"/>
        </w:rPr>
        <w:t>en</w:t>
      </w:r>
      <w:r w:rsidRPr="008F6298">
        <w:rPr>
          <w:szCs w:val="18"/>
        </w:rPr>
        <w:t> </w:t>
      </w:r>
    </w:p>
    <w:p w:rsidRPr="008F6298" w:rsidR="00200D9A" w:rsidP="00200D9A" w:rsidRDefault="00200D9A" w14:paraId="051C9DF7" w14:textId="77777777">
      <w:pPr>
        <w:rPr>
          <w:szCs w:val="18"/>
        </w:rPr>
      </w:pPr>
      <w:r w:rsidRPr="008F6298">
        <w:rPr>
          <w:szCs w:val="18"/>
        </w:rPr>
        <w:t>De grenzen van de gebieden Klaverbank, Doggersbank, Bruine Bank en Vlakte van de </w:t>
      </w:r>
      <w:proofErr w:type="spellStart"/>
      <w:r w:rsidRPr="008F6298">
        <w:rPr>
          <w:szCs w:val="18"/>
        </w:rPr>
        <w:t>Raan</w:t>
      </w:r>
      <w:proofErr w:type="spellEnd"/>
      <w:r w:rsidRPr="008F6298">
        <w:rPr>
          <w:szCs w:val="18"/>
        </w:rPr>
        <w:t> sluiten naadloos aan op de landsgrenzen met Duitsland, het Verenigd Koninkrijk en België. Dit staat ook zo in de tekst van de aanwijzingsbesluiten en is op de kaarten te zien. Echter komen de coördinaten van de hoekpunten van de begrenzing uit de oorspronkelijke aanwijzingsbesluiten hier niet mee overeen. Er zit ruimte tussen de coördinaten en de landsgrens, of er vindt overlap plaats. Dit zet ik recht met de vaststelling van de nieuwe besluiten in het DSO.  </w:t>
      </w:r>
    </w:p>
    <w:p w:rsidRPr="008F6298" w:rsidR="00200D9A" w:rsidP="00200D9A" w:rsidRDefault="00200D9A" w14:paraId="35E4C288" w14:textId="77777777">
      <w:pPr>
        <w:rPr>
          <w:szCs w:val="18"/>
        </w:rPr>
      </w:pPr>
      <w:r w:rsidRPr="008F6298">
        <w:rPr>
          <w:szCs w:val="18"/>
        </w:rPr>
        <w:t> </w:t>
      </w:r>
    </w:p>
    <w:p w:rsidR="00200D9A" w:rsidP="00200D9A" w:rsidRDefault="00200D9A" w14:paraId="24079EEB" w14:textId="77777777">
      <w:pPr>
        <w:rPr>
          <w:szCs w:val="18"/>
        </w:rPr>
      </w:pPr>
      <w:r w:rsidRPr="008F6298">
        <w:rPr>
          <w:szCs w:val="18"/>
        </w:rPr>
        <w:t>Daarnaast heb ik tussencoördinaten toegevoegd bij de gebieden Klaverbank, Doggersbank, Bruine Bank</w:t>
      </w:r>
      <w:r>
        <w:rPr>
          <w:szCs w:val="18"/>
        </w:rPr>
        <w:t xml:space="preserve">, Vlakte van de </w:t>
      </w:r>
      <w:proofErr w:type="spellStart"/>
      <w:r>
        <w:rPr>
          <w:szCs w:val="18"/>
        </w:rPr>
        <w:t>Raan</w:t>
      </w:r>
      <w:proofErr w:type="spellEnd"/>
      <w:r>
        <w:rPr>
          <w:szCs w:val="18"/>
        </w:rPr>
        <w:t xml:space="preserve"> en Friese Front</w:t>
      </w:r>
      <w:r w:rsidRPr="008F6298">
        <w:rPr>
          <w:szCs w:val="18"/>
        </w:rPr>
        <w:t xml:space="preserve">. Bij het tonen van </w:t>
      </w:r>
      <w:r>
        <w:rPr>
          <w:szCs w:val="18"/>
        </w:rPr>
        <w:t xml:space="preserve">een lange, rechte lijn op basis van twee coördinaten op een kaart (projectie), ontstaat er namelijk een onbedoelde lichte kromming. Door tussenpunten op te nemen, wordt dit voorkomen. De aanvullende tussencoördinaten wijzigen niks aan de vastgestelde begrenzing of oppervlakte van het gebied, maar zorgen wel voor een meer nauwkeurige en eenduidige grens. </w:t>
      </w:r>
    </w:p>
    <w:p w:rsidRPr="008F6298" w:rsidR="00200D9A" w:rsidP="00200D9A" w:rsidRDefault="00200D9A" w14:paraId="53686A19" w14:textId="77777777">
      <w:pPr>
        <w:rPr>
          <w:szCs w:val="18"/>
        </w:rPr>
      </w:pPr>
      <w:r w:rsidRPr="008F6298">
        <w:rPr>
          <w:szCs w:val="18"/>
        </w:rPr>
        <w:t> </w:t>
      </w:r>
    </w:p>
    <w:p w:rsidR="00200D9A" w:rsidP="00200D9A" w:rsidRDefault="00200D9A" w14:paraId="67BB1AEB" w14:textId="77777777">
      <w:pPr>
        <w:rPr>
          <w:szCs w:val="18"/>
        </w:rPr>
      </w:pPr>
      <w:r w:rsidRPr="008F6298">
        <w:rPr>
          <w:szCs w:val="18"/>
        </w:rPr>
        <w:t>Met deze coördinaten zijn op advies van de Rijksdienst Voor Ondernemend Nederland (RVO) en de Dienst der Hydrografie (Defensie, Koninklijke Marine) nieuwe oppervlak</w:t>
      </w:r>
      <w:r>
        <w:rPr>
          <w:szCs w:val="18"/>
        </w:rPr>
        <w:t>t</w:t>
      </w:r>
      <w:r w:rsidRPr="008F6298">
        <w:rPr>
          <w:szCs w:val="18"/>
        </w:rPr>
        <w:t>en berekend in het Europese coördinatensysteem (ETRS84). Zij adviseerden daarbij om de oppervlak</w:t>
      </w:r>
      <w:r>
        <w:rPr>
          <w:szCs w:val="18"/>
        </w:rPr>
        <w:t>t</w:t>
      </w:r>
      <w:r w:rsidRPr="008F6298">
        <w:rPr>
          <w:szCs w:val="18"/>
        </w:rPr>
        <w:t>en van de gebieden buiten de kustzone af te ronden op 100 hectare (1 km</w:t>
      </w:r>
      <w:r w:rsidRPr="008F6298">
        <w:rPr>
          <w:szCs w:val="18"/>
          <w:vertAlign w:val="superscript"/>
        </w:rPr>
        <w:t>2</w:t>
      </w:r>
      <w:r w:rsidRPr="008F6298">
        <w:rPr>
          <w:szCs w:val="18"/>
        </w:rPr>
        <w:t>). Dit is voldoende nauwkeurig voor gebieden op zee, en hiermee wordt geen nauwkeurigheid gesuggereerd die er niet is. Deze manier van afronden sluit ook aan bij de manier waarop oppervlak</w:t>
      </w:r>
      <w:r>
        <w:rPr>
          <w:szCs w:val="18"/>
        </w:rPr>
        <w:t>t</w:t>
      </w:r>
      <w:r w:rsidRPr="008F6298">
        <w:rPr>
          <w:szCs w:val="18"/>
        </w:rPr>
        <w:t>en van beschermde gebieden op zee door andere lidstaten en de Europese Commissie genoteerd worden, zij doen dit namelijk in km</w:t>
      </w:r>
      <w:r w:rsidRPr="008F6298">
        <w:rPr>
          <w:szCs w:val="18"/>
          <w:vertAlign w:val="superscript"/>
        </w:rPr>
        <w:t>2</w:t>
      </w:r>
      <w:r w:rsidRPr="008F6298">
        <w:rPr>
          <w:szCs w:val="18"/>
        </w:rPr>
        <w:t>.</w:t>
      </w:r>
      <w:r>
        <w:rPr>
          <w:szCs w:val="18"/>
        </w:rPr>
        <w:t xml:space="preserve"> </w:t>
      </w:r>
    </w:p>
    <w:p w:rsidRPr="008F6298" w:rsidR="00200D9A" w:rsidP="00200D9A" w:rsidRDefault="00200D9A" w14:paraId="1004A169" w14:textId="77777777">
      <w:pPr>
        <w:rPr>
          <w:szCs w:val="18"/>
        </w:rPr>
      </w:pPr>
      <w:r w:rsidRPr="008F6298">
        <w:rPr>
          <w:szCs w:val="18"/>
        </w:rPr>
        <w:t> </w:t>
      </w:r>
    </w:p>
    <w:p w:rsidRPr="008F6298" w:rsidR="00200D9A" w:rsidP="00200D9A" w:rsidRDefault="00200D9A" w14:paraId="1CB0EC2C" w14:textId="77777777">
      <w:pPr>
        <w:rPr>
          <w:szCs w:val="18"/>
        </w:rPr>
      </w:pPr>
      <w:r w:rsidRPr="008F6298">
        <w:rPr>
          <w:b/>
          <w:bCs/>
          <w:szCs w:val="18"/>
        </w:rPr>
        <w:t>Tekstuele aanpassingen</w:t>
      </w:r>
      <w:r w:rsidRPr="008F6298">
        <w:rPr>
          <w:szCs w:val="18"/>
        </w:rPr>
        <w:t> </w:t>
      </w:r>
    </w:p>
    <w:p w:rsidR="00200D9A" w:rsidP="00200D9A" w:rsidRDefault="00200D9A" w14:paraId="4A612236" w14:textId="77777777">
      <w:pPr>
        <w:rPr>
          <w:szCs w:val="18"/>
        </w:rPr>
      </w:pPr>
      <w:r w:rsidRPr="008F6298">
        <w:rPr>
          <w:szCs w:val="18"/>
        </w:rPr>
        <w:t>Naast de bovenstaande technische wijzigingen vinden er tekstuele wijzigingen plaats om de teksten van de aanwijzingsbesluiten uniform en beter leesbaar te maken. Deze wijzigingen zijn niet inhoudelijk en vinden in alle Natura 2000-aanwijzingsbesluiten plaats, dus ook bij de besluiten op land. De Natura 2000-aanwijzingsbesluiten zullen bij vaststelling in het DSO daarnaast een GML (</w:t>
      </w:r>
      <w:proofErr w:type="spellStart"/>
      <w:r w:rsidRPr="008F6298">
        <w:rPr>
          <w:szCs w:val="18"/>
        </w:rPr>
        <w:t>Geography</w:t>
      </w:r>
      <w:proofErr w:type="spellEnd"/>
      <w:r w:rsidRPr="008F6298">
        <w:rPr>
          <w:szCs w:val="18"/>
        </w:rPr>
        <w:t> </w:t>
      </w:r>
      <w:proofErr w:type="spellStart"/>
      <w:r w:rsidRPr="008F6298">
        <w:rPr>
          <w:szCs w:val="18"/>
        </w:rPr>
        <w:t>Markup</w:t>
      </w:r>
      <w:proofErr w:type="spellEnd"/>
      <w:r w:rsidRPr="008F6298">
        <w:rPr>
          <w:szCs w:val="18"/>
        </w:rPr>
        <w:t> Language) bestand bevatten. Dit is verplicht onder de nieuwe Omgevingswet. Een GML is een digitaal (</w:t>
      </w:r>
      <w:proofErr w:type="spellStart"/>
      <w:r w:rsidRPr="008F6298">
        <w:rPr>
          <w:szCs w:val="18"/>
        </w:rPr>
        <w:t>geo</w:t>
      </w:r>
      <w:proofErr w:type="spellEnd"/>
      <w:r w:rsidRPr="008F6298">
        <w:rPr>
          <w:szCs w:val="18"/>
        </w:rPr>
        <w:t>)bestand op basis van de coördinaten waarin de begrenzing van het gebied beter toegankelijk is en zichtbaar is in bijvoorbeeld de ‘regels op de kaart’ sectie van het Omgevingsloket. </w:t>
      </w:r>
    </w:p>
    <w:p w:rsidR="00200D9A" w:rsidP="00200D9A" w:rsidRDefault="00200D9A" w14:paraId="0B6A3D60" w14:textId="77777777">
      <w:pPr>
        <w:rPr>
          <w:szCs w:val="18"/>
        </w:rPr>
      </w:pPr>
    </w:p>
    <w:p w:rsidRPr="008F6298" w:rsidR="00200D9A" w:rsidP="00200D9A" w:rsidRDefault="00200D9A" w14:paraId="05C1317E" w14:textId="77777777">
      <w:pPr>
        <w:rPr>
          <w:szCs w:val="18"/>
        </w:rPr>
      </w:pPr>
      <w:r>
        <w:rPr>
          <w:szCs w:val="18"/>
        </w:rPr>
        <w:t xml:space="preserve">In tegenstelling tot de Natura 2000-gebieden op land, worden de Kamers op basis van </w:t>
      </w:r>
      <w:r w:rsidRPr="008F6298">
        <w:rPr>
          <w:szCs w:val="18"/>
        </w:rPr>
        <w:t>23.5a, tweede lid, van de Omgevingswet,</w:t>
      </w:r>
      <w:r>
        <w:rPr>
          <w:szCs w:val="18"/>
        </w:rPr>
        <w:t xml:space="preserve"> geïnformeerd van wijzigingen in de aanwijzingsbesluiten van Natura 2000-gebieden gelegen in de Exclusieve Economische Zone (EEZ), ook als het gaat over technische of tekstuele wijzigingen zoals nu het geval is.</w:t>
      </w:r>
    </w:p>
    <w:p w:rsidRPr="008F6298" w:rsidR="00200D9A" w:rsidP="00200D9A" w:rsidRDefault="00200D9A" w14:paraId="5F94694A" w14:textId="77777777">
      <w:pPr>
        <w:rPr>
          <w:szCs w:val="18"/>
        </w:rPr>
      </w:pPr>
      <w:r w:rsidRPr="008F6298">
        <w:rPr>
          <w:szCs w:val="18"/>
        </w:rPr>
        <w:t> </w:t>
      </w:r>
    </w:p>
    <w:p w:rsidRPr="008F6298" w:rsidR="00200D9A" w:rsidP="00200D9A" w:rsidRDefault="00200D9A" w14:paraId="5B9836C4" w14:textId="77777777">
      <w:pPr>
        <w:rPr>
          <w:szCs w:val="18"/>
        </w:rPr>
      </w:pPr>
      <w:r w:rsidRPr="008F6298">
        <w:rPr>
          <w:b/>
          <w:bCs/>
          <w:szCs w:val="18"/>
        </w:rPr>
        <w:t>Overige kustgebieden</w:t>
      </w:r>
      <w:r w:rsidRPr="008F6298">
        <w:rPr>
          <w:szCs w:val="18"/>
        </w:rPr>
        <w:t> </w:t>
      </w:r>
    </w:p>
    <w:p w:rsidRPr="008F6298" w:rsidR="00200D9A" w:rsidP="00200D9A" w:rsidRDefault="00200D9A" w14:paraId="7979D2D8" w14:textId="77777777">
      <w:pPr>
        <w:rPr>
          <w:szCs w:val="18"/>
        </w:rPr>
      </w:pPr>
      <w:r w:rsidRPr="008F6298">
        <w:rPr>
          <w:szCs w:val="18"/>
        </w:rPr>
        <w:t xml:space="preserve">Het </w:t>
      </w:r>
      <w:r>
        <w:rPr>
          <w:szCs w:val="18"/>
        </w:rPr>
        <w:t xml:space="preserve">nieuwe aanwijzingsbesluit voor het </w:t>
      </w:r>
      <w:r w:rsidRPr="008F6298">
        <w:rPr>
          <w:szCs w:val="18"/>
        </w:rPr>
        <w:t xml:space="preserve">gebied Noordzeekustzone is onlangs al vastgesteld in het DSO. </w:t>
      </w:r>
      <w:r>
        <w:rPr>
          <w:szCs w:val="18"/>
        </w:rPr>
        <w:t>Voor h</w:t>
      </w:r>
      <w:r w:rsidRPr="008F6298">
        <w:rPr>
          <w:szCs w:val="18"/>
        </w:rPr>
        <w:t>et gebied Voordelta zal </w:t>
      </w:r>
      <w:r>
        <w:rPr>
          <w:szCs w:val="18"/>
        </w:rPr>
        <w:t xml:space="preserve">deze </w:t>
      </w:r>
      <w:r w:rsidRPr="008F6298">
        <w:rPr>
          <w:szCs w:val="18"/>
        </w:rPr>
        <w:t>op een later moment worden vastgesteld. </w:t>
      </w:r>
    </w:p>
    <w:p w:rsidRPr="007426AA" w:rsidR="00200D9A" w:rsidP="00200D9A" w:rsidRDefault="00200D9A" w14:paraId="519A99E9" w14:textId="77777777">
      <w:pPr>
        <w:rPr>
          <w:szCs w:val="18"/>
        </w:rPr>
      </w:pPr>
    </w:p>
    <w:p w:rsidR="00200D9A" w:rsidP="00200D9A" w:rsidRDefault="00200D9A" w14:paraId="330F59C9" w14:textId="77777777"/>
    <w:p w:rsidR="00407D12" w:rsidP="00200D9A" w:rsidRDefault="00407D12" w14:paraId="4758A55B" w14:textId="77777777"/>
    <w:p w:rsidR="00407D12" w:rsidP="00200D9A" w:rsidRDefault="00407D12" w14:paraId="733C7235" w14:textId="77777777"/>
    <w:p w:rsidRPr="000752D6" w:rsidR="00200D9A" w:rsidP="00200D9A" w:rsidRDefault="00200D9A" w14:paraId="71C81BE8" w14:textId="77777777"/>
    <w:p w:rsidRPr="000752D6" w:rsidR="00200D9A" w:rsidP="00200D9A" w:rsidRDefault="00200D9A" w14:paraId="24E37E48" w14:textId="77777777">
      <w:proofErr w:type="spellStart"/>
      <w:r w:rsidRPr="00640234">
        <w:t>Jaimi</w:t>
      </w:r>
      <w:proofErr w:type="spellEnd"/>
      <w:r w:rsidRPr="00640234">
        <w:t xml:space="preserve"> van Essen</w:t>
      </w:r>
    </w:p>
    <w:p w:rsidR="001536B3" w:rsidP="00810C93" w:rsidRDefault="00200D9A" w14:paraId="4B0D22AC" w14:textId="2AA7F80C">
      <w:r w:rsidRPr="000752D6">
        <w:t>Minister van Landbouw, Visserij, Voedselzekerheid en Natuur</w:t>
      </w:r>
    </w:p>
    <w:sectPr w:rsidR="001536B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D9FA" w14:textId="77777777" w:rsidR="008D6843" w:rsidRDefault="008D6843">
      <w:r>
        <w:separator/>
      </w:r>
    </w:p>
    <w:p w14:paraId="6FF42030" w14:textId="77777777" w:rsidR="008D6843" w:rsidRDefault="008D6843"/>
  </w:endnote>
  <w:endnote w:type="continuationSeparator" w:id="0">
    <w:p w14:paraId="7056B19E" w14:textId="77777777" w:rsidR="008D6843" w:rsidRDefault="008D6843">
      <w:r>
        <w:continuationSeparator/>
      </w:r>
    </w:p>
    <w:p w14:paraId="48E900F8" w14:textId="77777777" w:rsidR="008D6843" w:rsidRDefault="008D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BC7" w14:textId="77777777" w:rsidR="00E23C4E" w:rsidRDefault="00E23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6A9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03C74" w14:paraId="2494FB15" w14:textId="77777777" w:rsidTr="00CA6A25">
      <w:trPr>
        <w:trHeight w:hRule="exact" w:val="240"/>
      </w:trPr>
      <w:tc>
        <w:tcPr>
          <w:tcW w:w="7601" w:type="dxa"/>
        </w:tcPr>
        <w:p w14:paraId="22605D66" w14:textId="77777777" w:rsidR="00527BD4" w:rsidRDefault="00527BD4" w:rsidP="003F1F6B">
          <w:pPr>
            <w:pStyle w:val="Huisstijl-Rubricering"/>
          </w:pPr>
        </w:p>
      </w:tc>
      <w:tc>
        <w:tcPr>
          <w:tcW w:w="2156" w:type="dxa"/>
        </w:tcPr>
        <w:p w14:paraId="65EBDD48" w14:textId="5C2A0C56" w:rsidR="00527BD4" w:rsidRPr="00645414" w:rsidRDefault="0097575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308CD">
            <w:t>2</w:t>
          </w:r>
          <w:r w:rsidR="00144B73">
            <w:fldChar w:fldCharType="end"/>
          </w:r>
        </w:p>
      </w:tc>
    </w:tr>
  </w:tbl>
  <w:p w14:paraId="02712C0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03C74" w14:paraId="20A1BF54" w14:textId="77777777" w:rsidTr="00CA6A25">
      <w:trPr>
        <w:trHeight w:hRule="exact" w:val="240"/>
      </w:trPr>
      <w:tc>
        <w:tcPr>
          <w:tcW w:w="7601" w:type="dxa"/>
        </w:tcPr>
        <w:p w14:paraId="48E51659" w14:textId="77777777" w:rsidR="00527BD4" w:rsidRDefault="00527BD4" w:rsidP="008C356D">
          <w:pPr>
            <w:pStyle w:val="Huisstijl-Rubricering"/>
          </w:pPr>
        </w:p>
      </w:tc>
      <w:tc>
        <w:tcPr>
          <w:tcW w:w="2170" w:type="dxa"/>
        </w:tcPr>
        <w:p w14:paraId="179740E8" w14:textId="17235576" w:rsidR="00527BD4" w:rsidRPr="00ED539E" w:rsidRDefault="0097575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0308CD">
            <w:t>2</w:t>
          </w:r>
          <w:r w:rsidR="003F2647">
            <w:fldChar w:fldCharType="end"/>
          </w:r>
        </w:p>
      </w:tc>
    </w:tr>
  </w:tbl>
  <w:p w14:paraId="7835B215" w14:textId="77777777" w:rsidR="00527BD4" w:rsidRPr="00BC3B53" w:rsidRDefault="00527BD4" w:rsidP="008C356D">
    <w:pPr>
      <w:pStyle w:val="Voettekst"/>
      <w:spacing w:line="240" w:lineRule="auto"/>
      <w:rPr>
        <w:sz w:val="2"/>
        <w:szCs w:val="2"/>
      </w:rPr>
    </w:pPr>
  </w:p>
  <w:p w14:paraId="3EFDD52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7667" w14:textId="77777777" w:rsidR="008D6843" w:rsidRDefault="008D6843">
      <w:r>
        <w:separator/>
      </w:r>
    </w:p>
    <w:p w14:paraId="2FD118F2" w14:textId="77777777" w:rsidR="008D6843" w:rsidRDefault="008D6843"/>
  </w:footnote>
  <w:footnote w:type="continuationSeparator" w:id="0">
    <w:p w14:paraId="18BD1895" w14:textId="77777777" w:rsidR="008D6843" w:rsidRDefault="008D6843">
      <w:r>
        <w:continuationSeparator/>
      </w:r>
    </w:p>
    <w:p w14:paraId="2964B92A" w14:textId="77777777" w:rsidR="008D6843" w:rsidRDefault="008D6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5D5" w14:textId="77777777" w:rsidR="00E23C4E" w:rsidRDefault="00E23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03C74" w14:paraId="6FA936A8" w14:textId="77777777" w:rsidTr="00A50CF6">
      <w:tc>
        <w:tcPr>
          <w:tcW w:w="2156" w:type="dxa"/>
        </w:tcPr>
        <w:p w14:paraId="59ECE20F" w14:textId="77777777" w:rsidR="00527BD4" w:rsidRPr="005819CE" w:rsidRDefault="00975757" w:rsidP="00A50CF6">
          <w:pPr>
            <w:pStyle w:val="Huisstijl-Adres"/>
            <w:rPr>
              <w:b/>
            </w:rPr>
          </w:pPr>
          <w:r>
            <w:rPr>
              <w:b/>
            </w:rPr>
            <w:t>Directoraat-generaal Natuur en Visserij</w:t>
          </w:r>
          <w:r w:rsidRPr="005819CE">
            <w:rPr>
              <w:b/>
            </w:rPr>
            <w:br/>
          </w:r>
        </w:p>
      </w:tc>
    </w:tr>
    <w:tr w:rsidR="00403C74" w14:paraId="05221122" w14:textId="77777777" w:rsidTr="00A50CF6">
      <w:trPr>
        <w:trHeight w:hRule="exact" w:val="200"/>
      </w:trPr>
      <w:tc>
        <w:tcPr>
          <w:tcW w:w="2156" w:type="dxa"/>
        </w:tcPr>
        <w:p w14:paraId="49A2C9BC" w14:textId="77777777" w:rsidR="00527BD4" w:rsidRPr="005819CE" w:rsidRDefault="00527BD4" w:rsidP="00A50CF6"/>
      </w:tc>
    </w:tr>
    <w:tr w:rsidR="00403C74" w14:paraId="623CDB81" w14:textId="77777777" w:rsidTr="00502512">
      <w:trPr>
        <w:trHeight w:hRule="exact" w:val="774"/>
      </w:trPr>
      <w:tc>
        <w:tcPr>
          <w:tcW w:w="2156" w:type="dxa"/>
        </w:tcPr>
        <w:p w14:paraId="06F8050B" w14:textId="77777777" w:rsidR="00527BD4" w:rsidRDefault="00975757" w:rsidP="003A5290">
          <w:pPr>
            <w:pStyle w:val="Huisstijl-Kopje"/>
          </w:pPr>
          <w:r>
            <w:t>Ons kenmerk</w:t>
          </w:r>
        </w:p>
        <w:p w14:paraId="73E6399B" w14:textId="32956B40" w:rsidR="00527BD4" w:rsidRPr="005819CE" w:rsidRDefault="00975757" w:rsidP="001E6117">
          <w:pPr>
            <w:pStyle w:val="Huisstijl-Kopje"/>
          </w:pPr>
          <w:r>
            <w:rPr>
              <w:b w:val="0"/>
            </w:rPr>
            <w:t>DGNV</w:t>
          </w:r>
          <w:r w:rsidRPr="00502512">
            <w:rPr>
              <w:b w:val="0"/>
            </w:rPr>
            <w:t xml:space="preserve"> / </w:t>
          </w:r>
          <w:r w:rsidR="00407D12" w:rsidRPr="00407D12">
            <w:rPr>
              <w:b w:val="0"/>
              <w:bCs/>
            </w:rPr>
            <w:t>106804235</w:t>
          </w:r>
        </w:p>
      </w:tc>
    </w:tr>
  </w:tbl>
  <w:p w14:paraId="53BDC8CA" w14:textId="77777777" w:rsidR="00527BD4" w:rsidRDefault="00527BD4" w:rsidP="008C356D"/>
  <w:p w14:paraId="32CCE0EC" w14:textId="77777777" w:rsidR="00527BD4" w:rsidRPr="00740712" w:rsidRDefault="00527BD4" w:rsidP="008C356D"/>
  <w:p w14:paraId="78DD9B04" w14:textId="77777777" w:rsidR="00527BD4" w:rsidRPr="00217880" w:rsidRDefault="00527BD4" w:rsidP="008C356D">
    <w:pPr>
      <w:spacing w:line="0" w:lineRule="atLeast"/>
      <w:rPr>
        <w:sz w:val="2"/>
        <w:szCs w:val="2"/>
      </w:rPr>
    </w:pPr>
  </w:p>
  <w:p w14:paraId="6890EE1F" w14:textId="77777777" w:rsidR="00527BD4" w:rsidRDefault="00527BD4" w:rsidP="004F44C2">
    <w:pPr>
      <w:pStyle w:val="Koptekst"/>
      <w:rPr>
        <w:rFonts w:cs="Verdana-Bold"/>
        <w:b/>
        <w:bCs/>
        <w:smallCaps/>
        <w:szCs w:val="18"/>
      </w:rPr>
    </w:pPr>
  </w:p>
  <w:p w14:paraId="1B0C1D44" w14:textId="77777777" w:rsidR="00527BD4" w:rsidRDefault="00527BD4" w:rsidP="004F44C2"/>
  <w:p w14:paraId="3ACB72CD" w14:textId="77777777" w:rsidR="00527BD4" w:rsidRPr="00740712" w:rsidRDefault="00527BD4" w:rsidP="004F44C2"/>
  <w:p w14:paraId="29FFE5A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03C74" w14:paraId="1C243BCA" w14:textId="77777777" w:rsidTr="00751A6A">
      <w:trPr>
        <w:trHeight w:val="2636"/>
      </w:trPr>
      <w:tc>
        <w:tcPr>
          <w:tcW w:w="737" w:type="dxa"/>
        </w:tcPr>
        <w:p w14:paraId="1C74FAB5" w14:textId="77777777" w:rsidR="00527BD4" w:rsidRDefault="00527BD4" w:rsidP="00D0609E">
          <w:pPr>
            <w:framePr w:w="6340" w:h="2750" w:hRule="exact" w:hSpace="180" w:wrap="around" w:vAnchor="page" w:hAnchor="text" w:x="3873" w:y="-140"/>
            <w:spacing w:line="240" w:lineRule="auto"/>
          </w:pPr>
        </w:p>
      </w:tc>
      <w:tc>
        <w:tcPr>
          <w:tcW w:w="5156" w:type="dxa"/>
        </w:tcPr>
        <w:p w14:paraId="4EC2A441" w14:textId="77777777" w:rsidR="00527BD4" w:rsidRDefault="0097575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AC6C4F0" wp14:editId="667E0A4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516769F" w14:textId="77777777" w:rsidR="00527BD4" w:rsidRDefault="00527BD4" w:rsidP="00D0609E">
    <w:pPr>
      <w:framePr w:w="6340" w:h="2750" w:hRule="exact" w:hSpace="180" w:wrap="around" w:vAnchor="page" w:hAnchor="text" w:x="3873" w:y="-140"/>
    </w:pPr>
  </w:p>
  <w:p w14:paraId="39D17B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03C74" w:rsidRPr="00407D12" w14:paraId="575204C1" w14:textId="77777777" w:rsidTr="00A50CF6">
      <w:tc>
        <w:tcPr>
          <w:tcW w:w="2160" w:type="dxa"/>
        </w:tcPr>
        <w:p w14:paraId="346D0112" w14:textId="6D9B5164" w:rsidR="00527BD4" w:rsidRPr="005819CE" w:rsidRDefault="00975757" w:rsidP="00A50CF6">
          <w:pPr>
            <w:pStyle w:val="Huisstijl-Adres"/>
            <w:rPr>
              <w:b/>
            </w:rPr>
          </w:pPr>
          <w:r>
            <w:rPr>
              <w:b/>
            </w:rPr>
            <w:t>Directoraat-generaal Natuur en Visserij</w:t>
          </w:r>
          <w:r w:rsidRPr="005819CE">
            <w:rPr>
              <w:b/>
            </w:rPr>
            <w:br/>
          </w:r>
          <w:r w:rsidR="00200D9A">
            <w:t>Cluster Marien</w:t>
          </w:r>
        </w:p>
        <w:p w14:paraId="54CEDAD7" w14:textId="77777777" w:rsidR="00527BD4" w:rsidRPr="00BE5ED9" w:rsidRDefault="00975757" w:rsidP="00A50CF6">
          <w:pPr>
            <w:pStyle w:val="Huisstijl-Adres"/>
          </w:pPr>
          <w:r>
            <w:rPr>
              <w:b/>
            </w:rPr>
            <w:t>Bezoekadres</w:t>
          </w:r>
          <w:r>
            <w:rPr>
              <w:b/>
            </w:rPr>
            <w:br/>
          </w:r>
          <w:r>
            <w:t>Bezuidenhoutseweg 73</w:t>
          </w:r>
          <w:r w:rsidRPr="005819CE">
            <w:br/>
          </w:r>
          <w:r>
            <w:t>2594 AC Den Haag</w:t>
          </w:r>
        </w:p>
        <w:p w14:paraId="1EAE5900" w14:textId="77777777" w:rsidR="00EF495B" w:rsidRDefault="00975757" w:rsidP="0098788A">
          <w:pPr>
            <w:pStyle w:val="Huisstijl-Adres"/>
          </w:pPr>
          <w:r>
            <w:rPr>
              <w:b/>
            </w:rPr>
            <w:t>Postadres</w:t>
          </w:r>
          <w:r>
            <w:rPr>
              <w:b/>
            </w:rPr>
            <w:br/>
          </w:r>
          <w:r>
            <w:t>Postbus 20401</w:t>
          </w:r>
          <w:r w:rsidRPr="005819CE">
            <w:br/>
            <w:t>2500 E</w:t>
          </w:r>
          <w:r>
            <w:t>K</w:t>
          </w:r>
          <w:r w:rsidRPr="005819CE">
            <w:t xml:space="preserve"> Den Haag</w:t>
          </w:r>
        </w:p>
        <w:p w14:paraId="2199283F" w14:textId="77777777" w:rsidR="00556BEE" w:rsidRPr="005B3814" w:rsidRDefault="00975757" w:rsidP="0098788A">
          <w:pPr>
            <w:pStyle w:val="Huisstijl-Adres"/>
          </w:pPr>
          <w:r>
            <w:rPr>
              <w:b/>
            </w:rPr>
            <w:t>Overheidsidentificatienr</w:t>
          </w:r>
          <w:r>
            <w:rPr>
              <w:b/>
            </w:rPr>
            <w:br/>
          </w:r>
          <w:r w:rsidR="00BA129E">
            <w:rPr>
              <w:rFonts w:cs="Agrofont"/>
              <w:iCs/>
            </w:rPr>
            <w:t>00000001858272854000</w:t>
          </w:r>
        </w:p>
        <w:p w14:paraId="37BC8BF5" w14:textId="10C4287E" w:rsidR="00527BD4" w:rsidRPr="00407D12" w:rsidRDefault="0097575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03C74" w:rsidRPr="00407D12" w14:paraId="44683DA6" w14:textId="77777777" w:rsidTr="00A50CF6">
      <w:trPr>
        <w:trHeight w:hRule="exact" w:val="200"/>
      </w:trPr>
      <w:tc>
        <w:tcPr>
          <w:tcW w:w="2160" w:type="dxa"/>
        </w:tcPr>
        <w:p w14:paraId="008D3649" w14:textId="77777777" w:rsidR="00527BD4" w:rsidRPr="00E23C4E" w:rsidRDefault="00527BD4" w:rsidP="00A50CF6"/>
      </w:tc>
    </w:tr>
    <w:tr w:rsidR="00403C74" w14:paraId="3CEEF76A" w14:textId="77777777" w:rsidTr="00A50CF6">
      <w:tc>
        <w:tcPr>
          <w:tcW w:w="2160" w:type="dxa"/>
        </w:tcPr>
        <w:p w14:paraId="6E11ECCF" w14:textId="77777777" w:rsidR="000C0163" w:rsidRPr="005819CE" w:rsidRDefault="00975757" w:rsidP="000C0163">
          <w:pPr>
            <w:pStyle w:val="Huisstijl-Kopje"/>
          </w:pPr>
          <w:r>
            <w:t>Ons kenmerk</w:t>
          </w:r>
          <w:r w:rsidRPr="005819CE">
            <w:t xml:space="preserve"> </w:t>
          </w:r>
        </w:p>
        <w:p w14:paraId="2088D8B9" w14:textId="2F41B9C1" w:rsidR="00527BD4" w:rsidRPr="005819CE" w:rsidRDefault="00975757" w:rsidP="00407D12">
          <w:pPr>
            <w:pStyle w:val="Huisstijl-Gegeven"/>
          </w:pPr>
          <w:r>
            <w:t>DGNV</w:t>
          </w:r>
          <w:r w:rsidR="00200D9A">
            <w:t>-M</w:t>
          </w:r>
          <w:r>
            <w:t xml:space="preserve"> /</w:t>
          </w:r>
          <w:r w:rsidR="00486354">
            <w:t xml:space="preserve"> </w:t>
          </w:r>
          <w:r w:rsidR="00407D12" w:rsidRPr="00407D12">
            <w:t>106804235</w:t>
          </w:r>
          <w:r w:rsidR="00E23C4E">
            <w:br/>
          </w:r>
          <w:r w:rsidR="00E23C4E" w:rsidRPr="00E23C4E">
            <w:rPr>
              <w:b/>
              <w:bCs/>
            </w:rPr>
            <w:t>Bijlagen</w:t>
          </w:r>
          <w:r w:rsidR="00E23C4E">
            <w:br/>
            <w:t>5</w:t>
          </w:r>
        </w:p>
      </w:tc>
    </w:tr>
  </w:tbl>
  <w:p w14:paraId="36967E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03C74" w14:paraId="1243BDB6" w14:textId="77777777" w:rsidTr="009E2051">
      <w:trPr>
        <w:trHeight w:val="400"/>
      </w:trPr>
      <w:tc>
        <w:tcPr>
          <w:tcW w:w="7520" w:type="dxa"/>
          <w:gridSpan w:val="2"/>
        </w:tcPr>
        <w:p w14:paraId="468FB5F1" w14:textId="77777777" w:rsidR="00527BD4" w:rsidRPr="00BC3B53" w:rsidRDefault="00975757" w:rsidP="00A50CF6">
          <w:pPr>
            <w:pStyle w:val="Huisstijl-Retouradres"/>
          </w:pPr>
          <w:r>
            <w:t>&gt; Retouradres Postbus 20401 2500 EK Den Haag</w:t>
          </w:r>
        </w:p>
      </w:tc>
    </w:tr>
    <w:tr w:rsidR="00403C74" w14:paraId="484585A0" w14:textId="77777777" w:rsidTr="009E2051">
      <w:tc>
        <w:tcPr>
          <w:tcW w:w="7520" w:type="dxa"/>
          <w:gridSpan w:val="2"/>
        </w:tcPr>
        <w:p w14:paraId="4BD1BCD1" w14:textId="77777777" w:rsidR="00527BD4" w:rsidRPr="00983E8F" w:rsidRDefault="00527BD4" w:rsidP="00A50CF6">
          <w:pPr>
            <w:pStyle w:val="Huisstijl-Rubricering"/>
          </w:pPr>
        </w:p>
      </w:tc>
    </w:tr>
    <w:tr w:rsidR="00403C74" w14:paraId="3DE9CF8A" w14:textId="77777777" w:rsidTr="009E2051">
      <w:trPr>
        <w:trHeight w:hRule="exact" w:val="2440"/>
      </w:trPr>
      <w:tc>
        <w:tcPr>
          <w:tcW w:w="7520" w:type="dxa"/>
          <w:gridSpan w:val="2"/>
        </w:tcPr>
        <w:p w14:paraId="2784D9CA" w14:textId="77777777" w:rsidR="00407D12" w:rsidRPr="00A34B39" w:rsidRDefault="00407D12" w:rsidP="00A34B39">
          <w:r w:rsidRPr="00A34B39">
            <w:t xml:space="preserve">De Voorzitter van de Tweede Kamer </w:t>
          </w:r>
        </w:p>
        <w:p w14:paraId="2EA3E0AB" w14:textId="77777777" w:rsidR="00407D12" w:rsidRPr="00A34B39" w:rsidRDefault="00407D12" w:rsidP="00A34B39">
          <w:r w:rsidRPr="00A34B39">
            <w:t>der Staten-Generaal</w:t>
          </w:r>
        </w:p>
        <w:p w14:paraId="5FEEC222" w14:textId="77777777" w:rsidR="00407D12" w:rsidRPr="00A34B39" w:rsidRDefault="00407D12" w:rsidP="00A34B39">
          <w:r w:rsidRPr="00A34B39">
            <w:t>Prinses Irenestraat 6</w:t>
          </w:r>
        </w:p>
        <w:p w14:paraId="659A6D2A" w14:textId="77777777" w:rsidR="00407D12" w:rsidRPr="00A34B39" w:rsidRDefault="00407D12" w:rsidP="00A34B39">
          <w:r w:rsidRPr="00A34B39">
            <w:t>2595 BD  DEN HAAG</w:t>
          </w:r>
        </w:p>
        <w:p w14:paraId="2E2433F3" w14:textId="350306F6" w:rsidR="00527BD4" w:rsidRDefault="00527BD4" w:rsidP="00A50CF6">
          <w:pPr>
            <w:pStyle w:val="Huisstijl-NAW"/>
          </w:pPr>
        </w:p>
      </w:tc>
    </w:tr>
    <w:tr w:rsidR="00403C74" w14:paraId="18F694FB" w14:textId="77777777" w:rsidTr="009E2051">
      <w:trPr>
        <w:trHeight w:hRule="exact" w:val="400"/>
      </w:trPr>
      <w:tc>
        <w:tcPr>
          <w:tcW w:w="7520" w:type="dxa"/>
          <w:gridSpan w:val="2"/>
        </w:tcPr>
        <w:p w14:paraId="4DCBA7F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03C74" w14:paraId="3BEC7342" w14:textId="77777777" w:rsidTr="009E2051">
      <w:trPr>
        <w:trHeight w:val="240"/>
      </w:trPr>
      <w:tc>
        <w:tcPr>
          <w:tcW w:w="900" w:type="dxa"/>
        </w:tcPr>
        <w:p w14:paraId="46BE1F26" w14:textId="77777777" w:rsidR="00527BD4" w:rsidRPr="007709EF" w:rsidRDefault="00975757" w:rsidP="00A50CF6">
          <w:pPr>
            <w:rPr>
              <w:szCs w:val="18"/>
            </w:rPr>
          </w:pPr>
          <w:r>
            <w:rPr>
              <w:szCs w:val="18"/>
            </w:rPr>
            <w:t>Datum</w:t>
          </w:r>
        </w:p>
      </w:tc>
      <w:tc>
        <w:tcPr>
          <w:tcW w:w="6620" w:type="dxa"/>
        </w:tcPr>
        <w:p w14:paraId="06BDD6F7" w14:textId="210CFC37" w:rsidR="00527BD4" w:rsidRPr="007709EF" w:rsidRDefault="00407D12" w:rsidP="00A50CF6">
          <w:r>
            <w:t>10 juni 2026</w:t>
          </w:r>
        </w:p>
      </w:tc>
    </w:tr>
    <w:tr w:rsidR="00403C74" w14:paraId="7E4BC86F" w14:textId="77777777" w:rsidTr="009E2051">
      <w:trPr>
        <w:trHeight w:val="240"/>
      </w:trPr>
      <w:tc>
        <w:tcPr>
          <w:tcW w:w="900" w:type="dxa"/>
        </w:tcPr>
        <w:p w14:paraId="790E8749" w14:textId="77777777" w:rsidR="00527BD4" w:rsidRPr="007709EF" w:rsidRDefault="00975757" w:rsidP="00A50CF6">
          <w:pPr>
            <w:rPr>
              <w:szCs w:val="18"/>
            </w:rPr>
          </w:pPr>
          <w:r>
            <w:rPr>
              <w:szCs w:val="18"/>
            </w:rPr>
            <w:t>Betreft</w:t>
          </w:r>
        </w:p>
      </w:tc>
      <w:tc>
        <w:tcPr>
          <w:tcW w:w="6620" w:type="dxa"/>
        </w:tcPr>
        <w:p w14:paraId="3D68F355" w14:textId="2D4B344E" w:rsidR="00527BD4" w:rsidRPr="007709EF" w:rsidRDefault="00200D9A" w:rsidP="00A50CF6">
          <w:r>
            <w:t>Technische wijzigingen mariene Natura 2000-gebieden</w:t>
          </w:r>
        </w:p>
      </w:tc>
    </w:tr>
  </w:tbl>
  <w:p w14:paraId="3C5552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90C24DC">
      <w:start w:val="1"/>
      <w:numFmt w:val="bullet"/>
      <w:pStyle w:val="Lijstopsomteken"/>
      <w:lvlText w:val="•"/>
      <w:lvlJc w:val="left"/>
      <w:pPr>
        <w:tabs>
          <w:tab w:val="num" w:pos="227"/>
        </w:tabs>
        <w:ind w:left="227" w:hanging="227"/>
      </w:pPr>
      <w:rPr>
        <w:rFonts w:ascii="Verdana" w:hAnsi="Verdana" w:hint="default"/>
        <w:sz w:val="18"/>
        <w:szCs w:val="18"/>
      </w:rPr>
    </w:lvl>
    <w:lvl w:ilvl="1" w:tplc="544AF1CE" w:tentative="1">
      <w:start w:val="1"/>
      <w:numFmt w:val="bullet"/>
      <w:lvlText w:val="o"/>
      <w:lvlJc w:val="left"/>
      <w:pPr>
        <w:tabs>
          <w:tab w:val="num" w:pos="1440"/>
        </w:tabs>
        <w:ind w:left="1440" w:hanging="360"/>
      </w:pPr>
      <w:rPr>
        <w:rFonts w:ascii="Courier New" w:hAnsi="Courier New" w:cs="Courier New" w:hint="default"/>
      </w:rPr>
    </w:lvl>
    <w:lvl w:ilvl="2" w:tplc="1E68BDE2" w:tentative="1">
      <w:start w:val="1"/>
      <w:numFmt w:val="bullet"/>
      <w:lvlText w:val=""/>
      <w:lvlJc w:val="left"/>
      <w:pPr>
        <w:tabs>
          <w:tab w:val="num" w:pos="2160"/>
        </w:tabs>
        <w:ind w:left="2160" w:hanging="360"/>
      </w:pPr>
      <w:rPr>
        <w:rFonts w:ascii="Wingdings" w:hAnsi="Wingdings" w:hint="default"/>
      </w:rPr>
    </w:lvl>
    <w:lvl w:ilvl="3" w:tplc="3C96AC0A" w:tentative="1">
      <w:start w:val="1"/>
      <w:numFmt w:val="bullet"/>
      <w:lvlText w:val=""/>
      <w:lvlJc w:val="left"/>
      <w:pPr>
        <w:tabs>
          <w:tab w:val="num" w:pos="2880"/>
        </w:tabs>
        <w:ind w:left="2880" w:hanging="360"/>
      </w:pPr>
      <w:rPr>
        <w:rFonts w:ascii="Symbol" w:hAnsi="Symbol" w:hint="default"/>
      </w:rPr>
    </w:lvl>
    <w:lvl w:ilvl="4" w:tplc="70667A9C" w:tentative="1">
      <w:start w:val="1"/>
      <w:numFmt w:val="bullet"/>
      <w:lvlText w:val="o"/>
      <w:lvlJc w:val="left"/>
      <w:pPr>
        <w:tabs>
          <w:tab w:val="num" w:pos="3600"/>
        </w:tabs>
        <w:ind w:left="3600" w:hanging="360"/>
      </w:pPr>
      <w:rPr>
        <w:rFonts w:ascii="Courier New" w:hAnsi="Courier New" w:cs="Courier New" w:hint="default"/>
      </w:rPr>
    </w:lvl>
    <w:lvl w:ilvl="5" w:tplc="3BC8CA76" w:tentative="1">
      <w:start w:val="1"/>
      <w:numFmt w:val="bullet"/>
      <w:lvlText w:val=""/>
      <w:lvlJc w:val="left"/>
      <w:pPr>
        <w:tabs>
          <w:tab w:val="num" w:pos="4320"/>
        </w:tabs>
        <w:ind w:left="4320" w:hanging="360"/>
      </w:pPr>
      <w:rPr>
        <w:rFonts w:ascii="Wingdings" w:hAnsi="Wingdings" w:hint="default"/>
      </w:rPr>
    </w:lvl>
    <w:lvl w:ilvl="6" w:tplc="96221452" w:tentative="1">
      <w:start w:val="1"/>
      <w:numFmt w:val="bullet"/>
      <w:lvlText w:val=""/>
      <w:lvlJc w:val="left"/>
      <w:pPr>
        <w:tabs>
          <w:tab w:val="num" w:pos="5040"/>
        </w:tabs>
        <w:ind w:left="5040" w:hanging="360"/>
      </w:pPr>
      <w:rPr>
        <w:rFonts w:ascii="Symbol" w:hAnsi="Symbol" w:hint="default"/>
      </w:rPr>
    </w:lvl>
    <w:lvl w:ilvl="7" w:tplc="DF8CAB9C" w:tentative="1">
      <w:start w:val="1"/>
      <w:numFmt w:val="bullet"/>
      <w:lvlText w:val="o"/>
      <w:lvlJc w:val="left"/>
      <w:pPr>
        <w:tabs>
          <w:tab w:val="num" w:pos="5760"/>
        </w:tabs>
        <w:ind w:left="5760" w:hanging="360"/>
      </w:pPr>
      <w:rPr>
        <w:rFonts w:ascii="Courier New" w:hAnsi="Courier New" w:cs="Courier New" w:hint="default"/>
      </w:rPr>
    </w:lvl>
    <w:lvl w:ilvl="8" w:tplc="2A9895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D6C2C8">
      <w:start w:val="1"/>
      <w:numFmt w:val="bullet"/>
      <w:pStyle w:val="Lijstopsomteken2"/>
      <w:lvlText w:val="–"/>
      <w:lvlJc w:val="left"/>
      <w:pPr>
        <w:tabs>
          <w:tab w:val="num" w:pos="227"/>
        </w:tabs>
        <w:ind w:left="227" w:firstLine="0"/>
      </w:pPr>
      <w:rPr>
        <w:rFonts w:ascii="Verdana" w:hAnsi="Verdana" w:hint="default"/>
      </w:rPr>
    </w:lvl>
    <w:lvl w:ilvl="1" w:tplc="2AD802A2" w:tentative="1">
      <w:start w:val="1"/>
      <w:numFmt w:val="bullet"/>
      <w:lvlText w:val="o"/>
      <w:lvlJc w:val="left"/>
      <w:pPr>
        <w:tabs>
          <w:tab w:val="num" w:pos="1440"/>
        </w:tabs>
        <w:ind w:left="1440" w:hanging="360"/>
      </w:pPr>
      <w:rPr>
        <w:rFonts w:ascii="Courier New" w:hAnsi="Courier New" w:cs="Courier New" w:hint="default"/>
      </w:rPr>
    </w:lvl>
    <w:lvl w:ilvl="2" w:tplc="62F4B7C4" w:tentative="1">
      <w:start w:val="1"/>
      <w:numFmt w:val="bullet"/>
      <w:lvlText w:val=""/>
      <w:lvlJc w:val="left"/>
      <w:pPr>
        <w:tabs>
          <w:tab w:val="num" w:pos="2160"/>
        </w:tabs>
        <w:ind w:left="2160" w:hanging="360"/>
      </w:pPr>
      <w:rPr>
        <w:rFonts w:ascii="Wingdings" w:hAnsi="Wingdings" w:hint="default"/>
      </w:rPr>
    </w:lvl>
    <w:lvl w:ilvl="3" w:tplc="64A8F276" w:tentative="1">
      <w:start w:val="1"/>
      <w:numFmt w:val="bullet"/>
      <w:lvlText w:val=""/>
      <w:lvlJc w:val="left"/>
      <w:pPr>
        <w:tabs>
          <w:tab w:val="num" w:pos="2880"/>
        </w:tabs>
        <w:ind w:left="2880" w:hanging="360"/>
      </w:pPr>
      <w:rPr>
        <w:rFonts w:ascii="Symbol" w:hAnsi="Symbol" w:hint="default"/>
      </w:rPr>
    </w:lvl>
    <w:lvl w:ilvl="4" w:tplc="1D2C922A" w:tentative="1">
      <w:start w:val="1"/>
      <w:numFmt w:val="bullet"/>
      <w:lvlText w:val="o"/>
      <w:lvlJc w:val="left"/>
      <w:pPr>
        <w:tabs>
          <w:tab w:val="num" w:pos="3600"/>
        </w:tabs>
        <w:ind w:left="3600" w:hanging="360"/>
      </w:pPr>
      <w:rPr>
        <w:rFonts w:ascii="Courier New" w:hAnsi="Courier New" w:cs="Courier New" w:hint="default"/>
      </w:rPr>
    </w:lvl>
    <w:lvl w:ilvl="5" w:tplc="F0B267A8" w:tentative="1">
      <w:start w:val="1"/>
      <w:numFmt w:val="bullet"/>
      <w:lvlText w:val=""/>
      <w:lvlJc w:val="left"/>
      <w:pPr>
        <w:tabs>
          <w:tab w:val="num" w:pos="4320"/>
        </w:tabs>
        <w:ind w:left="4320" w:hanging="360"/>
      </w:pPr>
      <w:rPr>
        <w:rFonts w:ascii="Wingdings" w:hAnsi="Wingdings" w:hint="default"/>
      </w:rPr>
    </w:lvl>
    <w:lvl w:ilvl="6" w:tplc="29A61946" w:tentative="1">
      <w:start w:val="1"/>
      <w:numFmt w:val="bullet"/>
      <w:lvlText w:val=""/>
      <w:lvlJc w:val="left"/>
      <w:pPr>
        <w:tabs>
          <w:tab w:val="num" w:pos="5040"/>
        </w:tabs>
        <w:ind w:left="5040" w:hanging="360"/>
      </w:pPr>
      <w:rPr>
        <w:rFonts w:ascii="Symbol" w:hAnsi="Symbol" w:hint="default"/>
      </w:rPr>
    </w:lvl>
    <w:lvl w:ilvl="7" w:tplc="F8FEDE4C" w:tentative="1">
      <w:start w:val="1"/>
      <w:numFmt w:val="bullet"/>
      <w:lvlText w:val="o"/>
      <w:lvlJc w:val="left"/>
      <w:pPr>
        <w:tabs>
          <w:tab w:val="num" w:pos="5760"/>
        </w:tabs>
        <w:ind w:left="5760" w:hanging="360"/>
      </w:pPr>
      <w:rPr>
        <w:rFonts w:ascii="Courier New" w:hAnsi="Courier New" w:cs="Courier New" w:hint="default"/>
      </w:rPr>
    </w:lvl>
    <w:lvl w:ilvl="8" w:tplc="96DE71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7672166">
    <w:abstractNumId w:val="10"/>
  </w:num>
  <w:num w:numId="2" w16cid:durableId="1237664041">
    <w:abstractNumId w:val="7"/>
  </w:num>
  <w:num w:numId="3" w16cid:durableId="1168983741">
    <w:abstractNumId w:val="6"/>
  </w:num>
  <w:num w:numId="4" w16cid:durableId="1774285274">
    <w:abstractNumId w:val="5"/>
  </w:num>
  <w:num w:numId="5" w16cid:durableId="1555508754">
    <w:abstractNumId w:val="4"/>
  </w:num>
  <w:num w:numId="6" w16cid:durableId="1432235524">
    <w:abstractNumId w:val="8"/>
  </w:num>
  <w:num w:numId="7" w16cid:durableId="68356763">
    <w:abstractNumId w:val="3"/>
  </w:num>
  <w:num w:numId="8" w16cid:durableId="467165790">
    <w:abstractNumId w:val="2"/>
  </w:num>
  <w:num w:numId="9" w16cid:durableId="2071493678">
    <w:abstractNumId w:val="1"/>
  </w:num>
  <w:num w:numId="10" w16cid:durableId="635912154">
    <w:abstractNumId w:val="0"/>
  </w:num>
  <w:num w:numId="11" w16cid:durableId="91557500">
    <w:abstractNumId w:val="9"/>
  </w:num>
  <w:num w:numId="12" w16cid:durableId="16348810">
    <w:abstractNumId w:val="11"/>
  </w:num>
  <w:num w:numId="13" w16cid:durableId="1009870397">
    <w:abstractNumId w:val="13"/>
  </w:num>
  <w:num w:numId="14" w16cid:durableId="783092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08CD"/>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5B39"/>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0D9A"/>
    <w:rsid w:val="00201F68"/>
    <w:rsid w:val="00212F2A"/>
    <w:rsid w:val="00214F2B"/>
    <w:rsid w:val="00217880"/>
    <w:rsid w:val="00222D66"/>
    <w:rsid w:val="0022487E"/>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4590"/>
    <w:rsid w:val="002D001A"/>
    <w:rsid w:val="002D28E2"/>
    <w:rsid w:val="002D317B"/>
    <w:rsid w:val="002D3587"/>
    <w:rsid w:val="002D3FFD"/>
    <w:rsid w:val="002D502D"/>
    <w:rsid w:val="002E0F69"/>
    <w:rsid w:val="002F5147"/>
    <w:rsid w:val="002F78E8"/>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E7D3F"/>
    <w:rsid w:val="003F07C6"/>
    <w:rsid w:val="003F1F6B"/>
    <w:rsid w:val="003F2647"/>
    <w:rsid w:val="003F3757"/>
    <w:rsid w:val="003F38BD"/>
    <w:rsid w:val="003F44B7"/>
    <w:rsid w:val="004008E9"/>
    <w:rsid w:val="00403C74"/>
    <w:rsid w:val="00407D12"/>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D505E"/>
    <w:rsid w:val="004D72CA"/>
    <w:rsid w:val="004E2242"/>
    <w:rsid w:val="004E39FC"/>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4B74"/>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843"/>
    <w:rsid w:val="008E0B3F"/>
    <w:rsid w:val="008E49AD"/>
    <w:rsid w:val="008E698E"/>
    <w:rsid w:val="008E6FD8"/>
    <w:rsid w:val="008F2584"/>
    <w:rsid w:val="008F3246"/>
    <w:rsid w:val="008F3C1B"/>
    <w:rsid w:val="008F508C"/>
    <w:rsid w:val="0090271B"/>
    <w:rsid w:val="00910642"/>
    <w:rsid w:val="00910DDF"/>
    <w:rsid w:val="0091252A"/>
    <w:rsid w:val="009143D7"/>
    <w:rsid w:val="00930B13"/>
    <w:rsid w:val="009311C8"/>
    <w:rsid w:val="00933376"/>
    <w:rsid w:val="00933A2F"/>
    <w:rsid w:val="009716D8"/>
    <w:rsid w:val="009718F9"/>
    <w:rsid w:val="00972FB9"/>
    <w:rsid w:val="00975112"/>
    <w:rsid w:val="00975757"/>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302E"/>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26F77"/>
    <w:rsid w:val="00B30FC2"/>
    <w:rsid w:val="00B331A2"/>
    <w:rsid w:val="00B351EC"/>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B7285"/>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213A"/>
    <w:rsid w:val="00C5258E"/>
    <w:rsid w:val="00C530C9"/>
    <w:rsid w:val="00C619A7"/>
    <w:rsid w:val="00C73D5F"/>
    <w:rsid w:val="00C8584E"/>
    <w:rsid w:val="00C945E0"/>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3C4E"/>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6E39"/>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3171"/>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9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683</ap:Words>
  <ap:Characters>3760</ap:Characters>
  <ap:DocSecurity>0</ap:DocSecurity>
  <ap:Lines>31</ap:Lines>
  <ap:Paragraphs>8</ap:Paragraphs>
  <ap:ScaleCrop>false</ap:ScaleCrop>
  <ap:LinksUpToDate>false</ap:LinksUpToDate>
  <ap:CharactersWithSpaces>4435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2026-06-09T15:48:00.0000000Z</dcterms:created>
  <dcterms:modified xsi:type="dcterms:W3CDTF">2026-06-09T16:01:00.0000000Z</dcterms:modified>
  <dc:description>------------------------</dc:description>
  <dc:subject/>
  <keywords/>
  <version/>
  <category/>
</coreProperties>
</file>