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07B0" w:rsidR="00A12DE1" w:rsidRDefault="00A12DE1" w14:paraId="1A31578C" w14:textId="54A7BD0F">
      <w:bookmarkStart w:name="_GoBack" w:id="0"/>
      <w:bookmarkEnd w:id="0"/>
      <w:r>
        <w:t xml:space="preserve">Op 8 april jl. heeft de vaste Kamercommissie voor Infrastructuur en Waterstaat </w:t>
      </w:r>
      <w:r w:rsidRPr="00922F6E">
        <w:t>mij verzocht</w:t>
      </w:r>
      <w:r w:rsidRPr="00922F6E">
        <w:rPr>
          <w:rStyle w:val="FootnoteReference"/>
        </w:rPr>
        <w:footnoteReference w:id="1"/>
      </w:r>
      <w:r w:rsidRPr="00922F6E">
        <w:t xml:space="preserve"> om een schriftelijke reactie op het </w:t>
      </w:r>
      <w:r w:rsidRPr="00922F6E">
        <w:rPr>
          <w:i/>
          <w:iCs/>
        </w:rPr>
        <w:t>position paper</w:t>
      </w:r>
      <w:r w:rsidRPr="00922F6E">
        <w:t xml:space="preserve"> van Omgevingsdienst NL over de Actieagenda Industrie en Omwonenden</w:t>
      </w:r>
      <w:r w:rsidRPr="00922F6E" w:rsidR="00FA07B0">
        <w:rPr>
          <w:rStyle w:val="FootnoteReference"/>
        </w:rPr>
        <w:footnoteReference w:id="2"/>
      </w:r>
      <w:r w:rsidRPr="00922F6E">
        <w:t xml:space="preserve">. </w:t>
      </w:r>
      <w:r w:rsidRPr="00922F6E" w:rsidR="00FA07B0">
        <w:t xml:space="preserve">Met deze brief ga ik in op dat verzoek. Daarbij is het goed om te </w:t>
      </w:r>
      <w:r w:rsidRPr="00922F6E" w:rsidR="006138A1">
        <w:t>ver</w:t>
      </w:r>
      <w:r w:rsidRPr="00922F6E" w:rsidR="00FA07B0">
        <w:t xml:space="preserve">melden dat ik </w:t>
      </w:r>
      <w:r w:rsidRPr="00922F6E" w:rsidR="00922F6E">
        <w:t xml:space="preserve">rond </w:t>
      </w:r>
      <w:r w:rsidRPr="00922F6E" w:rsidR="00FA07B0">
        <w:t>de zomer</w:t>
      </w:r>
      <w:r w:rsidRPr="00922F6E" w:rsidR="00922F6E">
        <w:t xml:space="preserve"> </w:t>
      </w:r>
      <w:r w:rsidRPr="00922F6E" w:rsidR="00FA07B0">
        <w:t xml:space="preserve">zelf ook met Omgevingsdienst NL in gesprek ga, onder meer over dit </w:t>
      </w:r>
      <w:r w:rsidRPr="00922F6E" w:rsidR="00FA07B0">
        <w:rPr>
          <w:i/>
          <w:iCs/>
        </w:rPr>
        <w:t>position paper</w:t>
      </w:r>
      <w:r w:rsidRPr="00922F6E" w:rsidR="00FA07B0">
        <w:t xml:space="preserve">. </w:t>
      </w:r>
      <w:r w:rsidRPr="00922F6E" w:rsidR="00F3022B">
        <w:t>Over dat gesprek zal</w:t>
      </w:r>
      <w:r w:rsidR="00F3022B">
        <w:t xml:space="preserve"> ik de Kamer, zoals toegezegd</w:t>
      </w:r>
      <w:r w:rsidR="00F3022B">
        <w:rPr>
          <w:rStyle w:val="FootnoteReference"/>
        </w:rPr>
        <w:footnoteReference w:id="3"/>
      </w:r>
      <w:r w:rsidR="00F3022B">
        <w:t xml:space="preserve"> tijdens het commissiedebat Leefomgeving van 2 april jl., </w:t>
      </w:r>
      <w:r w:rsidR="006138A1">
        <w:t>na afloop</w:t>
      </w:r>
      <w:r w:rsidR="00F3022B">
        <w:t xml:space="preserve"> informeren.</w:t>
      </w:r>
    </w:p>
    <w:p w:rsidR="00C97CD9" w:rsidRDefault="00C97CD9" w14:paraId="221A9167" w14:textId="2FA3E51B">
      <w:pPr>
        <w:pStyle w:val="WitregelW1bodytekst"/>
      </w:pPr>
    </w:p>
    <w:p w:rsidR="00F3022B" w:rsidP="00F3022B" w:rsidRDefault="005C1FD8" w14:paraId="329F8BA7" w14:textId="2546D19A">
      <w:r w:rsidRPr="005C1FD8">
        <w:t xml:space="preserve">Allereerst wil ik benadrukken dat ik de betrokkenheid van </w:t>
      </w:r>
      <w:r w:rsidR="004474C6">
        <w:t>Omgevingsdienst NL</w:t>
      </w:r>
      <w:r w:rsidRPr="005C1FD8" w:rsidR="004474C6">
        <w:t xml:space="preserve"> </w:t>
      </w:r>
      <w:r w:rsidRPr="005C1FD8">
        <w:t xml:space="preserve">bij dit onderwerp zeer op prijs stel. Dit onderwerp leeft en op veel plaatsen in Nederland worden </w:t>
      </w:r>
      <w:r w:rsidRPr="005C1FD8" w:rsidR="00244B7E">
        <w:t xml:space="preserve">oplossingen </w:t>
      </w:r>
      <w:r w:rsidRPr="005C1FD8">
        <w:t xml:space="preserve">gezocht om de balans tussen de industrie en een gezonde leefomgeving te bewaken. Ook </w:t>
      </w:r>
      <w:r w:rsidR="005B671F">
        <w:t>bij het verder uitwerken van de</w:t>
      </w:r>
      <w:r w:rsidRPr="005C1FD8">
        <w:t xml:space="preserve"> in de Kamerbrief van 19 december jl. </w:t>
      </w:r>
      <w:r w:rsidR="005B671F">
        <w:t xml:space="preserve">aangekondigde acties </w:t>
      </w:r>
      <w:r w:rsidRPr="005C1FD8">
        <w:t xml:space="preserve">ervaar ik een </w:t>
      </w:r>
      <w:r>
        <w:t xml:space="preserve">positieve samenwerking met- en een </w:t>
      </w:r>
      <w:r w:rsidRPr="005C1FD8">
        <w:t xml:space="preserve">proactieve houding van de </w:t>
      </w:r>
      <w:r w:rsidR="009F4DCA">
        <w:t>o</w:t>
      </w:r>
      <w:r w:rsidRPr="005C1FD8">
        <w:t>mgevingsdiensten</w:t>
      </w:r>
      <w:r w:rsidR="004474C6">
        <w:t xml:space="preserve"> in het algemeen en met Omgevingsdienst NL specifiek</w:t>
      </w:r>
      <w:r w:rsidRPr="005C1FD8">
        <w:t xml:space="preserve">. </w:t>
      </w:r>
    </w:p>
    <w:p w:rsidR="00314E82" w:rsidP="00F3022B" w:rsidRDefault="00314E82" w14:paraId="1163DBAD" w14:textId="77777777"/>
    <w:p w:rsidR="00314E82" w:rsidP="00F3022B" w:rsidRDefault="00314E82" w14:paraId="78959938" w14:textId="2086248D">
      <w:r>
        <w:t xml:space="preserve">Ook zie ik de urgentie die </w:t>
      </w:r>
      <w:r w:rsidR="004474C6">
        <w:t xml:space="preserve">Omgevingsdienst NL </w:t>
      </w:r>
      <w:r>
        <w:t>schets</w:t>
      </w:r>
      <w:r w:rsidR="00150CE7">
        <w:t>t</w:t>
      </w:r>
      <w:r>
        <w:t xml:space="preserve"> in </w:t>
      </w:r>
      <w:r w:rsidR="00E17D8C">
        <w:t>dit</w:t>
      </w:r>
      <w:r>
        <w:t xml:space="preserve"> </w:t>
      </w:r>
      <w:r w:rsidR="005F559B">
        <w:t>position paper</w:t>
      </w:r>
      <w:r>
        <w:t xml:space="preserve">. Het OvV rapport trekt serieuze conclusies die serieuze aandacht verdienen. Tegelijkertijd is zorgvuldigheid geboden. Zoals in </w:t>
      </w:r>
      <w:r w:rsidR="00E17D8C">
        <w:t>het</w:t>
      </w:r>
      <w:r>
        <w:t xml:space="preserve"> </w:t>
      </w:r>
      <w:r w:rsidR="005F559B">
        <w:t xml:space="preserve">position paper van Omgevingsdienst NL </w:t>
      </w:r>
      <w:r>
        <w:t xml:space="preserve">al wordt aangegeven, staat de industrie voor complexe mondiale ontwikkelingen. Daarom kondigt de Kamerbrief van 19 december jl. pilots aan. Zo maken we lokaal al verschil, ontdekken we wat écht werkt, en houden we rekening met uitvoerbaarheid en haalbaarheid. Dit is onderdeel van goed en zorgvuldig beleid maken.  </w:t>
      </w:r>
    </w:p>
    <w:p w:rsidR="006138A1" w:rsidP="00F3022B" w:rsidRDefault="006138A1" w14:paraId="0573568E" w14:textId="77777777"/>
    <w:p w:rsidR="006138A1" w:rsidP="00F3022B" w:rsidRDefault="0000304D" w14:paraId="1C6D8D31" w14:textId="053F347B">
      <w:r>
        <w:t>Tegelijkertijd</w:t>
      </w:r>
      <w:r w:rsidR="006138A1">
        <w:t xml:space="preserve"> </w:t>
      </w:r>
      <w:r w:rsidR="00752C0D">
        <w:t>weerspreek</w:t>
      </w:r>
      <w:r w:rsidR="006138A1">
        <w:t xml:space="preserve"> ik met klem de stelling dat er sinds het OVV-rapport geen concrete maatregelen in beeld zouden zijn en dat “</w:t>
      </w:r>
      <w:r w:rsidRPr="006138A1" w:rsidR="006138A1">
        <w:t>geen enkel positief milieu- of gezondheidseffect</w:t>
      </w:r>
      <w:r w:rsidR="006138A1">
        <w:t>” zou zijn gerealiseerd. Zoals weergegeven in (bijlage 1 bij) de Kamerbrief van 19 december jl. zijn de afgelopen jaren tal van maatregelen getroffen om de gezondheid van omwonenden van industrie beter te beschermen:</w:t>
      </w:r>
    </w:p>
    <w:p w:rsidR="006138A1" w:rsidP="00F3022B" w:rsidRDefault="006138A1" w14:paraId="76D7D6F4" w14:textId="77777777"/>
    <w:p w:rsidR="006138A1" w:rsidP="006138A1" w:rsidRDefault="006138A1" w14:paraId="7F191449" w14:textId="71A9BC8F">
      <w:pPr>
        <w:pStyle w:val="ListParagraph"/>
        <w:numPr>
          <w:ilvl w:val="0"/>
          <w:numId w:val="24"/>
        </w:numPr>
      </w:pPr>
      <w:r>
        <w:lastRenderedPageBreak/>
        <w:t>Vanuit het Impulsprogramma Chemische Stoffen wordt gewerkt aan</w:t>
      </w:r>
      <w:r w:rsidR="00E17D8C">
        <w:t xml:space="preserve"> het versterken en verder verduidelijken</w:t>
      </w:r>
      <w:r>
        <w:t xml:space="preserve"> van het </w:t>
      </w:r>
      <w:r w:rsidR="009F365E">
        <w:t>minimalisatie</w:t>
      </w:r>
      <w:r>
        <w:t xml:space="preserve">beleid op het gebied van </w:t>
      </w:r>
      <w:r w:rsidR="00E17D8C">
        <w:t xml:space="preserve">emissies van </w:t>
      </w:r>
      <w:r>
        <w:t>zeer zorgwekkende stoffen (ZZS)</w:t>
      </w:r>
      <w:r w:rsidR="00922F6E">
        <w:rPr>
          <w:rStyle w:val="FootnoteReference"/>
        </w:rPr>
        <w:footnoteReference w:id="4"/>
      </w:r>
      <w:r>
        <w:t>;</w:t>
      </w:r>
    </w:p>
    <w:p w:rsidR="008A04EF" w:rsidP="006138A1" w:rsidRDefault="008A04EF" w14:paraId="68F7FEB5" w14:textId="19C06FDD">
      <w:pPr>
        <w:pStyle w:val="ListParagraph"/>
        <w:numPr>
          <w:ilvl w:val="0"/>
          <w:numId w:val="24"/>
        </w:numPr>
      </w:pPr>
      <w:r>
        <w:t>Er is op verschillende manieren gewerkt aan de OvV aanbeveling om het voorzorgsprincipe zwaarder te laten wegen in het systeem van chemische stoffen, onder andere door de ontwikkeling van de Routekaart ‘Voorzorg Beter Toepassen’</w:t>
      </w:r>
      <w:r>
        <w:rPr>
          <w:rStyle w:val="FootnoteReference"/>
        </w:rPr>
        <w:footnoteReference w:id="5"/>
      </w:r>
      <w:r>
        <w:t xml:space="preserve">. </w:t>
      </w:r>
    </w:p>
    <w:p w:rsidR="007A6659" w:rsidP="00C364A7" w:rsidRDefault="008A04EF" w14:paraId="57FC427D" w14:textId="59D0770A">
      <w:pPr>
        <w:pStyle w:val="ListParagraph"/>
        <w:numPr>
          <w:ilvl w:val="0"/>
          <w:numId w:val="24"/>
        </w:numPr>
      </w:pPr>
      <w:r>
        <w:t>Bij het werken aan een circulaire en klimaatneutrale industrie in samenwerking met het ministerie van Economische Zaken en Klimaat, is ook gezondheidswinst geboekt, bijvoorbeeld door de energiebesparingsplicht en de elektrificatieagenda en het beschikbaar gestelde subsidie-instrumentarium, waaronder ook de maatwerkafspraken.</w:t>
      </w:r>
      <w:r w:rsidR="007F689C">
        <w:t xml:space="preserve"> Zo is er met de maatwerkafspraak met Nobian per 2030 een reductie van 400 ton NOx </w:t>
      </w:r>
      <w:r w:rsidR="002D0E15">
        <w:t xml:space="preserve">naar lucht </w:t>
      </w:r>
      <w:r w:rsidR="007F689C">
        <w:t>en 1,7 m</w:t>
      </w:r>
      <w:r w:rsidR="007F689C">
        <w:rPr>
          <w:vertAlign w:val="superscript"/>
        </w:rPr>
        <w:t>3</w:t>
      </w:r>
      <w:r w:rsidR="007F689C">
        <w:t xml:space="preserve"> watergebruik.</w:t>
      </w:r>
      <w:r w:rsidR="002D0E15">
        <w:t xml:space="preserve"> In de maatwerkafspraak met Cosun gaat het om een reductie van 22ton NOx en 42 ton NH</w:t>
      </w:r>
      <w:r w:rsidRPr="00A2012B" w:rsidR="002D0E15">
        <w:rPr>
          <w:vertAlign w:val="subscript"/>
        </w:rPr>
        <w:t>3</w:t>
      </w:r>
      <w:r w:rsidR="002D0E15">
        <w:t xml:space="preserve"> naar lucht per 2030.</w:t>
      </w:r>
    </w:p>
    <w:p w:rsidR="002A1554" w:rsidP="00C364A7" w:rsidRDefault="002A1554" w14:paraId="76BCD41C" w14:textId="7EDE8586">
      <w:pPr>
        <w:pStyle w:val="ListParagraph"/>
        <w:numPr>
          <w:ilvl w:val="0"/>
          <w:numId w:val="24"/>
        </w:numPr>
      </w:pPr>
      <w:r>
        <w:t>De Grootschalige Concentratiekaarten 2025</w:t>
      </w:r>
      <w:r>
        <w:rPr>
          <w:rStyle w:val="FootnoteReference"/>
        </w:rPr>
        <w:footnoteReference w:id="6"/>
      </w:r>
      <w:r>
        <w:t xml:space="preserve"> en de jaarlijkse Monitoringsrapportage luchtkwaliteit 2025 van het RIVM laten zien dat de luchtkwaliteit in 2024 dankzij beleid is verbeterd ten opzichte van 2023, en dat dit past in de trend van de afgelopen jaren. </w:t>
      </w:r>
      <w:r w:rsidRPr="002A1554">
        <w:t>De gemiddelde concentraties stikstofdioxide in de lucht waren in 2024 ongeveer 2 procent lager dan in 2023. De gemiddelde concentraties fijnstof met deeltjesgrootte PM10 waren ongeveer 4 procent lager. De gemiddelde concentraties met deeltjesgrootte PM2,5 zijn ongeveer hetzelfde gebleven.</w:t>
      </w:r>
      <w:r>
        <w:t xml:space="preserve"> </w:t>
      </w:r>
    </w:p>
    <w:p w:rsidR="00FD53A8" w:rsidP="00C364A7" w:rsidRDefault="00A432CD" w14:paraId="7B5A65EF" w14:textId="4A3BE494">
      <w:pPr>
        <w:pStyle w:val="ListParagraph"/>
        <w:numPr>
          <w:ilvl w:val="0"/>
          <w:numId w:val="24"/>
        </w:numPr>
      </w:pPr>
      <w:r w:rsidRPr="00327254">
        <w:t>Elke twee jaar wordt door het RIVM gemonitord of de doelen van het Schone Lucht Akkoord binnen bereik liggen. Uit de laatste ‘voortgangsmeting’, uit 2024</w:t>
      </w:r>
      <w:r>
        <w:rPr>
          <w:rStyle w:val="FootnoteReference"/>
        </w:rPr>
        <w:footnoteReference w:id="7"/>
      </w:r>
      <w:r w:rsidRPr="00327254">
        <w:t>, blijkt dat Nederland op koers ligt om de meeste doelen van het SLA te bereiken (met uitzondering van enkele sectorspecifieke doelen).</w:t>
      </w:r>
    </w:p>
    <w:p w:rsidR="008A04EF" w:rsidP="006138A1" w:rsidRDefault="008A04EF" w14:paraId="500497EB" w14:textId="5110E067">
      <w:pPr>
        <w:pStyle w:val="ListParagraph"/>
        <w:numPr>
          <w:ilvl w:val="0"/>
          <w:numId w:val="24"/>
        </w:numPr>
      </w:pPr>
      <w:r>
        <w:t>In de tussentijd is er ook veel kennis ontwikkeld. Niet in de laatste plaats met de onderzoeken die gepubliceerd zijn met de Kamerbrief van 19 december jl. Hiernaast is op 10 april 2026 de RIVM notitie ‘Input voor Kennisagenda Gezondheid omwonenden van industrie’ gepubliceerd, waarin het RIVM heeft onderzocht waar er nog kennis ontbreekt om effectief beleid te maken en doelen te halen bij het (beter) beschermen van gezondheid van omwonenden van industrie</w:t>
      </w:r>
      <w:r>
        <w:rPr>
          <w:rStyle w:val="FootnoteReference"/>
        </w:rPr>
        <w:footnoteReference w:id="8"/>
      </w:r>
      <w:r>
        <w:t xml:space="preserve">. Deze kennis helpt bij het maken van effectief en doelmatig beleid.   </w:t>
      </w:r>
    </w:p>
    <w:p w:rsidR="000C5BE9" w:rsidP="000C5BE9" w:rsidRDefault="000C5BE9" w14:paraId="10DB5163" w14:textId="77777777"/>
    <w:p w:rsidR="000C5BE9" w:rsidP="000C5BE9" w:rsidRDefault="000C5BE9" w14:paraId="6775BB82" w14:textId="04519734">
      <w:r>
        <w:t xml:space="preserve">Daarnaast werkt het ministerie van IenW samen met stelselpartners om te komen tot robuuste omgevingsdiensten, als onderdeel van het versterken van het VTH-stelsel. Bestuurlijk is afgesproken dat de omgevingsdiensten op 1 april 2026 robuust zijn. </w:t>
      </w:r>
      <w:bookmarkStart w:name="_Hlk231383994" w:id="1"/>
      <w:r>
        <w:t xml:space="preserve">Momenteel vindt de monitoring van de </w:t>
      </w:r>
      <w:r w:rsidR="00D67B11">
        <w:t xml:space="preserve">robuustheid van de </w:t>
      </w:r>
      <w:r>
        <w:t>diensten plaats</w:t>
      </w:r>
      <w:bookmarkEnd w:id="1"/>
      <w:r>
        <w:rPr>
          <w:rStyle w:val="FootnoteReference"/>
        </w:rPr>
        <w:footnoteReference w:id="9"/>
      </w:r>
      <w:r>
        <w:t xml:space="preserve">. </w:t>
      </w:r>
    </w:p>
    <w:p w:rsidR="00314E82" w:rsidP="00314E82" w:rsidRDefault="00314E82" w14:paraId="4A280435" w14:textId="77777777"/>
    <w:p w:rsidR="00314E82" w:rsidP="00314E82" w:rsidRDefault="00314E82" w14:paraId="50A15AD4" w14:textId="1747127E">
      <w:r>
        <w:t xml:space="preserve">De </w:t>
      </w:r>
      <w:r w:rsidR="005F559B">
        <w:t xml:space="preserve">Omgevingsdienst NL </w:t>
      </w:r>
      <w:r>
        <w:t xml:space="preserve">pleiten voor een vijftal acties in hun </w:t>
      </w:r>
      <w:r w:rsidR="004474C6">
        <w:t>positon paper</w:t>
      </w:r>
      <w:r>
        <w:t>. Ik wil op deze acties hieronder kort in gaan:</w:t>
      </w:r>
    </w:p>
    <w:p w:rsidR="00314E82" w:rsidP="00314E82" w:rsidRDefault="00244B7E" w14:paraId="39AD059A" w14:textId="3817FA3A">
      <w:pPr>
        <w:pStyle w:val="ListParagraph"/>
        <w:numPr>
          <w:ilvl w:val="0"/>
          <w:numId w:val="25"/>
        </w:numPr>
      </w:pPr>
      <w:r w:rsidRPr="00244B7E">
        <w:t>Duidelijke normstelling bij de implementatie van luchtnormen voor de industrie:</w:t>
      </w:r>
      <w:r>
        <w:t xml:space="preserve"> </w:t>
      </w:r>
      <w:r w:rsidRPr="00B82BA4" w:rsidR="00B82BA4">
        <w:t>Met de inwerkingtreding van de nieuwe EU-richtlijn Industriële Emissies</w:t>
      </w:r>
      <w:r w:rsidRPr="00A2012B" w:rsidR="00B82BA4">
        <w:t xml:space="preserve"> </w:t>
      </w:r>
      <w:r w:rsidRPr="00B82BA4" w:rsidR="00B82BA4">
        <w:t xml:space="preserve">(RIE) </w:t>
      </w:r>
      <w:r w:rsidRPr="006C25DB" w:rsidR="006C25DB">
        <w:t xml:space="preserve">veranderen </w:t>
      </w:r>
      <w:r w:rsidRPr="00244B7E" w:rsidR="006C25DB">
        <w:t>de</w:t>
      </w:r>
      <w:r w:rsidRPr="00244B7E" w:rsidR="00B82BA4">
        <w:t xml:space="preserve"> uitstootnormen voor de industrie. De onderkant van de BBT-bandbreedte wordt de norm, tenzij een bedrijf kan aantonen dat dat niet haalbaar is. Hiermee wordt het uitgangspunt dat de in Nederland bij het Schone Lucht Akkoord (SLA) aangesloten partijen al jaren hanteren nu ook de Europese norm, wat zorgt voor </w:t>
      </w:r>
      <w:r w:rsidRPr="00244B7E" w:rsidR="006C25DB">
        <w:t xml:space="preserve">meer </w:t>
      </w:r>
      <w:r w:rsidRPr="00244B7E" w:rsidR="00B82BA4">
        <w:t>eenduidigheid en een gelijk</w:t>
      </w:r>
      <w:r w:rsidRPr="00244B7E" w:rsidR="006C25DB">
        <w:t>er</w:t>
      </w:r>
      <w:r w:rsidRPr="00244B7E" w:rsidR="00B82BA4">
        <w:t xml:space="preserve"> speelveld.</w:t>
      </w:r>
      <w:r w:rsidR="00B82BA4">
        <w:t xml:space="preserve"> </w:t>
      </w:r>
    </w:p>
    <w:p w:rsidR="00752C0D" w:rsidP="00752C0D" w:rsidRDefault="00244B7E" w14:paraId="45B73100" w14:textId="63E8EEAA">
      <w:pPr>
        <w:pStyle w:val="ListParagraph"/>
        <w:numPr>
          <w:ilvl w:val="0"/>
          <w:numId w:val="25"/>
        </w:numPr>
      </w:pPr>
      <w:r w:rsidRPr="00244B7E">
        <w:t>Adequate normering voor verouderde installaties</w:t>
      </w:r>
      <w:r>
        <w:t xml:space="preserve">: </w:t>
      </w:r>
      <w:r w:rsidRPr="00752C0D" w:rsidR="00922F6E">
        <w:rPr>
          <w:rFonts w:eastAsia="Times New Roman"/>
          <w:color w:val="auto"/>
        </w:rPr>
        <w:t xml:space="preserve">Uit het onderzoek onder actie 4 ‘Beëindiging verouderde installaties’ dat gepubliceerd is met de Kamerbrief van 19 december jl. blijkt dat het aanpassen </w:t>
      </w:r>
      <w:r w:rsidRPr="00244B7E" w:rsidR="00922F6E">
        <w:rPr>
          <w:rFonts w:eastAsia="Times New Roman"/>
          <w:color w:val="auto"/>
        </w:rPr>
        <w:t>van normering voor verouderde installaties specifiek relatief weini</w:t>
      </w:r>
      <w:r w:rsidRPr="00752C0D" w:rsidR="00922F6E">
        <w:rPr>
          <w:rFonts w:eastAsia="Times New Roman"/>
          <w:color w:val="auto"/>
        </w:rPr>
        <w:t xml:space="preserve">g gezondheidswinst oplevert. Tevens geven de onderzoekers aan dat met de nieuwe RIE, die </w:t>
      </w:r>
      <w:r w:rsidR="00A2012B">
        <w:rPr>
          <w:rFonts w:eastAsia="Times New Roman"/>
          <w:color w:val="auto"/>
        </w:rPr>
        <w:t>in 2027</w:t>
      </w:r>
      <w:r w:rsidRPr="00752C0D" w:rsidR="00922F6E">
        <w:rPr>
          <w:rFonts w:eastAsia="Times New Roman"/>
          <w:color w:val="auto"/>
        </w:rPr>
        <w:t xml:space="preserve"> moet ingaan, het probleem van verouderde </w:t>
      </w:r>
      <w:r w:rsidR="00752C0D">
        <w:rPr>
          <w:rFonts w:eastAsia="Times New Roman"/>
          <w:color w:val="auto"/>
        </w:rPr>
        <w:t xml:space="preserve">installaties </w:t>
      </w:r>
      <w:r w:rsidRPr="00752C0D" w:rsidR="00922F6E">
        <w:rPr>
          <w:rFonts w:eastAsia="Times New Roman"/>
          <w:color w:val="auto"/>
        </w:rPr>
        <w:t xml:space="preserve">al grotendeels is opgelost. Bedrijven moeten onder de herziene richtlijn aan de onderkant (strengste kant) van de BBT-bandbreedte vergund gaan worden. Indien bedrijven een soepelere vergunning willen verkrijgen, moet dat bedrijf een analyse doen van de gehele BBT-bandbreedte en aantonen waarom hun installatie niet aan de onderkant van BBT kan voldoen en waar zij dan wel aan kunnen voldoen. In Europees verband heeft Nederland </w:t>
      </w:r>
      <w:r w:rsidR="00A2012B">
        <w:rPr>
          <w:rFonts w:eastAsia="Times New Roman"/>
          <w:color w:val="auto"/>
        </w:rPr>
        <w:t xml:space="preserve">namens het vorige Kabinet </w:t>
      </w:r>
      <w:r w:rsidRPr="00752C0D" w:rsidR="00922F6E">
        <w:rPr>
          <w:rFonts w:eastAsia="Times New Roman"/>
          <w:color w:val="auto"/>
        </w:rPr>
        <w:t xml:space="preserve">tijdens de onderhandelingen over de herziening van de RIE overigens ingezet op het uitfaseren van verouderde installaties, maar daarvoor was geen draagvlak. In het kader van de BREF-processen zal Nederland wederom inzetten op het uitfaseren en/of moderniseren van verouderde installaties, zodat aan de nieuwe (strengere) normen kan worden voldaan. Zoals aangekondigd in de Kamerbrief van 19 december jl. wordt </w:t>
      </w:r>
      <w:r w:rsidRPr="00752C0D" w:rsidR="00752C0D">
        <w:rPr>
          <w:rFonts w:eastAsia="Times New Roman"/>
          <w:color w:val="auto"/>
        </w:rPr>
        <w:t xml:space="preserve">in de verkenning financiële prikkels </w:t>
      </w:r>
      <w:r w:rsidRPr="00752C0D" w:rsidR="00922F6E">
        <w:rPr>
          <w:rFonts w:eastAsia="Times New Roman"/>
          <w:color w:val="auto"/>
        </w:rPr>
        <w:t xml:space="preserve">onderzocht of het mogelijk is om het uitfaseren van verouderde installaties te stimuleren. Ook wordt </w:t>
      </w:r>
      <w:r w:rsidRPr="00752C0D" w:rsidR="00ED7B17">
        <w:rPr>
          <w:rFonts w:eastAsia="Times New Roman"/>
          <w:color w:val="auto"/>
        </w:rPr>
        <w:t xml:space="preserve">in die verkenning </w:t>
      </w:r>
      <w:r w:rsidRPr="00752C0D" w:rsidR="00922F6E">
        <w:rPr>
          <w:rFonts w:eastAsia="Times New Roman"/>
          <w:color w:val="auto"/>
        </w:rPr>
        <w:t xml:space="preserve">onderzocht of er met het herbeoordelen van vergunningen vernieuwing kan worden gerealiseerd. </w:t>
      </w:r>
    </w:p>
    <w:p w:rsidR="00ED7B17" w:rsidP="00ED7B17" w:rsidRDefault="00244B7E" w14:paraId="436CC710" w14:textId="447C6A00">
      <w:pPr>
        <w:pStyle w:val="ListParagraph"/>
        <w:numPr>
          <w:ilvl w:val="0"/>
          <w:numId w:val="25"/>
        </w:numPr>
      </w:pPr>
      <w:r w:rsidRPr="00244B7E">
        <w:t xml:space="preserve">Landelijke normstelling én aanpak voor PFAS van de reeds bestaande vervuiling: </w:t>
      </w:r>
      <w:r w:rsidRPr="00244B7E" w:rsidR="00922F6E">
        <w:t>Zoals op 29 december 2023 aan de Tweede Kamer is gemeld, is met de normering van PFAS in de bodemregelgeving gewacht tot de nieuwe Europese</w:t>
      </w:r>
      <w:r w:rsidR="00922F6E">
        <w:t xml:space="preserve"> regels (aanpassing Kaderrichtlijn Water - Europese richtlijn 2026/805) zijn afgerond.</w:t>
      </w:r>
      <w:r w:rsidR="00922F6E">
        <w:rPr>
          <w:rStyle w:val="FootnoteReference"/>
        </w:rPr>
        <w:footnoteReference w:id="10"/>
      </w:r>
      <w:r w:rsidR="00922F6E">
        <w:t xml:space="preserve"> Dit proces vraagt om een zorgvuldige afweging tussen beschermen van mens en milieu en het voorkomen van het risico op stilstand, zoals </w:t>
      </w:r>
      <w:r w:rsidR="00142E93">
        <w:t xml:space="preserve">Omgevingsdienst NL </w:t>
      </w:r>
      <w:r w:rsidR="00922F6E">
        <w:t xml:space="preserve">ook het position paper </w:t>
      </w:r>
      <w:r w:rsidR="00142E93">
        <w:t>noemt</w:t>
      </w:r>
      <w:r w:rsidR="00922F6E">
        <w:t xml:space="preserve">. Tot die tijd kunnen bevoegd gezagen gebruik maken van de advieswaarden uit het Handelingskader PFAS. </w:t>
      </w:r>
      <w:r w:rsidRPr="00244B7E" w:rsidR="00922F6E">
        <w:t>Voor de aanpak van de bestaande PFAS-vervuiling verwijs ik u naar de Kamerbrief van 11 mei jl.</w:t>
      </w:r>
      <w:r w:rsidRPr="00244B7E" w:rsidR="00922F6E">
        <w:rPr>
          <w:rStyle w:val="FootnoteReference"/>
        </w:rPr>
        <w:footnoteReference w:id="11"/>
      </w:r>
      <w:r w:rsidRPr="00244B7E" w:rsidR="00922F6E">
        <w:t xml:space="preserve"> Met de medeoverheden wordt een gezamenlijk</w:t>
      </w:r>
      <w:r w:rsidR="00922F6E">
        <w:t xml:space="preserve">e aanpak ontwikkeld. </w:t>
      </w:r>
      <w:r w:rsidRPr="00301BD2" w:rsidR="00301BD2">
        <w:t>Sinds 2026 ondersteun</w:t>
      </w:r>
      <w:r w:rsidR="00A2012B">
        <w:t xml:space="preserve">t IenW, in lijn met een beslissing van het vorige Kabinet, </w:t>
      </w:r>
      <w:r w:rsidRPr="00301BD2" w:rsidR="00301BD2">
        <w:t xml:space="preserve">de 12 provincies en 29 grote gemeenten jaarlijks met 1,8 miljoen euro voor het invullen van een regionale regierol wat betreft het in beeld brengen en aanpakken van bodemverontreiniging met PFAS. </w:t>
      </w:r>
      <w:r w:rsidR="00922F6E">
        <w:rPr>
          <w:lang w:eastAsia="en-US"/>
        </w:rPr>
        <w:t xml:space="preserve">Ondertussen worden al enkele locaties aangepakt. Dat gaat om de locaties met de hoogste prioriteit die nu al in beeld zijn. Verwachting is dat de aanpak op meer locaties de komende tijd zal starten. </w:t>
      </w:r>
      <w:r w:rsidR="00922F6E">
        <w:t xml:space="preserve">Om de medeoverheden ook financieel te ondersteunen bij de inventarisaties en de aanpak is er een Tijdelijke regeling uitkering Bodem (SPUK Bodem). </w:t>
      </w:r>
      <w:r w:rsidRPr="00301BD2" w:rsidR="00301BD2">
        <w:t xml:space="preserve">Sinds 2021 </w:t>
      </w:r>
      <w:r w:rsidR="00A2012B">
        <w:t>is er</w:t>
      </w:r>
      <w:r w:rsidRPr="00301BD2" w:rsidR="00301BD2">
        <w:t xml:space="preserve"> via de SPUK Bodem </w:t>
      </w:r>
      <w:r w:rsidR="00C428DB">
        <w:t>91</w:t>
      </w:r>
      <w:r w:rsidRPr="00301BD2" w:rsidR="00301BD2">
        <w:t xml:space="preserve"> miljoen euro uitgekeerd voor 105 aanvragen voor het in beeld brengen en aanpakken van bodemverontreiniging met PFAS door daarvoor bevoegde gemeenten en provincies. Dit jaar stel ik daar nog eens 46 miljoen euro voor beschikbaar. </w:t>
      </w:r>
      <w:r w:rsidR="00922F6E">
        <w:t>Vanzelfsprekend wordt bij de aanpak gebruik gemaakt van eerdere ervaringen.</w:t>
      </w:r>
      <w:r w:rsidRPr="00301BD2" w:rsidR="00301BD2">
        <w:rPr>
          <w:rFonts w:eastAsia="Times New Roman"/>
          <w:color w:val="FF0000"/>
        </w:rPr>
        <w:t xml:space="preserve"> </w:t>
      </w:r>
      <w:r w:rsidR="00FF0F6C">
        <w:t>Tot slot is dit</w:t>
      </w:r>
      <w:r w:rsidRPr="00301BD2" w:rsidR="00301BD2">
        <w:t xml:space="preserve"> jaar het Kennis en Innovatieprogramma PFAS gestart. Daarmee stel ik de komende vijf jaar jaarlijks 2,25 miljoen beschikbaar voor het verbeteren en in stand houden wan netwerken, het delen van kennis en het ontwikkelen van innovatieve sanerings- en afbraaktechnieken.</w:t>
      </w:r>
    </w:p>
    <w:p w:rsidR="00ED7B17" w:rsidP="00ED7B17" w:rsidRDefault="00244B7E" w14:paraId="0F75EBED" w14:textId="0CC7AFD5">
      <w:pPr>
        <w:pStyle w:val="ListParagraph"/>
        <w:numPr>
          <w:ilvl w:val="0"/>
          <w:numId w:val="25"/>
        </w:numPr>
      </w:pPr>
      <w:r>
        <w:t>K</w:t>
      </w:r>
      <w:r w:rsidRPr="00244B7E">
        <w:t>aders hoe moet worden omgegaan met cumulatie van emissies en hinder door lokale overheden</w:t>
      </w:r>
      <w:r>
        <w:t xml:space="preserve"> bij </w:t>
      </w:r>
      <w:r w:rsidRPr="00244B7E">
        <w:t>opstellen van omgevingsplannen</w:t>
      </w:r>
      <w:r>
        <w:t xml:space="preserve">: </w:t>
      </w:r>
      <w:r w:rsidR="00F67C2C">
        <w:t xml:space="preserve">Het </w:t>
      </w:r>
      <w:r w:rsidR="005B671F">
        <w:t xml:space="preserve">onderzoek naar aanleiding van Motie Koekkoek </w:t>
      </w:r>
      <w:r w:rsidR="00783CAE">
        <w:t xml:space="preserve">en het onderzoek actie 13 </w:t>
      </w:r>
      <w:r w:rsidR="005B671F">
        <w:t>d</w:t>
      </w:r>
      <w:r w:rsidR="00783CAE">
        <w:t>ie</w:t>
      </w:r>
      <w:r w:rsidR="005B671F">
        <w:t xml:space="preserve"> gepubliceerd </w:t>
      </w:r>
      <w:r w:rsidR="00783CAE">
        <w:t>zijn</w:t>
      </w:r>
      <w:r w:rsidR="005B671F">
        <w:t xml:space="preserve"> met de Kamerbrief van 19 december jl. </w:t>
      </w:r>
      <w:r w:rsidR="00F67C2C">
        <w:t>wij</w:t>
      </w:r>
      <w:r w:rsidR="00174BE8">
        <w:t>zen</w:t>
      </w:r>
      <w:r w:rsidR="00F67C2C">
        <w:t xml:space="preserve"> op het belang van </w:t>
      </w:r>
      <w:r w:rsidR="005B671F">
        <w:t xml:space="preserve">het meewegen van </w:t>
      </w:r>
      <w:r w:rsidR="00F67C2C">
        <w:t xml:space="preserve">advies van de </w:t>
      </w:r>
      <w:r w:rsidR="005B671F">
        <w:t xml:space="preserve">GGD </w:t>
      </w:r>
      <w:r w:rsidRPr="00244B7E" w:rsidR="005B671F">
        <w:t>door lokale overheden bij het opstellen van omgevingsplannen</w:t>
      </w:r>
      <w:r w:rsidRPr="00244B7E" w:rsidR="00F67C2C">
        <w:t>. Hierdoor kan</w:t>
      </w:r>
      <w:r w:rsidRPr="00244B7E" w:rsidR="00174BE8">
        <w:t xml:space="preserve"> </w:t>
      </w:r>
      <w:r w:rsidRPr="00244B7E" w:rsidR="00783CAE">
        <w:t xml:space="preserve">onder andere </w:t>
      </w:r>
      <w:r w:rsidRPr="00244B7E" w:rsidR="005B671F">
        <w:t xml:space="preserve">cumulatie van </w:t>
      </w:r>
      <w:r w:rsidRPr="00244B7E" w:rsidR="00F67C2C">
        <w:t xml:space="preserve">verschillende </w:t>
      </w:r>
      <w:r w:rsidRPr="00244B7E" w:rsidR="005B671F">
        <w:t xml:space="preserve">emissies en </w:t>
      </w:r>
      <w:r w:rsidRPr="00244B7E" w:rsidR="00F67C2C">
        <w:t xml:space="preserve">vormen van </w:t>
      </w:r>
      <w:r w:rsidRPr="00244B7E" w:rsidR="005B671F">
        <w:t>hinder</w:t>
      </w:r>
      <w:r w:rsidRPr="00244B7E" w:rsidR="00F67C2C">
        <w:t xml:space="preserve"> in een vroeg stadium</w:t>
      </w:r>
      <w:r w:rsidRPr="00244B7E" w:rsidR="005B671F">
        <w:t xml:space="preserve"> </w:t>
      </w:r>
      <w:r w:rsidRPr="00244B7E" w:rsidR="00F67C2C">
        <w:t xml:space="preserve">volwaardig </w:t>
      </w:r>
      <w:r w:rsidRPr="00244B7E" w:rsidR="005B671F">
        <w:t>mee</w:t>
      </w:r>
      <w:r w:rsidRPr="00244B7E" w:rsidR="00F67C2C">
        <w:t>gewogen worden</w:t>
      </w:r>
      <w:r w:rsidRPr="00244B7E" w:rsidR="005B671F">
        <w:t>. Hoe dit in de</w:t>
      </w:r>
      <w:r w:rsidR="005B671F">
        <w:t xml:space="preserve"> praktijk vorm </w:t>
      </w:r>
      <w:r w:rsidR="00F67C2C">
        <w:t xml:space="preserve">kan </w:t>
      </w:r>
      <w:r w:rsidR="005B671F">
        <w:t>krijg</w:t>
      </w:r>
      <w:r w:rsidR="00F67C2C">
        <w:t>en</w:t>
      </w:r>
      <w:r w:rsidR="005B671F">
        <w:t xml:space="preserve">, wordt onderzocht </w:t>
      </w:r>
      <w:r w:rsidR="00F67C2C">
        <w:t>in</w:t>
      </w:r>
      <w:r w:rsidR="005B671F">
        <w:t xml:space="preserve"> de pilot GGD-advies.</w:t>
      </w:r>
      <w:r w:rsidR="00F67C2C">
        <w:t xml:space="preserve"> Onder andere zal daarbij gekeken worden naar enkele representatieve, maar verschillende casussen in Nederland.</w:t>
      </w:r>
    </w:p>
    <w:p w:rsidR="00ED7B17" w:rsidP="00ED7B17" w:rsidRDefault="00244B7E" w14:paraId="0307E73C" w14:textId="41558458">
      <w:pPr>
        <w:pStyle w:val="ListParagraph"/>
        <w:numPr>
          <w:ilvl w:val="0"/>
          <w:numId w:val="25"/>
        </w:numPr>
      </w:pPr>
      <w:r w:rsidRPr="00244B7E">
        <w:t>ZZS en vermijdings- en reductieprogramma’s (VRP</w:t>
      </w:r>
      <w:r>
        <w:t>):</w:t>
      </w:r>
      <w:r w:rsidRPr="00244B7E">
        <w:t xml:space="preserve"> </w:t>
      </w:r>
      <w:r w:rsidRPr="00244B7E" w:rsidR="005B671F">
        <w:t>Op het gebied van vermijdings- en reductieprogramma</w:t>
      </w:r>
      <w:r w:rsidRPr="00244B7E" w:rsidR="00355721">
        <w:t>’</w:t>
      </w:r>
      <w:r w:rsidRPr="00244B7E" w:rsidR="005B671F">
        <w:t>s</w:t>
      </w:r>
      <w:r w:rsidRPr="00244B7E" w:rsidR="00355721">
        <w:t xml:space="preserve"> </w:t>
      </w:r>
      <w:r w:rsidRPr="00244B7E" w:rsidR="00BE61E4">
        <w:t>(VRP’s</w:t>
      </w:r>
      <w:r w:rsidR="00BE61E4">
        <w:t xml:space="preserve">) </w:t>
      </w:r>
      <w:r w:rsidR="00355721">
        <w:t>wordt momenteel een handreiking opgesteld</w:t>
      </w:r>
      <w:r w:rsidR="009F365E">
        <w:t xml:space="preserve">. De verwachting is </w:t>
      </w:r>
      <w:r w:rsidR="00BE61E4">
        <w:t>dat de handreiking najaar</w:t>
      </w:r>
      <w:r w:rsidR="00355721">
        <w:t xml:space="preserve"> 2026 </w:t>
      </w:r>
      <w:r w:rsidR="00BE61E4">
        <w:t>wordt opgeleverd</w:t>
      </w:r>
      <w:r w:rsidR="00C364A7">
        <w:t xml:space="preserve">. </w:t>
      </w:r>
      <w:r w:rsidR="00355721">
        <w:t>Hierin word</w:t>
      </w:r>
      <w:r w:rsidR="00BE61E4">
        <w:t xml:space="preserve">t meer duidelijkheid gegeven over de verwachte inhoud en kwaliteit van de VRP’s. </w:t>
      </w:r>
    </w:p>
    <w:p w:rsidR="005B671F" w:rsidP="00ED7B17" w:rsidRDefault="005B671F" w14:paraId="64251520" w14:textId="613E8DE2">
      <w:pPr>
        <w:autoSpaceDN/>
        <w:spacing w:line="240" w:lineRule="auto"/>
        <w:ind w:left="720"/>
        <w:textAlignment w:val="auto"/>
      </w:pPr>
    </w:p>
    <w:p w:rsidRPr="00F3022B" w:rsidR="007C102C" w:rsidP="00F3022B" w:rsidRDefault="007C102C" w14:paraId="0C8F42BF" w14:textId="111795B1">
      <w:r>
        <w:t xml:space="preserve">Met de aangekondigde acties in de Kamerbrief van 19 december jl. gaan we nog verdere stappen zetten richting de balans tussen de industrie en een gezonde leefomgeving. Ik reken in dit proces op een voortzetting van de prettige samenwerking met de </w:t>
      </w:r>
      <w:r w:rsidR="004474C6">
        <w:t>o</w:t>
      </w:r>
      <w:r>
        <w:t>mgevingsdiensten</w:t>
      </w:r>
      <w:r w:rsidR="004474C6">
        <w:t xml:space="preserve"> en Omgevingsdienst NL</w:t>
      </w:r>
      <w:r>
        <w:t xml:space="preserve">, hun kennis en inzet is een belangrijke bouwsteen om deze acties een succes te maken. </w:t>
      </w:r>
    </w:p>
    <w:p w:rsidR="00C97CD9" w:rsidRDefault="00610383" w14:paraId="7048DBE1" w14:textId="77777777">
      <w:pPr>
        <w:pStyle w:val="Slotzin"/>
      </w:pPr>
      <w:r>
        <w:t>Hoogachtend,</w:t>
      </w:r>
    </w:p>
    <w:p w:rsidR="00C97CD9" w:rsidRDefault="00610383" w14:paraId="3628412C" w14:textId="77777777">
      <w:pPr>
        <w:pStyle w:val="OndertekeningArea1"/>
      </w:pPr>
      <w:r>
        <w:t>DE STAATSSECRETARIS VAN INFRASTRUCTUUR EN WATERSTAAT,</w:t>
      </w:r>
    </w:p>
    <w:p w:rsidR="00C97CD9" w:rsidRDefault="00C97CD9" w14:paraId="41590755" w14:textId="77777777"/>
    <w:p w:rsidR="00C97CD9" w:rsidRDefault="00C97CD9" w14:paraId="0F7B1343" w14:textId="77777777"/>
    <w:p w:rsidR="00C21FB5" w:rsidRDefault="00C21FB5" w14:paraId="743590BA" w14:textId="77777777"/>
    <w:p w:rsidR="00C21FB5" w:rsidRDefault="00C21FB5" w14:paraId="4489C485" w14:textId="77777777"/>
    <w:p w:rsidR="00C97CD9" w:rsidRDefault="00C97CD9" w14:paraId="02990973" w14:textId="77777777"/>
    <w:p w:rsidR="00C97CD9" w:rsidRDefault="00610383" w14:paraId="440C2D0F" w14:textId="77777777">
      <w:r>
        <w:t>Annet Bertram</w:t>
      </w:r>
    </w:p>
    <w:sectPr w:rsidR="00C97CD9">
      <w:headerReference w:type="default" r:id="rId9"/>
      <w:headerReference w:type="first" r:id="rId10"/>
      <w:pgSz w:w="11905" w:h="16837"/>
      <w:pgMar w:top="2948" w:right="2777" w:bottom="1020" w:left="1587"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0426A2" w16cex:dateUtc="2026-05-0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C969E" w16cid:durableId="4C0426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5EECF" w14:textId="77777777" w:rsidR="00581C1F" w:rsidRDefault="00581C1F">
      <w:pPr>
        <w:spacing w:line="240" w:lineRule="auto"/>
      </w:pPr>
      <w:r>
        <w:separator/>
      </w:r>
    </w:p>
  </w:endnote>
  <w:endnote w:type="continuationSeparator" w:id="0">
    <w:p w14:paraId="708D8C8A" w14:textId="77777777" w:rsidR="00581C1F" w:rsidRDefault="00581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06A0" w14:textId="77777777" w:rsidR="00581C1F" w:rsidRDefault="00581C1F">
      <w:pPr>
        <w:spacing w:line="240" w:lineRule="auto"/>
      </w:pPr>
      <w:r>
        <w:separator/>
      </w:r>
    </w:p>
  </w:footnote>
  <w:footnote w:type="continuationSeparator" w:id="0">
    <w:p w14:paraId="7CFC2104" w14:textId="77777777" w:rsidR="00581C1F" w:rsidRDefault="00581C1F">
      <w:pPr>
        <w:spacing w:line="240" w:lineRule="auto"/>
      </w:pPr>
      <w:r>
        <w:continuationSeparator/>
      </w:r>
    </w:p>
  </w:footnote>
  <w:footnote w:id="1">
    <w:p w14:paraId="4D92F6AF" w14:textId="01184B93" w:rsidR="00A12DE1" w:rsidRPr="00A2012B" w:rsidRDefault="00A12DE1">
      <w:pPr>
        <w:pStyle w:val="FootnoteText"/>
        <w:rPr>
          <w:sz w:val="13"/>
          <w:szCs w:val="13"/>
        </w:rPr>
      </w:pPr>
      <w:r w:rsidRPr="00A2012B">
        <w:rPr>
          <w:rStyle w:val="FootnoteReference"/>
          <w:sz w:val="13"/>
          <w:szCs w:val="13"/>
        </w:rPr>
        <w:footnoteRef/>
      </w:r>
      <w:r w:rsidRPr="00A2012B">
        <w:rPr>
          <w:sz w:val="13"/>
          <w:szCs w:val="13"/>
        </w:rPr>
        <w:t xml:space="preserve"> Kenmerk 2026Z06789/2026D16379.</w:t>
      </w:r>
    </w:p>
  </w:footnote>
  <w:footnote w:id="2">
    <w:p w14:paraId="34ABA43A" w14:textId="7939161C" w:rsidR="00FA07B0" w:rsidRPr="00A2012B" w:rsidRDefault="00FA07B0">
      <w:pPr>
        <w:pStyle w:val="FootnoteText"/>
        <w:rPr>
          <w:rStyle w:val="FootnoteReference"/>
          <w:sz w:val="13"/>
          <w:szCs w:val="13"/>
        </w:rPr>
      </w:pPr>
      <w:r w:rsidRPr="00A2012B">
        <w:rPr>
          <w:rStyle w:val="FootnoteReference"/>
          <w:sz w:val="13"/>
          <w:szCs w:val="13"/>
        </w:rPr>
        <w:footnoteRef/>
      </w:r>
      <w:r w:rsidRPr="00A2012B">
        <w:rPr>
          <w:rStyle w:val="FootnoteReference"/>
          <w:sz w:val="13"/>
          <w:szCs w:val="13"/>
          <w:vertAlign w:val="baseline"/>
        </w:rPr>
        <w:t xml:space="preserve"> </w:t>
      </w:r>
      <w:r w:rsidRPr="00A2012B">
        <w:rPr>
          <w:sz w:val="13"/>
          <w:szCs w:val="13"/>
        </w:rPr>
        <w:t>Kenmerk 2026D15298.</w:t>
      </w:r>
    </w:p>
  </w:footnote>
  <w:footnote w:id="3">
    <w:p w14:paraId="0481B5B7" w14:textId="0E08F4A8" w:rsidR="00F3022B" w:rsidRPr="00A2012B" w:rsidRDefault="00F3022B">
      <w:pPr>
        <w:pStyle w:val="FootnoteText"/>
        <w:rPr>
          <w:sz w:val="13"/>
          <w:szCs w:val="13"/>
        </w:rPr>
      </w:pPr>
      <w:r w:rsidRPr="00A2012B">
        <w:rPr>
          <w:rStyle w:val="FootnoteReference"/>
          <w:sz w:val="13"/>
          <w:szCs w:val="13"/>
        </w:rPr>
        <w:footnoteRef/>
      </w:r>
      <w:r w:rsidRPr="00A2012B">
        <w:rPr>
          <w:sz w:val="13"/>
          <w:szCs w:val="13"/>
        </w:rPr>
        <w:t xml:space="preserve"> TZ202604-082</w:t>
      </w:r>
    </w:p>
  </w:footnote>
  <w:footnote w:id="4">
    <w:p w14:paraId="17B3B176" w14:textId="559AD549" w:rsidR="00922F6E" w:rsidRPr="00A2012B" w:rsidRDefault="00922F6E">
      <w:pPr>
        <w:pStyle w:val="FootnoteText"/>
        <w:rPr>
          <w:sz w:val="13"/>
          <w:szCs w:val="13"/>
        </w:rPr>
      </w:pPr>
      <w:r w:rsidRPr="00A2012B">
        <w:rPr>
          <w:rStyle w:val="FootnoteReference"/>
          <w:sz w:val="13"/>
          <w:szCs w:val="13"/>
        </w:rPr>
        <w:footnoteRef/>
      </w:r>
      <w:r w:rsidRPr="00A2012B">
        <w:rPr>
          <w:sz w:val="13"/>
          <w:szCs w:val="13"/>
        </w:rPr>
        <w:t xml:space="preserve"> </w:t>
      </w:r>
      <w:r w:rsidR="002D0E15" w:rsidRPr="00A2012B">
        <w:rPr>
          <w:sz w:val="13"/>
          <w:szCs w:val="13"/>
        </w:rPr>
        <w:t xml:space="preserve">Meer informatie over de resultaten van het Impulsprogramma Chemische Stoffen is te lezen in de voortgangsbrief over dit onderwerp, die in juni 2026 wordt gepubliceerd. </w:t>
      </w:r>
    </w:p>
  </w:footnote>
  <w:footnote w:id="5">
    <w:p w14:paraId="0690418A" w14:textId="796EA56B" w:rsidR="008A04EF" w:rsidRPr="00A2012B" w:rsidRDefault="008A04EF">
      <w:pPr>
        <w:pStyle w:val="FootnoteText"/>
      </w:pPr>
      <w:r w:rsidRPr="00A2012B">
        <w:rPr>
          <w:rStyle w:val="FootnoteReference"/>
          <w:sz w:val="13"/>
          <w:szCs w:val="13"/>
        </w:rPr>
        <w:footnoteRef/>
      </w:r>
      <w:r w:rsidRPr="00A2012B">
        <w:rPr>
          <w:sz w:val="13"/>
          <w:szCs w:val="13"/>
        </w:rPr>
        <w:t xml:space="preserve"> Kamerstukken II, 2025-2026, 22343 nr. 432</w:t>
      </w:r>
    </w:p>
  </w:footnote>
  <w:footnote w:id="6">
    <w:p w14:paraId="7EDA9E93" w14:textId="0664870D" w:rsidR="002A1554" w:rsidRPr="00A2012B" w:rsidRDefault="002A1554">
      <w:pPr>
        <w:pStyle w:val="FootnoteText"/>
        <w:rPr>
          <w:sz w:val="13"/>
          <w:szCs w:val="13"/>
        </w:rPr>
      </w:pPr>
      <w:r w:rsidRPr="00A2012B">
        <w:rPr>
          <w:rStyle w:val="FootnoteReference"/>
          <w:sz w:val="13"/>
          <w:szCs w:val="13"/>
        </w:rPr>
        <w:footnoteRef/>
      </w:r>
      <w:r w:rsidRPr="00A2012B">
        <w:rPr>
          <w:sz w:val="13"/>
          <w:szCs w:val="13"/>
        </w:rPr>
        <w:t xml:space="preserve"> https://www.rivm.nl/publicaties/grootschalige-concentratiekaarten-nederland-rapportage-2025</w:t>
      </w:r>
    </w:p>
  </w:footnote>
  <w:footnote w:id="7">
    <w:p w14:paraId="6ABCF580" w14:textId="77777777" w:rsidR="00A432CD" w:rsidRPr="00A2012B" w:rsidRDefault="00A432CD" w:rsidP="00A432CD">
      <w:pPr>
        <w:pStyle w:val="FootnoteText"/>
        <w:rPr>
          <w:sz w:val="13"/>
          <w:szCs w:val="13"/>
        </w:rPr>
      </w:pPr>
      <w:r w:rsidRPr="00A2012B">
        <w:rPr>
          <w:rStyle w:val="FootnoteReference"/>
          <w:sz w:val="13"/>
          <w:szCs w:val="13"/>
        </w:rPr>
        <w:footnoteRef/>
      </w:r>
      <w:r w:rsidRPr="00A2012B">
        <w:rPr>
          <w:sz w:val="13"/>
          <w:szCs w:val="13"/>
        </w:rPr>
        <w:t xml:space="preserve"> Tweede Kamer, vergaderjaar 2023–2024, 30 175, nr. 464</w:t>
      </w:r>
    </w:p>
  </w:footnote>
  <w:footnote w:id="8">
    <w:p w14:paraId="0F7DA2AB" w14:textId="4D6B26FC" w:rsidR="008A04EF" w:rsidRPr="00A2012B" w:rsidRDefault="008A04EF">
      <w:pPr>
        <w:pStyle w:val="FootnoteText"/>
        <w:rPr>
          <w:sz w:val="13"/>
          <w:szCs w:val="13"/>
        </w:rPr>
      </w:pPr>
      <w:r w:rsidRPr="00A2012B">
        <w:rPr>
          <w:rStyle w:val="FootnoteReference"/>
          <w:sz w:val="13"/>
          <w:szCs w:val="13"/>
        </w:rPr>
        <w:footnoteRef/>
      </w:r>
      <w:r w:rsidRPr="00A2012B">
        <w:rPr>
          <w:sz w:val="13"/>
          <w:szCs w:val="13"/>
        </w:rPr>
        <w:t xml:space="preserve"> Mesman, M. et al. 2026. “</w:t>
      </w:r>
      <w:r w:rsidR="0039179E" w:rsidRPr="00A2012B">
        <w:rPr>
          <w:sz w:val="13"/>
          <w:szCs w:val="13"/>
        </w:rPr>
        <w:t xml:space="preserve">Input voor Kennisagenda Gezondheid omwonenden van industrie”. </w:t>
      </w:r>
      <w:r w:rsidR="0039179E" w:rsidRPr="00A2012B">
        <w:rPr>
          <w:i/>
          <w:iCs/>
          <w:sz w:val="13"/>
          <w:szCs w:val="13"/>
        </w:rPr>
        <w:t>RIVM</w:t>
      </w:r>
      <w:r w:rsidR="0039179E" w:rsidRPr="00A2012B">
        <w:rPr>
          <w:sz w:val="13"/>
          <w:szCs w:val="13"/>
        </w:rPr>
        <w:t>. https://doi.org/10.21945/RIVM-KN-2026-0032</w:t>
      </w:r>
    </w:p>
  </w:footnote>
  <w:footnote w:id="9">
    <w:p w14:paraId="72493F8A" w14:textId="2F26653C" w:rsidR="000C5BE9" w:rsidRPr="00A2012B" w:rsidRDefault="000C5BE9" w:rsidP="000C5BE9">
      <w:pPr>
        <w:pStyle w:val="FootnoteText"/>
      </w:pPr>
      <w:r w:rsidRPr="00A2012B">
        <w:rPr>
          <w:sz w:val="13"/>
          <w:szCs w:val="13"/>
        </w:rPr>
        <w:footnoteRef/>
      </w:r>
      <w:r w:rsidRPr="00A2012B">
        <w:rPr>
          <w:sz w:val="13"/>
          <w:szCs w:val="13"/>
        </w:rPr>
        <w:t xml:space="preserve"> Kamerstukken II, 2025-2026, 22343 nr</w:t>
      </w:r>
      <w:r w:rsidR="00922F6E" w:rsidRPr="00A2012B">
        <w:rPr>
          <w:sz w:val="13"/>
          <w:szCs w:val="13"/>
        </w:rPr>
        <w:t>.</w:t>
      </w:r>
      <w:r w:rsidRPr="00A2012B">
        <w:rPr>
          <w:sz w:val="13"/>
          <w:szCs w:val="13"/>
        </w:rPr>
        <w:t xml:space="preserve"> 431</w:t>
      </w:r>
      <w:r w:rsidRPr="00A2012B">
        <w:t xml:space="preserve"> </w:t>
      </w:r>
    </w:p>
  </w:footnote>
  <w:footnote w:id="10">
    <w:p w14:paraId="79D99E41" w14:textId="7CD5413F" w:rsidR="00922F6E" w:rsidRPr="00A2012B" w:rsidRDefault="00922F6E">
      <w:pPr>
        <w:pStyle w:val="FootnoteText"/>
        <w:rPr>
          <w:sz w:val="13"/>
          <w:szCs w:val="13"/>
        </w:rPr>
      </w:pPr>
      <w:r w:rsidRPr="00A2012B">
        <w:rPr>
          <w:rStyle w:val="FootnoteReference"/>
          <w:sz w:val="13"/>
          <w:szCs w:val="13"/>
        </w:rPr>
        <w:footnoteRef/>
      </w:r>
      <w:r w:rsidRPr="00A2012B">
        <w:rPr>
          <w:sz w:val="13"/>
          <w:szCs w:val="13"/>
        </w:rPr>
        <w:t xml:space="preserve"> Kamerstukken II, 2025-2026, 30015 nr. 120</w:t>
      </w:r>
    </w:p>
  </w:footnote>
  <w:footnote w:id="11">
    <w:p w14:paraId="03F17469" w14:textId="314A18DD" w:rsidR="00922F6E" w:rsidRDefault="00922F6E">
      <w:pPr>
        <w:pStyle w:val="FootnoteText"/>
      </w:pPr>
      <w:r w:rsidRPr="00A2012B">
        <w:rPr>
          <w:rStyle w:val="FootnoteReference"/>
          <w:sz w:val="13"/>
          <w:szCs w:val="13"/>
        </w:rPr>
        <w:footnoteRef/>
      </w:r>
      <w:r w:rsidRPr="00A2012B">
        <w:rPr>
          <w:sz w:val="13"/>
          <w:szCs w:val="13"/>
        </w:rPr>
        <w:t xml:space="preserve"> Kamerstukken II, 2025, 2026, 30015,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D6A9B" w14:textId="77777777" w:rsidR="00C97CD9" w:rsidRDefault="00610383">
    <w:r>
      <w:rPr>
        <w:noProof/>
        <w:lang w:val="en-GB" w:eastAsia="en-GB"/>
      </w:rPr>
      <mc:AlternateContent>
        <mc:Choice Requires="wps">
          <w:drawing>
            <wp:anchor distT="0" distB="0" distL="0" distR="0" simplePos="0" relativeHeight="251651584" behindDoc="0" locked="1" layoutInCell="1" allowOverlap="1" wp14:anchorId="64F66FFB" wp14:editId="5D32DA3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CBC379D" w14:textId="77777777" w:rsidR="00C97CD9" w:rsidRDefault="00610383">
                          <w:pPr>
                            <w:pStyle w:val="AfzendgegevensKop0"/>
                          </w:pPr>
                          <w:r>
                            <w:t>Ministerie van Infrastructuur en Waterstaat</w:t>
                          </w:r>
                        </w:p>
                        <w:p w14:paraId="3BAE6AA3" w14:textId="77777777" w:rsidR="00C97CD9" w:rsidRDefault="00C97CD9">
                          <w:pPr>
                            <w:pStyle w:val="WitregelW2"/>
                          </w:pPr>
                        </w:p>
                        <w:p w14:paraId="2D3DB892" w14:textId="77777777" w:rsidR="00C97CD9" w:rsidRDefault="00610383">
                          <w:pPr>
                            <w:pStyle w:val="Referentiegegevenskop"/>
                          </w:pPr>
                          <w:r>
                            <w:t>Ons kenmerk</w:t>
                          </w:r>
                        </w:p>
                        <w:p w14:paraId="564E93B4" w14:textId="77777777" w:rsidR="001A35E4" w:rsidRDefault="001A35E4" w:rsidP="001A35E4">
                          <w:pPr>
                            <w:pStyle w:val="Referentiegegevens"/>
                          </w:pPr>
                          <w:r>
                            <w:t>IENW/BSK-2026/83863</w:t>
                          </w:r>
                        </w:p>
                        <w:p w14:paraId="33DE8C36" w14:textId="00CD1295" w:rsidR="00C97CD9" w:rsidRDefault="00C97CD9" w:rsidP="001A35E4">
                          <w:pPr>
                            <w:pStyle w:val="Referentiegegevens"/>
                          </w:pPr>
                        </w:p>
                      </w:txbxContent>
                    </wps:txbx>
                    <wps:bodyPr vert="horz" wrap="square" lIns="0" tIns="0" rIns="0" bIns="0" anchor="t" anchorCtr="0"/>
                  </wps:wsp>
                </a:graphicData>
              </a:graphic>
            </wp:anchor>
          </w:drawing>
        </mc:Choice>
        <mc:Fallback>
          <w:pict>
            <v:shapetype w14:anchorId="64F66FF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CBC379D" w14:textId="77777777" w:rsidR="00C97CD9" w:rsidRDefault="00610383">
                    <w:pPr>
                      <w:pStyle w:val="AfzendgegevensKop0"/>
                    </w:pPr>
                    <w:r>
                      <w:t>Ministerie van Infrastructuur en Waterstaat</w:t>
                    </w:r>
                  </w:p>
                  <w:p w14:paraId="3BAE6AA3" w14:textId="77777777" w:rsidR="00C97CD9" w:rsidRDefault="00C97CD9">
                    <w:pPr>
                      <w:pStyle w:val="WitregelW2"/>
                    </w:pPr>
                  </w:p>
                  <w:p w14:paraId="2D3DB892" w14:textId="77777777" w:rsidR="00C97CD9" w:rsidRDefault="00610383">
                    <w:pPr>
                      <w:pStyle w:val="Referentiegegevenskop"/>
                    </w:pPr>
                    <w:r>
                      <w:t>Ons kenmerk</w:t>
                    </w:r>
                  </w:p>
                  <w:p w14:paraId="564E93B4" w14:textId="77777777" w:rsidR="001A35E4" w:rsidRDefault="001A35E4" w:rsidP="001A35E4">
                    <w:pPr>
                      <w:pStyle w:val="Referentiegegevens"/>
                    </w:pPr>
                    <w:r>
                      <w:t>IENW/BSK-2026/83863</w:t>
                    </w:r>
                  </w:p>
                  <w:p w14:paraId="33DE8C36" w14:textId="00CD1295" w:rsidR="00C97CD9" w:rsidRDefault="00C97CD9" w:rsidP="001A35E4">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2E9FDEC" wp14:editId="65BEF1F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6A2C45" w14:textId="77777777" w:rsidR="00C97CD9" w:rsidRDefault="00610383">
                          <w:pPr>
                            <w:pStyle w:val="Referentiegegevens"/>
                          </w:pPr>
                          <w:r>
                            <w:t xml:space="preserve">Page </w:t>
                          </w:r>
                          <w:r>
                            <w:fldChar w:fldCharType="begin"/>
                          </w:r>
                          <w:r>
                            <w:instrText>PAGE</w:instrText>
                          </w:r>
                          <w:r>
                            <w:fldChar w:fldCharType="separate"/>
                          </w:r>
                          <w:r w:rsidR="00F4442B">
                            <w:rPr>
                              <w:noProof/>
                            </w:rPr>
                            <w:t>1</w:t>
                          </w:r>
                          <w:r>
                            <w:fldChar w:fldCharType="end"/>
                          </w:r>
                          <w:r>
                            <w:t xml:space="preserve"> of </w:t>
                          </w:r>
                          <w:r>
                            <w:fldChar w:fldCharType="begin"/>
                          </w:r>
                          <w:r>
                            <w:instrText>NUMPAGES</w:instrText>
                          </w:r>
                          <w:r>
                            <w:fldChar w:fldCharType="separate"/>
                          </w:r>
                          <w:r w:rsidR="00F4442B">
                            <w:rPr>
                              <w:noProof/>
                            </w:rPr>
                            <w:t>1</w:t>
                          </w:r>
                          <w:r>
                            <w:fldChar w:fldCharType="end"/>
                          </w:r>
                        </w:p>
                      </w:txbxContent>
                    </wps:txbx>
                    <wps:bodyPr vert="horz" wrap="square" lIns="0" tIns="0" rIns="0" bIns="0" anchor="t" anchorCtr="0"/>
                  </wps:wsp>
                </a:graphicData>
              </a:graphic>
            </wp:anchor>
          </w:drawing>
        </mc:Choice>
        <mc:Fallback>
          <w:pict>
            <v:shape w14:anchorId="02E9FDE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6A2C45" w14:textId="77777777" w:rsidR="00C97CD9" w:rsidRDefault="00610383">
                    <w:pPr>
                      <w:pStyle w:val="Referentiegegevens"/>
                    </w:pPr>
                    <w:r>
                      <w:t xml:space="preserve">Page </w:t>
                    </w:r>
                    <w:r>
                      <w:fldChar w:fldCharType="begin"/>
                    </w:r>
                    <w:r>
                      <w:instrText>PAGE</w:instrText>
                    </w:r>
                    <w:r>
                      <w:fldChar w:fldCharType="separate"/>
                    </w:r>
                    <w:r w:rsidR="00F4442B">
                      <w:rPr>
                        <w:noProof/>
                      </w:rPr>
                      <w:t>1</w:t>
                    </w:r>
                    <w:r>
                      <w:fldChar w:fldCharType="end"/>
                    </w:r>
                    <w:r>
                      <w:t xml:space="preserve"> of </w:t>
                    </w:r>
                    <w:r>
                      <w:fldChar w:fldCharType="begin"/>
                    </w:r>
                    <w:r>
                      <w:instrText>NUMPAGES</w:instrText>
                    </w:r>
                    <w:r>
                      <w:fldChar w:fldCharType="separate"/>
                    </w:r>
                    <w:r w:rsidR="00F4442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9558984" wp14:editId="1189764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D7DF8D" w14:textId="77777777" w:rsidR="007229DA" w:rsidRDefault="007229DA"/>
                      </w:txbxContent>
                    </wps:txbx>
                    <wps:bodyPr vert="horz" wrap="square" lIns="0" tIns="0" rIns="0" bIns="0" anchor="t" anchorCtr="0"/>
                  </wps:wsp>
                </a:graphicData>
              </a:graphic>
            </wp:anchor>
          </w:drawing>
        </mc:Choice>
        <mc:Fallback>
          <w:pict>
            <v:shape w14:anchorId="6955898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D7DF8D" w14:textId="77777777" w:rsidR="007229DA" w:rsidRDefault="007229D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18C50A5" wp14:editId="5EFEC0A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946278" w14:textId="77777777" w:rsidR="007229DA" w:rsidRDefault="007229DA"/>
                      </w:txbxContent>
                    </wps:txbx>
                    <wps:bodyPr vert="horz" wrap="square" lIns="0" tIns="0" rIns="0" bIns="0" anchor="t" anchorCtr="0"/>
                  </wps:wsp>
                </a:graphicData>
              </a:graphic>
            </wp:anchor>
          </w:drawing>
        </mc:Choice>
        <mc:Fallback>
          <w:pict>
            <v:shape w14:anchorId="618C50A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4946278" w14:textId="77777777" w:rsidR="007229DA" w:rsidRDefault="007229D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42D8" w14:textId="77777777" w:rsidR="00C97CD9" w:rsidRDefault="0061038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E30AF89" wp14:editId="5CCB0CC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E017EC" w14:textId="77777777" w:rsidR="007229DA" w:rsidRDefault="007229DA"/>
                      </w:txbxContent>
                    </wps:txbx>
                    <wps:bodyPr vert="horz" wrap="square" lIns="0" tIns="0" rIns="0" bIns="0" anchor="t" anchorCtr="0"/>
                  </wps:wsp>
                </a:graphicData>
              </a:graphic>
            </wp:anchor>
          </w:drawing>
        </mc:Choice>
        <mc:Fallback>
          <w:pict>
            <v:shapetype w14:anchorId="6E30AF8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FE017EC" w14:textId="77777777" w:rsidR="007229DA" w:rsidRDefault="007229D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4B74CB8" wp14:editId="370721C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172A93" w14:textId="02B3FACA" w:rsidR="00C97CD9" w:rsidRDefault="00610383">
                          <w:pPr>
                            <w:pStyle w:val="Referentiegegevens"/>
                          </w:pPr>
                          <w:r>
                            <w:t xml:space="preserve">Page </w:t>
                          </w:r>
                          <w:r>
                            <w:fldChar w:fldCharType="begin"/>
                          </w:r>
                          <w:r>
                            <w:instrText>PAGE</w:instrText>
                          </w:r>
                          <w:r>
                            <w:fldChar w:fldCharType="separate"/>
                          </w:r>
                          <w:r w:rsidR="00ED1A82">
                            <w:rPr>
                              <w:noProof/>
                            </w:rPr>
                            <w:t>1</w:t>
                          </w:r>
                          <w:r>
                            <w:fldChar w:fldCharType="end"/>
                          </w:r>
                          <w:r>
                            <w:t xml:space="preserve"> of </w:t>
                          </w:r>
                          <w:r>
                            <w:fldChar w:fldCharType="begin"/>
                          </w:r>
                          <w:r>
                            <w:instrText>NUMPAGES</w:instrText>
                          </w:r>
                          <w:r>
                            <w:fldChar w:fldCharType="separate"/>
                          </w:r>
                          <w:r w:rsidR="00ED1A82">
                            <w:rPr>
                              <w:noProof/>
                            </w:rPr>
                            <w:t>1</w:t>
                          </w:r>
                          <w:r>
                            <w:fldChar w:fldCharType="end"/>
                          </w:r>
                        </w:p>
                      </w:txbxContent>
                    </wps:txbx>
                    <wps:bodyPr vert="horz" wrap="square" lIns="0" tIns="0" rIns="0" bIns="0" anchor="t" anchorCtr="0"/>
                  </wps:wsp>
                </a:graphicData>
              </a:graphic>
            </wp:anchor>
          </w:drawing>
        </mc:Choice>
        <mc:Fallback>
          <w:pict>
            <v:shape w14:anchorId="74B74CB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172A93" w14:textId="02B3FACA" w:rsidR="00C97CD9" w:rsidRDefault="00610383">
                    <w:pPr>
                      <w:pStyle w:val="Referentiegegevens"/>
                    </w:pPr>
                    <w:r>
                      <w:t xml:space="preserve">Page </w:t>
                    </w:r>
                    <w:r>
                      <w:fldChar w:fldCharType="begin"/>
                    </w:r>
                    <w:r>
                      <w:instrText>PAGE</w:instrText>
                    </w:r>
                    <w:r>
                      <w:fldChar w:fldCharType="separate"/>
                    </w:r>
                    <w:r w:rsidR="00ED1A82">
                      <w:rPr>
                        <w:noProof/>
                      </w:rPr>
                      <w:t>1</w:t>
                    </w:r>
                    <w:r>
                      <w:fldChar w:fldCharType="end"/>
                    </w:r>
                    <w:r>
                      <w:t xml:space="preserve"> of </w:t>
                    </w:r>
                    <w:r>
                      <w:fldChar w:fldCharType="begin"/>
                    </w:r>
                    <w:r>
                      <w:instrText>NUMPAGES</w:instrText>
                    </w:r>
                    <w:r>
                      <w:fldChar w:fldCharType="separate"/>
                    </w:r>
                    <w:r w:rsidR="00ED1A8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A7E813" wp14:editId="6F7EE26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9BC4B7" w14:textId="77777777" w:rsidR="00C97CD9" w:rsidRDefault="00610383">
                          <w:pPr>
                            <w:pStyle w:val="AfzendgegevensKop0"/>
                          </w:pPr>
                          <w:r>
                            <w:t>Ministerie van Infrastructuur en Waterstaat</w:t>
                          </w:r>
                        </w:p>
                        <w:p w14:paraId="41D6524F" w14:textId="77777777" w:rsidR="00C97CD9" w:rsidRDefault="00C97CD9">
                          <w:pPr>
                            <w:pStyle w:val="WitregelW1"/>
                          </w:pPr>
                        </w:p>
                        <w:p w14:paraId="56207285" w14:textId="77777777" w:rsidR="00C97CD9" w:rsidRDefault="00610383">
                          <w:pPr>
                            <w:pStyle w:val="Afzendgegevens"/>
                          </w:pPr>
                          <w:r>
                            <w:t>Rijnstraat 8</w:t>
                          </w:r>
                        </w:p>
                        <w:p w14:paraId="35D63FA5" w14:textId="77777777" w:rsidR="00C97CD9" w:rsidRPr="00F4442B" w:rsidRDefault="00610383">
                          <w:pPr>
                            <w:pStyle w:val="Afzendgegevens"/>
                            <w:rPr>
                              <w:lang w:val="de-DE"/>
                            </w:rPr>
                          </w:pPr>
                          <w:r w:rsidRPr="00F4442B">
                            <w:rPr>
                              <w:lang w:val="de-DE"/>
                            </w:rPr>
                            <w:t>2515 XP  Den Haag</w:t>
                          </w:r>
                        </w:p>
                        <w:p w14:paraId="775462EC" w14:textId="77777777" w:rsidR="00C97CD9" w:rsidRPr="00F4442B" w:rsidRDefault="00610383">
                          <w:pPr>
                            <w:pStyle w:val="Afzendgegevens"/>
                            <w:rPr>
                              <w:lang w:val="de-DE"/>
                            </w:rPr>
                          </w:pPr>
                          <w:r w:rsidRPr="00F4442B">
                            <w:rPr>
                              <w:lang w:val="de-DE"/>
                            </w:rPr>
                            <w:t>Postbus 20901</w:t>
                          </w:r>
                        </w:p>
                        <w:p w14:paraId="7B63EA99" w14:textId="77777777" w:rsidR="00C97CD9" w:rsidRPr="00F4442B" w:rsidRDefault="00610383">
                          <w:pPr>
                            <w:pStyle w:val="Afzendgegevens"/>
                            <w:rPr>
                              <w:lang w:val="de-DE"/>
                            </w:rPr>
                          </w:pPr>
                          <w:r w:rsidRPr="00F4442B">
                            <w:rPr>
                              <w:lang w:val="de-DE"/>
                            </w:rPr>
                            <w:t>2500 EX Den Haag</w:t>
                          </w:r>
                        </w:p>
                        <w:p w14:paraId="432BDAF4" w14:textId="77777777" w:rsidR="00C97CD9" w:rsidRPr="00F4442B" w:rsidRDefault="00C97CD9">
                          <w:pPr>
                            <w:pStyle w:val="WitregelW1"/>
                            <w:rPr>
                              <w:lang w:val="de-DE"/>
                            </w:rPr>
                          </w:pPr>
                        </w:p>
                        <w:p w14:paraId="047BA7B9" w14:textId="77777777" w:rsidR="00C97CD9" w:rsidRPr="00F4442B" w:rsidRDefault="00610383">
                          <w:pPr>
                            <w:pStyle w:val="Afzendgegevens"/>
                            <w:rPr>
                              <w:lang w:val="de-DE"/>
                            </w:rPr>
                          </w:pPr>
                          <w:r w:rsidRPr="00F4442B">
                            <w:rPr>
                              <w:lang w:val="de-DE"/>
                            </w:rPr>
                            <w:t>T   070-456 0000</w:t>
                          </w:r>
                        </w:p>
                        <w:p w14:paraId="16DE18F6" w14:textId="77777777" w:rsidR="00C97CD9" w:rsidRDefault="00610383">
                          <w:pPr>
                            <w:pStyle w:val="Afzendgegevens"/>
                          </w:pPr>
                          <w:r>
                            <w:t>F   070-456 1111</w:t>
                          </w:r>
                        </w:p>
                        <w:p w14:paraId="6170440C" w14:textId="77777777" w:rsidR="00C97CD9" w:rsidRDefault="00C97CD9">
                          <w:pPr>
                            <w:pStyle w:val="WitregelW2"/>
                          </w:pPr>
                        </w:p>
                        <w:p w14:paraId="2AEF606B" w14:textId="77777777" w:rsidR="00C97CD9" w:rsidRDefault="00610383">
                          <w:pPr>
                            <w:pStyle w:val="Referentiegegevenskop"/>
                          </w:pPr>
                          <w:r>
                            <w:t>Ons kenmerk</w:t>
                          </w:r>
                        </w:p>
                        <w:p w14:paraId="3C52BD77" w14:textId="36AE3DC8" w:rsidR="00C97CD9" w:rsidRDefault="00A12DE1">
                          <w:pPr>
                            <w:pStyle w:val="Referentiegegevens"/>
                          </w:pPr>
                          <w:r>
                            <w:t>IENW/BSK-2026/83863</w:t>
                          </w:r>
                        </w:p>
                        <w:p w14:paraId="681ADAD9" w14:textId="77777777" w:rsidR="00F4442B" w:rsidRPr="00F4442B" w:rsidRDefault="00F4442B" w:rsidP="00F4442B">
                          <w:pPr>
                            <w:rPr>
                              <w:sz w:val="13"/>
                              <w:szCs w:val="13"/>
                            </w:rPr>
                          </w:pPr>
                        </w:p>
                        <w:p w14:paraId="71069554" w14:textId="0E08CA53" w:rsidR="00F4442B" w:rsidRDefault="00F4442B" w:rsidP="00F4442B">
                          <w:pPr>
                            <w:pStyle w:val="Referentiegegevenskop"/>
                            <w:rPr>
                              <w:b w:val="0"/>
                              <w:bCs/>
                            </w:rPr>
                          </w:pPr>
                          <w:r w:rsidRPr="00F4442B">
                            <w:t>Referentie</w:t>
                          </w:r>
                          <w:r w:rsidRPr="00F4442B">
                            <w:br/>
                          </w:r>
                          <w:r w:rsidRPr="00F4442B">
                            <w:rPr>
                              <w:b w:val="0"/>
                              <w:bCs/>
                            </w:rPr>
                            <w:t>2026Z06789/2026D16379</w:t>
                          </w:r>
                        </w:p>
                        <w:p w14:paraId="466FC577" w14:textId="0E4C3112" w:rsidR="00ED0153" w:rsidRDefault="00ED0153" w:rsidP="00ED0153">
                          <w:pPr>
                            <w:rPr>
                              <w:b/>
                              <w:bCs/>
                            </w:rPr>
                          </w:pPr>
                        </w:p>
                        <w:p w14:paraId="4E9C9DE7" w14:textId="257B4E84" w:rsidR="00ED0153" w:rsidRDefault="00ED0153" w:rsidP="00ED0153">
                          <w:pPr>
                            <w:pStyle w:val="Referentiegegevenskop"/>
                            <w:rPr>
                              <w:b w:val="0"/>
                              <w:bCs/>
                            </w:rPr>
                          </w:pPr>
                          <w:r>
                            <w:t>Bijlage(n)</w:t>
                          </w:r>
                          <w:r w:rsidRPr="00F4442B">
                            <w:br/>
                          </w:r>
                          <w:r w:rsidR="00C21FB5">
                            <w:rPr>
                              <w:b w:val="0"/>
                              <w:bCs/>
                            </w:rPr>
                            <w:t>2</w:t>
                          </w:r>
                        </w:p>
                        <w:p w14:paraId="31A97FE7" w14:textId="77777777" w:rsidR="00ED0153" w:rsidRPr="00ED0153" w:rsidRDefault="00ED0153" w:rsidP="00ED0153">
                          <w:pPr>
                            <w:rPr>
                              <w:b/>
                              <w:bCs/>
                            </w:rPr>
                          </w:pPr>
                        </w:p>
                        <w:p w14:paraId="45832959" w14:textId="77777777" w:rsidR="00F4442B" w:rsidRPr="00F4442B" w:rsidRDefault="00F4442B" w:rsidP="00F4442B">
                          <w:pPr>
                            <w:rPr>
                              <w:sz w:val="13"/>
                              <w:szCs w:val="13"/>
                            </w:rPr>
                          </w:pPr>
                        </w:p>
                      </w:txbxContent>
                    </wps:txbx>
                    <wps:bodyPr vert="horz" wrap="square" lIns="0" tIns="0" rIns="0" bIns="0" anchor="t" anchorCtr="0"/>
                  </wps:wsp>
                </a:graphicData>
              </a:graphic>
            </wp:anchor>
          </w:drawing>
        </mc:Choice>
        <mc:Fallback>
          <w:pict>
            <v:shape w14:anchorId="27A7E81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B9BC4B7" w14:textId="77777777" w:rsidR="00C97CD9" w:rsidRDefault="00610383">
                    <w:pPr>
                      <w:pStyle w:val="AfzendgegevensKop0"/>
                    </w:pPr>
                    <w:r>
                      <w:t>Ministerie van Infrastructuur en Waterstaat</w:t>
                    </w:r>
                  </w:p>
                  <w:p w14:paraId="41D6524F" w14:textId="77777777" w:rsidR="00C97CD9" w:rsidRDefault="00C97CD9">
                    <w:pPr>
                      <w:pStyle w:val="WitregelW1"/>
                    </w:pPr>
                  </w:p>
                  <w:p w14:paraId="56207285" w14:textId="77777777" w:rsidR="00C97CD9" w:rsidRDefault="00610383">
                    <w:pPr>
                      <w:pStyle w:val="Afzendgegevens"/>
                    </w:pPr>
                    <w:r>
                      <w:t>Rijnstraat 8</w:t>
                    </w:r>
                  </w:p>
                  <w:p w14:paraId="35D63FA5" w14:textId="77777777" w:rsidR="00C97CD9" w:rsidRPr="00F4442B" w:rsidRDefault="00610383">
                    <w:pPr>
                      <w:pStyle w:val="Afzendgegevens"/>
                      <w:rPr>
                        <w:lang w:val="de-DE"/>
                      </w:rPr>
                    </w:pPr>
                    <w:r w:rsidRPr="00F4442B">
                      <w:rPr>
                        <w:lang w:val="de-DE"/>
                      </w:rPr>
                      <w:t>2515 XP  Den Haag</w:t>
                    </w:r>
                  </w:p>
                  <w:p w14:paraId="775462EC" w14:textId="77777777" w:rsidR="00C97CD9" w:rsidRPr="00F4442B" w:rsidRDefault="00610383">
                    <w:pPr>
                      <w:pStyle w:val="Afzendgegevens"/>
                      <w:rPr>
                        <w:lang w:val="de-DE"/>
                      </w:rPr>
                    </w:pPr>
                    <w:r w:rsidRPr="00F4442B">
                      <w:rPr>
                        <w:lang w:val="de-DE"/>
                      </w:rPr>
                      <w:t>Postbus 20901</w:t>
                    </w:r>
                  </w:p>
                  <w:p w14:paraId="7B63EA99" w14:textId="77777777" w:rsidR="00C97CD9" w:rsidRPr="00F4442B" w:rsidRDefault="00610383">
                    <w:pPr>
                      <w:pStyle w:val="Afzendgegevens"/>
                      <w:rPr>
                        <w:lang w:val="de-DE"/>
                      </w:rPr>
                    </w:pPr>
                    <w:r w:rsidRPr="00F4442B">
                      <w:rPr>
                        <w:lang w:val="de-DE"/>
                      </w:rPr>
                      <w:t>2500 EX Den Haag</w:t>
                    </w:r>
                  </w:p>
                  <w:p w14:paraId="432BDAF4" w14:textId="77777777" w:rsidR="00C97CD9" w:rsidRPr="00F4442B" w:rsidRDefault="00C97CD9">
                    <w:pPr>
                      <w:pStyle w:val="WitregelW1"/>
                      <w:rPr>
                        <w:lang w:val="de-DE"/>
                      </w:rPr>
                    </w:pPr>
                  </w:p>
                  <w:p w14:paraId="047BA7B9" w14:textId="77777777" w:rsidR="00C97CD9" w:rsidRPr="00F4442B" w:rsidRDefault="00610383">
                    <w:pPr>
                      <w:pStyle w:val="Afzendgegevens"/>
                      <w:rPr>
                        <w:lang w:val="de-DE"/>
                      </w:rPr>
                    </w:pPr>
                    <w:r w:rsidRPr="00F4442B">
                      <w:rPr>
                        <w:lang w:val="de-DE"/>
                      </w:rPr>
                      <w:t>T   070-456 0000</w:t>
                    </w:r>
                  </w:p>
                  <w:p w14:paraId="16DE18F6" w14:textId="77777777" w:rsidR="00C97CD9" w:rsidRDefault="00610383">
                    <w:pPr>
                      <w:pStyle w:val="Afzendgegevens"/>
                    </w:pPr>
                    <w:r>
                      <w:t>F   070-456 1111</w:t>
                    </w:r>
                  </w:p>
                  <w:p w14:paraId="6170440C" w14:textId="77777777" w:rsidR="00C97CD9" w:rsidRDefault="00C97CD9">
                    <w:pPr>
                      <w:pStyle w:val="WitregelW2"/>
                    </w:pPr>
                  </w:p>
                  <w:p w14:paraId="2AEF606B" w14:textId="77777777" w:rsidR="00C97CD9" w:rsidRDefault="00610383">
                    <w:pPr>
                      <w:pStyle w:val="Referentiegegevenskop"/>
                    </w:pPr>
                    <w:r>
                      <w:t>Ons kenmerk</w:t>
                    </w:r>
                  </w:p>
                  <w:p w14:paraId="3C52BD77" w14:textId="36AE3DC8" w:rsidR="00C97CD9" w:rsidRDefault="00A12DE1">
                    <w:pPr>
                      <w:pStyle w:val="Referentiegegevens"/>
                    </w:pPr>
                    <w:r>
                      <w:t>IENW/BSK-2026/83863</w:t>
                    </w:r>
                  </w:p>
                  <w:p w14:paraId="681ADAD9" w14:textId="77777777" w:rsidR="00F4442B" w:rsidRPr="00F4442B" w:rsidRDefault="00F4442B" w:rsidP="00F4442B">
                    <w:pPr>
                      <w:rPr>
                        <w:sz w:val="13"/>
                        <w:szCs w:val="13"/>
                      </w:rPr>
                    </w:pPr>
                  </w:p>
                  <w:p w14:paraId="71069554" w14:textId="0E08CA53" w:rsidR="00F4442B" w:rsidRDefault="00F4442B" w:rsidP="00F4442B">
                    <w:pPr>
                      <w:pStyle w:val="Referentiegegevenskop"/>
                      <w:rPr>
                        <w:b w:val="0"/>
                        <w:bCs/>
                      </w:rPr>
                    </w:pPr>
                    <w:r w:rsidRPr="00F4442B">
                      <w:t>Referentie</w:t>
                    </w:r>
                    <w:r w:rsidRPr="00F4442B">
                      <w:br/>
                    </w:r>
                    <w:r w:rsidRPr="00F4442B">
                      <w:rPr>
                        <w:b w:val="0"/>
                        <w:bCs/>
                      </w:rPr>
                      <w:t>2026Z06789/2026D16379</w:t>
                    </w:r>
                  </w:p>
                  <w:p w14:paraId="466FC577" w14:textId="0E4C3112" w:rsidR="00ED0153" w:rsidRDefault="00ED0153" w:rsidP="00ED0153">
                    <w:pPr>
                      <w:rPr>
                        <w:b/>
                        <w:bCs/>
                      </w:rPr>
                    </w:pPr>
                  </w:p>
                  <w:p w14:paraId="4E9C9DE7" w14:textId="257B4E84" w:rsidR="00ED0153" w:rsidRDefault="00ED0153" w:rsidP="00ED0153">
                    <w:pPr>
                      <w:pStyle w:val="Referentiegegevenskop"/>
                      <w:rPr>
                        <w:b w:val="0"/>
                        <w:bCs/>
                      </w:rPr>
                    </w:pPr>
                    <w:r>
                      <w:t>Bijlage(n)</w:t>
                    </w:r>
                    <w:r w:rsidRPr="00F4442B">
                      <w:br/>
                    </w:r>
                    <w:r w:rsidR="00C21FB5">
                      <w:rPr>
                        <w:b w:val="0"/>
                        <w:bCs/>
                      </w:rPr>
                      <w:t>2</w:t>
                    </w:r>
                  </w:p>
                  <w:p w14:paraId="31A97FE7" w14:textId="77777777" w:rsidR="00ED0153" w:rsidRPr="00ED0153" w:rsidRDefault="00ED0153" w:rsidP="00ED0153">
                    <w:pPr>
                      <w:rPr>
                        <w:b/>
                        <w:bCs/>
                      </w:rPr>
                    </w:pPr>
                  </w:p>
                  <w:p w14:paraId="45832959" w14:textId="77777777" w:rsidR="00F4442B" w:rsidRPr="00F4442B" w:rsidRDefault="00F4442B" w:rsidP="00F4442B">
                    <w:pPr>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1BFE6B9" wp14:editId="6A0343A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18D76C" w14:textId="77777777" w:rsidR="00C97CD9" w:rsidRDefault="00610383">
                          <w:pPr>
                            <w:spacing w:line="240" w:lineRule="auto"/>
                          </w:pPr>
                          <w:r>
                            <w:rPr>
                              <w:noProof/>
                              <w:lang w:val="en-GB" w:eastAsia="en-GB"/>
                            </w:rPr>
                            <w:drawing>
                              <wp:inline distT="0" distB="0" distL="0" distR="0" wp14:anchorId="4272551A" wp14:editId="3737991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BFE6B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18D76C" w14:textId="77777777" w:rsidR="00C97CD9" w:rsidRDefault="00610383">
                    <w:pPr>
                      <w:spacing w:line="240" w:lineRule="auto"/>
                    </w:pPr>
                    <w:r>
                      <w:rPr>
                        <w:noProof/>
                        <w:lang w:val="en-GB" w:eastAsia="en-GB"/>
                      </w:rPr>
                      <w:drawing>
                        <wp:inline distT="0" distB="0" distL="0" distR="0" wp14:anchorId="4272551A" wp14:editId="3737991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479F5C" wp14:editId="48B954A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019B9B" w14:textId="77777777" w:rsidR="00C97CD9" w:rsidRDefault="00610383">
                          <w:pPr>
                            <w:spacing w:line="240" w:lineRule="auto"/>
                          </w:pPr>
                          <w:r>
                            <w:rPr>
                              <w:noProof/>
                              <w:lang w:val="en-GB" w:eastAsia="en-GB"/>
                            </w:rPr>
                            <w:drawing>
                              <wp:inline distT="0" distB="0" distL="0" distR="0" wp14:anchorId="6AF8EE9B" wp14:editId="6AE695A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479F5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E019B9B" w14:textId="77777777" w:rsidR="00C97CD9" w:rsidRDefault="00610383">
                    <w:pPr>
                      <w:spacing w:line="240" w:lineRule="auto"/>
                    </w:pPr>
                    <w:r>
                      <w:rPr>
                        <w:noProof/>
                        <w:lang w:val="en-GB" w:eastAsia="en-GB"/>
                      </w:rPr>
                      <w:drawing>
                        <wp:inline distT="0" distB="0" distL="0" distR="0" wp14:anchorId="6AF8EE9B" wp14:editId="6AE695A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8F16868" wp14:editId="303F1A2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8A34FD" w14:textId="77777777" w:rsidR="00C97CD9" w:rsidRDefault="0061038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8F1686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38A34FD" w14:textId="77777777" w:rsidR="00C97CD9" w:rsidRDefault="0061038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DBF341" wp14:editId="34100CA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181A1C6" w14:textId="77777777" w:rsidR="00C97CD9" w:rsidRDefault="0061038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DBF34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181A1C6" w14:textId="77777777" w:rsidR="00C97CD9" w:rsidRDefault="0061038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6C36A04" wp14:editId="71C7107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CellMar>
                              <w:left w:w="0" w:type="dxa"/>
                            </w:tblCellMar>
                            <w:tblLook w:val="07E0" w:firstRow="1" w:lastRow="1" w:firstColumn="1" w:lastColumn="1" w:noHBand="1" w:noVBand="1"/>
                          </w:tblPr>
                          <w:tblGrid>
                            <w:gridCol w:w="1140"/>
                            <w:gridCol w:w="5400"/>
                          </w:tblGrid>
                          <w:tr w:rsidR="00C97CD9" w14:paraId="605D7028" w14:textId="77777777" w:rsidTr="00F4442B">
                            <w:trPr>
                              <w:trHeight w:val="200"/>
                            </w:trPr>
                            <w:tc>
                              <w:tcPr>
                                <w:tcW w:w="1140" w:type="dxa"/>
                              </w:tcPr>
                              <w:p w14:paraId="1D97135E" w14:textId="77777777" w:rsidR="00C97CD9" w:rsidRDefault="00C97CD9"/>
                            </w:tc>
                            <w:tc>
                              <w:tcPr>
                                <w:tcW w:w="5400" w:type="dxa"/>
                              </w:tcPr>
                              <w:p w14:paraId="47CEB75E" w14:textId="77777777" w:rsidR="00C97CD9" w:rsidRDefault="00C97CD9"/>
                            </w:tc>
                          </w:tr>
                          <w:tr w:rsidR="00C97CD9" w14:paraId="21AE98AF" w14:textId="77777777" w:rsidTr="00F4442B">
                            <w:trPr>
                              <w:trHeight w:val="240"/>
                            </w:trPr>
                            <w:tc>
                              <w:tcPr>
                                <w:tcW w:w="1140" w:type="dxa"/>
                              </w:tcPr>
                              <w:p w14:paraId="7BA494A8" w14:textId="77777777" w:rsidR="00C97CD9" w:rsidRDefault="00610383">
                                <w:r>
                                  <w:t>Datum</w:t>
                                </w:r>
                              </w:p>
                            </w:tc>
                            <w:tc>
                              <w:tcPr>
                                <w:tcW w:w="5400" w:type="dxa"/>
                              </w:tcPr>
                              <w:p w14:paraId="73E7E0F9" w14:textId="62277A46" w:rsidR="00C97CD9" w:rsidRDefault="00C21FB5">
                                <w:r>
                                  <w:t>10 juni 2026</w:t>
                                </w:r>
                              </w:p>
                            </w:tc>
                          </w:tr>
                          <w:tr w:rsidR="00C97CD9" w14:paraId="4EC7DFE8" w14:textId="77777777" w:rsidTr="00F4442B">
                            <w:trPr>
                              <w:trHeight w:val="240"/>
                            </w:trPr>
                            <w:tc>
                              <w:tcPr>
                                <w:tcW w:w="1140" w:type="dxa"/>
                              </w:tcPr>
                              <w:p w14:paraId="42243E87" w14:textId="77777777" w:rsidR="00C97CD9" w:rsidRDefault="00610383">
                                <w:r>
                                  <w:t>Betreft</w:t>
                                </w:r>
                              </w:p>
                            </w:tc>
                            <w:tc>
                              <w:tcPr>
                                <w:tcW w:w="5400" w:type="dxa"/>
                              </w:tcPr>
                              <w:p w14:paraId="037F896D" w14:textId="33538D3A" w:rsidR="00C97CD9" w:rsidRDefault="00610383">
                                <w:r>
                                  <w:t>Reactie op position paper</w:t>
                                </w:r>
                                <w:r w:rsidR="00F4442B">
                                  <w:t xml:space="preserve"> Omgevingsdienst NL over Actieagenda Industrie en Omwonenden</w:t>
                                </w:r>
                              </w:p>
                            </w:tc>
                          </w:tr>
                          <w:tr w:rsidR="00C97CD9" w14:paraId="47AEAA3B" w14:textId="77777777" w:rsidTr="00F4442B">
                            <w:trPr>
                              <w:trHeight w:val="200"/>
                            </w:trPr>
                            <w:tc>
                              <w:tcPr>
                                <w:tcW w:w="1140" w:type="dxa"/>
                              </w:tcPr>
                              <w:p w14:paraId="64E5A1CB" w14:textId="77777777" w:rsidR="00C97CD9" w:rsidRDefault="00C97CD9"/>
                            </w:tc>
                            <w:tc>
                              <w:tcPr>
                                <w:tcW w:w="5400" w:type="dxa"/>
                              </w:tcPr>
                              <w:p w14:paraId="587CD2C5" w14:textId="77777777" w:rsidR="00C97CD9" w:rsidRDefault="00C97CD9"/>
                            </w:tc>
                          </w:tr>
                        </w:tbl>
                        <w:p w14:paraId="12C56B09" w14:textId="77777777" w:rsidR="007229DA" w:rsidRDefault="007229DA"/>
                      </w:txbxContent>
                    </wps:txbx>
                    <wps:bodyPr vert="horz" wrap="square" lIns="0" tIns="0" rIns="0" bIns="0" anchor="t" anchorCtr="0"/>
                  </wps:wsp>
                </a:graphicData>
              </a:graphic>
            </wp:anchor>
          </w:drawing>
        </mc:Choice>
        <mc:Fallback>
          <w:pict>
            <v:shape w14:anchorId="66C36A0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CellMar>
                        <w:left w:w="0" w:type="dxa"/>
                      </w:tblCellMar>
                      <w:tblLook w:val="07E0" w:firstRow="1" w:lastRow="1" w:firstColumn="1" w:lastColumn="1" w:noHBand="1" w:noVBand="1"/>
                    </w:tblPr>
                    <w:tblGrid>
                      <w:gridCol w:w="1140"/>
                      <w:gridCol w:w="5400"/>
                    </w:tblGrid>
                    <w:tr w:rsidR="00C97CD9" w14:paraId="605D7028" w14:textId="77777777" w:rsidTr="00F4442B">
                      <w:trPr>
                        <w:trHeight w:val="200"/>
                      </w:trPr>
                      <w:tc>
                        <w:tcPr>
                          <w:tcW w:w="1140" w:type="dxa"/>
                        </w:tcPr>
                        <w:p w14:paraId="1D97135E" w14:textId="77777777" w:rsidR="00C97CD9" w:rsidRDefault="00C97CD9"/>
                      </w:tc>
                      <w:tc>
                        <w:tcPr>
                          <w:tcW w:w="5400" w:type="dxa"/>
                        </w:tcPr>
                        <w:p w14:paraId="47CEB75E" w14:textId="77777777" w:rsidR="00C97CD9" w:rsidRDefault="00C97CD9"/>
                      </w:tc>
                    </w:tr>
                    <w:tr w:rsidR="00C97CD9" w14:paraId="21AE98AF" w14:textId="77777777" w:rsidTr="00F4442B">
                      <w:trPr>
                        <w:trHeight w:val="240"/>
                      </w:trPr>
                      <w:tc>
                        <w:tcPr>
                          <w:tcW w:w="1140" w:type="dxa"/>
                        </w:tcPr>
                        <w:p w14:paraId="7BA494A8" w14:textId="77777777" w:rsidR="00C97CD9" w:rsidRDefault="00610383">
                          <w:r>
                            <w:t>Datum</w:t>
                          </w:r>
                        </w:p>
                      </w:tc>
                      <w:tc>
                        <w:tcPr>
                          <w:tcW w:w="5400" w:type="dxa"/>
                        </w:tcPr>
                        <w:p w14:paraId="73E7E0F9" w14:textId="62277A46" w:rsidR="00C97CD9" w:rsidRDefault="00C21FB5">
                          <w:r>
                            <w:t>10 juni 2026</w:t>
                          </w:r>
                        </w:p>
                      </w:tc>
                    </w:tr>
                    <w:tr w:rsidR="00C97CD9" w14:paraId="4EC7DFE8" w14:textId="77777777" w:rsidTr="00F4442B">
                      <w:trPr>
                        <w:trHeight w:val="240"/>
                      </w:trPr>
                      <w:tc>
                        <w:tcPr>
                          <w:tcW w:w="1140" w:type="dxa"/>
                        </w:tcPr>
                        <w:p w14:paraId="42243E87" w14:textId="77777777" w:rsidR="00C97CD9" w:rsidRDefault="00610383">
                          <w:r>
                            <w:t>Betreft</w:t>
                          </w:r>
                        </w:p>
                      </w:tc>
                      <w:tc>
                        <w:tcPr>
                          <w:tcW w:w="5400" w:type="dxa"/>
                        </w:tcPr>
                        <w:p w14:paraId="037F896D" w14:textId="33538D3A" w:rsidR="00C97CD9" w:rsidRDefault="00610383">
                          <w:r>
                            <w:t>Reactie op position paper</w:t>
                          </w:r>
                          <w:r w:rsidR="00F4442B">
                            <w:t xml:space="preserve"> Omgevingsdienst NL over Actieagenda Industrie en Omwonenden</w:t>
                          </w:r>
                        </w:p>
                      </w:tc>
                    </w:tr>
                    <w:tr w:rsidR="00C97CD9" w14:paraId="47AEAA3B" w14:textId="77777777" w:rsidTr="00F4442B">
                      <w:trPr>
                        <w:trHeight w:val="200"/>
                      </w:trPr>
                      <w:tc>
                        <w:tcPr>
                          <w:tcW w:w="1140" w:type="dxa"/>
                        </w:tcPr>
                        <w:p w14:paraId="64E5A1CB" w14:textId="77777777" w:rsidR="00C97CD9" w:rsidRDefault="00C97CD9"/>
                      </w:tc>
                      <w:tc>
                        <w:tcPr>
                          <w:tcW w:w="5400" w:type="dxa"/>
                        </w:tcPr>
                        <w:p w14:paraId="587CD2C5" w14:textId="77777777" w:rsidR="00C97CD9" w:rsidRDefault="00C97CD9"/>
                      </w:tc>
                    </w:tr>
                  </w:tbl>
                  <w:p w14:paraId="12C56B09" w14:textId="77777777" w:rsidR="007229DA" w:rsidRDefault="007229D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CD080F8" wp14:editId="65F0AA2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EF3CDC" w14:textId="77777777" w:rsidR="007229DA" w:rsidRDefault="007229DA"/>
                      </w:txbxContent>
                    </wps:txbx>
                    <wps:bodyPr vert="horz" wrap="square" lIns="0" tIns="0" rIns="0" bIns="0" anchor="t" anchorCtr="0"/>
                  </wps:wsp>
                </a:graphicData>
              </a:graphic>
            </wp:anchor>
          </w:drawing>
        </mc:Choice>
        <mc:Fallback>
          <w:pict>
            <v:shape w14:anchorId="7CD080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EF3CDC" w14:textId="77777777" w:rsidR="007229DA" w:rsidRDefault="007229D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63148"/>
    <w:multiLevelType w:val="multilevel"/>
    <w:tmpl w:val="D0AA0E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15C3F9"/>
    <w:multiLevelType w:val="multilevel"/>
    <w:tmpl w:val="69341B2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EADBD3"/>
    <w:multiLevelType w:val="multilevel"/>
    <w:tmpl w:val="1F5F45A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075E72"/>
    <w:multiLevelType w:val="multilevel"/>
    <w:tmpl w:val="3D1E987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68E3B4"/>
    <w:multiLevelType w:val="multilevel"/>
    <w:tmpl w:val="964801B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B7F71C"/>
    <w:multiLevelType w:val="multilevel"/>
    <w:tmpl w:val="16F945B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5F4864"/>
    <w:multiLevelType w:val="multilevel"/>
    <w:tmpl w:val="51783C7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CE1393"/>
    <w:multiLevelType w:val="multilevel"/>
    <w:tmpl w:val="318375C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47565E"/>
    <w:multiLevelType w:val="multilevel"/>
    <w:tmpl w:val="C67048F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1B6C1E"/>
    <w:multiLevelType w:val="multilevel"/>
    <w:tmpl w:val="7F2218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8DBA7F4"/>
    <w:multiLevelType w:val="multilevel"/>
    <w:tmpl w:val="C05DCB1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EF09E4"/>
    <w:multiLevelType w:val="multilevel"/>
    <w:tmpl w:val="CFCEB56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032D47"/>
    <w:multiLevelType w:val="multilevel"/>
    <w:tmpl w:val="5835D20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8437F7"/>
    <w:multiLevelType w:val="multilevel"/>
    <w:tmpl w:val="2841F9B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916A38"/>
    <w:multiLevelType w:val="multilevel"/>
    <w:tmpl w:val="DB08300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2E3B6"/>
    <w:multiLevelType w:val="multilevel"/>
    <w:tmpl w:val="AEF4F5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A0E6D1C"/>
    <w:multiLevelType w:val="multilevel"/>
    <w:tmpl w:val="191BF61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BC099F"/>
    <w:multiLevelType w:val="multilevel"/>
    <w:tmpl w:val="E7286B6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5366C"/>
    <w:multiLevelType w:val="multilevel"/>
    <w:tmpl w:val="1685E80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ACE369"/>
    <w:multiLevelType w:val="multilevel"/>
    <w:tmpl w:val="577A7AA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2D0DAC"/>
    <w:multiLevelType w:val="hybridMultilevel"/>
    <w:tmpl w:val="7CAEAF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DB001FE"/>
    <w:multiLevelType w:val="hybridMultilevel"/>
    <w:tmpl w:val="13700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4C1E0C"/>
    <w:multiLevelType w:val="multilevel"/>
    <w:tmpl w:val="E8B4DBF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A9F59"/>
    <w:multiLevelType w:val="multilevel"/>
    <w:tmpl w:val="0C342EB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8E1710"/>
    <w:multiLevelType w:val="hybridMultilevel"/>
    <w:tmpl w:val="C77ED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EE87CC1"/>
    <w:multiLevelType w:val="multilevel"/>
    <w:tmpl w:val="B3F602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2"/>
  </w:num>
  <w:num w:numId="3">
    <w:abstractNumId w:val="19"/>
  </w:num>
  <w:num w:numId="4">
    <w:abstractNumId w:val="3"/>
  </w:num>
  <w:num w:numId="5">
    <w:abstractNumId w:val="15"/>
  </w:num>
  <w:num w:numId="6">
    <w:abstractNumId w:val="6"/>
  </w:num>
  <w:num w:numId="7">
    <w:abstractNumId w:val="10"/>
  </w:num>
  <w:num w:numId="8">
    <w:abstractNumId w:val="14"/>
  </w:num>
  <w:num w:numId="9">
    <w:abstractNumId w:val="8"/>
  </w:num>
  <w:num w:numId="10">
    <w:abstractNumId w:val="18"/>
  </w:num>
  <w:num w:numId="11">
    <w:abstractNumId w:val="5"/>
  </w:num>
  <w:num w:numId="12">
    <w:abstractNumId w:val="9"/>
  </w:num>
  <w:num w:numId="13">
    <w:abstractNumId w:val="7"/>
  </w:num>
  <w:num w:numId="14">
    <w:abstractNumId w:val="22"/>
  </w:num>
  <w:num w:numId="15">
    <w:abstractNumId w:val="1"/>
  </w:num>
  <w:num w:numId="16">
    <w:abstractNumId w:val="4"/>
  </w:num>
  <w:num w:numId="17">
    <w:abstractNumId w:val="2"/>
  </w:num>
  <w:num w:numId="18">
    <w:abstractNumId w:val="11"/>
  </w:num>
  <w:num w:numId="19">
    <w:abstractNumId w:val="0"/>
  </w:num>
  <w:num w:numId="20">
    <w:abstractNumId w:val="17"/>
  </w:num>
  <w:num w:numId="21">
    <w:abstractNumId w:val="16"/>
  </w:num>
  <w:num w:numId="22">
    <w:abstractNumId w:val="23"/>
  </w:num>
  <w:num w:numId="23">
    <w:abstractNumId w:val="13"/>
  </w:num>
  <w:num w:numId="24">
    <w:abstractNumId w:val="24"/>
  </w:num>
  <w:num w:numId="25">
    <w:abstractNumId w:val="21"/>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2B"/>
    <w:rsid w:val="0000304D"/>
    <w:rsid w:val="000140BB"/>
    <w:rsid w:val="00021714"/>
    <w:rsid w:val="00031DBF"/>
    <w:rsid w:val="00041345"/>
    <w:rsid w:val="00064941"/>
    <w:rsid w:val="00076CB2"/>
    <w:rsid w:val="000C03F8"/>
    <w:rsid w:val="000C5BE9"/>
    <w:rsid w:val="00142E93"/>
    <w:rsid w:val="00150CE7"/>
    <w:rsid w:val="00161583"/>
    <w:rsid w:val="00174BE8"/>
    <w:rsid w:val="001A35E4"/>
    <w:rsid w:val="001C027A"/>
    <w:rsid w:val="001F1901"/>
    <w:rsid w:val="0021101A"/>
    <w:rsid w:val="002443D2"/>
    <w:rsid w:val="00244B7E"/>
    <w:rsid w:val="00277914"/>
    <w:rsid w:val="002804C6"/>
    <w:rsid w:val="00296274"/>
    <w:rsid w:val="002A1554"/>
    <w:rsid w:val="002C0FB0"/>
    <w:rsid w:val="002D0E15"/>
    <w:rsid w:val="002F295D"/>
    <w:rsid w:val="00301BD2"/>
    <w:rsid w:val="00303844"/>
    <w:rsid w:val="00314E82"/>
    <w:rsid w:val="00355721"/>
    <w:rsid w:val="00357E6E"/>
    <w:rsid w:val="00366DE0"/>
    <w:rsid w:val="00370886"/>
    <w:rsid w:val="0039179E"/>
    <w:rsid w:val="003945E3"/>
    <w:rsid w:val="003B1F76"/>
    <w:rsid w:val="003C7349"/>
    <w:rsid w:val="00410036"/>
    <w:rsid w:val="00421C39"/>
    <w:rsid w:val="0042641E"/>
    <w:rsid w:val="004474C6"/>
    <w:rsid w:val="004618E1"/>
    <w:rsid w:val="004A5ECF"/>
    <w:rsid w:val="004E75DB"/>
    <w:rsid w:val="004F5CBB"/>
    <w:rsid w:val="00515E19"/>
    <w:rsid w:val="00553279"/>
    <w:rsid w:val="005569CE"/>
    <w:rsid w:val="00567DB9"/>
    <w:rsid w:val="00581C1F"/>
    <w:rsid w:val="00593655"/>
    <w:rsid w:val="005B671F"/>
    <w:rsid w:val="005C1FD8"/>
    <w:rsid w:val="005C751E"/>
    <w:rsid w:val="005F2E3D"/>
    <w:rsid w:val="005F559B"/>
    <w:rsid w:val="0060693A"/>
    <w:rsid w:val="00610383"/>
    <w:rsid w:val="006138A1"/>
    <w:rsid w:val="0064531B"/>
    <w:rsid w:val="00646EB0"/>
    <w:rsid w:val="006866F1"/>
    <w:rsid w:val="006A528F"/>
    <w:rsid w:val="006C25DB"/>
    <w:rsid w:val="00717B75"/>
    <w:rsid w:val="007229DA"/>
    <w:rsid w:val="00752C0D"/>
    <w:rsid w:val="00783CAE"/>
    <w:rsid w:val="007A6659"/>
    <w:rsid w:val="007C102C"/>
    <w:rsid w:val="007F689C"/>
    <w:rsid w:val="00820330"/>
    <w:rsid w:val="0083092A"/>
    <w:rsid w:val="0085783E"/>
    <w:rsid w:val="00857EB2"/>
    <w:rsid w:val="008A04EF"/>
    <w:rsid w:val="008B6084"/>
    <w:rsid w:val="00922F6E"/>
    <w:rsid w:val="009335A0"/>
    <w:rsid w:val="009455A3"/>
    <w:rsid w:val="0095481B"/>
    <w:rsid w:val="00955EE2"/>
    <w:rsid w:val="009C12D0"/>
    <w:rsid w:val="009E4E7D"/>
    <w:rsid w:val="009F365E"/>
    <w:rsid w:val="009F4DCA"/>
    <w:rsid w:val="00A12DE1"/>
    <w:rsid w:val="00A2012B"/>
    <w:rsid w:val="00A35CFE"/>
    <w:rsid w:val="00A432CD"/>
    <w:rsid w:val="00A4446A"/>
    <w:rsid w:val="00AB5C0C"/>
    <w:rsid w:val="00B57B46"/>
    <w:rsid w:val="00B82BA4"/>
    <w:rsid w:val="00BB0671"/>
    <w:rsid w:val="00BB7803"/>
    <w:rsid w:val="00BC2001"/>
    <w:rsid w:val="00BD33AA"/>
    <w:rsid w:val="00BD7166"/>
    <w:rsid w:val="00BE61E4"/>
    <w:rsid w:val="00BE6F74"/>
    <w:rsid w:val="00C21FB5"/>
    <w:rsid w:val="00C24624"/>
    <w:rsid w:val="00C364A7"/>
    <w:rsid w:val="00C428DB"/>
    <w:rsid w:val="00C51B26"/>
    <w:rsid w:val="00C56130"/>
    <w:rsid w:val="00C61476"/>
    <w:rsid w:val="00C74583"/>
    <w:rsid w:val="00C85C6D"/>
    <w:rsid w:val="00C97CD9"/>
    <w:rsid w:val="00CA5F5B"/>
    <w:rsid w:val="00CB0E84"/>
    <w:rsid w:val="00D60E93"/>
    <w:rsid w:val="00D660A4"/>
    <w:rsid w:val="00D67B11"/>
    <w:rsid w:val="00D733FC"/>
    <w:rsid w:val="00D82073"/>
    <w:rsid w:val="00E17429"/>
    <w:rsid w:val="00E17D8C"/>
    <w:rsid w:val="00E215AE"/>
    <w:rsid w:val="00E261F1"/>
    <w:rsid w:val="00E748D7"/>
    <w:rsid w:val="00E97F6C"/>
    <w:rsid w:val="00EB1B09"/>
    <w:rsid w:val="00EB2467"/>
    <w:rsid w:val="00EB7017"/>
    <w:rsid w:val="00EC21D4"/>
    <w:rsid w:val="00ED0153"/>
    <w:rsid w:val="00ED1A82"/>
    <w:rsid w:val="00ED3990"/>
    <w:rsid w:val="00ED7B17"/>
    <w:rsid w:val="00F3022B"/>
    <w:rsid w:val="00F4442B"/>
    <w:rsid w:val="00F4676C"/>
    <w:rsid w:val="00F67C2C"/>
    <w:rsid w:val="00F910CB"/>
    <w:rsid w:val="00F92CCC"/>
    <w:rsid w:val="00FA07B0"/>
    <w:rsid w:val="00FD4F2D"/>
    <w:rsid w:val="00FD53A8"/>
    <w:rsid w:val="00FF0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4442B"/>
    <w:pPr>
      <w:tabs>
        <w:tab w:val="center" w:pos="4536"/>
        <w:tab w:val="right" w:pos="9072"/>
      </w:tabs>
      <w:spacing w:line="240" w:lineRule="auto"/>
    </w:pPr>
  </w:style>
  <w:style w:type="character" w:customStyle="1" w:styleId="HeaderChar">
    <w:name w:val="Header Char"/>
    <w:basedOn w:val="DefaultParagraphFont"/>
    <w:link w:val="Header"/>
    <w:uiPriority w:val="99"/>
    <w:rsid w:val="00F4442B"/>
    <w:rPr>
      <w:rFonts w:ascii="Verdana" w:hAnsi="Verdana"/>
      <w:color w:val="000000"/>
      <w:sz w:val="18"/>
      <w:szCs w:val="18"/>
    </w:rPr>
  </w:style>
  <w:style w:type="paragraph" w:styleId="Footer">
    <w:name w:val="footer"/>
    <w:basedOn w:val="Normal"/>
    <w:link w:val="FooterChar"/>
    <w:uiPriority w:val="99"/>
    <w:unhideWhenUsed/>
    <w:rsid w:val="00F4442B"/>
    <w:pPr>
      <w:tabs>
        <w:tab w:val="center" w:pos="4536"/>
        <w:tab w:val="right" w:pos="9072"/>
      </w:tabs>
      <w:spacing w:line="240" w:lineRule="auto"/>
    </w:pPr>
  </w:style>
  <w:style w:type="character" w:customStyle="1" w:styleId="FooterChar">
    <w:name w:val="Footer Char"/>
    <w:basedOn w:val="DefaultParagraphFont"/>
    <w:link w:val="Footer"/>
    <w:uiPriority w:val="99"/>
    <w:rsid w:val="00F4442B"/>
    <w:rPr>
      <w:rFonts w:ascii="Verdana" w:hAnsi="Verdana"/>
      <w:color w:val="000000"/>
      <w:sz w:val="18"/>
      <w:szCs w:val="18"/>
    </w:rPr>
  </w:style>
  <w:style w:type="paragraph" w:styleId="FootnoteText">
    <w:name w:val="footnote text"/>
    <w:basedOn w:val="Normal"/>
    <w:link w:val="FootnoteTextChar"/>
    <w:uiPriority w:val="99"/>
    <w:semiHidden/>
    <w:unhideWhenUsed/>
    <w:rsid w:val="00A12DE1"/>
    <w:pPr>
      <w:spacing w:line="240" w:lineRule="auto"/>
    </w:pPr>
    <w:rPr>
      <w:sz w:val="20"/>
      <w:szCs w:val="20"/>
    </w:rPr>
  </w:style>
  <w:style w:type="character" w:customStyle="1" w:styleId="FootnoteTextChar">
    <w:name w:val="Footnote Text Char"/>
    <w:basedOn w:val="DefaultParagraphFont"/>
    <w:link w:val="FootnoteText"/>
    <w:uiPriority w:val="99"/>
    <w:semiHidden/>
    <w:rsid w:val="00A12DE1"/>
    <w:rPr>
      <w:rFonts w:ascii="Verdana" w:hAnsi="Verdana"/>
      <w:color w:val="000000"/>
    </w:rPr>
  </w:style>
  <w:style w:type="character" w:styleId="FootnoteReference">
    <w:name w:val="footnote reference"/>
    <w:basedOn w:val="DefaultParagraphFont"/>
    <w:uiPriority w:val="99"/>
    <w:unhideWhenUsed/>
    <w:rsid w:val="00A12DE1"/>
    <w:rPr>
      <w:vertAlign w:val="superscript"/>
    </w:rPr>
  </w:style>
  <w:style w:type="character" w:styleId="CommentReference">
    <w:name w:val="annotation reference"/>
    <w:basedOn w:val="DefaultParagraphFont"/>
    <w:uiPriority w:val="99"/>
    <w:semiHidden/>
    <w:unhideWhenUsed/>
    <w:rsid w:val="00FA07B0"/>
    <w:rPr>
      <w:sz w:val="16"/>
      <w:szCs w:val="16"/>
    </w:rPr>
  </w:style>
  <w:style w:type="paragraph" w:styleId="CommentText">
    <w:name w:val="annotation text"/>
    <w:basedOn w:val="Normal"/>
    <w:link w:val="CommentTextChar"/>
    <w:uiPriority w:val="99"/>
    <w:unhideWhenUsed/>
    <w:rsid w:val="00FA07B0"/>
    <w:pPr>
      <w:spacing w:line="240" w:lineRule="auto"/>
    </w:pPr>
    <w:rPr>
      <w:sz w:val="20"/>
      <w:szCs w:val="20"/>
    </w:rPr>
  </w:style>
  <w:style w:type="character" w:customStyle="1" w:styleId="CommentTextChar">
    <w:name w:val="Comment Text Char"/>
    <w:basedOn w:val="DefaultParagraphFont"/>
    <w:link w:val="CommentText"/>
    <w:uiPriority w:val="99"/>
    <w:rsid w:val="00FA07B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07B0"/>
    <w:rPr>
      <w:b/>
      <w:bCs/>
    </w:rPr>
  </w:style>
  <w:style w:type="character" w:customStyle="1" w:styleId="CommentSubjectChar">
    <w:name w:val="Comment Subject Char"/>
    <w:basedOn w:val="CommentTextChar"/>
    <w:link w:val="CommentSubject"/>
    <w:uiPriority w:val="99"/>
    <w:semiHidden/>
    <w:rsid w:val="00FA07B0"/>
    <w:rPr>
      <w:rFonts w:ascii="Verdana" w:hAnsi="Verdana"/>
      <w:b/>
      <w:bCs/>
      <w:color w:val="000000"/>
    </w:rPr>
  </w:style>
  <w:style w:type="paragraph" w:styleId="ListParagraph">
    <w:name w:val="List Paragraph"/>
    <w:basedOn w:val="Normal"/>
    <w:uiPriority w:val="34"/>
    <w:semiHidden/>
    <w:rsid w:val="006138A1"/>
    <w:pPr>
      <w:ind w:left="720"/>
      <w:contextualSpacing/>
    </w:pPr>
  </w:style>
  <w:style w:type="paragraph" w:styleId="Revision">
    <w:name w:val="Revision"/>
    <w:hidden/>
    <w:uiPriority w:val="99"/>
    <w:semiHidden/>
    <w:rsid w:val="009F4DCA"/>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A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63364">
      <w:bodyDiv w:val="1"/>
      <w:marLeft w:val="0"/>
      <w:marRight w:val="0"/>
      <w:marTop w:val="0"/>
      <w:marBottom w:val="0"/>
      <w:divBdr>
        <w:top w:val="none" w:sz="0" w:space="0" w:color="auto"/>
        <w:left w:val="none" w:sz="0" w:space="0" w:color="auto"/>
        <w:bottom w:val="none" w:sz="0" w:space="0" w:color="auto"/>
        <w:right w:val="none" w:sz="0" w:space="0" w:color="auto"/>
      </w:divBdr>
    </w:div>
    <w:div w:id="126414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8/08/relationships/commentsExtensible" Target="commentsExtensi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microsoft.com/office/2016/09/relationships/commentsIds" Target="commentsIds.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1543</ap:Words>
  <ap:Characters>8796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Reactie op position paper</vt:lpstr>
    </vt:vector>
  </ap:TitlesOfParts>
  <ap:LinksUpToDate>false</ap:LinksUpToDate>
  <ap:CharactersWithSpaces>10319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2026-06-10T07:17:00.0000000Z</dcterms:created>
  <dcterms:modified xsi:type="dcterms:W3CDTF">2026-06-10T07:17:00.0000000Z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position paper</vt:lpwstr>
  </property>
  <property fmtid="{D5CDD505-2E9C-101B-9397-08002B2CF9AE}" pid="5" name="Publicatiedatum">
    <vt:lpwstr/>
  </property>
  <property fmtid="{D5CDD505-2E9C-101B-9397-08002B2CF9AE}" pid="6" name="Verantwoordelijke organisatie">
    <vt:lpwstr>Dir Gezonde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J.M. Vennik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