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269" w:rsidP="00316269" w:rsidRDefault="00316269" w14:paraId="777DF1D7" w14:textId="77777777">
      <w:r>
        <w:t>Geachte voorzitter,</w:t>
      </w:r>
    </w:p>
    <w:p w:rsidR="00316269" w:rsidP="00316269" w:rsidRDefault="00316269" w14:paraId="35B3CB27" w14:textId="77777777"/>
    <w:p w:rsidRPr="00486EED" w:rsidR="00316269" w:rsidP="00316269" w:rsidRDefault="00316269" w14:paraId="4D856F5C" w14:textId="77777777">
      <w:pPr>
        <w:autoSpaceDN/>
        <w:spacing w:after="160" w:line="276" w:lineRule="auto"/>
        <w:textAlignment w:val="auto"/>
        <w:rPr>
          <w:rFonts w:eastAsiaTheme="minorHAnsi" w:cstheme="minorBidi"/>
          <w:color w:val="auto"/>
          <w:kern w:val="2"/>
          <w:lang w:eastAsia="en-US"/>
          <w14:ligatures w14:val="standardContextual"/>
        </w:rPr>
      </w:pPr>
      <w:r w:rsidRPr="00486EED">
        <w:rPr>
          <w:rFonts w:eastAsiaTheme="minorHAnsi" w:cstheme="minorBidi"/>
          <w:color w:val="auto"/>
          <w:kern w:val="2"/>
          <w:lang w:eastAsia="en-US"/>
          <w14:ligatures w14:val="standardContextual"/>
        </w:rPr>
        <w:t>De Europese Unie (EU) is de afgelopen 70 jaar gegroeid van een gemeenschap van zes landen tot een sterk verbond van 27 lidstaten. Zowel Nederland als de EU zijn daar sterker van geworden. Als open economie profiteert Nederland van een grote interne markt, via de schaalvoordelen die dit met zich meebrengt. Omdat de EU helpt onze gedeelde waarden, waaronder de rechtsstaat, te beschermen en versterken, kunnen burgers en bedrijven vrij bewegen door Europa en productief samenwerken.</w:t>
      </w:r>
      <w:r w:rsidRPr="00486EED">
        <w:rPr>
          <w:rFonts w:eastAsiaTheme="minorHAnsi" w:cstheme="minorBidi"/>
          <w:color w:val="auto"/>
          <w:kern w:val="2"/>
          <w:vertAlign w:val="superscript"/>
          <w:lang w:eastAsia="en-US"/>
          <w14:ligatures w14:val="standardContextual"/>
        </w:rPr>
        <w:footnoteReference w:id="1"/>
      </w:r>
      <w:r w:rsidRPr="00486EED">
        <w:rPr>
          <w:rFonts w:eastAsiaTheme="minorHAnsi" w:cstheme="minorBidi"/>
          <w:color w:val="auto"/>
          <w:kern w:val="2"/>
          <w:lang w:eastAsia="en-US"/>
          <w14:ligatures w14:val="standardContextual"/>
        </w:rPr>
        <w:t xml:space="preserve"> De Unie speelt als economische grootmacht daarnaast een belangrijke rol op het wereldtoneel. Die rol is noodzakelijk voor onze veiligheid en duurzame welvaart, zeker nu de mondiale machtsverhoudingen verschuiven. </w:t>
      </w:r>
      <w:r w:rsidRPr="00486EED">
        <w:rPr>
          <w:rFonts w:eastAsiaTheme="minorHAnsi" w:cstheme="minorHAnsi"/>
          <w:color w:val="auto"/>
          <w:kern w:val="2"/>
          <w:lang w:eastAsia="en-US"/>
          <w14:ligatures w14:val="standardContextual"/>
        </w:rPr>
        <w:t>Nederland heeft de mogelijkheid en voelt een verantwoordelijkheid om mede aan het stuur te zitten om de toekomst van de Unie zo goed mogelijk vorm te geven.</w:t>
      </w:r>
    </w:p>
    <w:p w:rsidRPr="004F30AF" w:rsidR="00316269" w:rsidP="00316269" w:rsidRDefault="00316269" w14:paraId="130DEE3F" w14:textId="77777777">
      <w:pPr>
        <w:autoSpaceDN/>
        <w:spacing w:after="160" w:line="276" w:lineRule="auto"/>
        <w:textAlignment w:val="auto"/>
        <w:rPr>
          <w:rFonts w:eastAsiaTheme="minorHAnsi" w:cstheme="minorBidi"/>
          <w:color w:val="auto"/>
          <w:kern w:val="2"/>
          <w:lang w:eastAsia="en-US"/>
          <w14:ligatures w14:val="standardContextual"/>
        </w:rPr>
      </w:pPr>
      <w:r w:rsidRPr="00486EED">
        <w:rPr>
          <w:rFonts w:eastAsiaTheme="minorHAnsi" w:cstheme="minorBidi"/>
          <w:color w:val="auto"/>
          <w:kern w:val="2"/>
          <w:lang w:eastAsia="en-US"/>
          <w14:ligatures w14:val="standardContextual"/>
        </w:rPr>
        <w:t xml:space="preserve">Het verleden leert dat toetreding van nieuwe landen tot de Unie kansen schept wanneer zowel kandidaat-lidstaten als de EU hier klaar voor zijn. Uitbreiding moet de EU versterken, niet verzwakken. Daarom vindt het kabinet het belangrijk om goed voorbereid te zijn op toekomstige uitbreiding door: (1) een strikt, </w:t>
      </w:r>
      <w:r w:rsidRPr="00486EED">
        <w:rPr>
          <w:rFonts w:eastAsiaTheme="minorHAnsi" w:cstheme="minorBidi"/>
          <w:i/>
          <w:color w:val="auto"/>
          <w:kern w:val="2"/>
          <w:lang w:eastAsia="en-US"/>
          <w14:ligatures w14:val="standardContextual"/>
        </w:rPr>
        <w:t>fair</w:t>
      </w:r>
      <w:r w:rsidRPr="00486EED">
        <w:rPr>
          <w:rFonts w:eastAsiaTheme="minorHAnsi" w:cstheme="minorBidi"/>
          <w:color w:val="auto"/>
          <w:kern w:val="2"/>
          <w:lang w:eastAsia="en-US"/>
          <w14:ligatures w14:val="standardContextual"/>
        </w:rPr>
        <w:t xml:space="preserve"> en betrokken EU-uitbreidingsbeleid</w:t>
      </w:r>
      <w:r>
        <w:rPr>
          <w:rFonts w:eastAsiaTheme="minorHAnsi" w:cstheme="minorBidi"/>
          <w:color w:val="auto"/>
          <w:kern w:val="2"/>
          <w:lang w:eastAsia="en-US"/>
          <w14:ligatures w14:val="standardContextual"/>
        </w:rPr>
        <w:t>, dat gebaseerd is op verdiensten (</w:t>
      </w:r>
      <w:r>
        <w:rPr>
          <w:rFonts w:eastAsiaTheme="minorHAnsi" w:cstheme="minorBidi"/>
          <w:i/>
          <w:iCs/>
          <w:color w:val="auto"/>
          <w:kern w:val="2"/>
          <w:lang w:eastAsia="en-US"/>
          <w14:ligatures w14:val="standardContextual"/>
        </w:rPr>
        <w:t>merit based</w:t>
      </w:r>
      <w:r>
        <w:rPr>
          <w:rFonts w:eastAsiaTheme="minorHAnsi" w:cstheme="minorBidi"/>
          <w:color w:val="auto"/>
          <w:kern w:val="2"/>
          <w:lang w:eastAsia="en-US"/>
          <w14:ligatures w14:val="standardContextual"/>
        </w:rPr>
        <w:t>), in combinatie met geleidelijke integratie</w:t>
      </w:r>
      <w:r w:rsidRPr="00486EED">
        <w:rPr>
          <w:rFonts w:eastAsiaTheme="minorHAnsi" w:cstheme="minorBidi"/>
          <w:color w:val="auto"/>
          <w:kern w:val="2"/>
          <w:lang w:eastAsia="en-US"/>
          <w14:ligatures w14:val="standardContextual"/>
        </w:rPr>
        <w:t xml:space="preserve">; (2) stevige waarborgen in toetredingsverdragen, zoals geformuleerd in bijgaand non-paper en (3) hervormingen die de EU ook op de lange termijn toekomstbestendig houden. Via het formuleren van deze kabinetsinzet geeft deze brief mede uitvoering aan de motie van het lid Becker c.s., die het kabinet verzoekt om met gelijkgestemde landen bij de Europese </w:t>
      </w:r>
      <w:r w:rsidRPr="004F30AF">
        <w:rPr>
          <w:rFonts w:eastAsiaTheme="minorHAnsi" w:cstheme="minorBidi"/>
          <w:color w:val="auto"/>
          <w:kern w:val="2"/>
          <w:lang w:eastAsia="en-US"/>
          <w14:ligatures w14:val="standardContextual"/>
        </w:rPr>
        <w:t>Commissie te bepleiten het toetredingsproces te versterken.</w:t>
      </w:r>
      <w:r w:rsidRPr="004F30AF">
        <w:rPr>
          <w:rFonts w:eastAsiaTheme="minorHAnsi" w:cstheme="minorBidi"/>
          <w:color w:val="auto"/>
          <w:kern w:val="2"/>
          <w:vertAlign w:val="superscript"/>
          <w:lang w:eastAsia="en-US"/>
          <w14:ligatures w14:val="standardContextual"/>
        </w:rPr>
        <w:footnoteReference w:id="2"/>
      </w:r>
      <w:r w:rsidRPr="004F30AF">
        <w:rPr>
          <w:rFonts w:eastAsiaTheme="minorHAnsi" w:cstheme="minorBidi"/>
          <w:color w:val="auto"/>
          <w:kern w:val="2"/>
          <w:lang w:eastAsia="en-US"/>
          <w14:ligatures w14:val="standardContextual"/>
        </w:rPr>
        <w:t xml:space="preserve"> </w:t>
      </w:r>
    </w:p>
    <w:p w:rsidR="00316269" w:rsidP="00316269" w:rsidRDefault="00316269" w14:paraId="1879A7DA" w14:textId="77777777">
      <w:pPr>
        <w:autoSpaceDN/>
        <w:spacing w:line="276" w:lineRule="auto"/>
        <w:textAlignment w:val="auto"/>
        <w:rPr>
          <w:rFonts w:eastAsiaTheme="minorHAnsi" w:cstheme="minorHAnsi"/>
          <w:b/>
          <w:iCs/>
          <w:color w:val="auto"/>
          <w:kern w:val="2"/>
          <w:lang w:eastAsia="en-US"/>
          <w14:ligatures w14:val="standardContextual"/>
        </w:rPr>
      </w:pPr>
      <w:r w:rsidRPr="00421B36">
        <w:rPr>
          <w:rFonts w:eastAsiaTheme="minorHAnsi" w:cstheme="minorHAnsi"/>
          <w:iCs/>
          <w:color w:val="auto"/>
          <w:kern w:val="2"/>
          <w:lang w:eastAsia="en-US"/>
          <w14:ligatures w14:val="standardContextual"/>
        </w:rPr>
        <w:t xml:space="preserve">In deze brief wordt eerst ingegaan op de verwachte impact van EU-uitbreiding op de samenleving. Vervolgens wordt de kabinetsinzet </w:t>
      </w:r>
      <w:r>
        <w:rPr>
          <w:rFonts w:eastAsiaTheme="minorHAnsi" w:cstheme="minorHAnsi"/>
          <w:iCs/>
          <w:color w:val="auto"/>
          <w:kern w:val="2"/>
          <w:lang w:eastAsia="en-US"/>
          <w14:ligatures w14:val="standardContextual"/>
        </w:rPr>
        <w:t>langs bovengenoemde drie pijlers</w:t>
      </w:r>
      <w:r w:rsidRPr="00E31572">
        <w:rPr>
          <w:rFonts w:eastAsiaTheme="minorHAnsi" w:cstheme="minorHAnsi"/>
          <w:iCs/>
          <w:color w:val="auto"/>
          <w:kern w:val="2"/>
          <w:lang w:eastAsia="en-US"/>
          <w14:ligatures w14:val="standardContextual"/>
        </w:rPr>
        <w:t xml:space="preserve"> </w:t>
      </w:r>
      <w:r w:rsidRPr="00421B36">
        <w:rPr>
          <w:rFonts w:eastAsiaTheme="minorHAnsi" w:cstheme="minorHAnsi"/>
          <w:iCs/>
          <w:color w:val="auto"/>
          <w:kern w:val="2"/>
          <w:lang w:eastAsia="en-US"/>
          <w14:ligatures w14:val="standardContextual"/>
        </w:rPr>
        <w:t>omschreven</w:t>
      </w:r>
      <w:r>
        <w:rPr>
          <w:rFonts w:eastAsiaTheme="minorHAnsi" w:cstheme="minorHAnsi"/>
          <w:iCs/>
          <w:color w:val="auto"/>
          <w:kern w:val="2"/>
          <w:lang w:eastAsia="en-US"/>
          <w14:ligatures w14:val="standardContextual"/>
        </w:rPr>
        <w:t>,</w:t>
      </w:r>
      <w:r w:rsidRPr="00421B36">
        <w:rPr>
          <w:rFonts w:eastAsiaTheme="minorHAnsi" w:cstheme="minorHAnsi"/>
          <w:iCs/>
          <w:color w:val="auto"/>
          <w:kern w:val="2"/>
          <w:lang w:eastAsia="en-US"/>
          <w14:ligatures w14:val="standardContextual"/>
        </w:rPr>
        <w:t xml:space="preserve"> die erop gericht </w:t>
      </w:r>
      <w:r w:rsidRPr="004F30AF">
        <w:rPr>
          <w:rFonts w:eastAsiaTheme="minorHAnsi" w:cstheme="minorBidi"/>
          <w:color w:val="auto"/>
          <w:kern w:val="2"/>
          <w:lang w:eastAsia="en-US"/>
          <w14:ligatures w14:val="standardContextual"/>
        </w:rPr>
        <w:t>is om met de juiste voorbereidingen de potentieel verstorende effecten op de samenleving</w:t>
      </w:r>
      <w:r>
        <w:rPr>
          <w:rFonts w:eastAsiaTheme="minorHAnsi" w:cstheme="minorBidi"/>
          <w:color w:val="auto"/>
          <w:kern w:val="2"/>
          <w:lang w:eastAsia="en-US"/>
          <w14:ligatures w14:val="standardContextual"/>
        </w:rPr>
        <w:t xml:space="preserve"> </w:t>
      </w:r>
      <w:r w:rsidRPr="00486EED">
        <w:rPr>
          <w:rFonts w:eastAsiaTheme="minorHAnsi" w:cstheme="minorBidi"/>
          <w:color w:val="auto"/>
          <w:kern w:val="2"/>
          <w:lang w:eastAsia="en-US"/>
          <w14:ligatures w14:val="standardContextual"/>
        </w:rPr>
        <w:t xml:space="preserve">van uitbreiding te mitigeren, </w:t>
      </w:r>
      <w:r w:rsidRPr="00486EED">
        <w:rPr>
          <w:rFonts w:eastAsiaTheme="minorHAnsi" w:cstheme="minorBidi"/>
          <w:color w:val="auto"/>
          <w:kern w:val="2"/>
          <w:lang w:eastAsia="en-US"/>
          <w14:ligatures w14:val="standardContextual"/>
        </w:rPr>
        <w:lastRenderedPageBreak/>
        <w:t>opdat uitbreiding de Unie</w:t>
      </w:r>
      <w:r>
        <w:rPr>
          <w:rFonts w:eastAsiaTheme="minorHAnsi" w:cstheme="minorBidi"/>
          <w:color w:val="auto"/>
          <w:kern w:val="2"/>
          <w:lang w:eastAsia="en-US"/>
          <w14:ligatures w14:val="standardContextual"/>
        </w:rPr>
        <w:t xml:space="preserve"> en Nederland in den brede</w:t>
      </w:r>
      <w:r w:rsidRPr="00486EED">
        <w:rPr>
          <w:rFonts w:eastAsiaTheme="minorHAnsi" w:cstheme="minorBidi"/>
          <w:color w:val="auto"/>
          <w:kern w:val="2"/>
          <w:lang w:eastAsia="en-US"/>
          <w14:ligatures w14:val="standardContextual"/>
        </w:rPr>
        <w:t xml:space="preserve"> versterkt</w:t>
      </w:r>
      <w:r>
        <w:rPr>
          <w:rFonts w:eastAsiaTheme="minorHAnsi" w:cstheme="minorBidi"/>
          <w:color w:val="auto"/>
          <w:kern w:val="2"/>
          <w:lang w:eastAsia="en-US"/>
          <w14:ligatures w14:val="standardContextual"/>
        </w:rPr>
        <w:t xml:space="preserve">. Daarnaast wordt in deze brief ingegaan op het EU-toetredingsproces van Oekraïne. </w:t>
      </w:r>
    </w:p>
    <w:p w:rsidR="00316269" w:rsidP="00316269" w:rsidRDefault="00316269" w14:paraId="0E291C2F" w14:textId="77777777">
      <w:pPr>
        <w:autoSpaceDN/>
        <w:spacing w:line="276" w:lineRule="auto"/>
        <w:textAlignment w:val="auto"/>
        <w:rPr>
          <w:rFonts w:eastAsiaTheme="minorHAnsi" w:cstheme="minorHAnsi"/>
          <w:b/>
          <w:iCs/>
          <w:color w:val="auto"/>
          <w:kern w:val="2"/>
          <w:lang w:eastAsia="en-US"/>
          <w14:ligatures w14:val="standardContextual"/>
        </w:rPr>
      </w:pPr>
    </w:p>
    <w:p w:rsidRPr="00486EED" w:rsidR="00316269" w:rsidP="00316269" w:rsidRDefault="00316269" w14:paraId="5A2ADD36" w14:textId="77777777">
      <w:pPr>
        <w:autoSpaceDN/>
        <w:spacing w:line="276" w:lineRule="auto"/>
        <w:textAlignment w:val="auto"/>
        <w:rPr>
          <w:rFonts w:eastAsiaTheme="minorHAnsi" w:cstheme="minorHAnsi"/>
          <w:iCs/>
          <w:color w:val="auto"/>
          <w:kern w:val="2"/>
          <w:lang w:eastAsia="en-US"/>
          <w14:ligatures w14:val="standardContextual"/>
        </w:rPr>
      </w:pPr>
      <w:r w:rsidRPr="00486EED">
        <w:rPr>
          <w:rFonts w:eastAsiaTheme="minorHAnsi" w:cstheme="minorHAnsi"/>
          <w:b/>
          <w:iCs/>
          <w:color w:val="auto"/>
          <w:kern w:val="2"/>
          <w:lang w:eastAsia="en-US"/>
          <w14:ligatures w14:val="standardContextual"/>
        </w:rPr>
        <w:t xml:space="preserve">De verwachte impact van EU-uitbreiding op de samenleving </w:t>
      </w:r>
    </w:p>
    <w:p w:rsidRPr="00486EED" w:rsidR="00316269" w:rsidP="00316269" w:rsidRDefault="00316269" w14:paraId="39754BEA" w14:textId="446A8E63">
      <w:pPr>
        <w:autoSpaceDN/>
        <w:spacing w:after="160" w:line="276" w:lineRule="auto"/>
        <w:textAlignment w:val="auto"/>
        <w:rPr>
          <w:rFonts w:eastAsia="Times New Roman" w:cstheme="minorBidi"/>
          <w:color w:val="auto"/>
          <w:kern w:val="2"/>
          <w:lang w:eastAsia="en-US"/>
          <w14:ligatures w14:val="standardContextual"/>
        </w:rPr>
      </w:pPr>
      <w:r w:rsidRPr="00486EED">
        <w:rPr>
          <w:rFonts w:eastAsia="Times New Roman" w:cstheme="minorBidi"/>
          <w:color w:val="auto"/>
          <w:kern w:val="2"/>
          <w:lang w:eastAsia="en-US"/>
          <w14:ligatures w14:val="standardContextual"/>
        </w:rPr>
        <w:t xml:space="preserve">De wereld om ons heen verandert in hoog tempo. De Russische agressieoorlog tegen Oekraïne </w:t>
      </w:r>
      <w:r>
        <w:rPr>
          <w:rFonts w:eastAsia="Times New Roman" w:cstheme="minorBidi"/>
          <w:color w:val="auto"/>
          <w:kern w:val="2"/>
          <w:lang w:eastAsia="en-US"/>
          <w14:ligatures w14:val="standardContextual"/>
        </w:rPr>
        <w:t>is</w:t>
      </w:r>
      <w:r w:rsidRPr="00486EED">
        <w:rPr>
          <w:rFonts w:eastAsia="Times New Roman" w:cstheme="minorBidi"/>
          <w:color w:val="auto"/>
          <w:kern w:val="2"/>
          <w:lang w:eastAsia="en-US"/>
          <w14:ligatures w14:val="standardContextual"/>
        </w:rPr>
        <w:t xml:space="preserve"> inmiddels </w:t>
      </w:r>
      <w:r>
        <w:rPr>
          <w:rFonts w:eastAsia="Times New Roman" w:cstheme="minorBidi"/>
          <w:color w:val="auto"/>
          <w:kern w:val="2"/>
          <w:lang w:eastAsia="en-US"/>
          <w14:ligatures w14:val="standardContextual"/>
        </w:rPr>
        <w:t>het vijfde jaar ingegaan</w:t>
      </w:r>
      <w:r w:rsidRPr="00486EED">
        <w:rPr>
          <w:rFonts w:eastAsia="Times New Roman" w:cstheme="minorBidi"/>
          <w:color w:val="auto"/>
          <w:kern w:val="2"/>
          <w:lang w:eastAsia="en-US"/>
          <w14:ligatures w14:val="standardContextual"/>
        </w:rPr>
        <w:t xml:space="preserve"> We zien een grootmacht als China assertiever opereren en de positie van de Verenigde Staten op het wereldtoneel veranderen. In een veranderde en meer onzekere wereld klinkt de roep om een sterker Europa die de taal van de macht spreekt en haar belangen kan verdedigen. Europa </w:t>
      </w:r>
      <w:r>
        <w:rPr>
          <w:rFonts w:eastAsia="Times New Roman" w:cstheme="minorBidi"/>
          <w:color w:val="auto"/>
          <w:kern w:val="2"/>
          <w:lang w:eastAsia="en-US"/>
          <w14:ligatures w14:val="standardContextual"/>
        </w:rPr>
        <w:t xml:space="preserve">moet </w:t>
      </w:r>
      <w:r w:rsidRPr="00486EED">
        <w:rPr>
          <w:rFonts w:eastAsia="Times New Roman" w:cstheme="minorBidi"/>
          <w:color w:val="auto"/>
          <w:kern w:val="2"/>
          <w:lang w:eastAsia="en-US"/>
          <w14:ligatures w14:val="standardContextual"/>
        </w:rPr>
        <w:t>staa</w:t>
      </w:r>
      <w:r>
        <w:rPr>
          <w:rFonts w:eastAsia="Times New Roman" w:cstheme="minorBidi"/>
          <w:color w:val="auto"/>
          <w:kern w:val="2"/>
          <w:lang w:eastAsia="en-US"/>
          <w14:ligatures w14:val="standardContextual"/>
        </w:rPr>
        <w:t>n</w:t>
      </w:r>
      <w:r w:rsidRPr="00486EED">
        <w:rPr>
          <w:rFonts w:eastAsia="Times New Roman" w:cstheme="minorBidi"/>
          <w:color w:val="auto"/>
          <w:kern w:val="2"/>
          <w:lang w:eastAsia="en-US"/>
          <w14:ligatures w14:val="standardContextual"/>
        </w:rPr>
        <w:t xml:space="preserve"> voor onze veiligheid, welvaart en waarden, zeker nu de op recht en regels gebaseerde orde onder druk staat. De economische veiligheid moet worden versterkt door risicovolle strategische afhankelijkheden te verminderen</w:t>
      </w:r>
      <w:r w:rsidR="008A7003">
        <w:rPr>
          <w:rStyle w:val="FootnoteReference"/>
          <w:rFonts w:eastAsia="Times New Roman" w:cstheme="minorBidi"/>
          <w:color w:val="auto"/>
          <w:kern w:val="2"/>
          <w:lang w:eastAsia="en-US"/>
          <w14:ligatures w14:val="standardContextual"/>
        </w:rPr>
        <w:footnoteReference w:id="3"/>
      </w:r>
      <w:r w:rsidRPr="00486EED">
        <w:rPr>
          <w:rFonts w:eastAsia="Times New Roman" w:cstheme="minorBidi"/>
          <w:color w:val="auto"/>
          <w:kern w:val="2"/>
          <w:lang w:eastAsia="en-US"/>
          <w14:ligatures w14:val="standardContextual"/>
        </w:rPr>
        <w:t xml:space="preserve">. Intensieve samenwerking met landen in de nabuurschapsregio is van strategisch belang. Het EU-toetredingsperspectief van </w:t>
      </w:r>
      <w:r>
        <w:rPr>
          <w:rFonts w:eastAsia="Times New Roman" w:cstheme="minorBidi"/>
          <w:color w:val="auto"/>
          <w:kern w:val="2"/>
          <w:lang w:eastAsia="en-US"/>
          <w14:ligatures w14:val="standardContextual"/>
        </w:rPr>
        <w:t xml:space="preserve">kandidaat-lidstaten waaronder </w:t>
      </w:r>
      <w:r w:rsidRPr="00486EED">
        <w:rPr>
          <w:rFonts w:eastAsia="Times New Roman" w:cstheme="minorBidi"/>
          <w:color w:val="auto"/>
          <w:kern w:val="2"/>
          <w:lang w:eastAsia="en-US"/>
          <w14:ligatures w14:val="standardContextual"/>
        </w:rPr>
        <w:t>Oekraïne, Moldavië en de Westelijke Balkan draagt bij aan stabiliteit in de regio.</w:t>
      </w:r>
    </w:p>
    <w:p w:rsidRPr="00486EED" w:rsidR="00316269" w:rsidP="00316269" w:rsidRDefault="00316269" w14:paraId="63EE2E0A" w14:textId="77777777">
      <w:pPr>
        <w:autoSpaceDN/>
        <w:spacing w:after="160" w:line="276" w:lineRule="auto"/>
        <w:textAlignment w:val="auto"/>
        <w:rPr>
          <w:rFonts w:eastAsiaTheme="minorHAnsi" w:cstheme="minorHAnsi"/>
          <w:color w:val="auto"/>
          <w:kern w:val="2"/>
          <w:lang w:eastAsia="en-US"/>
          <w14:ligatures w14:val="standardContextual"/>
        </w:rPr>
      </w:pPr>
      <w:r w:rsidRPr="00486EED">
        <w:rPr>
          <w:rFonts w:eastAsiaTheme="minorHAnsi" w:cstheme="minorHAnsi"/>
          <w:color w:val="auto"/>
          <w:kern w:val="2"/>
          <w:lang w:eastAsia="en-US"/>
          <w14:ligatures w14:val="standardContextual"/>
        </w:rPr>
        <w:t xml:space="preserve">Als een land toetreedt tot de EU heeft dat gevolgen voor onze samenleving. Welke gevolgen dat zijn, verschilt: toetreding van Montenegro zal andere gevolgen hebben </w:t>
      </w:r>
      <w:r>
        <w:rPr>
          <w:rFonts w:eastAsiaTheme="minorHAnsi" w:cstheme="minorHAnsi"/>
          <w:color w:val="auto"/>
          <w:kern w:val="2"/>
          <w:lang w:eastAsia="en-US"/>
          <w14:ligatures w14:val="standardContextual"/>
        </w:rPr>
        <w:t xml:space="preserve">voor de EU </w:t>
      </w:r>
      <w:r w:rsidRPr="00486EED">
        <w:rPr>
          <w:rFonts w:eastAsiaTheme="minorHAnsi" w:cstheme="minorHAnsi"/>
          <w:color w:val="auto"/>
          <w:kern w:val="2"/>
          <w:lang w:eastAsia="en-US"/>
          <w14:ligatures w14:val="standardContextual"/>
        </w:rPr>
        <w:t xml:space="preserve">dan toetreding van Oekraïne, of </w:t>
      </w:r>
      <w:r>
        <w:rPr>
          <w:rFonts w:eastAsiaTheme="minorHAnsi" w:cstheme="minorHAnsi"/>
          <w:color w:val="auto"/>
          <w:kern w:val="2"/>
          <w:lang w:eastAsia="en-US"/>
          <w14:ligatures w14:val="standardContextual"/>
        </w:rPr>
        <w:t xml:space="preserve">mogelijk </w:t>
      </w:r>
      <w:r w:rsidRPr="00486EED">
        <w:rPr>
          <w:rFonts w:eastAsiaTheme="minorHAnsi" w:cstheme="minorHAnsi"/>
          <w:color w:val="auto"/>
          <w:kern w:val="2"/>
          <w:lang w:eastAsia="en-US"/>
          <w14:ligatures w14:val="standardContextual"/>
        </w:rPr>
        <w:t>IJsland</w:t>
      </w:r>
      <w:r w:rsidRPr="00486EED">
        <w:rPr>
          <w:rFonts w:eastAsiaTheme="minorHAnsi" w:cstheme="minorHAnsi"/>
          <w:color w:val="auto"/>
          <w:kern w:val="2"/>
          <w:vertAlign w:val="superscript"/>
          <w:lang w:eastAsia="en-US"/>
          <w14:ligatures w14:val="standardContextual"/>
        </w:rPr>
        <w:footnoteReference w:id="4"/>
      </w:r>
      <w:r w:rsidRPr="00486EED">
        <w:rPr>
          <w:rFonts w:eastAsiaTheme="minorHAnsi" w:cstheme="minorHAnsi"/>
          <w:color w:val="auto"/>
          <w:kern w:val="2"/>
          <w:lang w:eastAsia="en-US"/>
          <w14:ligatures w14:val="standardContextual"/>
        </w:rPr>
        <w:t xml:space="preserve">. Het kabinet vindt het </w:t>
      </w:r>
      <w:r>
        <w:rPr>
          <w:rFonts w:eastAsiaTheme="minorHAnsi" w:cstheme="minorHAnsi"/>
          <w:color w:val="auto"/>
          <w:kern w:val="2"/>
          <w:lang w:eastAsia="en-US"/>
          <w14:ligatures w14:val="standardContextual"/>
        </w:rPr>
        <w:t xml:space="preserve">daarom </w:t>
      </w:r>
      <w:r w:rsidRPr="00486EED">
        <w:rPr>
          <w:rFonts w:eastAsiaTheme="minorHAnsi" w:cstheme="minorHAnsi"/>
          <w:color w:val="auto"/>
          <w:kern w:val="2"/>
          <w:lang w:eastAsia="en-US"/>
          <w14:ligatures w14:val="standardContextual"/>
        </w:rPr>
        <w:t xml:space="preserve">essentieel dat de absorptiecapaciteit van de EU in overweging wordt genomen, zoals is opgenomen in de Kopenhagencriteria. Het kabinet wil lessen trekken uit het verleden, en inzichten over de verwachte impact van uitbreiding meewegen. </w:t>
      </w:r>
    </w:p>
    <w:p w:rsidRPr="00486EED" w:rsidR="00316269" w:rsidP="00316269" w:rsidRDefault="00316269" w14:paraId="43693443" w14:textId="77777777">
      <w:pPr>
        <w:autoSpaceDN/>
        <w:spacing w:after="160" w:line="276" w:lineRule="auto"/>
        <w:textAlignment w:val="auto"/>
        <w:rPr>
          <w:rFonts w:eastAsiaTheme="minorHAnsi" w:cstheme="minorBidi"/>
          <w:color w:val="auto"/>
          <w:kern w:val="2"/>
          <w:highlight w:val="yellow"/>
          <w:lang w:eastAsia="en-US"/>
          <w14:ligatures w14:val="standardContextual"/>
        </w:rPr>
      </w:pPr>
      <w:r w:rsidRPr="00486EED">
        <w:rPr>
          <w:rFonts w:eastAsiaTheme="minorHAnsi" w:cstheme="minorHAnsi"/>
          <w:color w:val="auto"/>
          <w:kern w:val="2"/>
          <w:lang w:eastAsia="en-US"/>
          <w14:ligatures w14:val="standardContextual"/>
        </w:rPr>
        <w:t>Bij EU-uitbreiding wordt de interne markt groter</w:t>
      </w:r>
      <w:r w:rsidRPr="00486EED">
        <w:rPr>
          <w:rFonts w:eastAsiaTheme="minorHAnsi" w:cstheme="minorBidi"/>
          <w:color w:val="auto"/>
          <w:kern w:val="2"/>
          <w:lang w:eastAsia="en-US"/>
          <w14:ligatures w14:val="standardContextual"/>
        </w:rPr>
        <w:t>, wat</w:t>
      </w:r>
      <w:r w:rsidRPr="00486EED" w:rsidDel="00E36B0D">
        <w:rPr>
          <w:rFonts w:eastAsiaTheme="minorHAnsi" w:cstheme="minorBidi"/>
          <w:color w:val="auto"/>
          <w:kern w:val="2"/>
          <w:lang w:eastAsia="en-US"/>
          <w14:ligatures w14:val="standardContextual"/>
        </w:rPr>
        <w:t xml:space="preserve"> </w:t>
      </w:r>
      <w:r w:rsidRPr="00486EED">
        <w:rPr>
          <w:rFonts w:eastAsiaTheme="minorHAnsi" w:cstheme="minorBidi"/>
          <w:color w:val="auto"/>
          <w:kern w:val="2"/>
          <w:lang w:eastAsia="en-US"/>
          <w14:ligatures w14:val="standardContextual"/>
        </w:rPr>
        <w:t xml:space="preserve">kan zorgen voor verschuivingen van arbeid, kapitaal en productie. Dit biedt kansen voor ondernemers om te groeien. Het kan ook effect hebben op de interne veiligheid, </w:t>
      </w:r>
      <w:r>
        <w:rPr>
          <w:rFonts w:eastAsiaTheme="minorHAnsi" w:cstheme="minorBidi"/>
          <w:color w:val="auto"/>
          <w:kern w:val="2"/>
          <w:lang w:eastAsia="en-US"/>
          <w14:ligatures w14:val="standardContextual"/>
        </w:rPr>
        <w:t>arbeidsmigratie</w:t>
      </w:r>
      <w:r w:rsidRPr="00486EED">
        <w:rPr>
          <w:rFonts w:eastAsiaTheme="minorHAnsi" w:cstheme="minorBidi"/>
          <w:color w:val="auto"/>
          <w:kern w:val="2"/>
          <w:lang w:eastAsia="en-US"/>
          <w14:ligatures w14:val="standardContextual"/>
        </w:rPr>
        <w:t xml:space="preserve"> en (publieke) voorzieningen. Er zijn waarborgen nodig om het gelijke speelveld te garanderen. De toetreding van Kroatië (2013) laat zien dat de Nederlandse goederenexport naar Kroatië steeg van ongeveer EUR 435 miljoen in 2012 naar EUR 1,4 miljard in 2025.</w:t>
      </w:r>
      <w:r w:rsidRPr="00486EED">
        <w:rPr>
          <w:rFonts w:cs="Calibri" w:eastAsiaTheme="minorHAnsi"/>
          <w:color w:val="auto"/>
          <w:kern w:val="2"/>
          <w:vertAlign w:val="superscript"/>
          <w:lang w:eastAsia="en-US"/>
          <w14:ligatures w14:val="standardContextual"/>
        </w:rPr>
        <w:footnoteReference w:id="5"/>
      </w:r>
      <w:r w:rsidRPr="00486EED">
        <w:rPr>
          <w:rFonts w:eastAsiaTheme="minorHAnsi" w:cstheme="minorBidi"/>
          <w:color w:val="auto"/>
          <w:kern w:val="2"/>
          <w:lang w:eastAsia="en-US"/>
          <w14:ligatures w14:val="standardContextual"/>
        </w:rPr>
        <w:t xml:space="preserve"> </w:t>
      </w:r>
      <w:r>
        <w:rPr>
          <w:rFonts w:eastAsiaTheme="minorHAnsi" w:cstheme="minorBidi"/>
          <w:color w:val="auto"/>
          <w:kern w:val="2"/>
          <w:lang w:eastAsia="en-US"/>
          <w14:ligatures w14:val="standardContextual"/>
        </w:rPr>
        <w:t>H</w:t>
      </w:r>
      <w:r w:rsidRPr="00486EED">
        <w:rPr>
          <w:rFonts w:eastAsiaTheme="minorHAnsi" w:cstheme="minorBidi"/>
          <w:color w:val="auto"/>
          <w:kern w:val="2"/>
          <w:lang w:eastAsia="en-US"/>
          <w14:ligatures w14:val="standardContextual"/>
        </w:rPr>
        <w:t>et aantal Kroatische staatsburgers in Nederland</w:t>
      </w:r>
      <w:r>
        <w:rPr>
          <w:rFonts w:eastAsiaTheme="minorHAnsi" w:cstheme="minorBidi"/>
          <w:color w:val="auto"/>
          <w:kern w:val="2"/>
          <w:lang w:eastAsia="en-US"/>
          <w14:ligatures w14:val="standardContextual"/>
        </w:rPr>
        <w:t xml:space="preserve"> steeg</w:t>
      </w:r>
      <w:r w:rsidRPr="00486EED">
        <w:rPr>
          <w:rFonts w:eastAsiaTheme="minorHAnsi" w:cstheme="minorBidi"/>
          <w:color w:val="auto"/>
          <w:kern w:val="2"/>
          <w:lang w:eastAsia="en-US"/>
          <w14:ligatures w14:val="standardContextual"/>
        </w:rPr>
        <w:t xml:space="preserve"> van ongeveer 1800 in 2014 naar ongeveer 6900 in 2024.</w:t>
      </w:r>
      <w:r w:rsidRPr="00486EED">
        <w:rPr>
          <w:rFonts w:eastAsiaTheme="minorHAnsi" w:cstheme="minorBidi"/>
          <w:color w:val="auto"/>
          <w:kern w:val="2"/>
          <w:vertAlign w:val="superscript"/>
          <w:lang w:eastAsia="en-US"/>
          <w14:ligatures w14:val="standardContextual"/>
        </w:rPr>
        <w:footnoteReference w:id="6"/>
      </w:r>
      <w:r w:rsidRPr="00486EED">
        <w:rPr>
          <w:rFonts w:eastAsiaTheme="minorHAnsi" w:cstheme="minorBidi"/>
          <w:color w:val="auto"/>
          <w:kern w:val="2"/>
          <w:lang w:eastAsia="en-US"/>
          <w14:ligatures w14:val="standardContextual"/>
        </w:rPr>
        <w:t xml:space="preserve"> Burgers en bedrijven moeten ervan op aan kunnen dat de integriteit van de interne markt behouden blijft, de rechtsstaat beschermd en de interne veiligheid gegarandeerd. Om dat te bereiken blijft voor het kabinet centraal staan dat een kandidaat-lidstaat pas volwaardig lid wordt als het land voldoet aan alle criteria. Dit betekent dat het land duurzaam en</w:t>
      </w:r>
      <w:r w:rsidRPr="00486EED" w:rsidDel="00E041DF">
        <w:rPr>
          <w:rFonts w:eastAsiaTheme="minorHAnsi" w:cstheme="minorBidi"/>
          <w:color w:val="auto"/>
          <w:kern w:val="2"/>
          <w:lang w:eastAsia="en-US"/>
          <w14:ligatures w14:val="standardContextual"/>
        </w:rPr>
        <w:t xml:space="preserve"> </w:t>
      </w:r>
      <w:r w:rsidRPr="00486EED">
        <w:rPr>
          <w:rFonts w:eastAsiaTheme="minorHAnsi" w:cstheme="minorBidi"/>
          <w:color w:val="auto"/>
          <w:kern w:val="2"/>
          <w:lang w:eastAsia="en-US"/>
          <w14:ligatures w14:val="standardContextual"/>
        </w:rPr>
        <w:t xml:space="preserve">aantoonbaar moet voldoen aan het EU-acquis en de EU-waarden, en in staat moet zijn het acquis uit te voeren en te handhaven en de EU-waarden te beschermen. </w:t>
      </w:r>
      <w:r w:rsidRPr="00486EED" w:rsidDel="003021BD">
        <w:rPr>
          <w:rFonts w:eastAsiaTheme="minorHAnsi" w:cstheme="minorBidi"/>
          <w:color w:val="auto"/>
          <w:kern w:val="2"/>
          <w:lang w:eastAsia="en-US"/>
          <w14:ligatures w14:val="standardContextual"/>
        </w:rPr>
        <w:t xml:space="preserve"> </w:t>
      </w:r>
    </w:p>
    <w:p w:rsidRPr="00486EED" w:rsidR="00316269" w:rsidP="00316269" w:rsidRDefault="00316269" w14:paraId="3606C721" w14:textId="77777777">
      <w:pPr>
        <w:autoSpaceDN/>
        <w:spacing w:after="160" w:line="276" w:lineRule="auto"/>
        <w:textAlignment w:val="auto"/>
        <w:rPr>
          <w:rFonts w:eastAsiaTheme="minorHAnsi" w:cstheme="minorHAnsi"/>
          <w:color w:val="auto"/>
          <w:kern w:val="2"/>
          <w:lang w:eastAsia="en-US"/>
          <w14:ligatures w14:val="standardContextual"/>
        </w:rPr>
      </w:pPr>
      <w:r w:rsidRPr="00486EED">
        <w:rPr>
          <w:rFonts w:eastAsiaTheme="minorHAnsi" w:cstheme="minorHAnsi"/>
          <w:color w:val="auto"/>
          <w:kern w:val="2"/>
          <w:lang w:eastAsia="en-US"/>
          <w14:ligatures w14:val="standardContextual"/>
        </w:rPr>
        <w:t xml:space="preserve">De EU heeft middels haar uitbreidingsbeleid de democratie en rechtsstaat in Europa kunnen versterken. Toch is ook gebleken dat in sommige lidstaten sprake was van terugval op de eerbiediging van deze waarden. </w:t>
      </w:r>
      <w:r>
        <w:rPr>
          <w:rFonts w:eastAsiaTheme="minorHAnsi" w:cstheme="minorHAnsi"/>
          <w:color w:val="auto"/>
          <w:kern w:val="2"/>
          <w:lang w:eastAsia="en-US"/>
          <w14:ligatures w14:val="standardContextual"/>
        </w:rPr>
        <w:t>De ervaring</w:t>
      </w:r>
      <w:r w:rsidRPr="00486EED" w:rsidDel="00924099">
        <w:rPr>
          <w:rFonts w:eastAsiaTheme="minorHAnsi" w:cstheme="minorHAnsi"/>
          <w:color w:val="auto"/>
          <w:kern w:val="2"/>
          <w:lang w:eastAsia="en-US"/>
          <w14:ligatures w14:val="standardContextual"/>
        </w:rPr>
        <w:t xml:space="preserve"> </w:t>
      </w:r>
      <w:r w:rsidRPr="00486EED">
        <w:rPr>
          <w:rFonts w:eastAsiaTheme="minorHAnsi" w:cstheme="minorHAnsi"/>
          <w:color w:val="auto"/>
          <w:kern w:val="2"/>
          <w:lang w:eastAsia="en-US"/>
          <w14:ligatures w14:val="standardContextual"/>
        </w:rPr>
        <w:t xml:space="preserve">leert dat het herstellen van een afgebrokkelde rechtsstaat niet eenvoudig is. De instrumenten </w:t>
      </w:r>
      <w:r w:rsidRPr="00486EED">
        <w:rPr>
          <w:rFonts w:eastAsiaTheme="minorHAnsi" w:cstheme="minorHAnsi"/>
          <w:color w:val="auto"/>
          <w:kern w:val="2"/>
          <w:lang w:eastAsia="en-US"/>
          <w14:ligatures w14:val="standardContextual"/>
        </w:rPr>
        <w:lastRenderedPageBreak/>
        <w:t>die de EU bezit om de Europese waarden te beschermen kunnen een bijdrage leveren aan het bij de les houden van lidstaten, maar schieten tekort om benodigde rechtsstaathervormingen af te dwingen. Versterking van het EU-rechtsstaatinstrumentarium en bescherming van de EU-waarden is daarom van groot belang</w:t>
      </w:r>
      <w:r>
        <w:rPr>
          <w:rFonts w:eastAsiaTheme="minorHAnsi" w:cstheme="minorHAnsi"/>
          <w:color w:val="auto"/>
          <w:kern w:val="2"/>
          <w:lang w:eastAsia="en-US"/>
          <w14:ligatures w14:val="standardContextual"/>
        </w:rPr>
        <w:t>. H</w:t>
      </w:r>
      <w:r w:rsidRPr="00486EED">
        <w:rPr>
          <w:rFonts w:eastAsiaTheme="minorHAnsi" w:cstheme="minorHAnsi"/>
          <w:color w:val="auto"/>
          <w:kern w:val="2"/>
          <w:lang w:eastAsia="en-US"/>
          <w14:ligatures w14:val="standardContextual"/>
        </w:rPr>
        <w:t>ier zet het kabinet zich onverminderd voor in</w:t>
      </w:r>
      <w:r>
        <w:rPr>
          <w:rFonts w:eastAsiaTheme="minorHAnsi" w:cstheme="minorHAnsi"/>
          <w:color w:val="auto"/>
          <w:kern w:val="2"/>
          <w:lang w:eastAsia="en-US"/>
          <w14:ligatures w14:val="standardContextual"/>
        </w:rPr>
        <w:t>, mede in het kader van de onderhandelingen over het nieuwe Meerjarig Financieel Kader (MFK)</w:t>
      </w:r>
      <w:r w:rsidRPr="00486EED">
        <w:rPr>
          <w:rFonts w:eastAsiaTheme="minorHAnsi" w:cstheme="minorHAnsi"/>
          <w:color w:val="auto"/>
          <w:kern w:val="2"/>
          <w:lang w:eastAsia="en-US"/>
          <w14:ligatures w14:val="standardContextual"/>
        </w:rPr>
        <w:t xml:space="preserve">. </w:t>
      </w:r>
    </w:p>
    <w:p w:rsidRPr="00486EED" w:rsidR="00316269" w:rsidP="00316269" w:rsidRDefault="00316269" w14:paraId="3D122032" w14:textId="77777777">
      <w:pPr>
        <w:autoSpaceDN/>
        <w:spacing w:after="160" w:line="276" w:lineRule="auto"/>
        <w:textAlignment w:val="auto"/>
        <w:rPr>
          <w:rFonts w:eastAsiaTheme="minorHAnsi" w:cstheme="minorBidi"/>
          <w:color w:val="auto"/>
          <w:kern w:val="2"/>
          <w:lang w:eastAsia="en-US"/>
          <w14:ligatures w14:val="standardContextual"/>
        </w:rPr>
      </w:pPr>
      <w:r w:rsidRPr="00486EED">
        <w:rPr>
          <w:rFonts w:eastAsiaTheme="minorHAnsi" w:cstheme="minorBidi"/>
          <w:color w:val="auto"/>
          <w:kern w:val="2"/>
          <w:lang w:eastAsia="en-US"/>
          <w14:ligatures w14:val="standardContextual"/>
        </w:rPr>
        <w:t xml:space="preserve">Uitbreiding heeft ook impact op de (interne) veiligheid van de EU. Zo kan de integratie van landen op de Westelijke Balkan veiligheidsrisico’s mitigeren, bijvoorbeeld door de gezamenlijke bestrijding van georganiseerde misdaad. Nederland en Europa profiteren door de samenwerking met Oekraïne ook van </w:t>
      </w:r>
      <w:r>
        <w:rPr>
          <w:rFonts w:eastAsiaTheme="minorHAnsi" w:cstheme="minorBidi"/>
          <w:color w:val="auto"/>
          <w:kern w:val="2"/>
          <w:lang w:eastAsia="en-US"/>
          <w14:ligatures w14:val="standardContextual"/>
        </w:rPr>
        <w:t>Oekraïne’s</w:t>
      </w:r>
      <w:r w:rsidRPr="00486EED">
        <w:rPr>
          <w:rFonts w:eastAsiaTheme="minorHAnsi" w:cstheme="minorBidi"/>
          <w:color w:val="auto"/>
          <w:kern w:val="2"/>
          <w:lang w:eastAsia="en-US"/>
          <w14:ligatures w14:val="standardContextual"/>
        </w:rPr>
        <w:t xml:space="preserve"> ervaring, kennis en innovatie op defensiegebied. De sterke Oekraïense defensie-industrie kan Europa helpen bij het organiseren van de eigen veiligheid en zorgen voor complementariteit door de uitwisseling van (militaire) kennis, capaciteiten en vaardigheden. Aan de andere kant moet gewaakt worden voor (interne) veiligheidsrisico’s, zoals grensoverschrijdende georganiseerde misdaad of hybride dreigingen. Daarnaast zijn lokale en interregionale conflicten </w:t>
      </w:r>
      <w:r>
        <w:rPr>
          <w:rFonts w:eastAsiaTheme="minorHAnsi" w:cstheme="minorBidi"/>
          <w:color w:val="auto"/>
          <w:kern w:val="2"/>
          <w:lang w:eastAsia="en-US"/>
          <w14:ligatures w14:val="standardContextual"/>
        </w:rPr>
        <w:t xml:space="preserve">vaak </w:t>
      </w:r>
      <w:r w:rsidRPr="00486EED">
        <w:rPr>
          <w:rFonts w:eastAsiaTheme="minorHAnsi" w:cstheme="minorBidi"/>
          <w:color w:val="auto"/>
          <w:kern w:val="2"/>
          <w:lang w:eastAsia="en-US"/>
          <w14:ligatures w14:val="standardContextual"/>
        </w:rPr>
        <w:t>diepgeworteld en complex. De EU assisteert kandidaat-lidstaten om deze risico’s te mitigeren en hen voor te bereiden op toetreding. Vrijwaringsclausules in toetredingsverdragen en flankerende maatregelen kunnen helpen de interne veiligheid te borgen</w:t>
      </w:r>
      <w:r>
        <w:rPr>
          <w:rFonts w:eastAsiaTheme="minorHAnsi" w:cstheme="minorBidi"/>
          <w:color w:val="auto"/>
          <w:kern w:val="2"/>
          <w:lang w:eastAsia="en-US"/>
          <w14:ligatures w14:val="standardContextual"/>
        </w:rPr>
        <w:t>. Het kabinet zet hier in EU-verband met gelijkgestemde lidstaten op in</w:t>
      </w:r>
      <w:r w:rsidRPr="00486EED">
        <w:rPr>
          <w:rFonts w:eastAsiaTheme="minorHAnsi" w:cstheme="minorBidi"/>
          <w:color w:val="auto"/>
          <w:kern w:val="2"/>
          <w:lang w:eastAsia="en-US"/>
          <w14:ligatures w14:val="standardContextual"/>
        </w:rPr>
        <w:t>.</w:t>
      </w:r>
    </w:p>
    <w:p w:rsidRPr="00486EED" w:rsidR="00316269" w:rsidP="00316269" w:rsidRDefault="00316269" w14:paraId="7B69E485" w14:textId="77777777">
      <w:pPr>
        <w:autoSpaceDN/>
        <w:spacing w:after="160" w:line="276" w:lineRule="auto"/>
        <w:textAlignment w:val="auto"/>
        <w:rPr>
          <w:rFonts w:eastAsiaTheme="minorHAnsi" w:cstheme="minorHAnsi"/>
          <w:color w:val="auto"/>
          <w:kern w:val="2"/>
          <w:lang w:eastAsia="en-US"/>
          <w14:ligatures w14:val="standardContextual"/>
        </w:rPr>
      </w:pPr>
      <w:r w:rsidRPr="00486EED">
        <w:rPr>
          <w:rFonts w:eastAsiaTheme="minorHAnsi" w:cstheme="minorHAnsi"/>
          <w:color w:val="auto"/>
          <w:kern w:val="2"/>
          <w:lang w:eastAsia="en-US"/>
          <w14:ligatures w14:val="standardContextual"/>
        </w:rPr>
        <w:t>Er zijn verschillende studies uitgevoerd naar de gevolgen van toetreding van kandidaat-lidstaten voor Nederland, op deelterreinen als de economie, arbeidsmigratie, democratie en rechtsstaat</w:t>
      </w:r>
      <w:r w:rsidRPr="00486EED">
        <w:rPr>
          <w:rFonts w:eastAsiaTheme="minorHAnsi" w:cstheme="minorHAnsi"/>
          <w:color w:val="auto"/>
          <w:kern w:val="2"/>
          <w:vertAlign w:val="superscript"/>
          <w:lang w:eastAsia="en-US"/>
          <w14:ligatures w14:val="standardContextual"/>
        </w:rPr>
        <w:footnoteReference w:id="7"/>
      </w:r>
      <w:r w:rsidRPr="00486EED">
        <w:rPr>
          <w:rFonts w:eastAsiaTheme="minorHAnsi" w:cstheme="minorHAnsi"/>
          <w:color w:val="auto"/>
          <w:kern w:val="2"/>
          <w:lang w:eastAsia="en-US"/>
          <w14:ligatures w14:val="standardContextual"/>
        </w:rPr>
        <w:t xml:space="preserve">. Modelschattingen suggereren een licht positieve, doch macro-economisch beperkte impact voor Nederland en de EU. Voor kandidaat-lidstaten zijn de economische voordelen groter, met een verwachte groei tot 1,7% van het BBP. In algemene zin geldt dat het aannemelijk is dat uitbreiding zorgt voor druk op de Europese begroting. Daarom </w:t>
      </w:r>
      <w:r>
        <w:rPr>
          <w:rFonts w:eastAsiaTheme="minorHAnsi" w:cstheme="minorHAnsi"/>
          <w:color w:val="auto"/>
          <w:kern w:val="2"/>
          <w:lang w:eastAsia="en-US"/>
          <w14:ligatures w14:val="standardContextual"/>
        </w:rPr>
        <w:t>kijkt</w:t>
      </w:r>
      <w:r w:rsidRPr="00486EED">
        <w:rPr>
          <w:rFonts w:eastAsiaTheme="minorHAnsi" w:cstheme="minorHAnsi"/>
          <w:color w:val="auto"/>
          <w:kern w:val="2"/>
          <w:lang w:eastAsia="en-US"/>
          <w14:ligatures w14:val="standardContextual"/>
        </w:rPr>
        <w:t xml:space="preserve"> het kabinet </w:t>
      </w:r>
      <w:r>
        <w:rPr>
          <w:rFonts w:eastAsiaTheme="minorHAnsi" w:cstheme="minorHAnsi"/>
          <w:color w:val="auto"/>
          <w:kern w:val="2"/>
          <w:lang w:eastAsia="en-US"/>
          <w14:ligatures w14:val="standardContextual"/>
        </w:rPr>
        <w:t>naar de mogelijkheid</w:t>
      </w:r>
      <w:r w:rsidRPr="00486EED">
        <w:rPr>
          <w:rFonts w:eastAsiaTheme="minorHAnsi" w:cstheme="minorHAnsi"/>
          <w:color w:val="auto"/>
          <w:kern w:val="2"/>
          <w:lang w:eastAsia="en-US"/>
          <w14:ligatures w14:val="standardContextual"/>
        </w:rPr>
        <w:t xml:space="preserve"> dat er bij toetreding budgettaire infasering plaatsvindt</w:t>
      </w:r>
      <w:r w:rsidRPr="00486EED">
        <w:rPr>
          <w:rFonts w:eastAsiaTheme="minorHAnsi" w:cstheme="minorBidi"/>
          <w:color w:val="auto"/>
          <w:kern w:val="2"/>
          <w:lang w:eastAsia="en-US"/>
          <w14:ligatures w14:val="standardContextual"/>
        </w:rPr>
        <w:t xml:space="preserve">, zodat eventuele druk beter kan </w:t>
      </w:r>
      <w:r w:rsidRPr="00486EED">
        <w:rPr>
          <w:rFonts w:eastAsiaTheme="minorHAnsi" w:cstheme="minorHAnsi"/>
          <w:color w:val="auto"/>
          <w:kern w:val="2"/>
          <w:lang w:eastAsia="en-US"/>
          <w14:ligatures w14:val="standardContextual"/>
        </w:rPr>
        <w:t>worden verdeeld.</w:t>
      </w:r>
      <w:r>
        <w:rPr>
          <w:rFonts w:eastAsiaTheme="minorHAnsi" w:cstheme="minorHAnsi"/>
          <w:color w:val="auto"/>
          <w:kern w:val="2"/>
          <w:lang w:eastAsia="en-US"/>
          <w14:ligatures w14:val="standardContextual"/>
        </w:rPr>
        <w:t xml:space="preserve"> </w:t>
      </w:r>
      <w:r w:rsidRPr="00486EED">
        <w:rPr>
          <w:rFonts w:eastAsiaTheme="minorHAnsi" w:cstheme="minorHAnsi"/>
          <w:color w:val="auto"/>
          <w:kern w:val="2"/>
          <w:lang w:eastAsia="en-US"/>
          <w14:ligatures w14:val="standardContextual"/>
        </w:rPr>
        <w:t>Verder heeft het CPB in opdracht van het ministerie van Sociale Zaken en Werkgelegenheid onderzoek gedaan naar het effect op migratie naar Nederland. De verwachte aantallen als gevolg van uitbreiding met kandidaat-lidstaten die zich het verst in het toetredingsproces bevinden zijn relatief klein ten opzichte van het jaarlijkse migratiesaldo en eerdere EU-uitbreidingsrondes</w:t>
      </w:r>
      <w:r w:rsidRPr="00486EED">
        <w:rPr>
          <w:rFonts w:eastAsiaTheme="minorHAnsi" w:cstheme="minorHAnsi"/>
          <w:color w:val="auto"/>
          <w:kern w:val="2"/>
          <w:vertAlign w:val="superscript"/>
          <w:lang w:eastAsia="en-US"/>
          <w14:ligatures w14:val="standardContextual"/>
        </w:rPr>
        <w:footnoteReference w:id="8"/>
      </w:r>
      <w:r w:rsidRPr="00486EED">
        <w:rPr>
          <w:rFonts w:eastAsiaTheme="minorHAnsi" w:cstheme="minorHAnsi"/>
          <w:color w:val="auto"/>
          <w:kern w:val="2"/>
          <w:lang w:eastAsia="en-US"/>
          <w14:ligatures w14:val="standardContextual"/>
        </w:rPr>
        <w:t>. Eerdere EU-uitbreiding heeft echter laten zien dat het belangrijk is om goed te zijn voorbereid op mogelijke effecten op arbeidsmobiliteit. Het kabinet pleit daarom in Europees verband voor solide overgangsmaatregelen. Conform de motie van de leden Van Dijk en Becker</w:t>
      </w:r>
      <w:r w:rsidRPr="00486EED">
        <w:rPr>
          <w:rFonts w:eastAsiaTheme="minorHAnsi" w:cstheme="minorHAnsi"/>
          <w:color w:val="auto"/>
          <w:kern w:val="2"/>
          <w:vertAlign w:val="superscript"/>
          <w:lang w:eastAsia="en-US"/>
          <w14:ligatures w14:val="standardContextual"/>
        </w:rPr>
        <w:footnoteReference w:id="9"/>
      </w:r>
      <w:r w:rsidRPr="00486EED">
        <w:rPr>
          <w:rFonts w:eastAsiaTheme="minorHAnsi" w:cstheme="minorHAnsi"/>
          <w:color w:val="auto"/>
          <w:kern w:val="2"/>
          <w:lang w:eastAsia="en-US"/>
          <w14:ligatures w14:val="standardContextual"/>
        </w:rPr>
        <w:t xml:space="preserve"> analyseert het kabinet inzichten uit deze en andere studies, om zo de effecten die </w:t>
      </w:r>
      <w:r w:rsidRPr="00486EED">
        <w:rPr>
          <w:rFonts w:eastAsiaTheme="minorHAnsi" w:cstheme="minorHAnsi"/>
          <w:color w:val="auto"/>
          <w:kern w:val="2"/>
          <w:lang w:eastAsia="en-US"/>
          <w14:ligatures w14:val="standardContextual"/>
        </w:rPr>
        <w:lastRenderedPageBreak/>
        <w:t xml:space="preserve">EU-uitbreiding mogelijk heeft op de binnenlandse draagkracht mee te laten wegen bij haar positiebepaling over EU-uitbreiding, inclusief de inzet op overgangsbepalingen. </w:t>
      </w:r>
    </w:p>
    <w:p w:rsidRPr="00486EED" w:rsidR="00316269" w:rsidP="00316269" w:rsidRDefault="00316269" w14:paraId="2870B1A9" w14:textId="77777777">
      <w:pPr>
        <w:autoSpaceDN/>
        <w:spacing w:after="160" w:line="276" w:lineRule="auto"/>
        <w:textAlignment w:val="auto"/>
        <w:rPr>
          <w:rFonts w:eastAsiaTheme="minorHAnsi" w:cstheme="minorHAnsi"/>
          <w:color w:val="auto"/>
          <w:kern w:val="2"/>
          <w:lang w:eastAsia="en-US"/>
          <w14:ligatures w14:val="standardContextual"/>
        </w:rPr>
      </w:pPr>
      <w:r w:rsidRPr="00486EED">
        <w:rPr>
          <w:rFonts w:eastAsiaTheme="minorHAnsi" w:cstheme="minorHAnsi"/>
          <w:color w:val="auto"/>
          <w:kern w:val="2"/>
          <w:lang w:eastAsia="en-US"/>
          <w14:ligatures w14:val="standardContextual"/>
        </w:rPr>
        <w:t>Het is tenslotte van belang dat steun voor EU-uitbreiding breed gedragen wordt in de samenleving. Het besluitvormingsproces spiegelt dit: toetredingsverdragen moeten door alle lidstaten geratificeerd worden. Het kabinet vindt het belangrijk om een open gesprek aan te gaan over de gevolgen van uitbreiding</w:t>
      </w:r>
      <w:r>
        <w:rPr>
          <w:rFonts w:eastAsiaTheme="minorHAnsi" w:cstheme="minorHAnsi"/>
          <w:color w:val="auto"/>
          <w:kern w:val="2"/>
          <w:lang w:eastAsia="en-US"/>
          <w14:ligatures w14:val="standardContextual"/>
        </w:rPr>
        <w:t xml:space="preserve">, en betrekt hier ook de motie van het lid Dassen bij over het expliciet opnemen van </w:t>
      </w:r>
      <w:r w:rsidRPr="00A23433">
        <w:rPr>
          <w:rFonts w:eastAsiaTheme="minorHAnsi" w:cstheme="minorHAnsi"/>
          <w:color w:val="auto"/>
          <w:kern w:val="2"/>
          <w:lang w:eastAsia="en-US"/>
          <w14:ligatures w14:val="standardContextual"/>
        </w:rPr>
        <w:t>desinformatie over EU-uitbreiding in de Nederlandse aanpak van buitenlandse beïnvloeding</w:t>
      </w:r>
      <w:r>
        <w:rPr>
          <w:rFonts w:eastAsiaTheme="minorHAnsi" w:cstheme="minorHAnsi"/>
          <w:color w:val="auto"/>
          <w:kern w:val="2"/>
          <w:lang w:eastAsia="en-US"/>
          <w14:ligatures w14:val="standardContextual"/>
        </w:rPr>
        <w:t>.</w:t>
      </w:r>
      <w:r>
        <w:rPr>
          <w:rStyle w:val="FootnoteReference"/>
          <w:rFonts w:eastAsiaTheme="minorHAnsi" w:cstheme="minorHAnsi"/>
          <w:color w:val="auto"/>
          <w:kern w:val="2"/>
          <w:lang w:eastAsia="en-US"/>
          <w14:ligatures w14:val="standardContextual"/>
        </w:rPr>
        <w:footnoteReference w:id="10"/>
      </w:r>
      <w:r w:rsidRPr="00486EED">
        <w:rPr>
          <w:rFonts w:eastAsiaTheme="minorHAnsi" w:cstheme="minorHAnsi"/>
          <w:color w:val="auto"/>
          <w:kern w:val="2"/>
          <w:lang w:eastAsia="en-US"/>
          <w14:ligatures w14:val="standardContextual"/>
        </w:rPr>
        <w:t xml:space="preserve"> In dat kader kijkt het kabinet uit naar de verkenning over EU-uitbreiding door de Sociaal Economische Raad (SER) die in 2026 wordt verwacht.</w:t>
      </w:r>
    </w:p>
    <w:p w:rsidRPr="00486EED" w:rsidR="00316269" w:rsidP="00316269" w:rsidRDefault="00316269" w14:paraId="065C773E" w14:textId="77777777">
      <w:pPr>
        <w:autoSpaceDN/>
        <w:spacing w:after="160" w:line="276" w:lineRule="auto"/>
        <w:textAlignment w:val="auto"/>
        <w:rPr>
          <w:rFonts w:eastAsiaTheme="minorHAnsi" w:cstheme="minorHAnsi"/>
          <w:color w:val="auto"/>
          <w:kern w:val="2"/>
          <w:lang w:eastAsia="en-US"/>
          <w14:ligatures w14:val="standardContextual"/>
        </w:rPr>
      </w:pPr>
      <w:r w:rsidRPr="00486EED">
        <w:rPr>
          <w:rFonts w:eastAsiaTheme="minorHAnsi" w:cstheme="minorBidi"/>
          <w:color w:val="auto"/>
          <w:kern w:val="2"/>
          <w:lang w:eastAsia="en-US"/>
          <w14:ligatures w14:val="standardContextual"/>
        </w:rPr>
        <w:t xml:space="preserve">De kabinetsinzet is erop gericht </w:t>
      </w:r>
      <w:r>
        <w:rPr>
          <w:rFonts w:eastAsiaTheme="minorHAnsi" w:cstheme="minorBidi"/>
          <w:color w:val="auto"/>
          <w:kern w:val="2"/>
          <w:lang w:eastAsia="en-US"/>
          <w14:ligatures w14:val="standardContextual"/>
        </w:rPr>
        <w:t xml:space="preserve">om </w:t>
      </w:r>
      <w:r w:rsidRPr="00486EED">
        <w:rPr>
          <w:rFonts w:eastAsiaTheme="minorHAnsi" w:cstheme="minorBidi"/>
          <w:color w:val="auto"/>
          <w:kern w:val="2"/>
          <w:lang w:eastAsia="en-US"/>
          <w14:ligatures w14:val="standardContextual"/>
        </w:rPr>
        <w:t xml:space="preserve">met de juiste voorbereidingen de </w:t>
      </w:r>
      <w:r>
        <w:rPr>
          <w:rFonts w:eastAsiaTheme="minorHAnsi" w:cstheme="minorBidi"/>
          <w:color w:val="auto"/>
          <w:kern w:val="2"/>
          <w:lang w:eastAsia="en-US"/>
          <w14:ligatures w14:val="standardContextual"/>
        </w:rPr>
        <w:t xml:space="preserve">potentieel verstorende effecten van uitbreiding op de samenleving </w:t>
      </w:r>
      <w:r w:rsidRPr="00486EED">
        <w:rPr>
          <w:rFonts w:eastAsiaTheme="minorHAnsi" w:cstheme="minorBidi"/>
          <w:color w:val="auto"/>
          <w:kern w:val="2"/>
          <w:lang w:eastAsia="en-US"/>
          <w14:ligatures w14:val="standardContextual"/>
        </w:rPr>
        <w:t>te mitigeren, opdat uitbreiding de Unie</w:t>
      </w:r>
      <w:r>
        <w:rPr>
          <w:rFonts w:eastAsiaTheme="minorHAnsi" w:cstheme="minorBidi"/>
          <w:color w:val="auto"/>
          <w:kern w:val="2"/>
          <w:lang w:eastAsia="en-US"/>
          <w14:ligatures w14:val="standardContextual"/>
        </w:rPr>
        <w:t xml:space="preserve"> en Nederland </w:t>
      </w:r>
      <w:r w:rsidRPr="00486EED">
        <w:rPr>
          <w:rFonts w:eastAsiaTheme="minorHAnsi" w:cstheme="minorBidi"/>
          <w:color w:val="auto"/>
          <w:kern w:val="2"/>
          <w:lang w:eastAsia="en-US"/>
          <w14:ligatures w14:val="standardContextual"/>
        </w:rPr>
        <w:t xml:space="preserve">versterkt. De inzet kent drie pijlers: (1) een strikt, </w:t>
      </w:r>
      <w:r w:rsidRPr="00486EED">
        <w:rPr>
          <w:rFonts w:eastAsiaTheme="minorHAnsi" w:cstheme="minorBidi"/>
          <w:i/>
          <w:color w:val="auto"/>
          <w:kern w:val="2"/>
          <w:lang w:eastAsia="en-US"/>
          <w14:ligatures w14:val="standardContextual"/>
        </w:rPr>
        <w:t>fair</w:t>
      </w:r>
      <w:r w:rsidRPr="00486EED">
        <w:rPr>
          <w:rFonts w:eastAsiaTheme="minorHAnsi" w:cstheme="minorBidi"/>
          <w:color w:val="auto"/>
          <w:kern w:val="2"/>
          <w:lang w:eastAsia="en-US"/>
          <w14:ligatures w14:val="standardContextual"/>
        </w:rPr>
        <w:t xml:space="preserve"> en betrokken EU-uitbreidingsbeleid</w:t>
      </w:r>
      <w:r>
        <w:rPr>
          <w:rFonts w:eastAsiaTheme="minorHAnsi" w:cstheme="minorBidi"/>
          <w:color w:val="auto"/>
          <w:kern w:val="2"/>
          <w:lang w:eastAsia="en-US"/>
          <w14:ligatures w14:val="standardContextual"/>
        </w:rPr>
        <w:t xml:space="preserve">, dat gebaseerd is </w:t>
      </w:r>
      <w:r w:rsidRPr="00486EED">
        <w:rPr>
          <w:rFonts w:eastAsiaTheme="minorHAnsi" w:cstheme="minorBidi"/>
          <w:color w:val="auto"/>
          <w:kern w:val="2"/>
          <w:lang w:eastAsia="en-US"/>
          <w14:ligatures w14:val="standardContextual"/>
        </w:rPr>
        <w:t xml:space="preserve">op verdiensten </w:t>
      </w:r>
      <w:r>
        <w:rPr>
          <w:rFonts w:eastAsiaTheme="minorHAnsi" w:cstheme="minorBidi"/>
          <w:color w:val="auto"/>
          <w:kern w:val="2"/>
          <w:lang w:eastAsia="en-US"/>
          <w14:ligatures w14:val="standardContextual"/>
        </w:rPr>
        <w:t>(</w:t>
      </w:r>
      <w:r>
        <w:rPr>
          <w:rFonts w:eastAsiaTheme="minorHAnsi" w:cstheme="minorBidi"/>
          <w:i/>
          <w:iCs/>
          <w:color w:val="auto"/>
          <w:kern w:val="2"/>
          <w:lang w:eastAsia="en-US"/>
          <w14:ligatures w14:val="standardContextual"/>
        </w:rPr>
        <w:t>merit based</w:t>
      </w:r>
      <w:r>
        <w:rPr>
          <w:rFonts w:eastAsiaTheme="minorHAnsi" w:cstheme="minorBidi"/>
          <w:color w:val="auto"/>
          <w:kern w:val="2"/>
          <w:lang w:eastAsia="en-US"/>
          <w14:ligatures w14:val="standardContextual"/>
        </w:rPr>
        <w:t>),</w:t>
      </w:r>
      <w:r w:rsidRPr="00486EED">
        <w:rPr>
          <w:rFonts w:eastAsiaTheme="minorHAnsi" w:cstheme="minorBidi"/>
          <w:color w:val="auto"/>
          <w:kern w:val="2"/>
          <w:lang w:eastAsia="en-US"/>
          <w14:ligatures w14:val="standardContextual"/>
        </w:rPr>
        <w:t xml:space="preserve"> in</w:t>
      </w:r>
      <w:r>
        <w:rPr>
          <w:rFonts w:eastAsiaTheme="minorHAnsi" w:cstheme="minorBidi"/>
          <w:color w:val="auto"/>
          <w:kern w:val="2"/>
          <w:lang w:eastAsia="en-US"/>
          <w14:ligatures w14:val="standardContextual"/>
        </w:rPr>
        <w:t xml:space="preserve"> combinatie met</w:t>
      </w:r>
      <w:r w:rsidRPr="00486EED">
        <w:rPr>
          <w:rFonts w:eastAsiaTheme="minorHAnsi" w:cstheme="minorBidi"/>
          <w:color w:val="auto"/>
          <w:kern w:val="2"/>
          <w:lang w:eastAsia="en-US"/>
          <w14:ligatures w14:val="standardContextual"/>
        </w:rPr>
        <w:t xml:space="preserve"> geleidelijke integratie; (2) stevige waarborgen en overgangsmaatregelen in toetredingsverdragen; (3) hervormingen die de EU ook op de lange termijn toekomstbestendig houden.</w:t>
      </w:r>
      <w:r>
        <w:rPr>
          <w:rFonts w:eastAsiaTheme="minorHAnsi" w:cstheme="minorBidi"/>
          <w:color w:val="auto"/>
          <w:kern w:val="2"/>
          <w:lang w:eastAsia="en-US"/>
          <w14:ligatures w14:val="standardContextual"/>
        </w:rPr>
        <w:t xml:space="preserve"> Hieronder worden deze drie pijlers nader uitgewerkt. </w:t>
      </w:r>
    </w:p>
    <w:p w:rsidRPr="00486EED" w:rsidR="00316269" w:rsidP="00316269" w:rsidRDefault="00316269" w14:paraId="245726A5" w14:textId="77777777">
      <w:pPr>
        <w:autoSpaceDN/>
        <w:spacing w:after="160" w:line="276" w:lineRule="auto"/>
        <w:textAlignment w:val="auto"/>
        <w:rPr>
          <w:rFonts w:eastAsiaTheme="minorHAnsi" w:cstheme="minorBidi"/>
          <w:b/>
          <w:color w:val="auto"/>
          <w:kern w:val="2"/>
          <w:lang w:eastAsia="en-US"/>
          <w14:ligatures w14:val="standardContextual"/>
        </w:rPr>
      </w:pPr>
      <w:r w:rsidRPr="00486EED">
        <w:rPr>
          <w:rFonts w:eastAsiaTheme="minorHAnsi" w:cstheme="minorBidi"/>
          <w:b/>
          <w:color w:val="auto"/>
          <w:kern w:val="2"/>
          <w:lang w:eastAsia="en-US"/>
          <w14:ligatures w14:val="standardContextual"/>
        </w:rPr>
        <w:t>Het EU-toetredingsproces</w:t>
      </w:r>
      <w:r w:rsidRPr="00486EED">
        <w:rPr>
          <w:rFonts w:eastAsiaTheme="minorHAnsi" w:cstheme="minorBidi"/>
          <w:b/>
          <w:bCs/>
          <w:color w:val="auto"/>
          <w:kern w:val="2"/>
          <w:lang w:eastAsia="en-US"/>
          <w14:ligatures w14:val="standardContextual"/>
        </w:rPr>
        <w:t xml:space="preserve"> en geleidelijke integratie </w:t>
      </w:r>
    </w:p>
    <w:p w:rsidRPr="00486EED" w:rsidR="00316269" w:rsidP="00316269" w:rsidRDefault="00316269" w14:paraId="3E72465B" w14:textId="77777777">
      <w:pPr>
        <w:autoSpaceDN/>
        <w:spacing w:line="276" w:lineRule="auto"/>
        <w:textAlignment w:val="auto"/>
        <w:rPr>
          <w:rFonts w:eastAsia="Times New Roman" w:cstheme="minorBidi"/>
          <w:i/>
          <w:iCs/>
          <w:color w:val="auto"/>
          <w:kern w:val="2"/>
          <w:lang w:eastAsia="en-US"/>
          <w14:ligatures w14:val="standardContextual"/>
        </w:rPr>
      </w:pPr>
      <w:r w:rsidRPr="00486EED">
        <w:rPr>
          <w:rFonts w:eastAsia="Times New Roman" w:cstheme="minorBidi"/>
          <w:i/>
          <w:iCs/>
          <w:color w:val="auto"/>
          <w:kern w:val="2"/>
          <w:lang w:eastAsia="en-US"/>
          <w14:ligatures w14:val="standardContextual"/>
        </w:rPr>
        <w:t>EU toetredingsproces</w:t>
      </w:r>
    </w:p>
    <w:p w:rsidRPr="00486EED" w:rsidR="00316269" w:rsidP="00316269" w:rsidRDefault="00316269" w14:paraId="4101F6A9" w14:textId="77777777">
      <w:pPr>
        <w:autoSpaceDN/>
        <w:spacing w:after="160" w:line="276" w:lineRule="auto"/>
        <w:textAlignment w:val="auto"/>
        <w:rPr>
          <w:rFonts w:eastAsia="Times New Roman" w:cstheme="minorBidi"/>
          <w:color w:val="auto"/>
          <w:kern w:val="2"/>
          <w:lang w:eastAsia="en-US"/>
          <w14:ligatures w14:val="standardContextual"/>
        </w:rPr>
      </w:pPr>
      <w:r w:rsidRPr="00486EED">
        <w:rPr>
          <w:rFonts w:eastAsia="Times New Roman" w:cstheme="minorBidi"/>
          <w:color w:val="auto"/>
          <w:kern w:val="2"/>
          <w:lang w:eastAsia="en-US"/>
          <w14:ligatures w14:val="standardContextual"/>
        </w:rPr>
        <w:t>Het wegen van geopolitieke en geo-economische belangen en het vasthouden aan de eisen bij EU-toetreding zijn twee kanten van dezelfde medaille. Hoe sterk we kunnen opereren als EU hangt af van hoe sterk we zelf staan. Uitbreiding moet de Unie versterken, niet verzwakken. Daarom staat voor dit kabinet buiten kijf dat de Kopenhagencriteria</w:t>
      </w:r>
      <w:r>
        <w:rPr>
          <w:rStyle w:val="FootnoteReference"/>
          <w:rFonts w:eastAsia="Times New Roman" w:cstheme="minorBidi"/>
          <w:color w:val="auto"/>
          <w:kern w:val="2"/>
          <w:lang w:eastAsia="en-US"/>
          <w14:ligatures w14:val="standardContextual"/>
        </w:rPr>
        <w:footnoteReference w:id="11"/>
      </w:r>
      <w:r w:rsidRPr="00486EED">
        <w:rPr>
          <w:rFonts w:eastAsia="Times New Roman" w:cstheme="minorBidi"/>
          <w:color w:val="auto"/>
          <w:kern w:val="2"/>
          <w:lang w:eastAsia="en-US"/>
          <w14:ligatures w14:val="standardContextual"/>
        </w:rPr>
        <w:t xml:space="preserve"> leidend blijven in het toetredingsproces. Dit is nodig om de samenwerking tussen lidstaten op basis van gedeelde waarden en onderling vertrouwen te beschermen en het is essentieel voor de integriteit van de interne markt en voor de interne veiligheid. Onze gedeelde waarden zijn essentieel voor het vrij verkeer voor Unieburgers en bedrijven. </w:t>
      </w:r>
      <w:r>
        <w:rPr>
          <w:rFonts w:eastAsia="Times New Roman" w:cstheme="minorBidi"/>
          <w:color w:val="auto"/>
          <w:kern w:val="2"/>
          <w:lang w:eastAsia="en-US"/>
          <w14:ligatures w14:val="standardContextual"/>
        </w:rPr>
        <w:t xml:space="preserve">Zonder </w:t>
      </w:r>
      <w:r w:rsidRPr="00486EED">
        <w:rPr>
          <w:rFonts w:eastAsia="Times New Roman" w:cstheme="minorBidi"/>
          <w:color w:val="auto"/>
          <w:kern w:val="2"/>
          <w:lang w:eastAsia="en-US"/>
          <w14:ligatures w14:val="standardContextual"/>
        </w:rPr>
        <w:t xml:space="preserve">deze basis, functioneert de EU niet meer effectief, en kan de Unie ook geen vuist maken op het wereldtoneel. Kandidaat-lidstaten moet een geloofwaardig EU-toetredingsperspectief worden geboden. Een reëel perspectief op toetreding vermindert de mogelijkheid voor landen als Rusland of China om hun invloed te doen gelden in kandidaat-lidstaten, en zo de veiligheid en stabiliteit in Europa te ondermijnen. </w:t>
      </w:r>
    </w:p>
    <w:p w:rsidRPr="00486EED" w:rsidR="00316269" w:rsidP="00316269" w:rsidRDefault="00316269" w14:paraId="036096ED" w14:textId="0435BAE6">
      <w:pPr>
        <w:autoSpaceDN/>
        <w:spacing w:after="160" w:line="276" w:lineRule="auto"/>
        <w:textAlignment w:val="auto"/>
        <w:rPr>
          <w:rFonts w:eastAsia="Times New Roman" w:cstheme="minorBidi"/>
          <w:color w:val="auto"/>
          <w:kern w:val="2"/>
          <w:lang w:eastAsia="en-US"/>
          <w14:ligatures w14:val="standardContextual"/>
        </w:rPr>
      </w:pPr>
      <w:r w:rsidRPr="00486EED">
        <w:rPr>
          <w:rFonts w:eastAsia="Times New Roman" w:cstheme="minorBidi"/>
          <w:color w:val="auto"/>
          <w:kern w:val="2"/>
          <w:lang w:eastAsia="en-US"/>
          <w14:ligatures w14:val="standardContextual"/>
        </w:rPr>
        <w:t xml:space="preserve">Het kabinet meent dat het toetredingsproces </w:t>
      </w:r>
      <w:r w:rsidRPr="00486EED">
        <w:rPr>
          <w:rFonts w:eastAsia="Times New Roman" w:cstheme="minorBidi"/>
          <w:i/>
          <w:color w:val="auto"/>
          <w:kern w:val="2"/>
          <w:lang w:eastAsia="en-US"/>
          <w14:ligatures w14:val="standardContextual"/>
        </w:rPr>
        <w:t>fair</w:t>
      </w:r>
      <w:r w:rsidR="004911DF">
        <w:rPr>
          <w:rFonts w:eastAsia="Times New Roman" w:cstheme="minorBidi"/>
          <w:color w:val="auto"/>
          <w:kern w:val="2"/>
          <w:lang w:eastAsia="en-US"/>
          <w14:ligatures w14:val="standardContextual"/>
        </w:rPr>
        <w:t xml:space="preserve"> en</w:t>
      </w:r>
      <w:r w:rsidRPr="00486EED">
        <w:rPr>
          <w:rFonts w:eastAsia="Times New Roman" w:cstheme="minorBidi"/>
          <w:color w:val="auto"/>
          <w:kern w:val="2"/>
          <w:lang w:eastAsia="en-US"/>
          <w14:ligatures w14:val="standardContextual"/>
        </w:rPr>
        <w:t xml:space="preserve"> op verdiensten gebaseerd</w:t>
      </w:r>
      <w:r w:rsidR="004911DF">
        <w:rPr>
          <w:rFonts w:eastAsia="Times New Roman" w:cstheme="minorBidi"/>
          <w:color w:val="auto"/>
          <w:kern w:val="2"/>
          <w:lang w:eastAsia="en-US"/>
          <w14:ligatures w14:val="standardContextual"/>
        </w:rPr>
        <w:t xml:space="preserve"> moet </w:t>
      </w:r>
      <w:r w:rsidRPr="00AF1581" w:rsidR="004911DF">
        <w:rPr>
          <w:rFonts w:eastAsia="Times New Roman" w:cstheme="minorBidi"/>
          <w:color w:val="auto"/>
          <w:kern w:val="2"/>
          <w:lang w:eastAsia="en-US"/>
          <w14:ligatures w14:val="standardContextual"/>
        </w:rPr>
        <w:t>blijven</w:t>
      </w:r>
      <w:r w:rsidRPr="00AF1581">
        <w:rPr>
          <w:rFonts w:eastAsia="Times New Roman" w:cstheme="minorBidi"/>
          <w:color w:val="auto"/>
          <w:kern w:val="2"/>
          <w:lang w:eastAsia="en-US"/>
          <w14:ligatures w14:val="standardContextual"/>
        </w:rPr>
        <w:t xml:space="preserve"> en </w:t>
      </w:r>
      <w:r w:rsidRPr="00AF1581" w:rsidR="004911DF">
        <w:rPr>
          <w:rFonts w:eastAsia="Times New Roman" w:cstheme="minorBidi"/>
          <w:color w:val="auto"/>
          <w:kern w:val="2"/>
          <w:lang w:eastAsia="en-US"/>
          <w14:ligatures w14:val="standardContextual"/>
        </w:rPr>
        <w:t>dat stappen in het proces in geval van achteruitgang moeten kunnen worden teruggedraaid.</w:t>
      </w:r>
      <w:r w:rsidR="004911DF">
        <w:rPr>
          <w:rFonts w:eastAsia="Times New Roman" w:cstheme="minorBidi"/>
          <w:color w:val="auto"/>
          <w:kern w:val="2"/>
          <w:lang w:eastAsia="en-US"/>
          <w14:ligatures w14:val="standardContextual"/>
        </w:rPr>
        <w:t xml:space="preserve"> </w:t>
      </w:r>
      <w:r>
        <w:rPr>
          <w:rFonts w:eastAsia="Times New Roman" w:cstheme="minorBidi"/>
          <w:color w:val="auto"/>
          <w:kern w:val="2"/>
          <w:lang w:eastAsia="en-US"/>
          <w14:ligatures w14:val="standardContextual"/>
        </w:rPr>
        <w:t>Strikt v</w:t>
      </w:r>
      <w:r w:rsidRPr="00486EED">
        <w:rPr>
          <w:rFonts w:eastAsia="Times New Roman" w:cstheme="minorBidi"/>
          <w:color w:val="auto"/>
          <w:kern w:val="2"/>
          <w:lang w:eastAsia="en-US"/>
          <w14:ligatures w14:val="standardContextual"/>
        </w:rPr>
        <w:t xml:space="preserve">asthouden aan de criteria voor volwaardig </w:t>
      </w:r>
      <w:r w:rsidRPr="00486EED">
        <w:rPr>
          <w:rFonts w:eastAsia="Times New Roman" w:cstheme="minorBidi"/>
          <w:color w:val="auto"/>
          <w:kern w:val="2"/>
          <w:lang w:eastAsia="en-US"/>
          <w14:ligatures w14:val="standardContextual"/>
        </w:rPr>
        <w:lastRenderedPageBreak/>
        <w:t xml:space="preserve">EU-lidmaatschap is nodig als garantie voor goede samenwerking en om de EU veilig, stabiel en welvarend te houden. Voortgang op de </w:t>
      </w:r>
      <w:r w:rsidRPr="00486EED">
        <w:rPr>
          <w:rFonts w:eastAsia="Times New Roman" w:cstheme="minorBidi"/>
          <w:i/>
          <w:iCs/>
          <w:color w:val="auto"/>
          <w:kern w:val="2"/>
          <w:lang w:eastAsia="en-US"/>
          <w14:ligatures w14:val="standardContextual"/>
        </w:rPr>
        <w:t>Fundamentals</w:t>
      </w:r>
      <w:r w:rsidRPr="00486EED">
        <w:rPr>
          <w:rFonts w:eastAsia="Times New Roman" w:cstheme="minorBidi"/>
          <w:color w:val="auto"/>
          <w:kern w:val="2"/>
          <w:lang w:eastAsia="en-US"/>
          <w14:ligatures w14:val="standardContextual"/>
        </w:rPr>
        <w:t xml:space="preserve"> – democratie, rechtsstaat, mensenrechten, openbaar bestuur, functionerende markteconomie, migratiesamenwerking – staat centraal bij besluiten in het toetredingsproces. Voldoen aan de Kopenhagencriteria vereist een intensief hervormingsproces. Hoe sneller landen hervormen, hoe sneller de toetredingsonderhandelingen kunnen worden doorlopen. De hervormingen dienen in de eerste plaats het belang van de kandidaat-lidstaat, maar ze dragen ook bij aan het behartigen van onze belangen en het versterken van </w:t>
      </w:r>
      <w:r>
        <w:rPr>
          <w:rFonts w:eastAsia="Times New Roman" w:cstheme="minorBidi"/>
          <w:color w:val="auto"/>
          <w:kern w:val="2"/>
          <w:lang w:eastAsia="en-US"/>
          <w14:ligatures w14:val="standardContextual"/>
        </w:rPr>
        <w:t>de</w:t>
      </w:r>
      <w:r w:rsidRPr="00486EED">
        <w:rPr>
          <w:rFonts w:eastAsia="Times New Roman" w:cstheme="minorBidi"/>
          <w:color w:val="auto"/>
          <w:kern w:val="2"/>
          <w:lang w:eastAsia="en-US"/>
          <w14:ligatures w14:val="standardContextual"/>
        </w:rPr>
        <w:t xml:space="preserve"> veiligheid, stabiliteit, welvaart en duurzaamheid en </w:t>
      </w:r>
      <w:r>
        <w:rPr>
          <w:rFonts w:eastAsia="Times New Roman" w:cstheme="minorBidi"/>
          <w:color w:val="auto"/>
          <w:kern w:val="2"/>
          <w:lang w:eastAsia="en-US"/>
          <w14:ligatures w14:val="standardContextual"/>
        </w:rPr>
        <w:t>de</w:t>
      </w:r>
      <w:r w:rsidRPr="00486EED">
        <w:rPr>
          <w:rFonts w:eastAsia="Times New Roman" w:cstheme="minorBidi"/>
          <w:color w:val="auto"/>
          <w:kern w:val="2"/>
          <w:lang w:eastAsia="en-US"/>
          <w14:ligatures w14:val="standardContextual"/>
        </w:rPr>
        <w:t xml:space="preserve"> grip op migratie</w:t>
      </w:r>
      <w:r w:rsidRPr="00B51FAC">
        <w:rPr>
          <w:rFonts w:eastAsia="Times New Roman" w:cstheme="minorBidi"/>
          <w:color w:val="auto"/>
          <w:kern w:val="2"/>
          <w:lang w:eastAsia="en-US"/>
          <w14:ligatures w14:val="standardContextual"/>
        </w:rPr>
        <w:t xml:space="preserve"> </w:t>
      </w:r>
      <w:r>
        <w:rPr>
          <w:rFonts w:eastAsia="Times New Roman" w:cstheme="minorBidi"/>
          <w:color w:val="auto"/>
          <w:kern w:val="2"/>
          <w:lang w:eastAsia="en-US"/>
          <w14:ligatures w14:val="standardContextual"/>
        </w:rPr>
        <w:t xml:space="preserve">in </w:t>
      </w:r>
      <w:r w:rsidRPr="00486EED">
        <w:rPr>
          <w:rFonts w:eastAsia="Times New Roman" w:cstheme="minorBidi"/>
          <w:color w:val="auto"/>
          <w:kern w:val="2"/>
          <w:lang w:eastAsia="en-US"/>
          <w14:ligatures w14:val="standardContextual"/>
        </w:rPr>
        <w:t xml:space="preserve">de EU nabuurregio. Het kabinet vindt het belangrijk het hervormingsproces van kandidaat-lidstaten zowel bilateraal als via de EU aan te moedigen en te steunen, </w:t>
      </w:r>
      <w:r>
        <w:rPr>
          <w:rFonts w:eastAsia="Times New Roman" w:cstheme="minorBidi"/>
          <w:color w:val="auto"/>
          <w:kern w:val="2"/>
          <w:lang w:eastAsia="en-US"/>
          <w14:ligatures w14:val="standardContextual"/>
        </w:rPr>
        <w:t xml:space="preserve">onder meer </w:t>
      </w:r>
      <w:r w:rsidRPr="00486EED">
        <w:rPr>
          <w:rFonts w:eastAsia="Times New Roman" w:cstheme="minorBidi"/>
          <w:color w:val="auto"/>
          <w:kern w:val="2"/>
          <w:lang w:eastAsia="en-US"/>
          <w14:ligatures w14:val="standardContextual"/>
        </w:rPr>
        <w:t xml:space="preserve">via conditionaliteit bij financiële steun van de EU. </w:t>
      </w:r>
      <w:r>
        <w:rPr>
          <w:rFonts w:eastAsia="Times New Roman" w:cstheme="minorBidi"/>
          <w:color w:val="auto"/>
          <w:kern w:val="2"/>
          <w:lang w:eastAsia="en-US"/>
          <w14:ligatures w14:val="standardContextual"/>
        </w:rPr>
        <w:t xml:space="preserve">En Nederland is zelf ook betrokken: het </w:t>
      </w:r>
      <w:r w:rsidRPr="00486EED">
        <w:rPr>
          <w:rFonts w:eastAsia="Times New Roman" w:cstheme="minorBidi"/>
          <w:color w:val="auto"/>
          <w:kern w:val="2"/>
          <w:lang w:eastAsia="en-US"/>
          <w14:ligatures w14:val="standardContextual"/>
        </w:rPr>
        <w:t xml:space="preserve">MATRA-programma is al ruim dertig jaar een waardevol strategisch instrument waarmee het kabinet zich betrokken toont en steun biedt aan </w:t>
      </w:r>
      <w:r w:rsidRPr="00486EED">
        <w:rPr>
          <w:rFonts w:eastAsiaTheme="minorHAnsi" w:cstheme="minorBidi"/>
          <w:color w:val="auto"/>
          <w:kern w:val="2"/>
          <w:lang w:eastAsia="en-US"/>
          <w14:ligatures w14:val="standardContextual"/>
        </w:rPr>
        <w:t>overheden en maatschappelijke organisaties in (potentiële) kandidaat-lidstaten bij het versterken van de democratie en rechtsstaat.</w:t>
      </w:r>
      <w:r>
        <w:rPr>
          <w:rFonts w:eastAsiaTheme="minorHAnsi" w:cstheme="minorBidi"/>
          <w:color w:val="auto"/>
          <w:kern w:val="2"/>
          <w:lang w:eastAsia="en-US"/>
          <w14:ligatures w14:val="standardContextual"/>
        </w:rPr>
        <w:t xml:space="preserve"> Mede in de geest van motie-Piri</w:t>
      </w:r>
      <w:r>
        <w:rPr>
          <w:rStyle w:val="FootnoteReference"/>
          <w:rFonts w:eastAsiaTheme="minorHAnsi" w:cstheme="minorBidi"/>
          <w:color w:val="auto"/>
          <w:kern w:val="2"/>
          <w:lang w:eastAsia="en-US"/>
          <w14:ligatures w14:val="standardContextual"/>
        </w:rPr>
        <w:footnoteReference w:id="12"/>
      </w:r>
      <w:r>
        <w:rPr>
          <w:rFonts w:eastAsiaTheme="minorHAnsi" w:cstheme="minorBidi"/>
          <w:color w:val="auto"/>
          <w:kern w:val="2"/>
          <w:lang w:eastAsia="en-US"/>
          <w14:ligatures w14:val="standardContextual"/>
        </w:rPr>
        <w:t xml:space="preserve"> spant het kabinet zich in voor de </w:t>
      </w:r>
      <w:r w:rsidRPr="006E28B5">
        <w:rPr>
          <w:rFonts w:eastAsiaTheme="minorHAnsi" w:cstheme="minorBidi"/>
          <w:color w:val="auto"/>
          <w:kern w:val="2"/>
          <w:lang w:eastAsia="en-US"/>
          <w14:ligatures w14:val="standardContextual"/>
        </w:rPr>
        <w:t>toekomstbestendige financiering van M</w:t>
      </w:r>
      <w:r>
        <w:rPr>
          <w:rFonts w:eastAsiaTheme="minorHAnsi" w:cstheme="minorBidi"/>
          <w:color w:val="auto"/>
          <w:kern w:val="2"/>
          <w:lang w:eastAsia="en-US"/>
          <w14:ligatures w14:val="standardContextual"/>
        </w:rPr>
        <w:t xml:space="preserve">ATRA. </w:t>
      </w:r>
    </w:p>
    <w:p w:rsidRPr="00486EED" w:rsidR="00316269" w:rsidP="00316269" w:rsidRDefault="00316269" w14:paraId="2B8ABA4C" w14:textId="77777777">
      <w:pPr>
        <w:autoSpaceDN/>
        <w:spacing w:after="160" w:line="276" w:lineRule="auto"/>
        <w:textAlignment w:val="auto"/>
        <w:rPr>
          <w:rFonts w:eastAsiaTheme="minorHAnsi" w:cstheme="minorHAnsi"/>
          <w:color w:val="auto"/>
          <w:kern w:val="2"/>
          <w:lang w:eastAsia="en-US"/>
          <w14:ligatures w14:val="standardContextual"/>
        </w:rPr>
      </w:pPr>
      <w:r w:rsidRPr="00486EED">
        <w:rPr>
          <w:rFonts w:eastAsia="Times New Roman" w:cstheme="minorBidi"/>
          <w:color w:val="auto"/>
          <w:kern w:val="2"/>
          <w:lang w:eastAsia="en-US"/>
          <w14:ligatures w14:val="standardContextual"/>
        </w:rPr>
        <w:t>Het kabinet ziet erop toe dat de Europese Commissie de voortgang in het toetredingsproces strikt monitort. Middels capaciteit op de Nederlandse ambassades in kandidaat-lidstaten, speelt het kabinet een actieve rol door monitoring, diplomatieke betrokkenheid en projectinzet, onder andere op justitiële hervormingen en migratiesamenwerking.</w:t>
      </w:r>
      <w:r w:rsidRPr="00486EED">
        <w:rPr>
          <w:rFonts w:eastAsia="Times New Roman" w:cstheme="minorBidi"/>
          <w:color w:val="auto"/>
          <w:kern w:val="2"/>
          <w:vertAlign w:val="superscript"/>
          <w:lang w:eastAsia="en-US"/>
          <w14:ligatures w14:val="standardContextual"/>
        </w:rPr>
        <w:footnoteReference w:id="13"/>
      </w:r>
      <w:r w:rsidRPr="00486EED">
        <w:rPr>
          <w:rFonts w:eastAsia="Times New Roman" w:cstheme="minorBidi"/>
          <w:color w:val="auto"/>
          <w:kern w:val="2"/>
          <w:lang w:eastAsia="en-US"/>
          <w14:ligatures w14:val="standardContextual"/>
        </w:rPr>
        <w:t xml:space="preserve"> Bij onvoldoende vooruitgang verbindt het kabinet hieraan consequenties zoals die in het toetredingskader voorhanden zijn, zoveel mogelijk in samenspraak met andere lidstaten. Dit wordt toegelicht in de </w:t>
      </w:r>
      <w:r>
        <w:rPr>
          <w:rFonts w:eastAsia="Times New Roman" w:cstheme="minorBidi"/>
          <w:color w:val="auto"/>
          <w:kern w:val="2"/>
          <w:lang w:eastAsia="en-US"/>
          <w14:ligatures w14:val="standardContextual"/>
        </w:rPr>
        <w:t xml:space="preserve">jaarlijkse </w:t>
      </w:r>
      <w:r w:rsidRPr="00486EED">
        <w:rPr>
          <w:rFonts w:eastAsia="Times New Roman" w:cstheme="minorBidi"/>
          <w:color w:val="auto"/>
          <w:kern w:val="2"/>
          <w:lang w:eastAsia="en-US"/>
          <w14:ligatures w14:val="standardContextual"/>
        </w:rPr>
        <w:t>kabinetsappreciatie van het uitbreidingspakket van de Commissie</w:t>
      </w:r>
      <w:r w:rsidRPr="00486EED">
        <w:rPr>
          <w:rFonts w:eastAsia="Times New Roman" w:cstheme="minorBidi"/>
          <w:color w:val="auto"/>
          <w:kern w:val="2"/>
          <w:vertAlign w:val="superscript"/>
          <w:lang w:eastAsia="en-US"/>
          <w14:ligatures w14:val="standardContextual"/>
        </w:rPr>
        <w:footnoteReference w:id="14"/>
      </w:r>
      <w:r w:rsidRPr="00486EED">
        <w:rPr>
          <w:rFonts w:eastAsia="Times New Roman" w:cstheme="minorBidi"/>
          <w:color w:val="auto"/>
          <w:kern w:val="2"/>
          <w:lang w:eastAsia="en-US"/>
          <w14:ligatures w14:val="standardContextual"/>
        </w:rPr>
        <w:t xml:space="preserve">. </w:t>
      </w:r>
    </w:p>
    <w:p w:rsidRPr="00486EED" w:rsidR="00316269" w:rsidP="00316269" w:rsidRDefault="00316269" w14:paraId="0419B1EE" w14:textId="4F39AB13">
      <w:pPr>
        <w:tabs>
          <w:tab w:val="left" w:pos="2127"/>
        </w:tabs>
        <w:autoSpaceDN/>
        <w:spacing w:after="160" w:line="276" w:lineRule="auto"/>
        <w:textAlignment w:val="auto"/>
        <w:rPr>
          <w:rFonts w:cs="Arial" w:eastAsiaTheme="minorHAnsi"/>
          <w:color w:val="auto"/>
          <w:kern w:val="2"/>
          <w:lang w:eastAsia="en-US"/>
          <w14:ligatures w14:val="standardContextual"/>
        </w:rPr>
      </w:pPr>
      <w:r w:rsidRPr="00486EED">
        <w:rPr>
          <w:rFonts w:eastAsiaTheme="minorHAnsi" w:cstheme="minorHAnsi"/>
          <w:color w:val="auto"/>
          <w:kern w:val="2"/>
          <w:lang w:eastAsia="en-US"/>
          <w14:ligatures w14:val="standardContextual"/>
        </w:rPr>
        <w:t>Het kabinet hecht aan de geldende uitbreidingsmethodologie. Tegelijkertijd moet het uitbreidingsbeleid realistisch en uitvoerbaar blijven, ook nu met verschillende kandidaat-lidstaten de toetredingsonderhandelingen in een intensieve fase zijn beland. De langdurige oneigenlijke blokkade door Hongarije in het proces met Oekraïne deed de geloofwaardigheid van het uitbreidings</w:t>
      </w:r>
      <w:r>
        <w:rPr>
          <w:rFonts w:eastAsiaTheme="minorHAnsi" w:cstheme="minorHAnsi"/>
          <w:color w:val="auto"/>
          <w:kern w:val="2"/>
          <w:lang w:eastAsia="en-US"/>
          <w14:ligatures w14:val="standardContextual"/>
        </w:rPr>
        <w:t>beleid</w:t>
      </w:r>
      <w:r w:rsidRPr="00486EED">
        <w:rPr>
          <w:rFonts w:eastAsiaTheme="minorHAnsi" w:cstheme="minorHAnsi"/>
          <w:color w:val="auto"/>
          <w:kern w:val="2"/>
          <w:lang w:eastAsia="en-US"/>
          <w14:ligatures w14:val="standardContextual"/>
        </w:rPr>
        <w:t xml:space="preserve"> geen goed. Tegen die achtergrond heeft Nederland in de Raad constructief geëngageerd in technisch voorbereidend werk (zogenaamde ‘</w:t>
      </w:r>
      <w:r w:rsidRPr="00486EED">
        <w:rPr>
          <w:rFonts w:eastAsiaTheme="minorHAnsi" w:cstheme="minorHAnsi"/>
          <w:i/>
          <w:iCs/>
          <w:color w:val="auto"/>
          <w:kern w:val="2"/>
          <w:lang w:eastAsia="en-US"/>
          <w14:ligatures w14:val="standardContextual"/>
        </w:rPr>
        <w:t>frontloading’</w:t>
      </w:r>
      <w:r w:rsidRPr="00486EED">
        <w:rPr>
          <w:rFonts w:eastAsiaTheme="minorHAnsi" w:cstheme="minorHAnsi"/>
          <w:color w:val="auto"/>
          <w:kern w:val="2"/>
          <w:lang w:eastAsia="en-US"/>
          <w14:ligatures w14:val="standardContextual"/>
        </w:rPr>
        <w:t>) ter voorbereiding op formele besluitvorming in het proces met Oekraïne en Moldavië</w:t>
      </w:r>
      <w:r w:rsidRPr="00486EED">
        <w:rPr>
          <w:rFonts w:eastAsiaTheme="minorHAnsi" w:cstheme="minorHAnsi"/>
          <w:color w:val="auto"/>
          <w:kern w:val="2"/>
          <w:vertAlign w:val="superscript"/>
          <w:lang w:eastAsia="en-US"/>
          <w14:ligatures w14:val="standardContextual"/>
        </w:rPr>
        <w:footnoteReference w:id="15"/>
      </w:r>
      <w:r w:rsidRPr="00486EED">
        <w:rPr>
          <w:rFonts w:eastAsiaTheme="minorHAnsi" w:cstheme="minorHAnsi"/>
          <w:color w:val="auto"/>
          <w:kern w:val="2"/>
          <w:lang w:eastAsia="en-US"/>
          <w14:ligatures w14:val="standardContextual"/>
        </w:rPr>
        <w:t xml:space="preserve">. Verder pleiten verschillende lidstaten met enige regelmaat voor aanpassing van besluitvormingsprocedures, variërend van het loslaten van unanimiteit tot het stroomlijnen of samenvoegen van sommige besluiten. </w:t>
      </w:r>
      <w:r>
        <w:rPr>
          <w:rFonts w:eastAsiaTheme="minorHAnsi" w:cstheme="minorHAnsi"/>
          <w:color w:val="auto"/>
          <w:kern w:val="2"/>
          <w:lang w:eastAsia="en-US"/>
          <w14:ligatures w14:val="standardContextual"/>
        </w:rPr>
        <w:t xml:space="preserve">Het besluitvormingsproces rondom het toetredingstraject van een kandidaat-lidstaat kent meer dan 100 formele besluiten en vele technische tussenstappen die met unanimiteit moeten worden genomen. Na afronding van de toetredingsonderhandelingen moet het toetredingsverdrag door alle EU-lidstaten worden geratificeerd. </w:t>
      </w:r>
      <w:r w:rsidRPr="00486EED">
        <w:rPr>
          <w:rFonts w:eastAsiaTheme="minorHAnsi" w:cstheme="minorHAnsi"/>
          <w:color w:val="auto"/>
          <w:kern w:val="2"/>
          <w:lang w:eastAsia="en-US"/>
          <w14:ligatures w14:val="standardContextual"/>
        </w:rPr>
        <w:t xml:space="preserve">Het kabinet is bereid voorstellen voor stroomlijning of vereenvoudiging van besluitvorming rond </w:t>
      </w:r>
      <w:r w:rsidRPr="00486EED">
        <w:rPr>
          <w:rFonts w:eastAsiaTheme="minorHAnsi" w:cstheme="minorHAnsi"/>
          <w:color w:val="auto"/>
          <w:kern w:val="2"/>
          <w:lang w:eastAsia="en-US"/>
          <w14:ligatures w14:val="standardContextual"/>
        </w:rPr>
        <w:lastRenderedPageBreak/>
        <w:t>technische tussenstappen op effectiviteit te beoordelen</w:t>
      </w:r>
      <w:r>
        <w:rPr>
          <w:rFonts w:eastAsiaTheme="minorHAnsi" w:cstheme="minorHAnsi"/>
          <w:color w:val="auto"/>
          <w:kern w:val="2"/>
          <w:lang w:eastAsia="en-US"/>
          <w14:ligatures w14:val="standardContextual"/>
        </w:rPr>
        <w:t xml:space="preserve"> wanneer de Commissie daartoe voorstellen doet</w:t>
      </w:r>
      <w:r w:rsidRPr="00486EED">
        <w:rPr>
          <w:rFonts w:eastAsiaTheme="minorHAnsi" w:cstheme="minorHAnsi"/>
          <w:color w:val="auto"/>
          <w:kern w:val="2"/>
          <w:lang w:eastAsia="en-US"/>
          <w14:ligatures w14:val="standardContextual"/>
        </w:rPr>
        <w:t xml:space="preserve">. </w:t>
      </w:r>
      <w:r w:rsidRPr="00486EED">
        <w:rPr>
          <w:rFonts w:cs="Arial" w:eastAsiaTheme="minorHAnsi"/>
          <w:color w:val="auto"/>
          <w:kern w:val="2"/>
          <w:lang w:eastAsia="en-US"/>
          <w14:ligatures w14:val="standardContextual"/>
        </w:rPr>
        <w:t>Daarbij wil het kabinet vasthouden aan unanimiteit bij belangrijke besluiten in het toetredingsproces.</w:t>
      </w:r>
      <w:r>
        <w:rPr>
          <w:rFonts w:cs="Arial" w:eastAsiaTheme="minorHAnsi"/>
          <w:color w:val="auto"/>
          <w:kern w:val="2"/>
          <w:lang w:eastAsia="en-US"/>
          <w14:ligatures w14:val="standardContextual"/>
        </w:rPr>
        <w:t xml:space="preserve"> </w:t>
      </w:r>
    </w:p>
    <w:p w:rsidRPr="00486EED" w:rsidR="00316269" w:rsidP="00316269" w:rsidRDefault="00316269" w14:paraId="68CBB367" w14:textId="77777777">
      <w:pPr>
        <w:autoSpaceDN/>
        <w:spacing w:line="276" w:lineRule="auto"/>
        <w:textAlignment w:val="auto"/>
        <w:rPr>
          <w:rFonts w:cs="Arial" w:eastAsiaTheme="minorHAnsi"/>
          <w:i/>
          <w:iCs/>
          <w:color w:val="auto"/>
          <w:kern w:val="2"/>
          <w:lang w:eastAsia="en-US"/>
          <w14:ligatures w14:val="standardContextual"/>
        </w:rPr>
      </w:pPr>
      <w:r w:rsidRPr="00486EED">
        <w:rPr>
          <w:rFonts w:cs="Arial" w:eastAsiaTheme="minorHAnsi"/>
          <w:i/>
          <w:iCs/>
          <w:color w:val="auto"/>
          <w:kern w:val="2"/>
          <w:lang w:eastAsia="en-US"/>
          <w14:ligatures w14:val="standardContextual"/>
        </w:rPr>
        <w:t>Geleidelijke integratie</w:t>
      </w:r>
    </w:p>
    <w:p w:rsidRPr="00486EED" w:rsidR="00316269" w:rsidP="00316269" w:rsidRDefault="00316269" w14:paraId="69AE5C3E" w14:textId="77777777">
      <w:pPr>
        <w:autoSpaceDN/>
        <w:spacing w:after="160" w:line="276" w:lineRule="auto"/>
        <w:textAlignment w:val="auto"/>
        <w:rPr>
          <w:rFonts w:eastAsiaTheme="minorHAnsi" w:cstheme="minorHAnsi"/>
          <w:color w:val="auto"/>
          <w:kern w:val="2"/>
          <w:lang w:eastAsia="en-US"/>
          <w14:ligatures w14:val="standardContextual"/>
        </w:rPr>
      </w:pPr>
      <w:r w:rsidRPr="00486EED">
        <w:rPr>
          <w:rFonts w:eastAsiaTheme="minorHAnsi" w:cstheme="minorHAnsi"/>
          <w:color w:val="auto"/>
          <w:kern w:val="2"/>
          <w:lang w:eastAsia="en-US"/>
          <w14:ligatures w14:val="standardContextual"/>
        </w:rPr>
        <w:t>Geleidelijke integratie heeft als doel (potentiële) kandidaat-lidstaten stapsgewijs meer bij de EU te betrekken, hervormingen aan te moedigen, en burgers en bedrijven in kandidaat-lidstaten al voor toetreding enkele voordelen van EU-lidmaatschap te laten ervaren. De term ‘geleidelijke integratie’ omvat verschillende initiatieven, zoals aansluiting op delen van de interne markt</w:t>
      </w:r>
      <w:r w:rsidRPr="00486EED" w:rsidDel="00255D7B">
        <w:rPr>
          <w:rFonts w:eastAsiaTheme="minorHAnsi" w:cstheme="minorHAnsi"/>
          <w:color w:val="auto"/>
          <w:kern w:val="2"/>
          <w:lang w:eastAsia="en-US"/>
          <w14:ligatures w14:val="standardContextual"/>
        </w:rPr>
        <w:t>,</w:t>
      </w:r>
      <w:r w:rsidRPr="00486EED">
        <w:rPr>
          <w:rFonts w:eastAsiaTheme="minorHAnsi" w:cstheme="minorHAnsi"/>
          <w:color w:val="auto"/>
          <w:kern w:val="2"/>
          <w:lang w:eastAsia="en-US"/>
          <w14:ligatures w14:val="standardContextual"/>
        </w:rPr>
        <w:t xml:space="preserve"> deelname aan expertgroepen</w:t>
      </w:r>
      <w:r w:rsidRPr="00486EED" w:rsidDel="00255D7B">
        <w:rPr>
          <w:rFonts w:eastAsiaTheme="minorHAnsi" w:cstheme="minorHAnsi"/>
          <w:color w:val="auto"/>
          <w:kern w:val="2"/>
          <w:lang w:eastAsia="en-US"/>
          <w14:ligatures w14:val="standardContextual"/>
        </w:rPr>
        <w:t xml:space="preserve">, </w:t>
      </w:r>
      <w:r w:rsidRPr="00486EED">
        <w:rPr>
          <w:rFonts w:eastAsiaTheme="minorHAnsi" w:cstheme="minorHAnsi"/>
          <w:color w:val="auto"/>
          <w:kern w:val="2"/>
          <w:lang w:eastAsia="en-US"/>
          <w14:ligatures w14:val="standardContextual"/>
        </w:rPr>
        <w:t>Unieprogramma’s</w:t>
      </w:r>
      <w:r w:rsidRPr="00486EED" w:rsidDel="00255D7B">
        <w:rPr>
          <w:rFonts w:eastAsiaTheme="minorHAnsi" w:cstheme="minorHAnsi"/>
          <w:color w:val="auto"/>
          <w:kern w:val="2"/>
          <w:lang w:eastAsia="en-US"/>
          <w14:ligatures w14:val="standardContextual"/>
        </w:rPr>
        <w:t xml:space="preserve"> en betrokkenheid bij EU-agentschappen</w:t>
      </w:r>
      <w:r w:rsidRPr="00486EED" w:rsidDel="007510DC">
        <w:rPr>
          <w:rFonts w:eastAsiaTheme="minorHAnsi" w:cstheme="minorHAnsi"/>
          <w:color w:val="auto"/>
          <w:kern w:val="2"/>
          <w:lang w:eastAsia="en-US"/>
          <w14:ligatures w14:val="standardContextual"/>
        </w:rPr>
        <w:t>.</w:t>
      </w:r>
      <w:r w:rsidRPr="00486EED">
        <w:rPr>
          <w:rFonts w:eastAsiaTheme="minorHAnsi" w:cstheme="minorHAnsi"/>
          <w:color w:val="auto"/>
          <w:kern w:val="2"/>
          <w:lang w:eastAsia="en-US"/>
          <w14:ligatures w14:val="standardContextual"/>
        </w:rPr>
        <w:t xml:space="preserve"> Concrete voorbeelden zijn de Groeiplannen voor Moldavië en voor de Westelijke Balkan.</w:t>
      </w:r>
      <w:r w:rsidRPr="00486EED" w:rsidDel="00255D7B">
        <w:rPr>
          <w:rFonts w:eastAsiaTheme="minorHAnsi" w:cstheme="minorHAnsi"/>
          <w:color w:val="auto"/>
          <w:kern w:val="2"/>
          <w:lang w:eastAsia="en-US"/>
          <w14:ligatures w14:val="standardContextual"/>
        </w:rPr>
        <w:t xml:space="preserve"> </w:t>
      </w:r>
      <w:r w:rsidRPr="00486EED">
        <w:rPr>
          <w:rFonts w:eastAsiaTheme="minorHAnsi" w:cstheme="minorHAnsi"/>
          <w:color w:val="auto"/>
          <w:kern w:val="2"/>
          <w:lang w:eastAsia="en-US"/>
          <w14:ligatures w14:val="standardContextual"/>
        </w:rPr>
        <w:t xml:space="preserve">Moldavië, Albanië, Noord-Macedonië, Montenegro en Servië </w:t>
      </w:r>
      <w:r w:rsidRPr="00486EED" w:rsidDel="00255D7B">
        <w:rPr>
          <w:rFonts w:eastAsiaTheme="minorHAnsi" w:cstheme="minorHAnsi"/>
          <w:color w:val="auto"/>
          <w:kern w:val="2"/>
          <w:lang w:eastAsia="en-US"/>
          <w14:ligatures w14:val="standardContextual"/>
        </w:rPr>
        <w:t xml:space="preserve">zijn inmiddels toegetreden </w:t>
      </w:r>
      <w:r w:rsidRPr="00486EED">
        <w:rPr>
          <w:rFonts w:eastAsiaTheme="minorHAnsi" w:cstheme="minorHAnsi"/>
          <w:color w:val="auto"/>
          <w:kern w:val="2"/>
          <w:lang w:eastAsia="en-US"/>
          <w14:ligatures w14:val="standardContextual"/>
        </w:rPr>
        <w:t xml:space="preserve">tot de Europese betaalmarkt (SEPA). Oekraïne en Moldavië zijn toegetreden tot het </w:t>
      </w:r>
      <w:r w:rsidRPr="00486EED">
        <w:rPr>
          <w:rFonts w:eastAsiaTheme="minorHAnsi" w:cstheme="minorHAnsi"/>
          <w:i/>
          <w:color w:val="auto"/>
          <w:kern w:val="2"/>
          <w:lang w:eastAsia="en-US"/>
          <w14:ligatures w14:val="standardContextual"/>
        </w:rPr>
        <w:t>Roam-like-at-Home</w:t>
      </w:r>
      <w:r w:rsidRPr="00486EED">
        <w:rPr>
          <w:rFonts w:eastAsiaTheme="minorHAnsi" w:cstheme="minorHAnsi"/>
          <w:color w:val="auto"/>
          <w:kern w:val="2"/>
          <w:lang w:eastAsia="en-US"/>
          <w14:ligatures w14:val="standardContextual"/>
        </w:rPr>
        <w:t xml:space="preserve"> gebied en in Brussel lopen onderhandelingen om ook roaming-overeenkomsten met de Westelijke Balkanlanden te </w:t>
      </w:r>
      <w:r w:rsidRPr="00486EED" w:rsidDel="00255D7B">
        <w:rPr>
          <w:rFonts w:eastAsiaTheme="minorHAnsi" w:cstheme="minorHAnsi"/>
          <w:color w:val="auto"/>
          <w:kern w:val="2"/>
          <w:lang w:eastAsia="en-US"/>
          <w14:ligatures w14:val="standardContextual"/>
        </w:rPr>
        <w:t xml:space="preserve">kunnen </w:t>
      </w:r>
      <w:r w:rsidRPr="00486EED">
        <w:rPr>
          <w:rFonts w:eastAsiaTheme="minorHAnsi" w:cstheme="minorHAnsi"/>
          <w:color w:val="auto"/>
          <w:kern w:val="2"/>
          <w:lang w:eastAsia="en-US"/>
          <w14:ligatures w14:val="standardContextual"/>
        </w:rPr>
        <w:t>sluiten</w:t>
      </w:r>
      <w:r w:rsidRPr="00486EED">
        <w:rPr>
          <w:rFonts w:eastAsiaTheme="minorHAnsi" w:cstheme="minorHAnsi"/>
          <w:color w:val="auto"/>
          <w:kern w:val="2"/>
          <w:vertAlign w:val="superscript"/>
          <w:lang w:eastAsia="en-US"/>
          <w14:ligatures w14:val="standardContextual"/>
        </w:rPr>
        <w:footnoteReference w:id="16"/>
      </w:r>
      <w:r w:rsidRPr="00486EED">
        <w:rPr>
          <w:rFonts w:eastAsiaTheme="minorHAnsi" w:cstheme="minorHAnsi"/>
          <w:color w:val="auto"/>
          <w:kern w:val="2"/>
          <w:lang w:eastAsia="en-US"/>
          <w14:ligatures w14:val="standardContextual"/>
        </w:rPr>
        <w:t xml:space="preserve">. Ook worden kandidaat-lidstaten betrokken bij EU-agentschappen, veelal als waarnemer, zoals het Europees Patentbureau, Europees Grens- en Kustwachtagentschap (Frontex), Drugsagentschap, Voedselveiligheidsagentschap en het EU-grondrechtenagentschap. Ook betrokkenheid bij EU-raden, zoals met een aantal kandidaat-lidstaten voor de rechtsstaatsdialoog, kan als een voorbeeld van EU-integratie voor toetreding worden gezien. Voorts worden de Westelijke Balkan landen door de Commissie en het kabinet aangemoedigd om het werk aan de eigen regionale economische integratie via de Gemeenschappelijke Regionale Markt te intensiveren. </w:t>
      </w:r>
    </w:p>
    <w:p w:rsidRPr="00486EED" w:rsidR="00316269" w:rsidP="00316269" w:rsidRDefault="00316269" w14:paraId="6115B0F4" w14:textId="0E4AA3C7">
      <w:pPr>
        <w:autoSpaceDN/>
        <w:spacing w:after="160" w:line="276" w:lineRule="auto"/>
        <w:textAlignment w:val="auto"/>
        <w:rPr>
          <w:rFonts w:eastAsiaTheme="minorHAnsi" w:cstheme="minorHAnsi"/>
          <w:color w:val="auto"/>
          <w:kern w:val="2"/>
          <w:lang w:eastAsia="en-US"/>
          <w14:ligatures w14:val="standardContextual"/>
        </w:rPr>
      </w:pPr>
      <w:r w:rsidRPr="00486EED">
        <w:rPr>
          <w:rFonts w:eastAsiaTheme="minorHAnsi" w:cstheme="minorHAnsi"/>
          <w:color w:val="auto"/>
          <w:kern w:val="2"/>
          <w:lang w:eastAsia="en-US"/>
          <w14:ligatures w14:val="standardContextual"/>
        </w:rPr>
        <w:t>Het kabinet wil kandidaat-lidstatenwaar mogelijk met</w:t>
      </w:r>
      <w:r>
        <w:rPr>
          <w:rFonts w:eastAsiaTheme="minorHAnsi" w:cstheme="minorHAnsi"/>
          <w:color w:val="auto"/>
          <w:kern w:val="2"/>
          <w:lang w:eastAsia="en-US"/>
          <w14:ligatures w14:val="standardContextual"/>
        </w:rPr>
        <w:t xml:space="preserve"> de EU</w:t>
      </w:r>
      <w:r w:rsidRPr="00486EED">
        <w:rPr>
          <w:rFonts w:eastAsiaTheme="minorHAnsi" w:cstheme="minorHAnsi"/>
          <w:color w:val="auto"/>
          <w:kern w:val="2"/>
          <w:lang w:eastAsia="en-US"/>
          <w14:ligatures w14:val="standardContextual"/>
        </w:rPr>
        <w:t xml:space="preserve"> verbinden door intensievere samenwerking. Geleidelijke integratie biedt hier kansen toe. Het kabinet vindt dat specifieke voorstellen voor geleidelijke integratie overwogen kunnen worden mits dit in het belang is van de EU, haar lidstaten en de kandidaat-lidstaat en het relevante EU-acquis is overgenomen, wordt uitgevoerd en gehandhaafd. Bij die overweging hanteert het kabinet een aantal uitgangspunten om de integriteit van de interne markt en de interne veiligheid van de EU te garanderen en EU-waarden te beschermen. Zo zijn de administratieve capaciteit en handhavingscapaciteit van kandidaat-lidstaten van belang, net als de kwaliteit en onafhankelijkheid van de rechtelijke macht. Bovendien moet er toezicht zijn op de naleving van het EU-acquis. Tot slot geldt dat de prikkel om hervormingen door te blijven voeren stevig moet blijven. Voor kandidaat-lidstaten waarmee het toetredingstraject</w:t>
      </w:r>
      <w:r>
        <w:rPr>
          <w:rFonts w:eastAsiaTheme="minorHAnsi" w:cstheme="minorHAnsi"/>
          <w:color w:val="auto"/>
          <w:kern w:val="2"/>
          <w:lang w:eastAsia="en-US"/>
          <w14:ligatures w14:val="standardContextual"/>
        </w:rPr>
        <w:t xml:space="preserve"> vanwege terugval op de rechtsstaat</w:t>
      </w:r>
      <w:r w:rsidRPr="00486EED">
        <w:rPr>
          <w:rFonts w:eastAsiaTheme="minorHAnsi" w:cstheme="minorHAnsi"/>
          <w:color w:val="auto"/>
          <w:kern w:val="2"/>
          <w:lang w:eastAsia="en-US"/>
          <w14:ligatures w14:val="standardContextual"/>
        </w:rPr>
        <w:t xml:space="preserve"> tot stilstand is gekomen, hanteert het kabinet de benadering dat geleidelijke integratie in principe niet aan de orde is, tenzij er zwaarwegende (economische of geopolitieke) belangen zijn om dit te overwegen. </w:t>
      </w:r>
      <w:r>
        <w:rPr>
          <w:rFonts w:eastAsiaTheme="minorHAnsi" w:cstheme="minorHAnsi"/>
          <w:color w:val="auto"/>
          <w:kern w:val="2"/>
          <w:lang w:eastAsia="en-US"/>
          <w14:ligatures w14:val="standardContextual"/>
        </w:rPr>
        <w:t xml:space="preserve">Tegelijkertijd zijn er naast geleidelijke integratie meer mogelijkheden om op specifieke deelterreinen van wederzijds belang de samenwerking met deze landen, zoals Turkije, te intensiveren, zoals op gebied van migratie, handel of de aanpak van terrorisme. </w:t>
      </w:r>
      <w:r w:rsidRPr="00486EED">
        <w:rPr>
          <w:rFonts w:eastAsiaTheme="minorHAnsi" w:cstheme="minorHAnsi"/>
          <w:color w:val="auto"/>
          <w:kern w:val="2"/>
          <w:lang w:eastAsia="en-US"/>
          <w14:ligatures w14:val="standardContextual"/>
        </w:rPr>
        <w:t xml:space="preserve">Het kabinet zet zich ervoor in om eventuele risico’s van geleidelijke integratie via waarborgen te mitigeren, bijvoorbeeld door de mogelijkheid om voordelen op te schorten als geconstateerd wordt dat er sprake is van gebrekkige naleving van het EU-acquis en bescherming van de EU-waarden. Het Commissievoorstel om Westelijke Balkan </w:t>
      </w:r>
      <w:r w:rsidRPr="00486EED">
        <w:rPr>
          <w:rFonts w:eastAsiaTheme="minorHAnsi" w:cstheme="minorHAnsi"/>
          <w:color w:val="auto"/>
          <w:kern w:val="2"/>
          <w:lang w:eastAsia="en-US"/>
          <w14:ligatures w14:val="standardContextual"/>
        </w:rPr>
        <w:lastRenderedPageBreak/>
        <w:t xml:space="preserve">landen te integreren in het </w:t>
      </w:r>
      <w:r w:rsidRPr="00486EED">
        <w:rPr>
          <w:rFonts w:eastAsiaTheme="minorHAnsi" w:cstheme="minorHAnsi"/>
          <w:i/>
          <w:iCs/>
          <w:color w:val="auto"/>
          <w:kern w:val="2"/>
          <w:lang w:eastAsia="en-US"/>
          <w14:ligatures w14:val="standardContextual"/>
        </w:rPr>
        <w:t>roaming</w:t>
      </w:r>
      <w:r w:rsidRPr="00486EED">
        <w:rPr>
          <w:rFonts w:eastAsiaTheme="minorHAnsi" w:cstheme="minorHAnsi"/>
          <w:color w:val="auto"/>
          <w:kern w:val="2"/>
          <w:lang w:eastAsia="en-US"/>
          <w14:ligatures w14:val="standardContextual"/>
        </w:rPr>
        <w:t xml:space="preserve">gebied van de EU, voorziet daarnaast in een rol voor het EU-hof bij de toepassing van EU-recht. Dit is belangrijk voor de uniforme toepassing ervan. </w:t>
      </w:r>
    </w:p>
    <w:p w:rsidRPr="00486EED" w:rsidR="00316269" w:rsidP="00316269" w:rsidRDefault="00316269" w14:paraId="18327934" w14:textId="77777777">
      <w:pPr>
        <w:autoSpaceDN/>
        <w:spacing w:after="160" w:line="276" w:lineRule="auto"/>
        <w:textAlignment w:val="auto"/>
        <w:rPr>
          <w:rFonts w:eastAsiaTheme="minorHAnsi" w:cstheme="minorHAnsi"/>
          <w:color w:val="auto"/>
          <w:kern w:val="2"/>
          <w:lang w:eastAsia="en-US"/>
          <w14:ligatures w14:val="standardContextual"/>
        </w:rPr>
      </w:pPr>
      <w:r w:rsidRPr="00486EED">
        <w:rPr>
          <w:rFonts w:eastAsiaTheme="minorHAnsi" w:cstheme="minorHAnsi"/>
          <w:color w:val="auto"/>
          <w:kern w:val="2"/>
          <w:lang w:eastAsia="en-US"/>
          <w14:ligatures w14:val="standardContextual"/>
        </w:rPr>
        <w:t>Voor verdere geleidelijke integratie is het kabinet voorstander van een koppeling met het toetredingsproces, zodat de processen elkaar wederzijds versterken</w:t>
      </w:r>
      <w:r w:rsidRPr="00486EED">
        <w:rPr>
          <w:rFonts w:eastAsiaTheme="minorHAnsi" w:cstheme="minorBidi"/>
          <w:color w:val="auto"/>
          <w:kern w:val="2"/>
          <w:lang w:eastAsia="en-US"/>
          <w14:ligatures w14:val="standardContextual"/>
        </w:rPr>
        <w:t xml:space="preserve"> en ook </w:t>
      </w:r>
      <w:r w:rsidRPr="00486EED">
        <w:rPr>
          <w:rFonts w:eastAsiaTheme="minorHAnsi" w:cstheme="minorHAnsi"/>
          <w:color w:val="auto"/>
          <w:kern w:val="2"/>
          <w:lang w:eastAsia="en-US"/>
          <w14:ligatures w14:val="standardContextual"/>
        </w:rPr>
        <w:t xml:space="preserve">de bescherming van de rechtsstaat een centralere </w:t>
      </w:r>
      <w:r>
        <w:rPr>
          <w:rFonts w:eastAsiaTheme="minorHAnsi" w:cstheme="minorHAnsi"/>
          <w:color w:val="auto"/>
          <w:kern w:val="2"/>
          <w:lang w:eastAsia="en-US"/>
          <w14:ligatures w14:val="standardContextual"/>
        </w:rPr>
        <w:t>plaats</w:t>
      </w:r>
      <w:r w:rsidRPr="00486EED">
        <w:rPr>
          <w:rFonts w:eastAsiaTheme="minorHAnsi" w:cstheme="minorHAnsi"/>
          <w:color w:val="auto"/>
          <w:kern w:val="2"/>
          <w:lang w:eastAsia="en-US"/>
          <w14:ligatures w14:val="standardContextual"/>
        </w:rPr>
        <w:t xml:space="preserve"> krijgt. De EU-uitbreidingsmethodologie kent verschillende middelen die benut kunnen worden. Geleidelijke integratie op deelterreinen van de interne markt kan bijvoorbeeld een optie zijn nadat de relevante onderhandelingshoofdstukken onder voorbehoud zijn gesloten. Ook een positieve beoordeling van voortgang op rechtsstaatsvereisten onder Cluster 1 is een belangrijke factor die in de afweging kan worden betrokken. Bovendien kan naast de beoordeling van de technische vereisten ook de bredere weging van de rechtsstaatsituatie worden meegenomen in besluitvorming, zoals gebruikelijk is in het toetredingsproces. Middelen uit de uitbreidingsmethodologie kunnen zo bijdragen aan beperking van de risico’s voor de integriteit van de interne markt en de interne veiligheid. Verder dient er een weging plaats te blijven vinden van het Nederlands en EU-belang. Tot slot kan via een link met het toetredingstraject ingezet worden op differentiatie: kandidaat-lidstaten die meer hervormingen hebben doorgevoerd ervaren dan meer voordelen. </w:t>
      </w:r>
    </w:p>
    <w:p w:rsidRPr="00486EED" w:rsidR="00316269" w:rsidP="00316269" w:rsidRDefault="00316269" w14:paraId="63607D54" w14:textId="15699FB1">
      <w:pPr>
        <w:autoSpaceDN/>
        <w:spacing w:after="160" w:line="276" w:lineRule="auto"/>
        <w:textAlignment w:val="auto"/>
        <w:rPr>
          <w:rFonts w:eastAsiaTheme="minorHAnsi" w:cstheme="minorHAnsi"/>
          <w:color w:val="auto"/>
          <w:kern w:val="2"/>
          <w:lang w:eastAsia="en-US"/>
          <w14:ligatures w14:val="standardContextual"/>
        </w:rPr>
      </w:pPr>
      <w:r w:rsidRPr="00486EED">
        <w:rPr>
          <w:rFonts w:eastAsiaTheme="minorHAnsi" w:cstheme="minorHAnsi"/>
          <w:color w:val="auto"/>
          <w:kern w:val="2"/>
          <w:lang w:eastAsia="en-US"/>
          <w14:ligatures w14:val="standardContextual"/>
        </w:rPr>
        <w:t>Geleidelijke integratie kan op een aantal terreinen voor zowel de EU als kandidaat-lidstaten opportuun zijn. De defensie-industrie is hiervan een sprekend voorbeeld. De Commissie betrekt kandidaat-lidstaten hier al bij</w:t>
      </w:r>
      <w:r>
        <w:rPr>
          <w:rFonts w:eastAsiaTheme="minorHAnsi" w:cstheme="minorHAnsi"/>
          <w:color w:val="auto"/>
          <w:kern w:val="2"/>
          <w:lang w:eastAsia="en-US"/>
          <w14:ligatures w14:val="standardContextual"/>
        </w:rPr>
        <w:t xml:space="preserve"> </w:t>
      </w:r>
      <w:r w:rsidRPr="00486EED">
        <w:rPr>
          <w:rFonts w:eastAsiaTheme="minorHAnsi" w:cstheme="minorHAnsi"/>
          <w:color w:val="auto"/>
          <w:kern w:val="2"/>
          <w:lang w:eastAsia="en-US"/>
          <w14:ligatures w14:val="standardContextual"/>
        </w:rPr>
        <w:t xml:space="preserve">en er is ruimte voor verdere samenwerking op het gebied van veiligheid en defensie. Dit komt niet alleen de geopolitieke slagkracht van de EU ten goede maar kan ook economische voordelen bieden. De EU sloot met landen op de Westelijke Balkan daarnaast een </w:t>
      </w:r>
      <w:r w:rsidRPr="00486EED">
        <w:rPr>
          <w:rFonts w:eastAsiaTheme="minorHAnsi" w:cstheme="minorHAnsi"/>
          <w:i/>
          <w:iCs/>
          <w:color w:val="auto"/>
          <w:kern w:val="2"/>
          <w:lang w:eastAsia="en-US"/>
          <w14:ligatures w14:val="standardContextual"/>
        </w:rPr>
        <w:t>Transport Community Treaty</w:t>
      </w:r>
      <w:r w:rsidRPr="00486EED">
        <w:rPr>
          <w:rFonts w:eastAsiaTheme="minorHAnsi" w:cstheme="minorHAnsi"/>
          <w:color w:val="auto"/>
          <w:kern w:val="2"/>
          <w:lang w:eastAsia="en-US"/>
          <w14:ligatures w14:val="standardContextual"/>
        </w:rPr>
        <w:t xml:space="preserve">, die mogelijk kan worden uitgebreid tot Moldavië en Oekraïne. Energie is een ander terrein waarop mogelijk kansen </w:t>
      </w:r>
      <w:r>
        <w:rPr>
          <w:rFonts w:eastAsiaTheme="minorHAnsi" w:cstheme="minorHAnsi"/>
          <w:color w:val="auto"/>
          <w:kern w:val="2"/>
          <w:lang w:eastAsia="en-US"/>
          <w14:ligatures w14:val="standardContextual"/>
        </w:rPr>
        <w:t>liggen</w:t>
      </w:r>
      <w:r w:rsidRPr="00486EED">
        <w:rPr>
          <w:rFonts w:eastAsiaTheme="minorHAnsi" w:cstheme="minorHAnsi"/>
          <w:color w:val="auto"/>
          <w:kern w:val="2"/>
          <w:lang w:eastAsia="en-US"/>
          <w14:ligatures w14:val="standardContextual"/>
        </w:rPr>
        <w:t>. Ook kan worden gedacht aan toenadering tot de werkwijzen en activiteiten van EU-instellingen, organen en agentschappen</w:t>
      </w:r>
      <w:r>
        <w:rPr>
          <w:rFonts w:eastAsiaTheme="minorHAnsi" w:cstheme="minorHAnsi"/>
          <w:color w:val="auto"/>
          <w:kern w:val="2"/>
          <w:lang w:eastAsia="en-US"/>
          <w14:ligatures w14:val="standardContextual"/>
        </w:rPr>
        <w:t>, zoals dat nu reeds bij sommige agentschappen is vormgegeven</w:t>
      </w:r>
      <w:r w:rsidRPr="00486EED">
        <w:rPr>
          <w:rFonts w:eastAsiaTheme="minorHAnsi" w:cstheme="minorHAnsi"/>
          <w:color w:val="auto"/>
          <w:kern w:val="2"/>
          <w:lang w:eastAsia="en-US"/>
          <w14:ligatures w14:val="standardContextual"/>
        </w:rPr>
        <w:t xml:space="preserve">. Kandidaat-lidstaten zouden een rol kunnen krijgen </w:t>
      </w:r>
      <w:r w:rsidR="00584FE1">
        <w:rPr>
          <w:rFonts w:eastAsiaTheme="minorHAnsi" w:cstheme="minorHAnsi"/>
          <w:color w:val="auto"/>
          <w:kern w:val="2"/>
          <w:lang w:eastAsia="en-US"/>
          <w14:ligatures w14:val="standardContextual"/>
        </w:rPr>
        <w:t>bij</w:t>
      </w:r>
      <w:r w:rsidRPr="00486EED">
        <w:rPr>
          <w:rFonts w:eastAsiaTheme="minorHAnsi" w:cstheme="minorHAnsi"/>
          <w:color w:val="auto"/>
          <w:kern w:val="2"/>
          <w:lang w:eastAsia="en-US"/>
          <w14:ligatures w14:val="standardContextual"/>
        </w:rPr>
        <w:t xml:space="preserve"> de besluitvorming over voorstellen voor beleidsterreinen waar </w:t>
      </w:r>
      <w:r>
        <w:rPr>
          <w:rFonts w:eastAsiaTheme="minorHAnsi" w:cstheme="minorHAnsi"/>
          <w:color w:val="auto"/>
          <w:kern w:val="2"/>
          <w:lang w:eastAsia="en-US"/>
          <w14:ligatures w14:val="standardContextual"/>
        </w:rPr>
        <w:t>het land</w:t>
      </w:r>
      <w:r w:rsidRPr="00486EED">
        <w:rPr>
          <w:rFonts w:eastAsiaTheme="minorHAnsi" w:cstheme="minorHAnsi"/>
          <w:color w:val="auto"/>
          <w:kern w:val="2"/>
          <w:lang w:eastAsia="en-US"/>
          <w14:ligatures w14:val="standardContextual"/>
        </w:rPr>
        <w:t xml:space="preserve"> aan deelneemt. Het behoud van de autonomie, vertrouwelijkheid en integriteit van de besluitvorming van de EU-instellingen is hierbij een belangrijke voorwaarde. </w:t>
      </w:r>
    </w:p>
    <w:p w:rsidR="00316269" w:rsidP="00316269" w:rsidRDefault="00316269" w14:paraId="07B4FDA0" w14:textId="77777777">
      <w:pPr>
        <w:autoSpaceDN/>
        <w:spacing w:after="160" w:line="276" w:lineRule="auto"/>
        <w:textAlignment w:val="auto"/>
        <w:rPr>
          <w:rFonts w:eastAsia="Times New Roman" w:cstheme="minorBidi"/>
          <w:b/>
          <w:bCs/>
          <w:color w:val="auto"/>
          <w:kern w:val="2"/>
          <w:lang w:eastAsia="en-US"/>
          <w14:ligatures w14:val="standardContextual"/>
        </w:rPr>
      </w:pPr>
      <w:r w:rsidRPr="00B80EA8">
        <w:rPr>
          <w:rFonts w:eastAsia="Times New Roman" w:cs="Arial"/>
          <w:b/>
          <w:color w:val="auto"/>
          <w:kern w:val="2"/>
          <w:lang w:eastAsia="en-US"/>
          <w14:ligatures w14:val="standardContextual"/>
        </w:rPr>
        <w:t>Toetredingsproces</w:t>
      </w:r>
      <w:r w:rsidRPr="00B80EA8">
        <w:rPr>
          <w:rFonts w:eastAsia="Times New Roman" w:cstheme="minorBidi"/>
          <w:b/>
          <w:color w:val="auto"/>
          <w:kern w:val="2"/>
          <w:lang w:eastAsia="en-US"/>
          <w14:ligatures w14:val="standardContextual"/>
        </w:rPr>
        <w:t xml:space="preserve"> van Oekraïne</w:t>
      </w:r>
      <w:r w:rsidRPr="00486EED">
        <w:rPr>
          <w:rFonts w:eastAsia="Times New Roman" w:cstheme="minorBidi"/>
          <w:b/>
          <w:bCs/>
          <w:color w:val="auto"/>
          <w:kern w:val="2"/>
          <w:lang w:eastAsia="en-US"/>
          <w14:ligatures w14:val="standardContextual"/>
        </w:rPr>
        <w:t xml:space="preserve"> </w:t>
      </w:r>
    </w:p>
    <w:p w:rsidRPr="00486EED" w:rsidR="00316269" w:rsidP="00316269" w:rsidRDefault="00316269" w14:paraId="45728B23" w14:textId="76EFCF4A">
      <w:pPr>
        <w:autoSpaceDN/>
        <w:spacing w:after="160" w:line="276" w:lineRule="auto"/>
        <w:textAlignment w:val="auto"/>
        <w:rPr>
          <w:rFonts w:eastAsia="Times New Roman" w:cstheme="minorBidi"/>
          <w:color w:val="auto"/>
          <w:kern w:val="2"/>
          <w:lang w:eastAsia="en-US"/>
          <w14:ligatures w14:val="standardContextual"/>
        </w:rPr>
      </w:pPr>
      <w:r w:rsidRPr="00486EED">
        <w:rPr>
          <w:rFonts w:eastAsia="Times New Roman" w:cstheme="minorBidi"/>
          <w:color w:val="auto"/>
          <w:kern w:val="2"/>
          <w:lang w:eastAsia="en-US"/>
          <w14:ligatures w14:val="standardContextual"/>
        </w:rPr>
        <w:t xml:space="preserve">Gegeven de Russische agressieoorlog tegen Oekraïne en de geopolitieke belangen die hiermee samenhangen, is het evident </w:t>
      </w:r>
      <w:r w:rsidRPr="00AF1581">
        <w:rPr>
          <w:rFonts w:eastAsia="Times New Roman" w:cstheme="minorBidi"/>
          <w:color w:val="auto"/>
          <w:kern w:val="2"/>
          <w:lang w:eastAsia="en-US"/>
          <w14:ligatures w14:val="standardContextual"/>
        </w:rPr>
        <w:t xml:space="preserve">dat er veel aandacht uitgaat naar het EU-toetredingsproces van Oekraïne. Voor de </w:t>
      </w:r>
      <w:r w:rsidRPr="00AF1581" w:rsidR="00545AE3">
        <w:rPr>
          <w:rFonts w:eastAsia="Times New Roman" w:cstheme="minorBidi"/>
          <w:color w:val="auto"/>
          <w:kern w:val="2"/>
          <w:lang w:eastAsia="en-US"/>
          <w14:ligatures w14:val="standardContextual"/>
        </w:rPr>
        <w:t>Oekraïense</w:t>
      </w:r>
      <w:r w:rsidRPr="00AF1581">
        <w:rPr>
          <w:rFonts w:eastAsia="Times New Roman" w:cstheme="minorBidi"/>
          <w:color w:val="auto"/>
          <w:kern w:val="2"/>
          <w:lang w:eastAsia="en-US"/>
          <w14:ligatures w14:val="standardContextual"/>
        </w:rPr>
        <w:t xml:space="preserve"> bevolking is het toekomstperspectief van EU-lidmaatschap van groot belang. Het kabinet onderschrijft dit perspectief ten volle en</w:t>
      </w:r>
      <w:r w:rsidRPr="00AF1581">
        <w:rPr>
          <w:rFonts w:eastAsiaTheme="minorHAnsi" w:cstheme="minorBidi"/>
          <w:color w:val="auto"/>
          <w:kern w:val="2"/>
          <w:lang w:eastAsia="en-US"/>
          <w14:ligatures w14:val="standardContextual"/>
        </w:rPr>
        <w:t xml:space="preserve"> </w:t>
      </w:r>
      <w:r w:rsidRPr="00AF1581">
        <w:rPr>
          <w:rFonts w:eastAsia="Times New Roman" w:cstheme="minorBidi"/>
          <w:color w:val="auto"/>
          <w:kern w:val="2"/>
          <w:lang w:eastAsia="en-US"/>
          <w14:ligatures w14:val="standardContextual"/>
        </w:rPr>
        <w:t xml:space="preserve">ondersteunt Oekraïne op het onomkeerbare pad richting toekomstig EU-lidmaatschap, zonder daarbij afbreuk te doen aan de voorwaarden voor EU-toetreding. Oekraïne vecht voor de Europese veiligheid en Europese waarden. Het is belangrijk voor de Europese veiligheid dat samenwerking met Oekraïne met </w:t>
      </w:r>
      <w:r w:rsidRPr="00AF1581" w:rsidR="00545AE3">
        <w:rPr>
          <w:rFonts w:eastAsia="Times New Roman" w:cstheme="minorBidi"/>
          <w:color w:val="auto"/>
          <w:kern w:val="2"/>
          <w:lang w:eastAsia="en-US"/>
          <w14:ligatures w14:val="standardContextual"/>
        </w:rPr>
        <w:t xml:space="preserve">zijn </w:t>
      </w:r>
      <w:r w:rsidRPr="00AF1581">
        <w:rPr>
          <w:rFonts w:eastAsia="Times New Roman" w:cstheme="minorBidi"/>
          <w:color w:val="auto"/>
          <w:kern w:val="2"/>
          <w:lang w:eastAsia="en-US"/>
          <w14:ligatures w14:val="standardContextual"/>
        </w:rPr>
        <w:t xml:space="preserve">militaire kracht en de Europese investeringen in </w:t>
      </w:r>
      <w:r w:rsidRPr="00AF1581" w:rsidR="00545AE3">
        <w:rPr>
          <w:rFonts w:eastAsia="Times New Roman" w:cstheme="minorBidi"/>
          <w:color w:val="auto"/>
          <w:kern w:val="2"/>
          <w:lang w:eastAsia="en-US"/>
          <w14:ligatures w14:val="standardContextual"/>
        </w:rPr>
        <w:t xml:space="preserve">zijn </w:t>
      </w:r>
      <w:r w:rsidRPr="00AF1581">
        <w:rPr>
          <w:rFonts w:eastAsia="Times New Roman" w:cstheme="minorBidi"/>
          <w:color w:val="auto"/>
          <w:kern w:val="2"/>
          <w:lang w:eastAsia="en-US"/>
          <w14:ligatures w14:val="standardContextual"/>
        </w:rPr>
        <w:t xml:space="preserve">defensie stevig wordt verankerd. Voor de Europese strategische autonomie en vanuit de wens de Europese veiligheidsarchitectuur robuuster in te richten, heeft Oekraïne de EU veel te bieden. Het land heeft bijvoorbeeld een van de meest ervaren </w:t>
      </w:r>
      <w:r w:rsidRPr="00AF1581" w:rsidR="00545AE3">
        <w:rPr>
          <w:rFonts w:eastAsia="Times New Roman" w:cstheme="minorBidi"/>
          <w:color w:val="auto"/>
          <w:kern w:val="2"/>
          <w:lang w:eastAsia="en-US"/>
          <w14:ligatures w14:val="standardContextual"/>
        </w:rPr>
        <w:t xml:space="preserve">krijgsmachten </w:t>
      </w:r>
      <w:r w:rsidRPr="00AF1581">
        <w:rPr>
          <w:rFonts w:eastAsia="Times New Roman" w:cstheme="minorBidi"/>
          <w:color w:val="auto"/>
          <w:kern w:val="2"/>
          <w:lang w:eastAsia="en-US"/>
          <w14:ligatures w14:val="standardContextual"/>
        </w:rPr>
        <w:t>in Europa,</w:t>
      </w:r>
      <w:r w:rsidRPr="00486EED">
        <w:rPr>
          <w:rFonts w:eastAsia="Times New Roman" w:cstheme="minorBidi"/>
          <w:color w:val="auto"/>
          <w:kern w:val="2"/>
          <w:lang w:eastAsia="en-US"/>
          <w14:ligatures w14:val="standardContextual"/>
        </w:rPr>
        <w:t xml:space="preserve"> een </w:t>
      </w:r>
      <w:r w:rsidRPr="00486EED">
        <w:rPr>
          <w:rFonts w:eastAsia="Times New Roman" w:cstheme="minorBidi"/>
          <w:color w:val="auto"/>
          <w:kern w:val="2"/>
          <w:lang w:eastAsia="en-US"/>
          <w14:ligatures w14:val="standardContextual"/>
        </w:rPr>
        <w:lastRenderedPageBreak/>
        <w:t xml:space="preserve">snelgroeiende en toonaangevende defensie industrie, grote landbouwproductie, een maakindustrie, een sterke IT-sector en de beschikking over grote voorraden grondstoffen, mineralen en zeldzame aardmetalen. </w:t>
      </w:r>
    </w:p>
    <w:p w:rsidRPr="00486EED" w:rsidR="00316269" w:rsidP="00316269" w:rsidRDefault="00316269" w14:paraId="56509767" w14:textId="77777777">
      <w:pPr>
        <w:autoSpaceDN/>
        <w:spacing w:after="160" w:line="276" w:lineRule="auto"/>
        <w:textAlignment w:val="auto"/>
        <w:rPr>
          <w:rFonts w:eastAsia="Times New Roman" w:cstheme="minorBidi"/>
          <w:color w:val="auto"/>
          <w:kern w:val="2"/>
          <w:lang w:eastAsia="en-US"/>
          <w14:ligatures w14:val="standardContextual"/>
        </w:rPr>
      </w:pPr>
      <w:r w:rsidRPr="00486EED">
        <w:rPr>
          <w:rFonts w:eastAsia="Times New Roman" w:cstheme="minorBidi"/>
          <w:color w:val="auto"/>
          <w:kern w:val="2"/>
          <w:lang w:eastAsia="en-US"/>
          <w14:ligatures w14:val="standardContextual"/>
        </w:rPr>
        <w:t>EU-uitbreiding met Oekraïne brengt niet alleen voordelen</w:t>
      </w:r>
      <w:r w:rsidRPr="00A76F1A">
        <w:rPr>
          <w:rFonts w:eastAsia="Times New Roman" w:cstheme="minorBidi"/>
          <w:color w:val="auto"/>
          <w:kern w:val="2"/>
          <w:lang w:eastAsia="en-US"/>
          <w14:ligatures w14:val="standardContextual"/>
        </w:rPr>
        <w:t xml:space="preserve"> </w:t>
      </w:r>
      <w:r w:rsidRPr="00486EED">
        <w:rPr>
          <w:rFonts w:eastAsia="Times New Roman" w:cstheme="minorBidi"/>
          <w:color w:val="auto"/>
          <w:kern w:val="2"/>
          <w:lang w:eastAsia="en-US"/>
          <w14:ligatures w14:val="standardContextual"/>
        </w:rPr>
        <w:t>met zich mee, maar ook veiligheidsrisico’s, als de Russische agressieoorlog tegen Oekraïne nog niet beëindigd is. Het kabinet ziet EU</w:t>
      </w:r>
      <w:r>
        <w:rPr>
          <w:rFonts w:eastAsia="Times New Roman" w:cstheme="minorBidi"/>
          <w:color w:val="auto"/>
          <w:kern w:val="2"/>
          <w:lang w:eastAsia="en-US"/>
          <w14:ligatures w14:val="standardContextual"/>
        </w:rPr>
        <w:t>-</w:t>
      </w:r>
      <w:r w:rsidRPr="00486EED">
        <w:rPr>
          <w:rFonts w:eastAsia="Times New Roman" w:cstheme="minorBidi"/>
          <w:color w:val="auto"/>
          <w:kern w:val="2"/>
          <w:lang w:eastAsia="en-US"/>
          <w14:ligatures w14:val="standardContextual"/>
        </w:rPr>
        <w:t xml:space="preserve">toetreding niet als veiligheidsgarantie op zich, hiervoor zijn afspraken in breder internationaal verband nodig, onder andere met de VS en in </w:t>
      </w:r>
      <w:r w:rsidRPr="00486EED">
        <w:rPr>
          <w:rFonts w:eastAsia="Times New Roman" w:cstheme="minorBidi"/>
          <w:i/>
          <w:iCs/>
          <w:color w:val="auto"/>
          <w:kern w:val="2"/>
          <w:lang w:eastAsia="en-US"/>
          <w14:ligatures w14:val="standardContextual"/>
        </w:rPr>
        <w:t>Coalition of the Willing</w:t>
      </w:r>
      <w:r w:rsidRPr="00486EED">
        <w:rPr>
          <w:rFonts w:eastAsia="Times New Roman" w:cstheme="minorBidi"/>
          <w:color w:val="auto"/>
          <w:kern w:val="2"/>
          <w:lang w:eastAsia="en-US"/>
          <w14:ligatures w14:val="standardContextual"/>
        </w:rPr>
        <w:t xml:space="preserve"> verband. Het kabinet erkent evenwel dat het EU-toetredingsproces Oekraïne stabieler, veiliger en welvarender kan maken. Het kabinet ondersteunt Oekraïne dan ook bij het hervormingsproces, zoals tijdens de bilaterale intergouvernementele Lviv-conferentie</w:t>
      </w:r>
      <w:r w:rsidRPr="00486EED">
        <w:rPr>
          <w:rFonts w:eastAsia="Times New Roman" w:cstheme="minorBidi"/>
          <w:color w:val="auto"/>
          <w:kern w:val="2"/>
          <w:vertAlign w:val="superscript"/>
          <w:lang w:eastAsia="en-US"/>
          <w14:ligatures w14:val="standardContextual"/>
        </w:rPr>
        <w:footnoteReference w:id="17"/>
      </w:r>
      <w:r w:rsidRPr="00486EED">
        <w:rPr>
          <w:rFonts w:eastAsia="Times New Roman" w:cstheme="minorBidi"/>
          <w:color w:val="auto"/>
          <w:kern w:val="2"/>
          <w:lang w:eastAsia="en-US"/>
          <w14:ligatures w14:val="standardContextual"/>
        </w:rPr>
        <w:t xml:space="preserve"> is herbevestigd en ook tot uiting komt </w:t>
      </w:r>
      <w:r>
        <w:rPr>
          <w:rFonts w:eastAsia="Times New Roman" w:cstheme="minorBidi"/>
          <w:color w:val="auto"/>
          <w:kern w:val="2"/>
          <w:lang w:eastAsia="en-US"/>
          <w14:ligatures w14:val="standardContextual"/>
        </w:rPr>
        <w:t>door inzet van</w:t>
      </w:r>
      <w:r w:rsidRPr="00486EED">
        <w:rPr>
          <w:rFonts w:eastAsia="Times New Roman" w:cstheme="minorBidi"/>
          <w:color w:val="auto"/>
          <w:kern w:val="2"/>
          <w:lang w:eastAsia="en-US"/>
          <w14:ligatures w14:val="standardContextual"/>
        </w:rPr>
        <w:t xml:space="preserve"> het MATRA-programma.</w:t>
      </w:r>
    </w:p>
    <w:p w:rsidR="00316269" w:rsidP="00316269" w:rsidRDefault="00316269" w14:paraId="6CCD3484" w14:textId="77777777">
      <w:pPr>
        <w:spacing w:line="276" w:lineRule="auto"/>
        <w:rPr>
          <w:rFonts w:eastAsia="Times New Roman" w:cstheme="minorBidi"/>
          <w:color w:val="auto"/>
          <w:kern w:val="2"/>
          <w:lang w:eastAsia="en-US"/>
          <w14:ligatures w14:val="standardContextual"/>
        </w:rPr>
      </w:pPr>
      <w:r w:rsidRPr="00486EED">
        <w:rPr>
          <w:rFonts w:eastAsia="Times New Roman" w:cstheme="minorBidi"/>
          <w:color w:val="auto"/>
          <w:kern w:val="2"/>
          <w:lang w:eastAsia="en-US"/>
          <w14:ligatures w14:val="standardContextual"/>
        </w:rPr>
        <w:t>Versnelde of alternatieve vormen van EU-toetreding hebben in de context van een mogelijk vredesakkoord veel aandacht gekregen van EU-instellingen</w:t>
      </w:r>
      <w:r>
        <w:rPr>
          <w:rFonts w:eastAsia="Times New Roman" w:cstheme="minorBidi"/>
          <w:color w:val="auto"/>
          <w:kern w:val="2"/>
          <w:lang w:eastAsia="en-US"/>
          <w14:ligatures w14:val="standardContextual"/>
        </w:rPr>
        <w:t>,</w:t>
      </w:r>
      <w:r w:rsidRPr="00486EED" w:rsidDel="00C90B1C">
        <w:rPr>
          <w:rFonts w:eastAsia="Times New Roman" w:cstheme="minorBidi"/>
          <w:color w:val="auto"/>
          <w:kern w:val="2"/>
          <w:lang w:eastAsia="en-US"/>
          <w14:ligatures w14:val="standardContextual"/>
        </w:rPr>
        <w:t xml:space="preserve"> </w:t>
      </w:r>
      <w:r w:rsidRPr="00486EED">
        <w:rPr>
          <w:rFonts w:eastAsia="Times New Roman" w:cstheme="minorBidi"/>
          <w:color w:val="auto"/>
          <w:kern w:val="2"/>
          <w:lang w:eastAsia="en-US"/>
          <w14:ligatures w14:val="standardContextual"/>
        </w:rPr>
        <w:t>lidstaten</w:t>
      </w:r>
      <w:r>
        <w:rPr>
          <w:rFonts w:eastAsia="Times New Roman" w:cstheme="minorBidi"/>
          <w:color w:val="auto"/>
          <w:kern w:val="2"/>
          <w:lang w:eastAsia="en-US"/>
          <w14:ligatures w14:val="standardContextual"/>
        </w:rPr>
        <w:t xml:space="preserve"> en in de media</w:t>
      </w:r>
      <w:r w:rsidRPr="00486EED">
        <w:rPr>
          <w:rFonts w:eastAsia="Times New Roman" w:cstheme="minorBidi"/>
          <w:color w:val="auto"/>
          <w:kern w:val="2"/>
          <w:lang w:eastAsia="en-US"/>
          <w14:ligatures w14:val="standardContextual"/>
        </w:rPr>
        <w:t xml:space="preserve">. </w:t>
      </w:r>
      <w:r>
        <w:rPr>
          <w:rFonts w:eastAsia="Times New Roman" w:cstheme="minorBidi"/>
          <w:color w:val="auto"/>
          <w:kern w:val="2"/>
          <w:lang w:eastAsia="en-US"/>
          <w14:ligatures w14:val="standardContextual"/>
        </w:rPr>
        <w:t xml:space="preserve">Voorbeelden hiervan zijn uitspraken over eventuele ‘omgekeerde toetreding’ en het door bondskanselier Friedrich Merz geopperde ‘geassocieerd lidmaatschap’. </w:t>
      </w:r>
      <w:r w:rsidRPr="004E09FC">
        <w:rPr>
          <w:rFonts w:eastAsia="Times New Roman" w:cstheme="minorBidi"/>
          <w:color w:val="auto"/>
          <w:kern w:val="2"/>
          <w:lang w:eastAsia="en-US"/>
          <w14:ligatures w14:val="standardContextual"/>
        </w:rPr>
        <w:t>Het kabinet engageert op constructieve wijze in informele gesprekken over</w:t>
      </w:r>
      <w:r>
        <w:rPr>
          <w:rFonts w:eastAsia="Times New Roman" w:cstheme="minorBidi"/>
          <w:color w:val="auto"/>
          <w:kern w:val="2"/>
          <w:lang w:eastAsia="en-US"/>
          <w14:ligatures w14:val="standardContextual"/>
        </w:rPr>
        <w:t xml:space="preserve"> toetredingsscenario’s voor Oekraïne. Indien nodig, staat h</w:t>
      </w:r>
      <w:r w:rsidRPr="004E09FC">
        <w:rPr>
          <w:rFonts w:eastAsia="Times New Roman" w:cstheme="minorBidi"/>
          <w:color w:val="auto"/>
          <w:kern w:val="2"/>
          <w:lang w:eastAsia="en-US"/>
          <w14:ligatures w14:val="standardContextual"/>
        </w:rPr>
        <w:t>et kabinet er in lijn met motie Klos</w:t>
      </w:r>
      <w:r w:rsidRPr="004E09FC">
        <w:rPr>
          <w:rFonts w:eastAsia="Times New Roman" w:cstheme="minorBidi"/>
          <w:color w:val="auto"/>
          <w:kern w:val="2"/>
          <w:vertAlign w:val="superscript"/>
          <w:lang w:eastAsia="en-US"/>
          <w14:ligatures w14:val="standardContextual"/>
        </w:rPr>
        <w:footnoteReference w:id="18"/>
      </w:r>
      <w:r w:rsidRPr="004E09FC" w:rsidDel="007B464A">
        <w:rPr>
          <w:rFonts w:eastAsia="Times New Roman" w:cstheme="minorBidi"/>
          <w:color w:val="auto"/>
          <w:kern w:val="2"/>
          <w:lang w:eastAsia="en-US"/>
          <w14:ligatures w14:val="standardContextual"/>
        </w:rPr>
        <w:t xml:space="preserve"> </w:t>
      </w:r>
      <w:r w:rsidRPr="004E09FC">
        <w:rPr>
          <w:rFonts w:eastAsia="Times New Roman" w:cstheme="minorBidi"/>
          <w:color w:val="auto"/>
          <w:kern w:val="2"/>
          <w:lang w:eastAsia="en-US"/>
          <w14:ligatures w14:val="standardContextual"/>
        </w:rPr>
        <w:t xml:space="preserve">voor open om eventuele gefaseerde toetreding voor Oekraïne te onderzoeken, langs de lijnen van de hierboven </w:t>
      </w:r>
      <w:r w:rsidRPr="00316269">
        <w:rPr>
          <w:rFonts w:eastAsia="Times New Roman" w:cstheme="minorBidi"/>
          <w:color w:val="auto"/>
          <w:kern w:val="2"/>
          <w:lang w:eastAsia="en-US"/>
          <w14:ligatures w14:val="standardContextual"/>
        </w:rPr>
        <w:t>geschetste koppeling tussen geleidelijke integratie en het toetredingsproces, en de in deze brief vermelde uitgangspunten die het kabinet hierbij hanteert. Het uitgangspunt</w:t>
      </w:r>
      <w:r w:rsidRPr="004E09FC">
        <w:rPr>
          <w:rFonts w:eastAsia="Times New Roman" w:cstheme="minorBidi"/>
          <w:color w:val="auto"/>
          <w:kern w:val="2"/>
          <w:lang w:eastAsia="en-US"/>
          <w14:ligatures w14:val="standardContextual"/>
        </w:rPr>
        <w:t xml:space="preserve"> blijft dat een land pas volwaardig lid wordt als voldaan wordt aan alle criteria, in lijn met de motie Hoogeveen/Ceulemans</w:t>
      </w:r>
      <w:r w:rsidRPr="004E09FC">
        <w:rPr>
          <w:rFonts w:eastAsia="Times New Roman" w:cstheme="minorBidi"/>
          <w:color w:val="auto"/>
          <w:kern w:val="2"/>
          <w:vertAlign w:val="superscript"/>
          <w:lang w:eastAsia="en-US"/>
          <w14:ligatures w14:val="standardContextual"/>
        </w:rPr>
        <w:footnoteReference w:id="19"/>
      </w:r>
      <w:r w:rsidRPr="004E09FC">
        <w:rPr>
          <w:rFonts w:eastAsia="Times New Roman" w:cstheme="minorBidi"/>
          <w:color w:val="auto"/>
          <w:kern w:val="2"/>
          <w:lang w:eastAsia="en-US"/>
          <w14:ligatures w14:val="standardContextual"/>
        </w:rPr>
        <w:t xml:space="preserve">. Dat is een wederzijds belang. </w:t>
      </w:r>
    </w:p>
    <w:p w:rsidR="00316269" w:rsidP="00316269" w:rsidRDefault="00316269" w14:paraId="17648D96" w14:textId="77777777">
      <w:pPr>
        <w:spacing w:line="276" w:lineRule="auto"/>
        <w:rPr>
          <w:rFonts w:eastAsia="Times New Roman" w:cstheme="minorBidi"/>
          <w:color w:val="auto"/>
          <w:kern w:val="2"/>
          <w:lang w:eastAsia="en-US"/>
          <w14:ligatures w14:val="standardContextual"/>
        </w:rPr>
      </w:pPr>
    </w:p>
    <w:p w:rsidRPr="00486EED" w:rsidR="00316269" w:rsidP="00316269" w:rsidRDefault="00316269" w14:paraId="009B5CC4" w14:textId="27BDA05F">
      <w:pPr>
        <w:autoSpaceDN/>
        <w:spacing w:after="160" w:line="276" w:lineRule="auto"/>
        <w:textAlignment w:val="auto"/>
        <w:rPr>
          <w:rFonts w:eastAsia="Times New Roman" w:cstheme="minorBidi"/>
          <w:color w:val="auto"/>
          <w:kern w:val="2"/>
          <w:lang w:eastAsia="en-US"/>
          <w14:ligatures w14:val="standardContextual"/>
        </w:rPr>
      </w:pPr>
      <w:r w:rsidRPr="00486EED">
        <w:rPr>
          <w:rFonts w:eastAsia="Times New Roman" w:cstheme="minorBidi"/>
          <w:color w:val="auto"/>
          <w:kern w:val="2"/>
          <w:lang w:eastAsia="en-US"/>
          <w14:ligatures w14:val="standardContextual"/>
        </w:rPr>
        <w:t xml:space="preserve">Het </w:t>
      </w:r>
      <w:r>
        <w:rPr>
          <w:rFonts w:eastAsia="Times New Roman" w:cstheme="minorBidi"/>
          <w:color w:val="auto"/>
          <w:kern w:val="2"/>
          <w:lang w:eastAsia="en-US"/>
          <w14:ligatures w14:val="standardContextual"/>
        </w:rPr>
        <w:t xml:space="preserve">kabinet </w:t>
      </w:r>
      <w:r w:rsidRPr="00486EED">
        <w:rPr>
          <w:rFonts w:eastAsia="Times New Roman" w:cstheme="minorBidi"/>
          <w:color w:val="auto"/>
          <w:kern w:val="2"/>
          <w:lang w:eastAsia="en-US"/>
          <w14:ligatures w14:val="standardContextual"/>
        </w:rPr>
        <w:t>ziet dat de toekomst van Oekraïne</w:t>
      </w:r>
      <w:r>
        <w:rPr>
          <w:rFonts w:eastAsia="Times New Roman" w:cstheme="minorBidi"/>
          <w:color w:val="auto"/>
          <w:kern w:val="2"/>
          <w:lang w:eastAsia="en-US"/>
          <w14:ligatures w14:val="standardContextual"/>
        </w:rPr>
        <w:t xml:space="preserve"> – alsook Moldavië -</w:t>
      </w:r>
      <w:r w:rsidRPr="00486EED">
        <w:rPr>
          <w:rFonts w:eastAsia="Times New Roman" w:cstheme="minorBidi"/>
          <w:color w:val="auto"/>
          <w:kern w:val="2"/>
          <w:lang w:eastAsia="en-US"/>
          <w14:ligatures w14:val="standardContextual"/>
        </w:rPr>
        <w:t xml:space="preserve"> </w:t>
      </w:r>
      <w:r>
        <w:rPr>
          <w:rFonts w:eastAsia="Times New Roman" w:cstheme="minorBidi"/>
          <w:color w:val="auto"/>
          <w:kern w:val="2"/>
          <w:lang w:eastAsia="en-US"/>
          <w14:ligatures w14:val="standardContextual"/>
        </w:rPr>
        <w:t>onomkeerbaar</w:t>
      </w:r>
      <w:r w:rsidRPr="00486EED">
        <w:rPr>
          <w:rFonts w:eastAsia="Times New Roman" w:cstheme="minorBidi"/>
          <w:color w:val="auto"/>
          <w:kern w:val="2"/>
          <w:lang w:eastAsia="en-US"/>
          <w14:ligatures w14:val="standardContextual"/>
        </w:rPr>
        <w:t xml:space="preserve"> in de Unie ligt.</w:t>
      </w:r>
      <w:r>
        <w:rPr>
          <w:rFonts w:eastAsia="Times New Roman" w:cstheme="minorBidi"/>
          <w:color w:val="auto"/>
          <w:kern w:val="2"/>
          <w:lang w:eastAsia="en-US"/>
          <w14:ligatures w14:val="standardContextual"/>
        </w:rPr>
        <w:t xml:space="preserve"> Het toetredingsproces is een op verdiensten gebaseerd proces en het vaststellen van toetredingsdata past hier niet bij. Het doorvoeren van de vereiste hervormingen vraagt prioriteit en tijd. Het kabinet is daarom</w:t>
      </w:r>
      <w:r w:rsidRPr="00184B69">
        <w:rPr>
          <w:rFonts w:eastAsia="Times New Roman" w:cstheme="minorBidi"/>
          <w:color w:val="auto"/>
          <w:kern w:val="2"/>
          <w:lang w:eastAsia="en-US"/>
          <w14:ligatures w14:val="standardContextual"/>
        </w:rPr>
        <w:t xml:space="preserve"> </w:t>
      </w:r>
      <w:r>
        <w:rPr>
          <w:rFonts w:eastAsia="Times New Roman" w:cstheme="minorBidi"/>
          <w:color w:val="auto"/>
          <w:kern w:val="2"/>
          <w:lang w:eastAsia="en-US"/>
          <w14:ligatures w14:val="standardContextual"/>
        </w:rPr>
        <w:t>t</w:t>
      </w:r>
      <w:r w:rsidRPr="004E09FC">
        <w:rPr>
          <w:rFonts w:eastAsia="Times New Roman" w:cstheme="minorBidi"/>
          <w:color w:val="auto"/>
          <w:kern w:val="2"/>
          <w:lang w:eastAsia="en-US"/>
          <w14:ligatures w14:val="standardContextual"/>
        </w:rPr>
        <w:t>erughoudend ten aanzien van scenario</w:t>
      </w:r>
      <w:r w:rsidRPr="004E09FC">
        <w:rPr>
          <w:rFonts w:eastAsia="Times New Roman" w:cs="Verdana"/>
          <w:color w:val="auto"/>
          <w:kern w:val="2"/>
          <w:lang w:eastAsia="en-US"/>
          <w14:ligatures w14:val="standardContextual"/>
        </w:rPr>
        <w:t>’</w:t>
      </w:r>
      <w:r w:rsidRPr="004E09FC">
        <w:rPr>
          <w:rFonts w:eastAsia="Times New Roman" w:cstheme="minorBidi"/>
          <w:color w:val="auto"/>
          <w:kern w:val="2"/>
          <w:lang w:eastAsia="en-US"/>
          <w14:ligatures w14:val="standardContextual"/>
        </w:rPr>
        <w:t xml:space="preserve">s die gestoeld zijn op de aanname dat </w:t>
      </w:r>
      <w:r>
        <w:rPr>
          <w:rFonts w:eastAsia="Times New Roman" w:cstheme="minorBidi"/>
          <w:color w:val="auto"/>
          <w:kern w:val="2"/>
          <w:lang w:eastAsia="en-US"/>
          <w14:ligatures w14:val="standardContextual"/>
        </w:rPr>
        <w:t xml:space="preserve">het mogelijk is om op zeer korte </w:t>
      </w:r>
      <w:r w:rsidRPr="004E09FC">
        <w:rPr>
          <w:rFonts w:eastAsia="Times New Roman" w:cstheme="minorBidi"/>
          <w:color w:val="auto"/>
          <w:kern w:val="2"/>
          <w:lang w:eastAsia="en-US"/>
          <w14:ligatures w14:val="standardContextual"/>
        </w:rPr>
        <w:t xml:space="preserve">termijn </w:t>
      </w:r>
      <w:r>
        <w:rPr>
          <w:rFonts w:eastAsia="Times New Roman" w:cstheme="minorBidi"/>
          <w:color w:val="auto"/>
          <w:kern w:val="2"/>
          <w:lang w:eastAsia="en-US"/>
          <w14:ligatures w14:val="standardContextual"/>
        </w:rPr>
        <w:t xml:space="preserve">te </w:t>
      </w:r>
      <w:r w:rsidRPr="004E09FC">
        <w:rPr>
          <w:rFonts w:eastAsia="Times New Roman" w:cstheme="minorBidi"/>
          <w:color w:val="auto"/>
          <w:kern w:val="2"/>
          <w:lang w:eastAsia="en-US"/>
          <w14:ligatures w14:val="standardContextual"/>
        </w:rPr>
        <w:t>voldoen aan alle voorwaarden.</w:t>
      </w:r>
      <w:r>
        <w:rPr>
          <w:rFonts w:eastAsia="Times New Roman" w:cstheme="minorBidi"/>
          <w:color w:val="auto"/>
          <w:kern w:val="2"/>
          <w:lang w:eastAsia="en-US"/>
          <w14:ligatures w14:val="standardContextual"/>
        </w:rPr>
        <w:t xml:space="preserve"> Dit neemt niet weg dat het kabinet Oekraïne ten volle steunt in dit proces en graag beziet wat </w:t>
      </w:r>
      <w:r w:rsidRPr="00184B69">
        <w:rPr>
          <w:rFonts w:eastAsia="Times New Roman" w:cstheme="minorBidi"/>
          <w:color w:val="auto"/>
          <w:kern w:val="2"/>
          <w:lang w:eastAsia="en-US"/>
          <w14:ligatures w14:val="standardContextual"/>
        </w:rPr>
        <w:t>haalbaar is.</w:t>
      </w:r>
      <w:r>
        <w:rPr>
          <w:rFonts w:eastAsia="Times New Roman" w:cstheme="minorBidi"/>
          <w:color w:val="auto"/>
          <w:kern w:val="2"/>
          <w:lang w:eastAsia="en-US"/>
          <w14:ligatures w14:val="standardContextual"/>
        </w:rPr>
        <w:t xml:space="preserve"> </w:t>
      </w:r>
      <w:r w:rsidRPr="00486EED">
        <w:rPr>
          <w:rFonts w:eastAsia="Times New Roman" w:cstheme="minorBidi"/>
          <w:color w:val="auto"/>
          <w:kern w:val="2"/>
          <w:lang w:eastAsia="en-US"/>
          <w14:ligatures w14:val="standardContextual"/>
        </w:rPr>
        <w:t xml:space="preserve">Het kabinet is voorstander </w:t>
      </w:r>
      <w:r w:rsidRPr="00AF1581">
        <w:rPr>
          <w:rFonts w:eastAsia="Times New Roman" w:cstheme="minorBidi"/>
          <w:color w:val="auto"/>
          <w:kern w:val="2"/>
          <w:lang w:eastAsia="en-US"/>
          <w14:ligatures w14:val="standardContextual"/>
        </w:rPr>
        <w:t>van het vaart maken in het reguliere, op verdiensten gebaseerde, toetredingsproces.</w:t>
      </w:r>
      <w:r w:rsidRPr="00AF1581" w:rsidR="005925DC">
        <w:rPr>
          <w:rFonts w:eastAsia="Times New Roman" w:cstheme="minorBidi"/>
          <w:color w:val="auto"/>
          <w:kern w:val="2"/>
          <w:lang w:eastAsia="en-US"/>
          <w14:ligatures w14:val="standardContextual"/>
        </w:rPr>
        <w:t xml:space="preserve"> Het ziet ernaar uit dat alle lidstaten op korte termijn kunnen instemmen met het openen van Cluster 1, waarna ook de andere clusters snel zouden kunnen volgen. Dit betekent dat het voorzitterschap mogelijk Intergouvernementele Conferenties zal organiseren, met zowel Oekraïne als Moldavië, en marge van de Raad Algemene Zaken van 16 juni.</w:t>
      </w:r>
      <w:r w:rsidRPr="00AF1581">
        <w:rPr>
          <w:rFonts w:eastAsia="Times New Roman" w:cstheme="minorBidi"/>
          <w:color w:val="auto"/>
          <w:kern w:val="2"/>
          <w:lang w:eastAsia="en-US"/>
          <w14:ligatures w14:val="standardContextual"/>
        </w:rPr>
        <w:t xml:space="preserve"> Het kabinet kijkt hiernaar uit en spant zich hiervoor in, voor zowel Oekraïne als Moldavië, conform motie Klos</w:t>
      </w:r>
      <w:r w:rsidRPr="00AF1581">
        <w:rPr>
          <w:rFonts w:eastAsia="Times New Roman" w:cstheme="minorBidi"/>
          <w:color w:val="auto"/>
          <w:kern w:val="2"/>
          <w:vertAlign w:val="superscript"/>
          <w:lang w:eastAsia="en-US"/>
          <w14:ligatures w14:val="standardContextual"/>
        </w:rPr>
        <w:footnoteReference w:id="20"/>
      </w:r>
      <w:r w:rsidRPr="00AF1581">
        <w:rPr>
          <w:rFonts w:eastAsia="Times New Roman" w:cstheme="minorBidi"/>
          <w:color w:val="auto"/>
          <w:kern w:val="2"/>
          <w:lang w:eastAsia="en-US"/>
          <w14:ligatures w14:val="standardContextual"/>
        </w:rPr>
        <w:t xml:space="preserve">. </w:t>
      </w:r>
      <w:r w:rsidRPr="00AF1581" w:rsidR="005925DC">
        <w:rPr>
          <w:rFonts w:eastAsia="Times New Roman" w:cstheme="minorBidi"/>
          <w:color w:val="auto"/>
          <w:kern w:val="2"/>
          <w:lang w:eastAsia="en-US"/>
          <w14:ligatures w14:val="standardContextual"/>
        </w:rPr>
        <w:t>Met de hervatting van het reguliere toetredingsproces, na het opheffen van de Hongaarse blokkade,</w:t>
      </w:r>
      <w:r w:rsidR="005925DC">
        <w:rPr>
          <w:rFonts w:eastAsia="Times New Roman" w:cstheme="minorBidi"/>
          <w:color w:val="auto"/>
          <w:kern w:val="2"/>
          <w:lang w:eastAsia="en-US"/>
          <w14:ligatures w14:val="standardContextual"/>
        </w:rPr>
        <w:t xml:space="preserve"> </w:t>
      </w:r>
      <w:r w:rsidRPr="00486EED">
        <w:rPr>
          <w:rFonts w:eastAsia="Times New Roman" w:cstheme="minorBidi"/>
          <w:color w:val="auto"/>
          <w:kern w:val="2"/>
          <w:lang w:eastAsia="en-US"/>
          <w14:ligatures w14:val="standardContextual"/>
        </w:rPr>
        <w:t xml:space="preserve">blijft het tempo van het proces in belangrijke mate afhankelijk van de voortgang die Oekraïne boekt op de benodigde hervormingen. </w:t>
      </w:r>
    </w:p>
    <w:p w:rsidR="00316269" w:rsidP="00316269" w:rsidRDefault="00316269" w14:paraId="63426F8B" w14:textId="4A3ABB09">
      <w:pPr>
        <w:autoSpaceDN/>
        <w:spacing w:after="160" w:line="276" w:lineRule="auto"/>
        <w:textAlignment w:val="auto"/>
        <w:rPr>
          <w:rFonts w:eastAsia="Times New Roman" w:cstheme="minorBidi"/>
          <w:color w:val="auto"/>
          <w:kern w:val="2"/>
          <w:lang w:eastAsia="en-US"/>
          <w14:ligatures w14:val="standardContextual"/>
        </w:rPr>
      </w:pPr>
      <w:r w:rsidRPr="00486EED">
        <w:rPr>
          <w:rFonts w:eastAsia="Times New Roman" w:cstheme="minorBidi"/>
          <w:color w:val="auto"/>
          <w:kern w:val="2"/>
          <w:lang w:eastAsia="en-US"/>
          <w14:ligatures w14:val="standardContextual"/>
        </w:rPr>
        <w:lastRenderedPageBreak/>
        <w:t xml:space="preserve">Daarnaast kan geïnvesteerd worden in verdere geleidelijke integratie. Geleidelijke integratie op relevante terreinen kan mogelijk versneld worden. Voorbeelden daarvan zijn initiatieven op het vlak van de Defensie-industrie en de deelname van Oekraïne aan </w:t>
      </w:r>
      <w:r w:rsidRPr="00486EED">
        <w:rPr>
          <w:rFonts w:eastAsia="Times New Roman" w:cstheme="minorBidi"/>
          <w:i/>
          <w:iCs/>
          <w:color w:val="auto"/>
          <w:kern w:val="2"/>
          <w:lang w:eastAsia="en-US"/>
          <w14:ligatures w14:val="standardContextual"/>
        </w:rPr>
        <w:t>Roam like at Home</w:t>
      </w:r>
      <w:r w:rsidRPr="00486EED">
        <w:rPr>
          <w:rFonts w:eastAsia="Times New Roman" w:cstheme="minorBidi"/>
          <w:color w:val="auto"/>
          <w:kern w:val="2"/>
          <w:lang w:eastAsia="en-US"/>
          <w14:ligatures w14:val="standardContextual"/>
        </w:rPr>
        <w:t xml:space="preserve"> sinds 1 januari van dit jaar. Het kabinet staat er in lijn met motie Klos</w:t>
      </w:r>
      <w:r w:rsidRPr="00486EED">
        <w:rPr>
          <w:rFonts w:eastAsia="Times New Roman" w:cstheme="minorBidi"/>
          <w:color w:val="auto"/>
          <w:kern w:val="2"/>
          <w:vertAlign w:val="superscript"/>
          <w:lang w:eastAsia="en-US"/>
          <w14:ligatures w14:val="standardContextual"/>
        </w:rPr>
        <w:footnoteReference w:id="21"/>
      </w:r>
      <w:r w:rsidRPr="00486EED" w:rsidDel="007B464A">
        <w:rPr>
          <w:rFonts w:eastAsia="Times New Roman" w:cstheme="minorBidi"/>
          <w:color w:val="auto"/>
          <w:kern w:val="2"/>
          <w:lang w:eastAsia="en-US"/>
          <w14:ligatures w14:val="standardContextual"/>
        </w:rPr>
        <w:t xml:space="preserve"> </w:t>
      </w:r>
      <w:r w:rsidRPr="00486EED">
        <w:rPr>
          <w:rFonts w:eastAsia="Times New Roman" w:cstheme="minorBidi"/>
          <w:color w:val="auto"/>
          <w:kern w:val="2"/>
          <w:lang w:eastAsia="en-US"/>
          <w14:ligatures w14:val="standardContextual"/>
        </w:rPr>
        <w:t xml:space="preserve">bovendien voor open om eventuele gefaseerde toetreding voor Oekraïne te onderzoeken, indien nodig, langs de lijnen van de hierboven geschetste koppeling tussen geleidelijke integratie en het toetredingsproces. </w:t>
      </w:r>
    </w:p>
    <w:p w:rsidRPr="00486EED" w:rsidR="00316269" w:rsidP="00316269" w:rsidRDefault="00316269" w14:paraId="06BE0503" w14:textId="77777777">
      <w:pPr>
        <w:autoSpaceDN/>
        <w:spacing w:after="160" w:line="276" w:lineRule="auto"/>
        <w:textAlignment w:val="auto"/>
        <w:rPr>
          <w:rFonts w:eastAsiaTheme="minorHAnsi" w:cstheme="minorHAnsi"/>
          <w:b/>
          <w:color w:val="auto"/>
          <w:kern w:val="2"/>
          <w:lang w:eastAsia="en-US"/>
          <w14:ligatures w14:val="standardContextual"/>
        </w:rPr>
      </w:pPr>
      <w:r w:rsidRPr="00486EED">
        <w:rPr>
          <w:rFonts w:eastAsiaTheme="minorHAnsi" w:cstheme="minorHAnsi"/>
          <w:b/>
          <w:color w:val="auto"/>
          <w:kern w:val="2"/>
          <w:lang w:eastAsia="en-US"/>
          <w14:ligatures w14:val="standardContextual"/>
        </w:rPr>
        <w:t xml:space="preserve">Overgangsmaatregelen en waarborgen in nieuwe toetredingsverdragen    </w:t>
      </w:r>
    </w:p>
    <w:p w:rsidRPr="00486EED" w:rsidR="00316269" w:rsidP="00316269" w:rsidRDefault="00316269" w14:paraId="42D2F70B" w14:textId="369EE1C7">
      <w:pPr>
        <w:autoSpaceDN/>
        <w:spacing w:after="160" w:line="276" w:lineRule="auto"/>
        <w:textAlignment w:val="auto"/>
        <w:rPr>
          <w:rFonts w:eastAsia="Times New Roman" w:cs="Times New Roman"/>
          <w:color w:val="auto"/>
          <w:lang w:eastAsia="zh-CN"/>
        </w:rPr>
      </w:pPr>
      <w:r w:rsidRPr="00486EED">
        <w:rPr>
          <w:rFonts w:eastAsia="Times New Roman" w:cs="Times New Roman"/>
          <w:color w:val="auto"/>
          <w:lang w:eastAsia="zh-CN"/>
        </w:rPr>
        <w:t xml:space="preserve">Er is veel veranderd sinds Kroatië in 2013 lid werd van de EU. Een simpele overname van het toetredingsverdrag met Kroatië volstaat </w:t>
      </w:r>
      <w:r>
        <w:rPr>
          <w:rFonts w:eastAsia="Times New Roman" w:cs="Times New Roman"/>
          <w:color w:val="auto"/>
          <w:lang w:eastAsia="zh-CN"/>
        </w:rPr>
        <w:t xml:space="preserve">dan ook </w:t>
      </w:r>
      <w:r w:rsidRPr="00486EED">
        <w:rPr>
          <w:rFonts w:eastAsia="Times New Roman" w:cs="Times New Roman"/>
          <w:color w:val="auto"/>
          <w:lang w:eastAsia="zh-CN"/>
        </w:rPr>
        <w:t xml:space="preserve">niet. Zo staan </w:t>
      </w:r>
      <w:r w:rsidRPr="00486EED">
        <w:rPr>
          <w:rFonts w:eastAsia="Times New Roman" w:cs="Times New Roman"/>
          <w:bCs/>
          <w:color w:val="auto"/>
          <w:lang w:eastAsia="zh-CN"/>
        </w:rPr>
        <w:t>EU-waarden en de slagkracht van de Unie</w:t>
      </w:r>
      <w:r w:rsidRPr="00486EED">
        <w:rPr>
          <w:rFonts w:eastAsia="Times New Roman" w:cs="Times New Roman"/>
          <w:color w:val="auto"/>
          <w:lang w:eastAsia="zh-CN"/>
        </w:rPr>
        <w:t xml:space="preserve"> onder druk door geopolitieke spanningen en door lidstaten die de EU-eenheid ondermijnen.</w:t>
      </w:r>
      <w:r w:rsidRPr="00486EED">
        <w:rPr>
          <w:rFonts w:eastAsia="Times New Roman" w:cs="Times New Roman"/>
          <w:color w:val="auto"/>
          <w:szCs w:val="24"/>
          <w:lang w:eastAsia="zh-CN"/>
        </w:rPr>
        <w:t xml:space="preserve"> R</w:t>
      </w:r>
      <w:r w:rsidRPr="00486EED">
        <w:rPr>
          <w:rFonts w:eastAsia="Times New Roman" w:cs="Times New Roman"/>
          <w:color w:val="auto"/>
          <w:lang w:eastAsia="zh-CN"/>
        </w:rPr>
        <w:t xml:space="preserve">ecent startte de technische voorbereiding van het toetredingsverdrag voor Montenegro. Bij het opstellen hiervan dient ook vooruit te worden gekeken naar eventuele toetreding van andere kandidaat-lidstaten. Omdat de impact van toetreding per kandidaat-lidstaat zal verschillen, acht het kabinet het </w:t>
      </w:r>
      <w:r>
        <w:rPr>
          <w:rFonts w:eastAsia="Times New Roman" w:cs="Times New Roman"/>
          <w:color w:val="auto"/>
          <w:lang w:eastAsia="zh-CN"/>
        </w:rPr>
        <w:t>essentieel nu al</w:t>
      </w:r>
      <w:r w:rsidRPr="00486EED">
        <w:rPr>
          <w:rFonts w:eastAsia="Times New Roman" w:cs="Times New Roman"/>
          <w:color w:val="auto"/>
          <w:lang w:eastAsia="zh-CN"/>
        </w:rPr>
        <w:t xml:space="preserve"> na te denken over een catalogus aan opties van overgangsmaatregelen en waarborgen die vervolgens via maatwerk kunnen worden toegepast op de toetredende l</w:t>
      </w:r>
      <w:r w:rsidR="00584FE1">
        <w:rPr>
          <w:rFonts w:eastAsia="Times New Roman" w:cs="Times New Roman"/>
          <w:color w:val="auto"/>
          <w:lang w:eastAsia="zh-CN"/>
        </w:rPr>
        <w:t>and</w:t>
      </w:r>
      <w:r w:rsidRPr="00486EED">
        <w:rPr>
          <w:rFonts w:eastAsia="Times New Roman" w:cs="Times New Roman"/>
          <w:color w:val="auto"/>
          <w:lang w:eastAsia="zh-CN"/>
        </w:rPr>
        <w:t xml:space="preserve"> in kwestie. </w:t>
      </w:r>
    </w:p>
    <w:p w:rsidRPr="00486EED" w:rsidR="00316269" w:rsidP="00316269" w:rsidRDefault="00316269" w14:paraId="325C2841" w14:textId="5619A3C8">
      <w:pPr>
        <w:autoSpaceDN/>
        <w:spacing w:after="160" w:line="276" w:lineRule="auto"/>
        <w:textAlignment w:val="auto"/>
        <w:rPr>
          <w:rFonts w:eastAsia="Times New Roman" w:cs="Times New Roman"/>
          <w:color w:val="auto"/>
          <w:lang w:eastAsia="zh-CN"/>
        </w:rPr>
      </w:pPr>
      <w:r w:rsidRPr="00486EED">
        <w:rPr>
          <w:rFonts w:eastAsia="Times New Roman" w:cs="Times New Roman"/>
          <w:color w:val="auto"/>
          <w:lang w:eastAsia="zh-CN"/>
        </w:rPr>
        <w:t xml:space="preserve">Als het gaat om overgangsmaatregelen en waarborgen kijkt het kabinet zorgvuldig naar wat per toetredend land effectief, proportioneel, en juridisch mogelijk is. Welke waarborgen en maatregelen worden opgenomen is afhankelijk van de omstandigheden op het moment van toetreden, en de bijzonderheden van </w:t>
      </w:r>
      <w:r w:rsidR="00584FE1">
        <w:rPr>
          <w:rFonts w:eastAsia="Times New Roman" w:cs="Times New Roman"/>
          <w:color w:val="auto"/>
          <w:lang w:eastAsia="zh-CN"/>
        </w:rPr>
        <w:t>h</w:t>
      </w:r>
      <w:r w:rsidRPr="00486EED">
        <w:rPr>
          <w:rFonts w:eastAsia="Times New Roman" w:cs="Times New Roman"/>
          <w:color w:val="auto"/>
          <w:lang w:eastAsia="zh-CN"/>
        </w:rPr>
        <w:t>e</w:t>
      </w:r>
      <w:r w:rsidR="00584FE1">
        <w:rPr>
          <w:rFonts w:eastAsia="Times New Roman" w:cs="Times New Roman"/>
          <w:color w:val="auto"/>
          <w:lang w:eastAsia="zh-CN"/>
        </w:rPr>
        <w:t>t</w:t>
      </w:r>
      <w:r w:rsidRPr="00486EED">
        <w:rPr>
          <w:rFonts w:eastAsia="Times New Roman" w:cs="Times New Roman"/>
          <w:color w:val="auto"/>
          <w:lang w:eastAsia="zh-CN"/>
        </w:rPr>
        <w:t xml:space="preserve"> toetredende l</w:t>
      </w:r>
      <w:r w:rsidR="00584FE1">
        <w:rPr>
          <w:rFonts w:eastAsia="Times New Roman" w:cs="Times New Roman"/>
          <w:color w:val="auto"/>
          <w:lang w:eastAsia="zh-CN"/>
        </w:rPr>
        <w:t>and</w:t>
      </w:r>
      <w:r w:rsidRPr="00486EED">
        <w:rPr>
          <w:rFonts w:eastAsia="Times New Roman" w:cs="Times New Roman"/>
          <w:color w:val="auto"/>
          <w:lang w:eastAsia="zh-CN"/>
        </w:rPr>
        <w:t xml:space="preserve">. Nederland werkt in een kopgroep van gelijkgestemde lidstaten aan het uitwerken van ideeën, resulterend in bijgevoegd non-paper. Het denkwerk over waarborgen in een nieuwe generatie toetredingsverdragen bevindt zich in een verkennende fase, waarbij ook de juridische haalbaarheid van de verschillende ideeën verder moet worden onderzocht.  </w:t>
      </w:r>
    </w:p>
    <w:p w:rsidRPr="00486EED" w:rsidR="00316269" w:rsidP="00316269" w:rsidRDefault="00316269" w14:paraId="1481157D" w14:textId="77777777">
      <w:pPr>
        <w:autoSpaceDN/>
        <w:spacing w:after="160" w:line="276" w:lineRule="auto"/>
        <w:textAlignment w:val="auto"/>
        <w:rPr>
          <w:rFonts w:eastAsia="Times New Roman" w:cs="Times New Roman"/>
          <w:color w:val="auto"/>
          <w:lang w:eastAsia="zh-CN"/>
        </w:rPr>
      </w:pPr>
      <w:r w:rsidRPr="00486EED">
        <w:rPr>
          <w:rFonts w:eastAsia="Times New Roman" w:cs="Times New Roman"/>
          <w:color w:val="auto"/>
          <w:lang w:eastAsia="zh-CN"/>
        </w:rPr>
        <w:t>Het non-paper bevat ideeën voor (gerichte) overgangsmaatregelen en waarborgen die opgenomen kunnen worden in een nieuw toetredingsverdrag, en zo op verschillende uitdagingen voor de EU en haar lidstaten inspelen, waaronder de maatschappelijke impact van uitbreiding op EU-lidstaten. De voorgestelde waarborgen beogen aanvullende bescherming en versterking te bieden van, onder meer, de interne markt, interne veiligheid, de waarden uit artikel 2 van het EU-Verdrag, het handelingsvermogen van de EU en de loyale samenwerking tussen lidstaten.</w:t>
      </w:r>
    </w:p>
    <w:p w:rsidRPr="00486EED" w:rsidR="00316269" w:rsidP="00316269" w:rsidRDefault="00316269" w14:paraId="37222803" w14:textId="0D94BEAF">
      <w:pPr>
        <w:autoSpaceDN/>
        <w:spacing w:after="160" w:line="276" w:lineRule="auto"/>
        <w:textAlignment w:val="auto"/>
        <w:rPr>
          <w:rFonts w:eastAsiaTheme="minorHAnsi" w:cstheme="minorBidi"/>
          <w:color w:val="auto"/>
          <w:kern w:val="2"/>
          <w:lang w:eastAsia="en-US"/>
          <w14:ligatures w14:val="standardContextual"/>
        </w:rPr>
      </w:pPr>
      <w:r w:rsidRPr="00486EED">
        <w:rPr>
          <w:rFonts w:eastAsiaTheme="minorHAnsi" w:cstheme="minorBidi"/>
          <w:color w:val="auto"/>
          <w:kern w:val="2"/>
          <w:lang w:eastAsia="en-US"/>
          <w14:ligatures w14:val="standardContextual"/>
        </w:rPr>
        <w:t xml:space="preserve">In het non-paper wordt onder meer voorgesteld om de vrijwaringsclausules voor het JBZ domein en voor ernstige verstoringen van de interne markt een langere geldingsduur te geven dan in eerdere toetredingsverdragen. Ook stelt het non-paper voor deze maatregelen te verbreden zodat onder meer de interne veiligheid van de EU beter kan worden beschermd. Hiernaast wordt voorgesteld om de aanspraak op bepaalde gelden en fondsen, zoals de steun voor het Gemeenschappelijk Landbouwbeleid of het Cohesiefonds, gedurende langere tijd uit te stellen, zodat de druk die uitbreiding mogelijk legt op de begroting, beter kan worden verdeeld. Ook wordt voorgesteld een nieuwe lidstaat pas later </w:t>
      </w:r>
      <w:r w:rsidRPr="00486EED">
        <w:rPr>
          <w:rFonts w:eastAsiaTheme="minorHAnsi" w:cstheme="minorBidi"/>
          <w:color w:val="auto"/>
          <w:kern w:val="2"/>
          <w:lang w:eastAsia="en-US"/>
          <w14:ligatures w14:val="standardContextual"/>
        </w:rPr>
        <w:lastRenderedPageBreak/>
        <w:t xml:space="preserve">toegang te geven tot bepaalde vrijheden van de interne markt, zoals het vrij verkeer van werknemers en arbeidsmobiliteit in het kader van vrij verkeer van diensten. </w:t>
      </w:r>
    </w:p>
    <w:p w:rsidRPr="00486EED" w:rsidR="00316269" w:rsidP="00316269" w:rsidRDefault="00316269" w14:paraId="3465DF7F" w14:textId="77777777">
      <w:pPr>
        <w:autoSpaceDN/>
        <w:spacing w:after="160" w:line="276" w:lineRule="auto"/>
        <w:textAlignment w:val="auto"/>
        <w:rPr>
          <w:rFonts w:eastAsiaTheme="minorHAnsi" w:cstheme="minorBidi"/>
          <w:color w:val="auto"/>
          <w:kern w:val="2"/>
          <w:lang w:eastAsia="en-US"/>
          <w14:ligatures w14:val="standardContextual"/>
        </w:rPr>
      </w:pPr>
      <w:r w:rsidRPr="00486EED">
        <w:rPr>
          <w:rFonts w:eastAsiaTheme="minorHAnsi" w:cstheme="minorBidi"/>
          <w:color w:val="auto"/>
          <w:kern w:val="2"/>
          <w:lang w:eastAsia="en-US"/>
          <w14:ligatures w14:val="standardContextual"/>
        </w:rPr>
        <w:t xml:space="preserve">Om de EU-waarden te beschermen wordt een non-regressiebepaling voorgesteld die regressie op eerbiediging van EU-waarden na toetreding verbiedt. Daarbij zou een verplichting moeten worden opgenomen tot (onderzoek naar de) inzet van financiële rechtsstaatinstrumenten, een vernieuwde vrijwaringsclausule of regulier handhavend instrumentarium zoals de inbreukprocedure. Verder roept het non-paper op tot discussie over het tijdelijk afwijken van de procedurele regels van artikel 7 van het EU-Verdrag om de effectiviteit van deze procedure te versterken. Daarnaast benadrukt het non-paper ook het belang om het rechtsstaatrapport van de Commissie, die voorziet in monitoring in alle lidstaten en een aantal kandidaat-lidstaten, verder te versterken. Verder zou aansluiting bij het Europees Openbaar Ministerie door alle nieuwe lidstaten een belangrijke bijdrage kunnen leveren aan de aanpak van corruptie. </w:t>
      </w:r>
    </w:p>
    <w:p w:rsidRPr="00486EED" w:rsidR="00316269" w:rsidP="00316269" w:rsidRDefault="00316269" w14:paraId="433BCDE6" w14:textId="77777777">
      <w:pPr>
        <w:autoSpaceDN/>
        <w:spacing w:after="160" w:line="276" w:lineRule="auto"/>
        <w:textAlignment w:val="auto"/>
        <w:rPr>
          <w:rFonts w:eastAsiaTheme="minorHAnsi" w:cstheme="minorBidi"/>
          <w:color w:val="auto"/>
          <w:kern w:val="2"/>
          <w:lang w:eastAsia="en-US"/>
          <w14:ligatures w14:val="standardContextual"/>
        </w:rPr>
      </w:pPr>
      <w:r w:rsidRPr="00486EED">
        <w:rPr>
          <w:rFonts w:eastAsiaTheme="minorHAnsi" w:cstheme="minorBidi"/>
          <w:color w:val="auto"/>
          <w:kern w:val="2"/>
          <w:lang w:eastAsia="en-US"/>
          <w14:ligatures w14:val="standardContextual"/>
        </w:rPr>
        <w:t>Hiernaast werpt het non-paper het idee op om vetorechten van nieuwe lidstaten tijdelijk te beperken op terreinen zoals uitbreiding, GBVB en het MFK, om zo risico’s voor het EU handelingsvermogen in te perken. Tenslotte benadrukt het non-paper het belang van loyale samenwerking door alle lidstaten en roept op tot reflectie hoe eerbiediging van dit beginsel beter beschermd kan worden.</w:t>
      </w:r>
      <w:r>
        <w:rPr>
          <w:rFonts w:eastAsiaTheme="minorHAnsi" w:cstheme="minorBidi"/>
          <w:color w:val="auto"/>
          <w:kern w:val="2"/>
          <w:lang w:eastAsia="en-US"/>
          <w14:ligatures w14:val="standardContextual"/>
        </w:rPr>
        <w:br/>
      </w:r>
      <w:r>
        <w:rPr>
          <w:rFonts w:eastAsiaTheme="minorHAnsi" w:cstheme="minorBidi"/>
          <w:color w:val="auto"/>
          <w:kern w:val="2"/>
          <w:lang w:eastAsia="en-US"/>
          <w14:ligatures w14:val="standardContextual"/>
        </w:rPr>
        <w:br/>
        <w:t>Nederland zal de ideeën uit dit non-paper in Brussel onder de aandacht brengen bij zowel de Commissie als lidstaten. Deze vormen voor het kabinet het uitgangspunt in discussies over o</w:t>
      </w:r>
      <w:r w:rsidRPr="00C56102">
        <w:rPr>
          <w:rFonts w:eastAsiaTheme="minorHAnsi" w:cstheme="minorBidi"/>
          <w:color w:val="auto"/>
          <w:kern w:val="2"/>
          <w:lang w:eastAsia="en-US"/>
          <w14:ligatures w14:val="standardContextual"/>
        </w:rPr>
        <w:t>vergangsmaatregelen en waarborgen</w:t>
      </w:r>
      <w:r>
        <w:rPr>
          <w:rFonts w:eastAsiaTheme="minorHAnsi" w:cstheme="minorBidi"/>
          <w:color w:val="auto"/>
          <w:kern w:val="2"/>
          <w:lang w:eastAsia="en-US"/>
          <w14:ligatures w14:val="standardContextual"/>
        </w:rPr>
        <w:t xml:space="preserve"> in nieuwe toetredingsverdragen. De komende periode zal – mede op basis van verder onderzoek naar</w:t>
      </w:r>
      <w:r>
        <w:rPr>
          <w:rFonts w:eastAsia="Times New Roman" w:cs="Times New Roman"/>
          <w:color w:val="auto"/>
          <w:lang w:eastAsia="zh-CN"/>
        </w:rPr>
        <w:t xml:space="preserve"> de</w:t>
      </w:r>
      <w:r w:rsidRPr="00486EED">
        <w:rPr>
          <w:rFonts w:eastAsia="Times New Roman" w:cs="Times New Roman"/>
          <w:color w:val="auto"/>
          <w:lang w:eastAsia="zh-CN"/>
        </w:rPr>
        <w:t xml:space="preserve"> juridische haalbaarheid van verschillende ideeën</w:t>
      </w:r>
      <w:r>
        <w:rPr>
          <w:rFonts w:eastAsia="Times New Roman" w:cs="Times New Roman"/>
          <w:color w:val="auto"/>
          <w:lang w:eastAsia="zh-CN"/>
        </w:rPr>
        <w:t xml:space="preserve"> –</w:t>
      </w:r>
      <w:r>
        <w:rPr>
          <w:rFonts w:eastAsiaTheme="minorHAnsi" w:cstheme="minorBidi"/>
          <w:color w:val="auto"/>
          <w:kern w:val="2"/>
          <w:lang w:eastAsia="en-US"/>
          <w14:ligatures w14:val="standardContextual"/>
        </w:rPr>
        <w:t xml:space="preserve"> moeten blijken in welke mate de Commissie en andere lidstaten deze ideeën wenselijk en noodzakelijk achten.</w:t>
      </w:r>
      <w:r>
        <w:rPr>
          <w:rFonts w:eastAsiaTheme="minorHAnsi" w:cstheme="minorBidi"/>
          <w:color w:val="auto"/>
          <w:kern w:val="2"/>
          <w:lang w:eastAsia="en-US"/>
          <w14:ligatures w14:val="standardContextual"/>
        </w:rPr>
        <w:br/>
      </w:r>
    </w:p>
    <w:p w:rsidRPr="00486EED" w:rsidR="00316269" w:rsidP="00316269" w:rsidRDefault="00316269" w14:paraId="6856C453" w14:textId="58DF2C0C">
      <w:pPr>
        <w:autoSpaceDN/>
        <w:spacing w:after="160" w:line="276" w:lineRule="auto"/>
        <w:textAlignment w:val="auto"/>
        <w:rPr>
          <w:rFonts w:eastAsiaTheme="minorHAnsi" w:cstheme="minorBidi"/>
          <w:b/>
          <w:bCs/>
          <w:color w:val="auto"/>
          <w:kern w:val="2"/>
          <w:lang w:eastAsia="en-US"/>
          <w14:ligatures w14:val="standardContextual"/>
        </w:rPr>
      </w:pPr>
      <w:r w:rsidRPr="00486EED">
        <w:rPr>
          <w:rFonts w:eastAsiaTheme="minorHAnsi" w:cstheme="minorBidi"/>
          <w:b/>
          <w:bCs/>
          <w:color w:val="auto"/>
          <w:kern w:val="2"/>
          <w:lang w:eastAsia="en-US"/>
          <w14:ligatures w14:val="standardContextual"/>
        </w:rPr>
        <w:t>De Toekomst van Europa en hervorming van de EU</w:t>
      </w:r>
      <w:r>
        <w:rPr>
          <w:rFonts w:eastAsiaTheme="minorHAnsi" w:cstheme="minorBidi"/>
          <w:b/>
          <w:bCs/>
          <w:color w:val="auto"/>
          <w:kern w:val="2"/>
          <w:lang w:eastAsia="en-US"/>
          <w14:ligatures w14:val="standardContextual"/>
        </w:rPr>
        <w:t xml:space="preserve"> </w:t>
      </w:r>
    </w:p>
    <w:p w:rsidRPr="00486EED" w:rsidR="00316269" w:rsidP="00316269" w:rsidRDefault="00316269" w14:paraId="63B680D6" w14:textId="77777777">
      <w:pPr>
        <w:autoSpaceDN/>
        <w:spacing w:after="160" w:line="276" w:lineRule="auto"/>
        <w:textAlignment w:val="auto"/>
        <w:rPr>
          <w:rFonts w:eastAsiaTheme="minorHAnsi" w:cstheme="minorBidi"/>
          <w:color w:val="auto"/>
          <w:kern w:val="2"/>
          <w:lang w:eastAsia="en-US"/>
          <w14:ligatures w14:val="standardContextual"/>
        </w:rPr>
      </w:pPr>
      <w:r w:rsidRPr="00486EED">
        <w:rPr>
          <w:rFonts w:eastAsiaTheme="minorHAnsi" w:cstheme="minorHAnsi"/>
          <w:color w:val="auto"/>
          <w:kern w:val="2"/>
          <w:lang w:eastAsia="en-US"/>
          <w14:ligatures w14:val="standardContextual"/>
        </w:rPr>
        <w:t xml:space="preserve">Het kabinet vindt het essentieel dat de </w:t>
      </w:r>
      <w:r w:rsidRPr="00486EED">
        <w:rPr>
          <w:rFonts w:eastAsiaTheme="minorHAnsi" w:cstheme="minorBidi"/>
          <w:color w:val="auto"/>
          <w:kern w:val="2"/>
          <w:lang w:eastAsia="en-US"/>
          <w14:ligatures w14:val="standardContextual"/>
        </w:rPr>
        <w:t xml:space="preserve">absorptiecapaciteit van de Unie in overweging wordt genomen bij uitbreiding, zoals opgenomen in de Kopenhagencriteria. Als slechts één land of een beperkt aantal kleinere landen toetreedt zal dit beperkte gevolgen hebben voor het functioneren van de Unie. Maar als meerdere, of grotere landen toetreden, kan dit het handelingsvermogen van de EU aantasten door de druk die het legt op bijvoorbeeld de besluitvorming of de begroting. </w:t>
      </w:r>
      <w:r w:rsidRPr="00486EED">
        <w:rPr>
          <w:rFonts w:eastAsiaTheme="minorHAnsi" w:cstheme="minorHAnsi"/>
          <w:color w:val="auto"/>
          <w:kern w:val="2"/>
          <w:lang w:eastAsia="en-US"/>
          <w14:ligatures w14:val="standardContextual"/>
        </w:rPr>
        <w:t>De</w:t>
      </w:r>
      <w:r w:rsidRPr="00486EED">
        <w:rPr>
          <w:rFonts w:eastAsiaTheme="minorHAnsi" w:cstheme="minorBidi"/>
          <w:color w:val="auto"/>
          <w:kern w:val="2"/>
          <w:lang w:eastAsia="en-US"/>
          <w14:ligatures w14:val="standardContextual"/>
        </w:rPr>
        <w:t xml:space="preserve"> architectuur van de EU zal moeten meebewegen met de vorm en omvang die de Unie heeft.</w:t>
      </w:r>
    </w:p>
    <w:p w:rsidRPr="00486EED" w:rsidR="00316269" w:rsidP="00316269" w:rsidRDefault="00316269" w14:paraId="6B798607" w14:textId="77777777">
      <w:pPr>
        <w:autoSpaceDN/>
        <w:spacing w:after="160" w:line="276" w:lineRule="auto"/>
        <w:textAlignment w:val="auto"/>
        <w:rPr>
          <w:rFonts w:eastAsia="Times New Roman" w:cs="Times New Roman"/>
          <w:color w:val="auto"/>
        </w:rPr>
      </w:pPr>
      <w:r w:rsidRPr="00486EED">
        <w:rPr>
          <w:rFonts w:eastAsia="Times New Roman" w:cs="Times New Roman"/>
          <w:color w:val="auto"/>
        </w:rPr>
        <w:t>Daarom is het belangrijk dat de discussie over EU</w:t>
      </w:r>
      <w:r>
        <w:rPr>
          <w:rFonts w:eastAsia="Times New Roman" w:cs="Times New Roman"/>
          <w:color w:val="auto"/>
        </w:rPr>
        <w:t>-</w:t>
      </w:r>
      <w:r w:rsidRPr="00486EED">
        <w:rPr>
          <w:rFonts w:eastAsia="Times New Roman" w:cs="Times New Roman"/>
          <w:color w:val="auto"/>
        </w:rPr>
        <w:t xml:space="preserve">hervormingen parallel loopt aan de toetredingstrajecten van kandidaat-lidstaten, zonder dat dit tot additionele voorwaarden voor de kandidaat-lidstaten leidt. Niet alleen de aanstaande uitbreiding noopt tot die discussie. Ook de actuele geopolitieke en geo-economische verschuivingen vragen om een sterke Unie, die eensgezind en daadkrachtig optreedt, zowel intern als extern, en die de naleving van kernwaarden blijvend vooropstelt. In juni 2024 riep de Europese Raad de Commissie op om te komen met beleidsevaluaties waarin de gevolgen van uitbreiding langs vier sporen in kaart worden gebracht: waarden, beleid, begroting </w:t>
      </w:r>
      <w:r w:rsidRPr="00486EED">
        <w:rPr>
          <w:rFonts w:eastAsia="Times New Roman" w:cs="Times New Roman"/>
          <w:color w:val="auto"/>
        </w:rPr>
        <w:lastRenderedPageBreak/>
        <w:t xml:space="preserve">en bestuur. Mede op basis van die evaluaties kan worden geanalyseerd welke hervormingen nodig zijn om de EU sterk te houden. Het is op dit moment onduidelijk wanneer de Commissie deze beleidsevaluaties zal publiceren. </w:t>
      </w:r>
      <w:r>
        <w:rPr>
          <w:rFonts w:eastAsia="Times New Roman" w:cs="Times New Roman"/>
          <w:color w:val="auto"/>
        </w:rPr>
        <w:t xml:space="preserve">Het kabinet blijft bij de Commissie aandringen op snelle publicatie van deze evaluaties, zodat hierover een discussie kan plaatsvinden in EU-verband.  </w:t>
      </w:r>
    </w:p>
    <w:p w:rsidRPr="00486EED" w:rsidR="00316269" w:rsidP="00316269" w:rsidRDefault="00316269" w14:paraId="3017B726" w14:textId="77777777">
      <w:pPr>
        <w:autoSpaceDN/>
        <w:spacing w:after="160" w:line="276" w:lineRule="auto"/>
        <w:textAlignment w:val="auto"/>
        <w:rPr>
          <w:rFonts w:eastAsia="Times New Roman" w:cs="Times New Roman"/>
          <w:color w:val="auto"/>
        </w:rPr>
      </w:pPr>
      <w:r w:rsidRPr="00486EED">
        <w:rPr>
          <w:rFonts w:eastAsia="Times New Roman" w:cs="Times New Roman"/>
          <w:color w:val="auto"/>
        </w:rPr>
        <w:t>In afwachting daarvan staat Nederland niet stil maar is actief in een kopgroep van gelijkgestemde lidstaten die nadenkt over mogelijke hervormingen en de politieke en juridisch haalbaarheid ervan. Hiermee, en met deze brief, geeft het kabinet uitvoering aan motie Klos c.s.</w:t>
      </w:r>
      <w:r w:rsidRPr="00486EED">
        <w:rPr>
          <w:rFonts w:eastAsia="Times New Roman" w:cs="Times New Roman"/>
          <w:color w:val="auto"/>
          <w:vertAlign w:val="superscript"/>
        </w:rPr>
        <w:footnoteReference w:id="22"/>
      </w:r>
      <w:r w:rsidRPr="00486EED">
        <w:rPr>
          <w:rFonts w:eastAsia="Times New Roman" w:cs="Times New Roman"/>
          <w:color w:val="auto"/>
        </w:rPr>
        <w:t>. Het kabinet houdt daarbij oog voor de samenhang met relevante lopende discussies, met name de onderhandelingen over toetreding van kandidaat-lidstaten en over de hervorming van het Meerjarig Financieel Kader (MFK). Ook laat het kabinet zich voeden door bestaande rapporten, zoals het rapport van Draghi over het Europees concurrentievermogen,</w:t>
      </w:r>
      <w:r w:rsidRPr="00486EED">
        <w:rPr>
          <w:rFonts w:eastAsia="Times New Roman" w:cs="Times New Roman"/>
          <w:color w:val="auto"/>
          <w:vertAlign w:val="superscript"/>
        </w:rPr>
        <w:footnoteReference w:id="23"/>
      </w:r>
      <w:r w:rsidRPr="00486EED">
        <w:rPr>
          <w:rFonts w:eastAsia="Times New Roman" w:cs="Times New Roman"/>
          <w:color w:val="auto"/>
        </w:rPr>
        <w:t xml:space="preserve"> het rapport van de Frans-Duitse expertgroep over EU institutionele hervormingen</w:t>
      </w:r>
      <w:r w:rsidRPr="00486EED">
        <w:rPr>
          <w:rFonts w:eastAsia="Times New Roman" w:cs="Times New Roman"/>
          <w:i/>
          <w:iCs/>
          <w:color w:val="auto"/>
        </w:rPr>
        <w:t>,</w:t>
      </w:r>
      <w:r w:rsidRPr="00486EED">
        <w:rPr>
          <w:rFonts w:eastAsia="Times New Roman" w:cs="Times New Roman"/>
          <w:color w:val="auto"/>
          <w:vertAlign w:val="superscript"/>
        </w:rPr>
        <w:footnoteReference w:id="24"/>
      </w:r>
      <w:r w:rsidRPr="00486EED">
        <w:rPr>
          <w:rFonts w:eastAsia="Times New Roman" w:cs="Times New Roman"/>
          <w:i/>
          <w:iCs/>
          <w:color w:val="auto"/>
        </w:rPr>
        <w:t xml:space="preserve"> </w:t>
      </w:r>
      <w:r w:rsidRPr="00486EED">
        <w:rPr>
          <w:rFonts w:eastAsia="Times New Roman" w:cs="Times New Roman"/>
          <w:color w:val="auto"/>
        </w:rPr>
        <w:t>en het eindrapport van 2 oktober 2025 van de rapporteurs voor EU-hervormingen (hierna: de EU-rapporteurs).</w:t>
      </w:r>
      <w:r w:rsidRPr="00486EED">
        <w:rPr>
          <w:rFonts w:eastAsia="Times New Roman" w:cs="Times New Roman"/>
          <w:color w:val="auto"/>
          <w:vertAlign w:val="superscript"/>
        </w:rPr>
        <w:footnoteReference w:id="25"/>
      </w:r>
      <w:r w:rsidRPr="00486EED">
        <w:rPr>
          <w:rFonts w:eastAsia="Times New Roman" w:cs="Times New Roman"/>
          <w:color w:val="auto"/>
        </w:rPr>
        <w:t xml:space="preserve"> Met deze brief reageert het kabinet tevens op deze rapporten.</w:t>
      </w:r>
    </w:p>
    <w:p w:rsidRPr="00486EED" w:rsidR="00316269" w:rsidP="00316269" w:rsidRDefault="00316269" w14:paraId="18DA0958" w14:textId="77777777">
      <w:pPr>
        <w:autoSpaceDN/>
        <w:spacing w:after="160" w:line="276" w:lineRule="auto"/>
        <w:textAlignment w:val="auto"/>
        <w:rPr>
          <w:rFonts w:eastAsia="Times New Roman" w:cs="Times New Roman"/>
          <w:color w:val="auto"/>
        </w:rPr>
      </w:pPr>
      <w:r w:rsidRPr="00486EED">
        <w:rPr>
          <w:rFonts w:eastAsia="Times New Roman" w:cs="Times New Roman"/>
          <w:color w:val="auto"/>
        </w:rPr>
        <w:t xml:space="preserve">In lijn met de aanbeveling van de EU-rapporteurs acht het kabinet het van groot belang voor de Unie en de lidstaten om de discussie over EU hervormingen nu te voeren, en om een heldere positie in te nemen om zo de discussie te concretiseren en versnellen. Daartoe moeten allereerst de doelstellingen van hervormingen scherp in beeld zijn. Het kabinet vindt dat hervormingen zich moeten richten op (1) het behouden en verbeteren van de slagvaardigheid van de EU, zowel intern als extern, (2) het beschermen en versterken van de fundamenten waar de EU op rust: de waarden van de EU en loyale samenwerking en (3) het verbeteren van de kwaliteit en de uitvoering van EU wet- en regelgeving. Verschillende hervormingen dragen bij aan deze doelstellingen. Sommigen zijn al mogelijk binnen de kaders van de huidige EU-verdragen. Andere hervormingen vereisen een aanpassing van de EU-verdragen volgens de procedure van artikel 48 VEU. Dit is een langdurig en arbeidsintensief proces dat ook instemming van nationale parlementen omvat. Op dit moment bestaat daarvoor onvoldoende steun in de Europese Raad. Wel vindt het kabinet, net als de EU-rapporteurs, dat hervormingsopties die verdragswijziging vergen in de huidige discussie moeten worden meegenomen. Via een toetredingsverdrag tussen de lidstaten van de EU en het toetredende land (artikel 49 VEU) kunnen aanpassingen aan de EU-verdragen worden doorgevoerd die voortvloeien uit de toetreding. Toetredingsverdragen bieden dus weinig tot geen ruimte voor hervormingen die voor de hele EU gelden. </w:t>
      </w:r>
    </w:p>
    <w:p w:rsidRPr="00486EED" w:rsidR="00316269" w:rsidP="00316269" w:rsidRDefault="00316269" w14:paraId="7FA534F4" w14:textId="77777777">
      <w:pPr>
        <w:autoSpaceDN/>
        <w:spacing w:after="160" w:line="276" w:lineRule="auto"/>
        <w:textAlignment w:val="auto"/>
        <w:rPr>
          <w:rFonts w:eastAsia="Times New Roman" w:cs="Times New Roman"/>
          <w:color w:val="auto"/>
        </w:rPr>
      </w:pPr>
      <w:r w:rsidRPr="00486EED">
        <w:rPr>
          <w:rFonts w:eastAsia="Times New Roman" w:cs="Times New Roman"/>
          <w:color w:val="auto"/>
        </w:rPr>
        <w:t xml:space="preserve">Tegen deze achtergrond en gezien het coalitieakkoord maakt het kabinet onderscheid tussen hervormingen die respectievelijk op de korte, middellange en lange termijn realiseerbaar zijn. Voor de korte termijn pleit het kabinet ervoor de </w:t>
      </w:r>
      <w:r w:rsidRPr="00486EED">
        <w:rPr>
          <w:rFonts w:eastAsia="Times New Roman" w:cs="Times New Roman"/>
          <w:color w:val="auto"/>
        </w:rPr>
        <w:lastRenderedPageBreak/>
        <w:t xml:space="preserve">huidige verdragen ten volle te benutten. Lidstaten moeten vaker samenwerken in kopgroepen en via het instrument van nauwere samenwerking (artikel 20 VEU). Het kabinet sluit aldus aan bij de visie van de Frans-Duitse expertgroep, de EU-rapporteurs en van Draghi dat een EU van meer snelheden onvermijdelijk is om als EU effectief te kunnen inspelen op de uitdagingen van deze tijd. Dit geldt reeds voor een EU van 27. De kapitaalmarktunie en het GBVB bieden bijvoorbeeld kansen voor samenwerking in kleinere groepen. Verder zal Nederland, mede in lijn met de aanbeveling in het Draghi-rapport, pleiten voor betere regelgeving, implementatie, uitvoering en handhaving en samen met andere lidstaten kijken hoe dit versterkt kan worden. </w:t>
      </w:r>
      <w:r w:rsidRPr="00486EED">
        <w:rPr>
          <w:rFonts w:eastAsia="Times New Roman" w:cstheme="minorHAnsi"/>
          <w:color w:val="auto"/>
        </w:rPr>
        <w:t>Het kabinet zet zich ook in voor een toekomstbestendige EU-begroting met een eenvoudige en effectieve architectuur, een gerichte besteding van een groter aandeel van de begroting aan strategische prioriteiten en voor een versterking van rechtsstaat- en Handvest-conditionaliteiten in het volgende MFK. O</w:t>
      </w:r>
      <w:r w:rsidRPr="00486EED">
        <w:rPr>
          <w:rFonts w:eastAsia="Times New Roman" w:cs="Times New Roman"/>
          <w:color w:val="auto"/>
        </w:rPr>
        <w:t xml:space="preserve">ok het jaarlijkse rechtsstaatrapport kan nog verder worden ontwikkeld. Daarnaast kan het EU buitenlandbeleid aan kracht winnen door een sterkere positionering van de Hoge vertegenwoordiger voor Buitenlands en Veiligheidsbeleid (HV) en EDEO, alsook door een betere afstemming tussen HV, EDEO en de Commissie. </w:t>
      </w:r>
    </w:p>
    <w:p w:rsidRPr="00486EED" w:rsidR="00316269" w:rsidP="00316269" w:rsidRDefault="00316269" w14:paraId="7FED797C" w14:textId="77777777">
      <w:pPr>
        <w:autoSpaceDN/>
        <w:spacing w:after="160" w:line="276" w:lineRule="auto"/>
        <w:textAlignment w:val="auto"/>
        <w:rPr>
          <w:rFonts w:eastAsia="Times New Roman" w:cs="Times New Roman"/>
          <w:color w:val="auto"/>
        </w:rPr>
      </w:pPr>
      <w:r w:rsidRPr="00486EED">
        <w:rPr>
          <w:rFonts w:eastAsia="Times New Roman" w:cs="Times New Roman"/>
          <w:color w:val="auto"/>
        </w:rPr>
        <w:t>Voor de middellange termijn zet het kabinet in op uitbreiding van besluitvorming met gekwalificeerde meerderheid (QMV) in het Gemeenschappelijk Buitenlands en Veiligheidsbeleid (GBVB), mede in lijn met de motie Klos c.s.</w:t>
      </w:r>
      <w:r w:rsidRPr="00486EED">
        <w:rPr>
          <w:rFonts w:eastAsia="Times New Roman" w:cs="Times New Roman"/>
          <w:color w:val="auto"/>
          <w:vertAlign w:val="superscript"/>
        </w:rPr>
        <w:footnoteReference w:id="26"/>
      </w:r>
      <w:r w:rsidRPr="00486EED">
        <w:rPr>
          <w:rFonts w:eastAsia="Times New Roman" w:cs="Times New Roman"/>
          <w:color w:val="auto"/>
        </w:rPr>
        <w:t xml:space="preserve"> en motie Klos en Van der Lee.</w:t>
      </w:r>
      <w:r w:rsidRPr="00486EED">
        <w:rPr>
          <w:rFonts w:eastAsia="Times New Roman" w:cs="Times New Roman"/>
          <w:color w:val="auto"/>
          <w:vertAlign w:val="superscript"/>
        </w:rPr>
        <w:footnoteReference w:id="27"/>
      </w:r>
      <w:r w:rsidRPr="00486EED">
        <w:rPr>
          <w:rFonts w:eastAsia="Times New Roman" w:cs="Times New Roman"/>
          <w:color w:val="auto"/>
        </w:rPr>
        <w:t xml:space="preserve"> In veel rapporten over de toekomst van Europa wordt uitbreiding van QMV-besluitvorming genoemd als instrument om aan effectiviteit te winnen, zo ook in het rapport Draghi, en in de rapporten van de Frans-Duitse expert en de EU-rapporteurs. Uitbreiding van QMV-besluitvorming kan binnen de kaders van de huidige verdragen gerealiseerd worden, maar vergt instemming van alle lidstaten. Daar is nu onvoldoende draagvlak voor. Nederland is actief in de </w:t>
      </w:r>
      <w:r w:rsidRPr="00486EED">
        <w:rPr>
          <w:rFonts w:eastAsia="Times New Roman" w:cs="Times New Roman"/>
          <w:i/>
          <w:iCs/>
          <w:color w:val="auto"/>
        </w:rPr>
        <w:t>Group of Friends on effective decisionmaking in CFSP</w:t>
      </w:r>
      <w:r w:rsidRPr="00486EED">
        <w:rPr>
          <w:rFonts w:eastAsia="Times New Roman" w:cs="Times New Roman"/>
          <w:color w:val="auto"/>
        </w:rPr>
        <w:t xml:space="preserve">. Deze groep verkent de GBVB-terreinen waar QMV-besluitvorming mogelijk kan zijn, en de regelingen om terughoudende lidstaten mogelijk aan boord te krijgen, zoals een goede noodrem-procedure voor het geval een GBVB-besluit nationale vitale belangen raakt. Voor de lange termijn wil het kabinet werken aan de aanpassing van de procedure van artikel 7 VEU. </w:t>
      </w:r>
    </w:p>
    <w:p w:rsidRPr="00486EED" w:rsidR="00316269" w:rsidP="00316269" w:rsidRDefault="00316269" w14:paraId="545A8C32" w14:textId="77777777">
      <w:pPr>
        <w:autoSpaceDN/>
        <w:spacing w:after="160" w:line="276" w:lineRule="auto"/>
        <w:textAlignment w:val="auto"/>
        <w:rPr>
          <w:rFonts w:eastAsia="Times New Roman" w:cs="Times New Roman"/>
          <w:color w:val="auto"/>
        </w:rPr>
      </w:pPr>
      <w:r w:rsidRPr="00486EED">
        <w:rPr>
          <w:rFonts w:eastAsia="Times New Roman" w:cs="Times New Roman"/>
          <w:color w:val="auto"/>
        </w:rPr>
        <w:t>Verder zal Nederland samen met gelijkgezinde lidstaten de juridische en politieke mogelijkheden verkennen van andere hervormingsopties, zoals een reorganisatie van de Europese Commissie, het maximeren van het aantal zetels van het Europees Parlement, een grotere controlerende rol voor het Europees Parlement, aanpassing van de stemregel voor QMV-besluitvorming, een versterkt crisisinstrumentarium, een clausule op grond waarvan een lidstaat uit de EU gezet kan worden of mechanismen ter versterking van loyale samenwerking en van democratische legitimiteit van EU-besluitvorming. Dergelijke hervormingen worden in het publieke debat en door experts vaak genoemd. De kansen en risico’s van deze opties moeten goed tegen elkaar afgewogen worden en er moet voldoende draagvlak voor ontstaan. Dit vergt meer tijd. De reorganisatie van de Commissie biedt een goed voorbeeld.</w:t>
      </w:r>
      <w:r w:rsidRPr="00486EED">
        <w:rPr>
          <w:rFonts w:eastAsia="Times New Roman" w:cs="Times New Roman"/>
          <w:color w:val="auto"/>
          <w:vertAlign w:val="superscript"/>
        </w:rPr>
        <w:footnoteReference w:id="28"/>
      </w:r>
      <w:r w:rsidRPr="00486EED">
        <w:rPr>
          <w:rFonts w:eastAsia="Times New Roman" w:cs="Times New Roman"/>
          <w:color w:val="auto"/>
        </w:rPr>
        <w:t xml:space="preserve"> Een kleinere Commissie of de introductie van een hiërarchie onder commissarissen biedt ontegenzeggelijk kansen op het </w:t>
      </w:r>
      <w:r w:rsidRPr="00486EED">
        <w:rPr>
          <w:rFonts w:eastAsia="Times New Roman" w:cs="Times New Roman"/>
          <w:color w:val="auto"/>
        </w:rPr>
        <w:lastRenderedPageBreak/>
        <w:t>gebied van effectieve besluitvorming en efficiënte portefeuilleverdeling. Maar lidstaten die geen (volwaardige) commissaris kunnen leveren, kunnen gebrek aan invloed en aanzien in de EU ervaren. Om die reden is er nog onvoldoende politiek draagvlak voor dit idee, terwijl het verminderen van het aantal Commissarissen zonder verdragswijziging gerealiseerd zou kunnen worden. Het kabinet zal hervorming van de Commissie meenemen als optie in verdere verkenningen.</w:t>
      </w:r>
    </w:p>
    <w:p w:rsidRPr="00486EED" w:rsidR="00316269" w:rsidP="00316269" w:rsidRDefault="00316269" w14:paraId="30C147A3" w14:textId="77777777">
      <w:pPr>
        <w:autoSpaceDN/>
        <w:spacing w:after="160" w:line="276" w:lineRule="auto"/>
        <w:textAlignment w:val="auto"/>
        <w:rPr>
          <w:rFonts w:ascii="Times New Roman" w:hAnsi="Times New Roman" w:eastAsia="Times New Roman" w:cs="Times New Roman"/>
          <w:color w:val="auto"/>
          <w:sz w:val="24"/>
          <w:szCs w:val="24"/>
        </w:rPr>
      </w:pPr>
      <w:r w:rsidRPr="00486EED">
        <w:rPr>
          <w:rFonts w:eastAsia="Times New Roman" w:cs="Times New Roman"/>
          <w:color w:val="auto"/>
        </w:rPr>
        <w:t xml:space="preserve">Om momentum te behouden in de discussie is het nodig dat het onderwerp Toekomst van Europa en hervormingen meer structureel in Brussel wordt geagendeerd. Nederland zal in de Raad pleiten voor een oproep aan de Commissie om de beleidsevaluaties spoedig te publiceren. Ook dient dit onderwerp te worden geagendeerd voor een aankomende Raad Algemene Zaken. </w:t>
      </w:r>
    </w:p>
    <w:p w:rsidR="00E443F7" w:rsidRDefault="00E443F7" w14:paraId="4E4D5E24"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E443F7" w14:paraId="4E4D5E27" w14:textId="77777777">
        <w:tc>
          <w:tcPr>
            <w:tcW w:w="3620" w:type="dxa"/>
          </w:tcPr>
          <w:p w:rsidR="00E443F7" w:rsidRDefault="00065194" w14:paraId="4E4D5E25" w14:textId="77777777">
            <w:r>
              <w:t>De minister van Buitenlandse Zaken,</w:t>
            </w:r>
            <w:r>
              <w:br/>
            </w:r>
            <w:r>
              <w:br/>
            </w:r>
            <w:r>
              <w:br/>
            </w:r>
            <w:r>
              <w:br/>
            </w:r>
            <w:r>
              <w:br/>
            </w:r>
            <w:r>
              <w:br/>
              <w:t>T.B.W. Berendsen</w:t>
            </w:r>
          </w:p>
        </w:tc>
        <w:tc>
          <w:tcPr>
            <w:tcW w:w="3921" w:type="dxa"/>
          </w:tcPr>
          <w:p w:rsidR="00E443F7" w:rsidRDefault="00E443F7" w14:paraId="4E4D5E26" w14:textId="77777777"/>
        </w:tc>
      </w:tr>
    </w:tbl>
    <w:p w:rsidR="00E443F7" w:rsidRDefault="00E443F7" w14:paraId="4E4D5E28" w14:textId="77777777"/>
    <w:sectPr w:rsidR="00E443F7" w:rsidSect="0001177A">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5570" w14:textId="77777777" w:rsidR="005F0B78" w:rsidRDefault="005F0B78">
      <w:pPr>
        <w:spacing w:line="240" w:lineRule="auto"/>
      </w:pPr>
      <w:r>
        <w:separator/>
      </w:r>
    </w:p>
  </w:endnote>
  <w:endnote w:type="continuationSeparator" w:id="0">
    <w:p w14:paraId="23B0DDC5" w14:textId="77777777" w:rsidR="005F0B78" w:rsidRDefault="005F0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FA57" w14:textId="77777777" w:rsidR="00594A6A" w:rsidRDefault="00594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025731"/>
      <w:docPartObj>
        <w:docPartGallery w:val="Page Numbers (Bottom of Page)"/>
        <w:docPartUnique/>
      </w:docPartObj>
    </w:sdtPr>
    <w:sdtContent>
      <w:p w14:paraId="697709AC" w14:textId="759A9E33" w:rsidR="00871A66" w:rsidRDefault="00871A66">
        <w:pPr>
          <w:pStyle w:val="Footer"/>
          <w:jc w:val="center"/>
        </w:pPr>
        <w:r>
          <w:fldChar w:fldCharType="begin"/>
        </w:r>
        <w:r>
          <w:instrText>PAGE   \* MERGEFORMAT</w:instrText>
        </w:r>
        <w:r>
          <w:fldChar w:fldCharType="separate"/>
        </w:r>
        <w:r>
          <w:t>2</w:t>
        </w:r>
        <w:r>
          <w:fldChar w:fldCharType="end"/>
        </w:r>
      </w:p>
    </w:sdtContent>
  </w:sdt>
  <w:p w14:paraId="065AEE5D" w14:textId="77777777" w:rsidR="00871A66" w:rsidRDefault="00871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8870"/>
      <w:docPartObj>
        <w:docPartGallery w:val="Page Numbers (Bottom of Page)"/>
        <w:docPartUnique/>
      </w:docPartObj>
    </w:sdtPr>
    <w:sdtContent>
      <w:p w14:paraId="74931BAC" w14:textId="1A7E718E" w:rsidR="00871A66" w:rsidRDefault="00871A66">
        <w:pPr>
          <w:pStyle w:val="Footer"/>
          <w:jc w:val="center"/>
        </w:pPr>
        <w:r>
          <w:fldChar w:fldCharType="begin"/>
        </w:r>
        <w:r>
          <w:instrText>PAGE   \* MERGEFORMAT</w:instrText>
        </w:r>
        <w:r>
          <w:fldChar w:fldCharType="separate"/>
        </w:r>
        <w:r>
          <w:t>2</w:t>
        </w:r>
        <w:r>
          <w:fldChar w:fldCharType="end"/>
        </w:r>
      </w:p>
    </w:sdtContent>
  </w:sdt>
  <w:p w14:paraId="61B1944C" w14:textId="77777777" w:rsidR="00871A66" w:rsidRDefault="00871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FB62" w14:textId="77777777" w:rsidR="005F0B78" w:rsidRDefault="005F0B78">
      <w:pPr>
        <w:spacing w:line="240" w:lineRule="auto"/>
      </w:pPr>
      <w:r>
        <w:separator/>
      </w:r>
    </w:p>
  </w:footnote>
  <w:footnote w:type="continuationSeparator" w:id="0">
    <w:p w14:paraId="41189DE5" w14:textId="77777777" w:rsidR="005F0B78" w:rsidRDefault="005F0B78">
      <w:pPr>
        <w:spacing w:line="240" w:lineRule="auto"/>
      </w:pPr>
      <w:r>
        <w:continuationSeparator/>
      </w:r>
    </w:p>
  </w:footnote>
  <w:footnote w:id="1">
    <w:p w14:paraId="1A6117F2" w14:textId="77777777" w:rsidR="00316269" w:rsidRPr="002E7F32" w:rsidRDefault="00316269" w:rsidP="00316269">
      <w:pPr>
        <w:pStyle w:val="FootnoteText"/>
        <w:rPr>
          <w:rFonts w:ascii="Verdana" w:hAnsi="Verdana"/>
          <w:sz w:val="16"/>
          <w:szCs w:val="16"/>
        </w:rPr>
      </w:pPr>
      <w:r w:rsidRPr="002E7F32">
        <w:rPr>
          <w:rStyle w:val="FootnoteReference"/>
          <w:rFonts w:ascii="Verdana" w:hAnsi="Verdana"/>
          <w:sz w:val="16"/>
          <w:szCs w:val="16"/>
        </w:rPr>
        <w:footnoteRef/>
      </w:r>
      <w:r w:rsidRPr="002E7F32">
        <w:rPr>
          <w:rFonts w:ascii="Verdana" w:hAnsi="Verdana"/>
          <w:sz w:val="16"/>
          <w:szCs w:val="16"/>
        </w:rPr>
        <w:t xml:space="preserve"> De EU-waarden zijn volgens artikel 2 van het EU-Verdrag eerbied voor de menselijke waardigheid, vrijheid, democratie, gelijkheid, de rechtsstaat en eerbiediging van de mensenrechten, waaronder de rechten van personen die tot minderheden behoren. </w:t>
      </w:r>
    </w:p>
  </w:footnote>
  <w:footnote w:id="2">
    <w:p w14:paraId="19E064AD" w14:textId="1981E3C3" w:rsidR="00316269" w:rsidRPr="002E7F32" w:rsidRDefault="00316269" w:rsidP="00316269">
      <w:pPr>
        <w:pStyle w:val="FootnoteText"/>
        <w:rPr>
          <w:rFonts w:ascii="Verdana" w:hAnsi="Verdana"/>
          <w:sz w:val="16"/>
          <w:szCs w:val="16"/>
        </w:rPr>
      </w:pPr>
      <w:r w:rsidRPr="002E7F32">
        <w:rPr>
          <w:rStyle w:val="FootnoteReference"/>
          <w:rFonts w:ascii="Verdana" w:hAnsi="Verdana"/>
          <w:sz w:val="16"/>
          <w:szCs w:val="16"/>
        </w:rPr>
        <w:footnoteRef/>
      </w:r>
      <w:r w:rsidRPr="002E7F32">
        <w:rPr>
          <w:rFonts w:ascii="Verdana" w:hAnsi="Verdana"/>
          <w:sz w:val="16"/>
          <w:szCs w:val="16"/>
        </w:rPr>
        <w:t xml:space="preserve"> Kamerstuk 23</w:t>
      </w:r>
      <w:r w:rsidR="00871A66">
        <w:rPr>
          <w:rFonts w:ascii="Verdana" w:hAnsi="Verdana"/>
          <w:sz w:val="16"/>
          <w:szCs w:val="16"/>
        </w:rPr>
        <w:t xml:space="preserve"> </w:t>
      </w:r>
      <w:r w:rsidRPr="002E7F32">
        <w:rPr>
          <w:rFonts w:ascii="Verdana" w:hAnsi="Verdana"/>
          <w:sz w:val="16"/>
          <w:szCs w:val="16"/>
        </w:rPr>
        <w:t xml:space="preserve">987 nr. 399  </w:t>
      </w:r>
    </w:p>
  </w:footnote>
  <w:footnote w:id="3">
    <w:p w14:paraId="46E55577" w14:textId="43A5D874" w:rsidR="008A7003" w:rsidRPr="008A7003" w:rsidRDefault="008A7003">
      <w:pPr>
        <w:pStyle w:val="FootnoteText"/>
        <w:rPr>
          <w:rFonts w:ascii="Verdana" w:hAnsi="Verdana"/>
          <w:sz w:val="16"/>
          <w:szCs w:val="16"/>
        </w:rPr>
      </w:pPr>
      <w:r w:rsidRPr="00AF1581">
        <w:rPr>
          <w:rStyle w:val="FootnoteReference"/>
          <w:rFonts w:ascii="Verdana" w:hAnsi="Verdana"/>
          <w:sz w:val="16"/>
          <w:szCs w:val="16"/>
        </w:rPr>
        <w:footnoteRef/>
      </w:r>
      <w:r w:rsidRPr="00AF1581">
        <w:rPr>
          <w:rFonts w:ascii="Verdana" w:hAnsi="Verdana"/>
          <w:sz w:val="16"/>
          <w:szCs w:val="16"/>
        </w:rPr>
        <w:t xml:space="preserve"> Zie ook de Kamerbrief over de EU als geopolitieke speler, TZ202601-002.</w:t>
      </w:r>
    </w:p>
  </w:footnote>
  <w:footnote w:id="4">
    <w:p w14:paraId="5082F872" w14:textId="77777777" w:rsidR="00316269" w:rsidRPr="00CA2E7E" w:rsidRDefault="00316269" w:rsidP="00316269">
      <w:pPr>
        <w:pStyle w:val="FootnoteText"/>
        <w:rPr>
          <w:rFonts w:ascii="Verdana" w:hAnsi="Verdana"/>
          <w:sz w:val="16"/>
          <w:szCs w:val="16"/>
        </w:rPr>
      </w:pPr>
      <w:r w:rsidRPr="002E7F32">
        <w:rPr>
          <w:rStyle w:val="FootnoteReference"/>
          <w:rFonts w:ascii="Verdana" w:hAnsi="Verdana"/>
          <w:sz w:val="16"/>
          <w:szCs w:val="16"/>
        </w:rPr>
        <w:footnoteRef/>
      </w:r>
      <w:r w:rsidRPr="002E7F32">
        <w:rPr>
          <w:rFonts w:ascii="Verdana" w:hAnsi="Verdana"/>
          <w:sz w:val="16"/>
          <w:szCs w:val="16"/>
        </w:rPr>
        <w:t xml:space="preserve"> In IJsland wordt </w:t>
      </w:r>
      <w:r>
        <w:rPr>
          <w:rFonts w:ascii="Verdana" w:hAnsi="Verdana"/>
          <w:sz w:val="16"/>
          <w:szCs w:val="16"/>
        </w:rPr>
        <w:t>in</w:t>
      </w:r>
      <w:r w:rsidRPr="002E7F32">
        <w:rPr>
          <w:rFonts w:ascii="Verdana" w:hAnsi="Verdana"/>
          <w:sz w:val="16"/>
          <w:szCs w:val="16"/>
        </w:rPr>
        <w:t xml:space="preserve"> augustus een referendum gehouden over mogelijk lidmaatschap.</w:t>
      </w:r>
    </w:p>
  </w:footnote>
  <w:footnote w:id="5">
    <w:p w14:paraId="4B81FEB6" w14:textId="77777777" w:rsidR="00316269" w:rsidRPr="00E411EC" w:rsidRDefault="00316269" w:rsidP="00316269">
      <w:pPr>
        <w:pStyle w:val="FootnoteText"/>
        <w:rPr>
          <w:rFonts w:ascii="Verdana" w:hAnsi="Verdana"/>
          <w:sz w:val="16"/>
          <w:szCs w:val="16"/>
        </w:rPr>
      </w:pPr>
      <w:r w:rsidRPr="00E411EC">
        <w:rPr>
          <w:rStyle w:val="FootnoteReference"/>
          <w:rFonts w:ascii="Verdana" w:hAnsi="Verdana"/>
          <w:sz w:val="16"/>
          <w:szCs w:val="16"/>
        </w:rPr>
        <w:footnoteRef/>
      </w:r>
      <w:r w:rsidRPr="00E411EC">
        <w:rPr>
          <w:rFonts w:ascii="Verdana" w:hAnsi="Verdana"/>
          <w:sz w:val="16"/>
          <w:szCs w:val="16"/>
        </w:rPr>
        <w:t xml:space="preserve"> Zie </w:t>
      </w:r>
      <w:r>
        <w:rPr>
          <w:rFonts w:ascii="Verdana" w:hAnsi="Verdana"/>
          <w:sz w:val="16"/>
          <w:szCs w:val="16"/>
        </w:rPr>
        <w:t>CBS</w:t>
      </w:r>
      <w:r w:rsidRPr="00C85FF2">
        <w:rPr>
          <w:rFonts w:ascii="Verdana" w:hAnsi="Verdana"/>
          <w:sz w:val="16"/>
          <w:szCs w:val="16"/>
        </w:rPr>
        <w:fldChar w:fldCharType="begin"/>
      </w:r>
      <w:r w:rsidRPr="00E411EC">
        <w:rPr>
          <w:rFonts w:ascii="Verdana" w:hAnsi="Verdana"/>
          <w:sz w:val="16"/>
          <w:szCs w:val="16"/>
        </w:rPr>
        <w:instrText xml:space="preserve"> "https://www.cbs.nl/nl-nl/maatwerk/2013/26/handel-met-kroatie"</w:instrText>
      </w:r>
      <w:r w:rsidRPr="00C85FF2">
        <w:rPr>
          <w:rFonts w:ascii="Verdana" w:hAnsi="Verdana"/>
          <w:sz w:val="16"/>
          <w:szCs w:val="16"/>
        </w:rPr>
        <w:fldChar w:fldCharType="separate"/>
      </w:r>
      <w:r w:rsidRPr="00E411EC">
        <w:rPr>
          <w:rStyle w:val="Hyperlink"/>
          <w:rFonts w:ascii="Verdana" w:hAnsi="Verdana"/>
          <w:sz w:val="16"/>
          <w:szCs w:val="16"/>
        </w:rPr>
        <w:t>https://www.cbs.nl/nl-nl/maatwerk/2013/26/handel-met-kroatie</w:t>
      </w:r>
      <w:r w:rsidRPr="00C85FF2">
        <w:rPr>
          <w:rFonts w:ascii="Verdana" w:hAnsi="Verdana"/>
          <w:sz w:val="16"/>
          <w:szCs w:val="16"/>
        </w:rPr>
        <w:fldChar w:fldCharType="end"/>
      </w:r>
      <w:r w:rsidRPr="00E411EC">
        <w:rPr>
          <w:rFonts w:ascii="Verdana" w:hAnsi="Verdana"/>
          <w:sz w:val="16"/>
          <w:szCs w:val="16"/>
        </w:rPr>
        <w:t xml:space="preserve"> en VN Comtrade database </w:t>
      </w:r>
      <w:hyperlink r:id="rId1" w:history="1">
        <w:r w:rsidRPr="00C85FF2">
          <w:rPr>
            <w:rStyle w:val="Hyperlink"/>
            <w:rFonts w:ascii="Verdana" w:hAnsi="Verdana"/>
            <w:sz w:val="16"/>
            <w:szCs w:val="16"/>
          </w:rPr>
          <w:t>https://tradingeconomics.com/netherlands/imports/croatia</w:t>
        </w:r>
      </w:hyperlink>
      <w:r w:rsidRPr="00E411EC">
        <w:rPr>
          <w:rFonts w:ascii="Verdana" w:hAnsi="Verdana"/>
          <w:sz w:val="16"/>
          <w:szCs w:val="16"/>
        </w:rPr>
        <w:t xml:space="preserve">. </w:t>
      </w:r>
    </w:p>
  </w:footnote>
  <w:footnote w:id="6">
    <w:p w14:paraId="55156907" w14:textId="77777777" w:rsidR="00316269" w:rsidRPr="002E7F32" w:rsidRDefault="00316269" w:rsidP="00316269">
      <w:pPr>
        <w:pStyle w:val="FootnoteText"/>
        <w:tabs>
          <w:tab w:val="left" w:pos="1665"/>
        </w:tabs>
        <w:rPr>
          <w:rFonts w:ascii="Verdana" w:hAnsi="Verdana"/>
          <w:sz w:val="16"/>
          <w:szCs w:val="16"/>
        </w:rPr>
      </w:pPr>
      <w:r w:rsidRPr="00E411EC">
        <w:rPr>
          <w:rStyle w:val="FootnoteReference"/>
          <w:rFonts w:ascii="Verdana" w:hAnsi="Verdana"/>
          <w:sz w:val="16"/>
          <w:szCs w:val="16"/>
        </w:rPr>
        <w:footnoteRef/>
      </w:r>
      <w:r w:rsidRPr="00E411EC">
        <w:rPr>
          <w:rFonts w:ascii="Verdana" w:hAnsi="Verdana"/>
          <w:sz w:val="16"/>
          <w:szCs w:val="16"/>
        </w:rPr>
        <w:t xml:space="preserve"> Zie: </w:t>
      </w:r>
      <w:hyperlink r:id="rId2" w:history="1">
        <w:r w:rsidRPr="00C85FF2">
          <w:rPr>
            <w:rStyle w:val="Hyperlink"/>
            <w:rFonts w:ascii="Verdana" w:hAnsi="Verdana"/>
            <w:sz w:val="16"/>
            <w:szCs w:val="16"/>
          </w:rPr>
          <w:t>https://www.cbs.nl/nl-nl/nieuws/2024/23/ruim-745-duizend-mensen-met-andere-eu-nationaliteit-in-nederland</w:t>
        </w:r>
      </w:hyperlink>
      <w:r>
        <w:t xml:space="preserve"> </w:t>
      </w:r>
    </w:p>
  </w:footnote>
  <w:footnote w:id="7">
    <w:p w14:paraId="316B1460" w14:textId="77777777" w:rsidR="00316269" w:rsidRPr="002E7F32" w:rsidRDefault="00316269" w:rsidP="00316269">
      <w:pPr>
        <w:pStyle w:val="FootnoteText"/>
        <w:rPr>
          <w:rFonts w:ascii="Verdana" w:hAnsi="Verdana"/>
          <w:sz w:val="16"/>
          <w:szCs w:val="16"/>
        </w:rPr>
      </w:pPr>
      <w:r w:rsidRPr="002E7F32">
        <w:rPr>
          <w:rStyle w:val="FootnoteReference"/>
          <w:rFonts w:ascii="Verdana" w:hAnsi="Verdana"/>
          <w:sz w:val="16"/>
          <w:szCs w:val="16"/>
        </w:rPr>
        <w:footnoteRef/>
      </w:r>
      <w:r w:rsidRPr="002E7F32">
        <w:rPr>
          <w:rFonts w:ascii="Verdana" w:hAnsi="Verdana"/>
          <w:sz w:val="16"/>
          <w:szCs w:val="16"/>
        </w:rPr>
        <w:t xml:space="preserve"> SEO Economisch Onderzoek heeft in 2025 een economische impact-analyse uitgevoerd, met nadruk op de impact op handelsrelaties en concurrentie, zie </w:t>
      </w:r>
      <w:hyperlink r:id="rId3" w:history="1">
        <w:r w:rsidRPr="002E7F32">
          <w:rPr>
            <w:rStyle w:val="Hyperlink"/>
            <w:rFonts w:ascii="Verdana" w:hAnsi="Verdana"/>
            <w:sz w:val="16"/>
            <w:szCs w:val="16"/>
          </w:rPr>
          <w:t>https://www.seo.nl/wp-content/uploads/2025/09/2025-74-Economische-evaluatie-van-EU-Uitbreiding.pdf</w:t>
        </w:r>
      </w:hyperlink>
      <w:r w:rsidRPr="002E7F32">
        <w:rPr>
          <w:rFonts w:ascii="Verdana" w:hAnsi="Verdana"/>
          <w:sz w:val="16"/>
          <w:szCs w:val="16"/>
        </w:rPr>
        <w:t xml:space="preserve">. Het CPB deed onderzoek naar de verwachte migratie naar Nederland bij verdere uitbreiding van de EU. Zie </w:t>
      </w:r>
      <w:hyperlink r:id="rId4" w:history="1">
        <w:r w:rsidRPr="002E7F32">
          <w:rPr>
            <w:rStyle w:val="Hyperlink"/>
            <w:rFonts w:ascii="Verdana" w:hAnsi="Verdana"/>
            <w:sz w:val="16"/>
            <w:szCs w:val="16"/>
          </w:rPr>
          <w:t>https://www.tweedekamer.nl/downloads/document?id=2025D52261</w:t>
        </w:r>
      </w:hyperlink>
      <w:r w:rsidRPr="002E7F32">
        <w:rPr>
          <w:rFonts w:ascii="Verdana" w:hAnsi="Verdana"/>
          <w:sz w:val="16"/>
          <w:szCs w:val="16"/>
        </w:rPr>
        <w:t xml:space="preserve"> . Ook bracht Clingendael een rapport uit over de impact van EU-uitbreiding op de democratie en rechtsstaat in de Unie: Clingendael_report_In_waarden_verenigd_of_verdeeld.pdf.</w:t>
      </w:r>
    </w:p>
  </w:footnote>
  <w:footnote w:id="8">
    <w:p w14:paraId="73F970C0" w14:textId="77777777" w:rsidR="00316269" w:rsidRPr="000574B2" w:rsidRDefault="00316269" w:rsidP="00316269">
      <w:pPr>
        <w:pStyle w:val="FootnoteText"/>
        <w:rPr>
          <w:rFonts w:ascii="Verdana" w:hAnsi="Verdana"/>
          <w:sz w:val="16"/>
          <w:szCs w:val="16"/>
        </w:rPr>
      </w:pPr>
      <w:r w:rsidRPr="002E7F32">
        <w:rPr>
          <w:rStyle w:val="FootnoteReference"/>
          <w:rFonts w:ascii="Verdana" w:hAnsi="Verdana"/>
          <w:sz w:val="16"/>
          <w:szCs w:val="16"/>
        </w:rPr>
        <w:footnoteRef/>
      </w:r>
      <w:r w:rsidRPr="002E7F32">
        <w:rPr>
          <w:rFonts w:ascii="Verdana" w:hAnsi="Verdana"/>
          <w:sz w:val="16"/>
          <w:szCs w:val="16"/>
        </w:rPr>
        <w:t xml:space="preserve"> </w:t>
      </w:r>
      <w:r w:rsidRPr="002E7F32">
        <w:rPr>
          <w:rFonts w:ascii="Verdana" w:hAnsi="Verdana" w:cstheme="minorHAnsi"/>
          <w:sz w:val="16"/>
          <w:szCs w:val="16"/>
        </w:rPr>
        <w:t>Voor Albanië, Montenegro en Servië is de verwachting dat er 36.000 extra migranten in Nederland zouden zijn, tien jaar na toetreding</w:t>
      </w:r>
      <w:r>
        <w:rPr>
          <w:rFonts w:ascii="Verdana" w:hAnsi="Verdana" w:cstheme="minorHAnsi"/>
          <w:sz w:val="16"/>
          <w:szCs w:val="16"/>
        </w:rPr>
        <w:t xml:space="preserve">: </w:t>
      </w:r>
      <w:hyperlink r:id="rId5" w:history="1">
        <w:r w:rsidRPr="002E7F32">
          <w:rPr>
            <w:rStyle w:val="Hyperlink"/>
            <w:rFonts w:ascii="Verdana" w:hAnsi="Verdana"/>
            <w:sz w:val="16"/>
            <w:szCs w:val="16"/>
          </w:rPr>
          <w:t>https://www.tweedekamer.nl/downloads/document?id=2025D52261</w:t>
        </w:r>
      </w:hyperlink>
    </w:p>
  </w:footnote>
  <w:footnote w:id="9">
    <w:p w14:paraId="436779B3" w14:textId="41794C3E" w:rsidR="00316269" w:rsidRPr="00322094" w:rsidRDefault="00316269" w:rsidP="00316269">
      <w:pPr>
        <w:pStyle w:val="FootnoteText"/>
        <w:rPr>
          <w:rFonts w:ascii="Verdana" w:hAnsi="Verdana"/>
          <w:sz w:val="16"/>
          <w:szCs w:val="16"/>
        </w:rPr>
      </w:pPr>
      <w:r w:rsidRPr="00322094">
        <w:rPr>
          <w:rStyle w:val="FootnoteReference"/>
          <w:rFonts w:ascii="Verdana" w:hAnsi="Verdana"/>
          <w:sz w:val="16"/>
          <w:szCs w:val="16"/>
        </w:rPr>
        <w:footnoteRef/>
      </w:r>
      <w:r w:rsidRPr="00322094">
        <w:rPr>
          <w:rFonts w:ascii="Verdana" w:hAnsi="Verdana"/>
          <w:sz w:val="16"/>
          <w:szCs w:val="16"/>
        </w:rPr>
        <w:t xml:space="preserve"> Kamerstuk 23</w:t>
      </w:r>
      <w:r w:rsidR="00871A66">
        <w:rPr>
          <w:rFonts w:ascii="Verdana" w:hAnsi="Verdana"/>
          <w:sz w:val="16"/>
          <w:szCs w:val="16"/>
        </w:rPr>
        <w:t xml:space="preserve"> </w:t>
      </w:r>
      <w:r w:rsidRPr="00322094">
        <w:rPr>
          <w:rFonts w:ascii="Verdana" w:hAnsi="Verdana"/>
          <w:sz w:val="16"/>
          <w:szCs w:val="16"/>
        </w:rPr>
        <w:t>987 nr. 410</w:t>
      </w:r>
    </w:p>
  </w:footnote>
  <w:footnote w:id="10">
    <w:p w14:paraId="73B49CEB" w14:textId="66774EB4" w:rsidR="00316269" w:rsidRPr="00A16ECF" w:rsidRDefault="00316269" w:rsidP="00316269">
      <w:pPr>
        <w:pStyle w:val="FootnoteText"/>
        <w:rPr>
          <w:rFonts w:ascii="Verdana" w:hAnsi="Verdana"/>
        </w:rPr>
      </w:pPr>
      <w:r w:rsidRPr="00A16ECF">
        <w:rPr>
          <w:rStyle w:val="FootnoteReference"/>
          <w:rFonts w:ascii="Verdana" w:hAnsi="Verdana"/>
          <w:sz w:val="16"/>
          <w:szCs w:val="16"/>
        </w:rPr>
        <w:footnoteRef/>
      </w:r>
      <w:r w:rsidRPr="00A16ECF">
        <w:rPr>
          <w:rFonts w:ascii="Verdana" w:hAnsi="Verdana"/>
          <w:sz w:val="16"/>
          <w:szCs w:val="16"/>
        </w:rPr>
        <w:t xml:space="preserve"> Kamerstuk 23</w:t>
      </w:r>
      <w:r w:rsidR="00871A66">
        <w:rPr>
          <w:rFonts w:ascii="Verdana" w:hAnsi="Verdana"/>
          <w:sz w:val="16"/>
          <w:szCs w:val="16"/>
        </w:rPr>
        <w:t xml:space="preserve"> </w:t>
      </w:r>
      <w:r w:rsidRPr="00A16ECF">
        <w:rPr>
          <w:rFonts w:ascii="Verdana" w:hAnsi="Verdana"/>
          <w:sz w:val="16"/>
          <w:szCs w:val="16"/>
        </w:rPr>
        <w:t>987, nr. 411</w:t>
      </w:r>
    </w:p>
  </w:footnote>
  <w:footnote w:id="11">
    <w:p w14:paraId="72F4DBDA" w14:textId="77777777" w:rsidR="00316269" w:rsidRPr="00F77036" w:rsidRDefault="00316269" w:rsidP="00316269">
      <w:pPr>
        <w:pStyle w:val="FootnoteText"/>
        <w:rPr>
          <w:rFonts w:ascii="Verdana" w:hAnsi="Verdana"/>
          <w:sz w:val="16"/>
          <w:szCs w:val="16"/>
        </w:rPr>
      </w:pPr>
      <w:r>
        <w:rPr>
          <w:rStyle w:val="FootnoteReference"/>
        </w:rPr>
        <w:footnoteRef/>
      </w:r>
      <w:r>
        <w:t xml:space="preserve"> </w:t>
      </w:r>
      <w:r w:rsidRPr="00F77036">
        <w:rPr>
          <w:rFonts w:ascii="Verdana" w:hAnsi="Verdana"/>
          <w:sz w:val="16"/>
          <w:szCs w:val="16"/>
        </w:rPr>
        <w:t>Het toetredende land dient te beschikken over stabiele instellingen, die de democratie, de rechtsstaat, de eerbiediging van de mensenrechten en het respect voor minderheden waarborgen; het toetredende land dient een goed functionerende markteconomie te hebben en het hoofd te kunnen bieden aan de concurrentie en de marktkrachten binnen de EU;</w:t>
      </w:r>
      <w:r>
        <w:rPr>
          <w:rFonts w:ascii="Verdana" w:hAnsi="Verdana"/>
          <w:sz w:val="16"/>
          <w:szCs w:val="16"/>
        </w:rPr>
        <w:t xml:space="preserve"> h</w:t>
      </w:r>
      <w:r w:rsidRPr="00F77036">
        <w:rPr>
          <w:rFonts w:ascii="Verdana" w:hAnsi="Verdana"/>
          <w:sz w:val="16"/>
          <w:szCs w:val="16"/>
        </w:rPr>
        <w:t xml:space="preserve">et toetredende land dient de verplichtingen die het EU-lidmaatschap met zich meebrengt op zich te kunnen nemen, met inbegrip van de capaciteit om de gemeenschappelijke wet- en regelgeving van de EU over te nemen en te implementeren, en de doelstellingen van een politieke, economische en monetaire unie te onderschrijven. </w:t>
      </w:r>
      <w:r>
        <w:rPr>
          <w:rFonts w:ascii="Verdana" w:hAnsi="Verdana"/>
          <w:sz w:val="16"/>
          <w:szCs w:val="16"/>
        </w:rPr>
        <w:t xml:space="preserve">Bij uitbreiding dient de absorptiecapaciteit van de EU in overweging te worden genomen. </w:t>
      </w:r>
    </w:p>
  </w:footnote>
  <w:footnote w:id="12">
    <w:p w14:paraId="36A33D65" w14:textId="0A13390B" w:rsidR="00316269" w:rsidRPr="00B26842" w:rsidRDefault="00316269" w:rsidP="00316269">
      <w:pPr>
        <w:pStyle w:val="FootnoteText"/>
      </w:pPr>
      <w:r>
        <w:rPr>
          <w:rStyle w:val="FootnoteReference"/>
        </w:rPr>
        <w:footnoteRef/>
      </w:r>
      <w:r>
        <w:t xml:space="preserve"> </w:t>
      </w:r>
      <w:r w:rsidRPr="007C1A77">
        <w:rPr>
          <w:rFonts w:ascii="Verdana" w:hAnsi="Verdana"/>
          <w:sz w:val="16"/>
          <w:szCs w:val="16"/>
        </w:rPr>
        <w:t>Kamerstuk 32 735, nr. 406</w:t>
      </w:r>
    </w:p>
  </w:footnote>
  <w:footnote w:id="13">
    <w:p w14:paraId="2F7727A1" w14:textId="784A3C88" w:rsidR="00316269" w:rsidRPr="00F444DB" w:rsidRDefault="00316269" w:rsidP="00316269">
      <w:pPr>
        <w:pStyle w:val="FootnoteText"/>
      </w:pPr>
      <w:r>
        <w:rPr>
          <w:rStyle w:val="FootnoteReference"/>
        </w:rPr>
        <w:footnoteRef/>
      </w:r>
      <w:r>
        <w:t xml:space="preserve"> </w:t>
      </w:r>
      <w:r w:rsidRPr="00F444DB">
        <w:rPr>
          <w:rFonts w:ascii="Verdana" w:hAnsi="Verdana"/>
          <w:sz w:val="16"/>
          <w:szCs w:val="16"/>
        </w:rPr>
        <w:t>Zie voor een uitgebreidere voorbeeldenlijst van MATRA-projecten Kamerstuk 23</w:t>
      </w:r>
      <w:r w:rsidR="00871A66">
        <w:rPr>
          <w:rFonts w:ascii="Verdana" w:hAnsi="Verdana"/>
          <w:sz w:val="16"/>
          <w:szCs w:val="16"/>
        </w:rPr>
        <w:t xml:space="preserve"> </w:t>
      </w:r>
      <w:r w:rsidRPr="00F444DB">
        <w:rPr>
          <w:rFonts w:ascii="Verdana" w:hAnsi="Verdana"/>
          <w:sz w:val="16"/>
          <w:szCs w:val="16"/>
        </w:rPr>
        <w:t>987, nr. 398</w:t>
      </w:r>
    </w:p>
  </w:footnote>
  <w:footnote w:id="14">
    <w:p w14:paraId="09382076" w14:textId="70C39A08" w:rsidR="00316269" w:rsidRPr="002E7F32" w:rsidRDefault="00316269" w:rsidP="00316269">
      <w:pPr>
        <w:pStyle w:val="FootnoteText"/>
        <w:rPr>
          <w:rFonts w:ascii="Verdana" w:hAnsi="Verdana"/>
          <w:sz w:val="16"/>
          <w:szCs w:val="16"/>
        </w:rPr>
      </w:pPr>
      <w:r w:rsidRPr="002E7F32">
        <w:rPr>
          <w:rStyle w:val="FootnoteReference"/>
          <w:rFonts w:ascii="Verdana" w:hAnsi="Verdana"/>
          <w:sz w:val="16"/>
          <w:szCs w:val="16"/>
        </w:rPr>
        <w:footnoteRef/>
      </w:r>
      <w:r w:rsidRPr="002E7F32">
        <w:rPr>
          <w:rFonts w:ascii="Verdana" w:hAnsi="Verdana"/>
          <w:sz w:val="16"/>
          <w:szCs w:val="16"/>
        </w:rPr>
        <w:t xml:space="preserve"> Kamerstuk 23</w:t>
      </w:r>
      <w:r w:rsidR="00871A66">
        <w:rPr>
          <w:rFonts w:ascii="Verdana" w:hAnsi="Verdana"/>
          <w:sz w:val="16"/>
          <w:szCs w:val="16"/>
        </w:rPr>
        <w:t xml:space="preserve"> </w:t>
      </w:r>
      <w:r w:rsidRPr="002E7F32">
        <w:rPr>
          <w:rFonts w:ascii="Verdana" w:hAnsi="Verdana"/>
          <w:sz w:val="16"/>
          <w:szCs w:val="16"/>
        </w:rPr>
        <w:t>987, nr. 398</w:t>
      </w:r>
    </w:p>
  </w:footnote>
  <w:footnote w:id="15">
    <w:p w14:paraId="49420198" w14:textId="77777777" w:rsidR="00316269" w:rsidRPr="001F6D10" w:rsidRDefault="00316269" w:rsidP="00316269">
      <w:pPr>
        <w:pStyle w:val="FootnoteText"/>
        <w:rPr>
          <w:rFonts w:ascii="Verdana" w:hAnsi="Verdana"/>
          <w:sz w:val="16"/>
          <w:szCs w:val="16"/>
        </w:rPr>
      </w:pPr>
      <w:r w:rsidRPr="001F6D10">
        <w:rPr>
          <w:rStyle w:val="FootnoteReference"/>
          <w:rFonts w:ascii="Verdana" w:hAnsi="Verdana"/>
          <w:sz w:val="16"/>
          <w:szCs w:val="16"/>
        </w:rPr>
        <w:footnoteRef/>
      </w:r>
      <w:r w:rsidRPr="001F6D10">
        <w:rPr>
          <w:rFonts w:ascii="Verdana" w:hAnsi="Verdana"/>
          <w:sz w:val="16"/>
          <w:szCs w:val="16"/>
        </w:rPr>
        <w:t xml:space="preserve"> </w:t>
      </w:r>
      <w:r w:rsidRPr="001F6D10">
        <w:rPr>
          <w:rFonts w:ascii="Verdana" w:hAnsi="Verdana" w:cstheme="minorHAnsi"/>
          <w:sz w:val="16"/>
          <w:szCs w:val="16"/>
        </w:rPr>
        <w:t xml:space="preserve">Hiermee is op technisch niveau alvast gewerkt aan het vaststellen van passende en strikte </w:t>
      </w:r>
      <w:r w:rsidRPr="001F6D10">
        <w:rPr>
          <w:rFonts w:ascii="Verdana" w:hAnsi="Verdana" w:cstheme="minorHAnsi"/>
          <w:i/>
          <w:iCs/>
          <w:sz w:val="16"/>
          <w:szCs w:val="16"/>
        </w:rPr>
        <w:t>interim</w:t>
      </w:r>
      <w:r w:rsidRPr="001F6D10">
        <w:rPr>
          <w:rFonts w:ascii="Verdana" w:hAnsi="Verdana" w:cstheme="minorHAnsi"/>
          <w:sz w:val="16"/>
          <w:szCs w:val="16"/>
        </w:rPr>
        <w:t xml:space="preserve"> en</w:t>
      </w:r>
      <w:r w:rsidRPr="001F6D10">
        <w:rPr>
          <w:rFonts w:ascii="Verdana" w:hAnsi="Verdana" w:cstheme="minorHAnsi"/>
          <w:i/>
          <w:iCs/>
          <w:sz w:val="16"/>
          <w:szCs w:val="16"/>
        </w:rPr>
        <w:t xml:space="preserve"> closing benchmarks</w:t>
      </w:r>
      <w:r w:rsidRPr="001F6D10">
        <w:rPr>
          <w:rFonts w:ascii="Verdana" w:hAnsi="Verdana" w:cstheme="minorHAnsi"/>
          <w:sz w:val="16"/>
          <w:szCs w:val="16"/>
        </w:rPr>
        <w:t xml:space="preserve"> voor individuele hoofdstukken, eisen waar aan moeten zijn voldaan voordat deze hoofdstukken te zijner tijd onder voorbehoud kunnen worden gesloten.</w:t>
      </w:r>
    </w:p>
  </w:footnote>
  <w:footnote w:id="16">
    <w:p w14:paraId="0443FCF0" w14:textId="62341EF3" w:rsidR="00316269" w:rsidRPr="005A47CE" w:rsidRDefault="00316269" w:rsidP="00316269">
      <w:pPr>
        <w:pStyle w:val="FootnoteText"/>
      </w:pPr>
      <w:r>
        <w:rPr>
          <w:rStyle w:val="FootnoteReference"/>
        </w:rPr>
        <w:footnoteRef/>
      </w:r>
      <w:r>
        <w:t xml:space="preserve"> </w:t>
      </w:r>
      <w:r w:rsidRPr="00082B79">
        <w:rPr>
          <w:rFonts w:ascii="Verdana" w:hAnsi="Verdana"/>
          <w:sz w:val="16"/>
          <w:szCs w:val="16"/>
        </w:rPr>
        <w:t xml:space="preserve">Zie BNC-fiche </w:t>
      </w:r>
      <w:r w:rsidRPr="00F63546">
        <w:rPr>
          <w:rFonts w:ascii="Verdana" w:hAnsi="Verdana"/>
          <w:i/>
          <w:iCs/>
          <w:sz w:val="16"/>
          <w:szCs w:val="16"/>
        </w:rPr>
        <w:t>roaming</w:t>
      </w:r>
      <w:r w:rsidRPr="00082B79">
        <w:rPr>
          <w:rFonts w:ascii="Verdana" w:hAnsi="Verdana"/>
          <w:sz w:val="16"/>
          <w:szCs w:val="16"/>
        </w:rPr>
        <w:t xml:space="preserve"> Westelijke Balkan, Kamerstuk 22</w:t>
      </w:r>
      <w:r w:rsidR="00871A66">
        <w:rPr>
          <w:rFonts w:ascii="Verdana" w:hAnsi="Verdana"/>
          <w:sz w:val="16"/>
          <w:szCs w:val="16"/>
        </w:rPr>
        <w:t xml:space="preserve"> </w:t>
      </w:r>
      <w:r w:rsidRPr="00082B79">
        <w:rPr>
          <w:rFonts w:ascii="Verdana" w:hAnsi="Verdana"/>
          <w:sz w:val="16"/>
          <w:szCs w:val="16"/>
        </w:rPr>
        <w:t>112, nr. 4310</w:t>
      </w:r>
    </w:p>
  </w:footnote>
  <w:footnote w:id="17">
    <w:p w14:paraId="3F4B3910" w14:textId="20306092" w:rsidR="00316269" w:rsidRPr="00481FF8" w:rsidRDefault="00316269" w:rsidP="00316269">
      <w:pPr>
        <w:pStyle w:val="FootnoteText"/>
        <w:rPr>
          <w:rFonts w:ascii="Verdana" w:hAnsi="Verdana"/>
          <w:sz w:val="16"/>
          <w:szCs w:val="16"/>
        </w:rPr>
      </w:pPr>
      <w:r w:rsidRPr="00E9447D">
        <w:rPr>
          <w:rStyle w:val="FootnoteReference"/>
          <w:rFonts w:ascii="Verdana" w:hAnsi="Verdana"/>
          <w:sz w:val="16"/>
          <w:szCs w:val="16"/>
        </w:rPr>
        <w:footnoteRef/>
      </w:r>
      <w:r w:rsidRPr="00481FF8">
        <w:rPr>
          <w:rFonts w:ascii="Verdana" w:hAnsi="Verdana"/>
          <w:sz w:val="16"/>
          <w:szCs w:val="16"/>
        </w:rPr>
        <w:t xml:space="preserve"> Zie</w:t>
      </w:r>
      <w:r w:rsidR="004911DF" w:rsidRPr="00481FF8">
        <w:rPr>
          <w:rFonts w:ascii="Verdana" w:hAnsi="Verdana"/>
          <w:sz w:val="16"/>
          <w:szCs w:val="16"/>
        </w:rPr>
        <w:t xml:space="preserve"> </w:t>
      </w:r>
      <w:hyperlink r:id="rId6" w:history="1">
        <w:r w:rsidR="00481FF8" w:rsidRPr="00320BAB">
          <w:rPr>
            <w:rStyle w:val="Hyperlink"/>
            <w:rFonts w:ascii="Verdana" w:hAnsi="Verdana"/>
            <w:color w:val="auto"/>
            <w:sz w:val="16"/>
            <w:szCs w:val="16"/>
          </w:rPr>
          <w:t>https://www.government.nl/documents/2026/03/31/joint-communique-kingdom-of-the-netherlands-ukraine-following-second-intergovernmental-conference</w:t>
        </w:r>
      </w:hyperlink>
      <w:r w:rsidR="00481FF8" w:rsidRPr="00320BAB">
        <w:rPr>
          <w:rFonts w:ascii="Verdana" w:hAnsi="Verdana"/>
          <w:sz w:val="16"/>
          <w:szCs w:val="16"/>
        </w:rPr>
        <w:t xml:space="preserve">  </w:t>
      </w:r>
      <w:r>
        <w:fldChar w:fldCharType="begin"/>
      </w:r>
      <w:r w:rsidRPr="00481FF8">
        <w:instrText xml:space="preserve"> https://www.government.nl/documents/2026/03/31/joint-communique-kingdom-of-the-netherlands-ukraine-following-second-intergovernmental-conference"</w:instrText>
      </w:r>
      <w:r>
        <w:fldChar w:fldCharType="separate"/>
      </w:r>
      <w:r w:rsidRPr="00481FF8">
        <w:rPr>
          <w:rStyle w:val="Hyperlink"/>
          <w:rFonts w:ascii="Verdana" w:hAnsi="Verdana"/>
          <w:sz w:val="16"/>
          <w:szCs w:val="16"/>
        </w:rPr>
        <w:t>Joint communiqué of the Kingdom of the Netherlands and Ukraine following the second Intergovernmental Conference on 30-31 March 2026 | Government.nl</w:t>
      </w:r>
      <w:r>
        <w:fldChar w:fldCharType="end"/>
      </w:r>
    </w:p>
  </w:footnote>
  <w:footnote w:id="18">
    <w:p w14:paraId="43D8E54B" w14:textId="3D61B78D" w:rsidR="00316269" w:rsidRPr="00316269" w:rsidRDefault="00316269" w:rsidP="00316269">
      <w:pPr>
        <w:pStyle w:val="FootnoteText"/>
        <w:rPr>
          <w:rFonts w:ascii="Verdana" w:hAnsi="Verdana"/>
          <w:sz w:val="16"/>
          <w:szCs w:val="16"/>
          <w:highlight w:val="yellow"/>
        </w:rPr>
      </w:pPr>
      <w:r w:rsidRPr="002E7F32">
        <w:rPr>
          <w:rStyle w:val="FootnoteReference"/>
          <w:rFonts w:ascii="Verdana" w:hAnsi="Verdana"/>
          <w:sz w:val="16"/>
          <w:szCs w:val="16"/>
        </w:rPr>
        <w:footnoteRef/>
      </w:r>
      <w:r w:rsidRPr="00316269">
        <w:rPr>
          <w:rFonts w:ascii="Verdana" w:hAnsi="Verdana"/>
          <w:sz w:val="16"/>
          <w:szCs w:val="16"/>
        </w:rPr>
        <w:t xml:space="preserve"> Kamerstuk 36</w:t>
      </w:r>
      <w:r w:rsidR="00871A66">
        <w:rPr>
          <w:rFonts w:ascii="Verdana" w:hAnsi="Verdana"/>
          <w:sz w:val="16"/>
          <w:szCs w:val="16"/>
        </w:rPr>
        <w:t xml:space="preserve"> </w:t>
      </w:r>
      <w:r w:rsidRPr="00316269">
        <w:rPr>
          <w:rFonts w:ascii="Verdana" w:hAnsi="Verdana"/>
          <w:sz w:val="16"/>
          <w:szCs w:val="16"/>
        </w:rPr>
        <w:t>800-V, nr. 49</w:t>
      </w:r>
    </w:p>
  </w:footnote>
  <w:footnote w:id="19">
    <w:p w14:paraId="72E136D9" w14:textId="68CB6EDE" w:rsidR="00316269" w:rsidRPr="00316269" w:rsidRDefault="00316269" w:rsidP="00316269">
      <w:pPr>
        <w:pStyle w:val="FootnoteText"/>
      </w:pPr>
      <w:r w:rsidRPr="002E7F32">
        <w:rPr>
          <w:rStyle w:val="FootnoteReference"/>
          <w:rFonts w:ascii="Verdana" w:hAnsi="Verdana"/>
          <w:sz w:val="16"/>
          <w:szCs w:val="16"/>
        </w:rPr>
        <w:footnoteRef/>
      </w:r>
      <w:r w:rsidRPr="00316269">
        <w:rPr>
          <w:rFonts w:ascii="Verdana" w:hAnsi="Verdana"/>
          <w:sz w:val="16"/>
          <w:szCs w:val="16"/>
        </w:rPr>
        <w:t xml:space="preserve"> Kamerstuk 21</w:t>
      </w:r>
      <w:r w:rsidR="00871A66">
        <w:rPr>
          <w:rFonts w:ascii="Verdana" w:hAnsi="Verdana"/>
          <w:sz w:val="16"/>
          <w:szCs w:val="16"/>
        </w:rPr>
        <w:t xml:space="preserve"> </w:t>
      </w:r>
      <w:r w:rsidRPr="00316269">
        <w:rPr>
          <w:rFonts w:ascii="Verdana" w:hAnsi="Verdana"/>
          <w:sz w:val="16"/>
          <w:szCs w:val="16"/>
        </w:rPr>
        <w:t>501-02, nr. 3327</w:t>
      </w:r>
      <w:r w:rsidRPr="00316269">
        <w:rPr>
          <w:highlight w:val="yellow"/>
        </w:rPr>
        <w:t xml:space="preserve"> </w:t>
      </w:r>
    </w:p>
  </w:footnote>
  <w:footnote w:id="20">
    <w:p w14:paraId="45022369" w14:textId="28F4F673" w:rsidR="00316269" w:rsidRPr="00F06138" w:rsidRDefault="00316269" w:rsidP="00316269">
      <w:pPr>
        <w:pStyle w:val="FootnoteText"/>
        <w:rPr>
          <w:rFonts w:ascii="Verdana" w:hAnsi="Verdana"/>
          <w:sz w:val="16"/>
          <w:szCs w:val="16"/>
        </w:rPr>
      </w:pPr>
      <w:r w:rsidRPr="00F06138">
        <w:rPr>
          <w:rStyle w:val="FootnoteReference"/>
          <w:rFonts w:ascii="Verdana" w:hAnsi="Verdana"/>
          <w:sz w:val="16"/>
          <w:szCs w:val="16"/>
        </w:rPr>
        <w:footnoteRef/>
      </w:r>
      <w:r w:rsidRPr="00F06138">
        <w:rPr>
          <w:rFonts w:ascii="Verdana" w:hAnsi="Verdana"/>
          <w:sz w:val="16"/>
          <w:szCs w:val="16"/>
        </w:rPr>
        <w:t xml:space="preserve"> Kamerstuk 23</w:t>
      </w:r>
      <w:r w:rsidR="00871A66">
        <w:rPr>
          <w:rFonts w:ascii="Verdana" w:hAnsi="Verdana"/>
          <w:sz w:val="16"/>
          <w:szCs w:val="16"/>
        </w:rPr>
        <w:t xml:space="preserve"> </w:t>
      </w:r>
      <w:r w:rsidRPr="00F06138">
        <w:rPr>
          <w:rFonts w:ascii="Verdana" w:hAnsi="Verdana"/>
          <w:sz w:val="16"/>
          <w:szCs w:val="16"/>
        </w:rPr>
        <w:t>987</w:t>
      </w:r>
      <w:r w:rsidR="00871A66">
        <w:rPr>
          <w:rFonts w:ascii="Verdana" w:hAnsi="Verdana"/>
          <w:sz w:val="16"/>
          <w:szCs w:val="16"/>
        </w:rPr>
        <w:t>,</w:t>
      </w:r>
      <w:r w:rsidRPr="00F06138">
        <w:rPr>
          <w:rFonts w:ascii="Verdana" w:hAnsi="Verdana"/>
          <w:sz w:val="16"/>
          <w:szCs w:val="16"/>
        </w:rPr>
        <w:t xml:space="preserve"> nr. 408 </w:t>
      </w:r>
    </w:p>
  </w:footnote>
  <w:footnote w:id="21">
    <w:p w14:paraId="7E15414B" w14:textId="5F4659EE" w:rsidR="00316269" w:rsidRPr="00F06138" w:rsidRDefault="00316269" w:rsidP="00316269">
      <w:pPr>
        <w:pStyle w:val="FootnoteText"/>
        <w:rPr>
          <w:rFonts w:ascii="Verdana" w:hAnsi="Verdana"/>
          <w:sz w:val="16"/>
          <w:szCs w:val="16"/>
          <w:highlight w:val="yellow"/>
        </w:rPr>
      </w:pPr>
      <w:r w:rsidRPr="00F06138">
        <w:rPr>
          <w:rStyle w:val="FootnoteReference"/>
          <w:rFonts w:ascii="Verdana" w:hAnsi="Verdana"/>
          <w:sz w:val="16"/>
          <w:szCs w:val="16"/>
        </w:rPr>
        <w:footnoteRef/>
      </w:r>
      <w:r w:rsidRPr="00F06138">
        <w:rPr>
          <w:rFonts w:ascii="Verdana" w:hAnsi="Verdana"/>
          <w:sz w:val="16"/>
          <w:szCs w:val="16"/>
        </w:rPr>
        <w:t xml:space="preserve"> Kamerstuk 36</w:t>
      </w:r>
      <w:r w:rsidR="00871A66">
        <w:rPr>
          <w:rFonts w:ascii="Verdana" w:hAnsi="Verdana"/>
          <w:sz w:val="16"/>
          <w:szCs w:val="16"/>
        </w:rPr>
        <w:t xml:space="preserve"> </w:t>
      </w:r>
      <w:r w:rsidRPr="00F06138">
        <w:rPr>
          <w:rFonts w:ascii="Verdana" w:hAnsi="Verdana"/>
          <w:sz w:val="16"/>
          <w:szCs w:val="16"/>
        </w:rPr>
        <w:t>800-V, nr. 49</w:t>
      </w:r>
    </w:p>
  </w:footnote>
  <w:footnote w:id="22">
    <w:p w14:paraId="377F83F1" w14:textId="262680FB" w:rsidR="00316269" w:rsidRPr="0014797B" w:rsidRDefault="00316269" w:rsidP="00316269">
      <w:pPr>
        <w:pStyle w:val="FootnoteText"/>
        <w:rPr>
          <w:rFonts w:ascii="Verdana" w:hAnsi="Verdana"/>
          <w:sz w:val="16"/>
          <w:szCs w:val="16"/>
        </w:rPr>
      </w:pPr>
      <w:r w:rsidRPr="0014797B">
        <w:rPr>
          <w:rStyle w:val="FootnoteReference"/>
          <w:rFonts w:ascii="Verdana" w:hAnsi="Verdana"/>
          <w:sz w:val="16"/>
          <w:szCs w:val="16"/>
        </w:rPr>
        <w:footnoteRef/>
      </w:r>
      <w:r w:rsidRPr="0014797B">
        <w:rPr>
          <w:rFonts w:ascii="Verdana" w:hAnsi="Verdana"/>
          <w:sz w:val="16"/>
          <w:szCs w:val="16"/>
        </w:rPr>
        <w:t xml:space="preserve"> Kamerstuk 21</w:t>
      </w:r>
      <w:r w:rsidR="00871A66">
        <w:rPr>
          <w:rFonts w:ascii="Verdana" w:hAnsi="Verdana"/>
          <w:sz w:val="16"/>
          <w:szCs w:val="16"/>
        </w:rPr>
        <w:t xml:space="preserve"> </w:t>
      </w:r>
      <w:r w:rsidRPr="0014797B">
        <w:rPr>
          <w:rFonts w:ascii="Verdana" w:hAnsi="Verdana"/>
          <w:sz w:val="16"/>
          <w:szCs w:val="16"/>
        </w:rPr>
        <w:t>501-20 nr. 2384</w:t>
      </w:r>
    </w:p>
  </w:footnote>
  <w:footnote w:id="23">
    <w:p w14:paraId="31F57CA2" w14:textId="77777777" w:rsidR="00316269" w:rsidRPr="0014797B" w:rsidRDefault="00316269" w:rsidP="00316269">
      <w:pPr>
        <w:pStyle w:val="FootnoteText"/>
        <w:rPr>
          <w:rFonts w:ascii="Verdana" w:hAnsi="Verdana"/>
          <w:sz w:val="16"/>
          <w:szCs w:val="16"/>
        </w:rPr>
      </w:pPr>
      <w:r w:rsidRPr="0014797B">
        <w:rPr>
          <w:rStyle w:val="FootnoteReference"/>
          <w:rFonts w:ascii="Verdana" w:hAnsi="Verdana"/>
          <w:sz w:val="16"/>
          <w:szCs w:val="16"/>
        </w:rPr>
        <w:footnoteRef/>
      </w:r>
      <w:r w:rsidRPr="0014797B">
        <w:rPr>
          <w:rFonts w:ascii="Verdana" w:hAnsi="Verdana"/>
          <w:sz w:val="16"/>
          <w:szCs w:val="16"/>
        </w:rPr>
        <w:t xml:space="preserve"> Voor het rapport zie </w:t>
      </w:r>
      <w:hyperlink r:id="rId7" w:history="1">
        <w:r w:rsidRPr="0014797B">
          <w:rPr>
            <w:rStyle w:val="Hyperlink"/>
            <w:rFonts w:ascii="Verdana" w:hAnsi="Verdana"/>
            <w:sz w:val="16"/>
            <w:szCs w:val="16"/>
          </w:rPr>
          <w:t>https://commission.europa.eu/topics/competitiveness/draghi-report_en</w:t>
        </w:r>
      </w:hyperlink>
      <w:r w:rsidRPr="0014797B">
        <w:rPr>
          <w:rFonts w:ascii="Verdana" w:hAnsi="Verdana"/>
          <w:sz w:val="16"/>
          <w:szCs w:val="16"/>
        </w:rPr>
        <w:t xml:space="preserve"> Voor de kabinetsreactie, zie </w:t>
      </w:r>
      <w:hyperlink r:id="rId8" w:history="1">
        <w:r w:rsidRPr="0014797B">
          <w:rPr>
            <w:rStyle w:val="Hyperlink"/>
            <w:rFonts w:ascii="Verdana" w:hAnsi="Verdana"/>
            <w:sz w:val="16"/>
            <w:szCs w:val="16"/>
          </w:rPr>
          <w:t>https://open.overheid.nl/documenten/a01bb73b-d804-41f2-afad-c928ff330f04/file</w:t>
        </w:r>
      </w:hyperlink>
      <w:r w:rsidRPr="0014797B">
        <w:rPr>
          <w:rFonts w:ascii="Verdana" w:hAnsi="Verdana"/>
          <w:sz w:val="16"/>
          <w:szCs w:val="16"/>
        </w:rPr>
        <w:t xml:space="preserve"> , en voor de aanvullende reactie zie: </w:t>
      </w:r>
      <w:hyperlink r:id="rId9" w:history="1">
        <w:r w:rsidRPr="0014797B">
          <w:rPr>
            <w:rStyle w:val="Hyperlink"/>
            <w:rFonts w:ascii="Verdana" w:hAnsi="Verdana"/>
            <w:sz w:val="16"/>
            <w:szCs w:val="16"/>
          </w:rPr>
          <w:t>https://open.overheid.nl/documenten/b07ff920-ab49-494b-85b8-3a13e3087237/file</w:t>
        </w:r>
      </w:hyperlink>
      <w:r w:rsidRPr="0014797B">
        <w:rPr>
          <w:rFonts w:ascii="Verdana" w:hAnsi="Verdana"/>
          <w:sz w:val="16"/>
          <w:szCs w:val="16"/>
        </w:rPr>
        <w:t xml:space="preserve">. </w:t>
      </w:r>
    </w:p>
  </w:footnote>
  <w:footnote w:id="24">
    <w:p w14:paraId="31BB22A7" w14:textId="77777777" w:rsidR="00316269" w:rsidRPr="0014797B" w:rsidRDefault="00316269" w:rsidP="00316269">
      <w:pPr>
        <w:pStyle w:val="FootnoteText"/>
        <w:rPr>
          <w:rFonts w:ascii="Verdana" w:hAnsi="Verdana"/>
          <w:sz w:val="16"/>
          <w:szCs w:val="16"/>
          <w:lang w:val="en-US"/>
        </w:rPr>
      </w:pPr>
      <w:r w:rsidRPr="0014797B">
        <w:rPr>
          <w:rStyle w:val="FootnoteReference"/>
          <w:rFonts w:ascii="Verdana" w:hAnsi="Verdana"/>
          <w:sz w:val="16"/>
          <w:szCs w:val="16"/>
        </w:rPr>
        <w:footnoteRef/>
      </w:r>
      <w:r w:rsidRPr="0014797B">
        <w:rPr>
          <w:rFonts w:ascii="Verdana" w:hAnsi="Verdana"/>
          <w:sz w:val="16"/>
          <w:szCs w:val="16"/>
          <w:lang w:val="en-US"/>
        </w:rPr>
        <w:t xml:space="preserve"> Zie het rapport </w:t>
      </w:r>
      <w:hyperlink r:id="rId10" w:history="1">
        <w:r w:rsidRPr="0014797B">
          <w:rPr>
            <w:rStyle w:val="Hyperlink"/>
            <w:rFonts w:ascii="Verdana" w:hAnsi="Verdana"/>
            <w:i/>
            <w:iCs/>
            <w:sz w:val="16"/>
            <w:szCs w:val="16"/>
            <w:lang w:val="en-US"/>
          </w:rPr>
          <w:t>Sailing on High Seas, reforming and enlarging the EU for the 21th Century</w:t>
        </w:r>
      </w:hyperlink>
      <w:r w:rsidRPr="0014797B">
        <w:rPr>
          <w:rFonts w:ascii="Verdana" w:hAnsi="Verdana"/>
          <w:sz w:val="16"/>
          <w:szCs w:val="16"/>
          <w:lang w:val="en-US"/>
        </w:rPr>
        <w:t>.</w:t>
      </w:r>
    </w:p>
  </w:footnote>
  <w:footnote w:id="25">
    <w:p w14:paraId="732D254D" w14:textId="32D5FFC4" w:rsidR="00316269" w:rsidRPr="002E7F32" w:rsidRDefault="00316269" w:rsidP="00316269">
      <w:pPr>
        <w:pStyle w:val="FootnoteText"/>
        <w:rPr>
          <w:rFonts w:ascii="Verdana" w:hAnsi="Verdana"/>
          <w:sz w:val="16"/>
          <w:szCs w:val="16"/>
          <w:highlight w:val="yellow"/>
        </w:rPr>
      </w:pPr>
      <w:r w:rsidRPr="0014797B">
        <w:rPr>
          <w:rStyle w:val="FootnoteReference"/>
          <w:rFonts w:ascii="Verdana" w:hAnsi="Verdana"/>
          <w:sz w:val="16"/>
          <w:szCs w:val="16"/>
        </w:rPr>
        <w:footnoteRef/>
      </w:r>
      <w:r w:rsidRPr="0014797B">
        <w:rPr>
          <w:rFonts w:ascii="Verdana" w:hAnsi="Verdana"/>
          <w:sz w:val="16"/>
          <w:szCs w:val="16"/>
        </w:rPr>
        <w:t xml:space="preserve"> Kamerstuk </w:t>
      </w:r>
      <w:bookmarkStart w:id="0" w:name="_Hlk230958654"/>
      <w:r w:rsidRPr="0014797B">
        <w:rPr>
          <w:rFonts w:ascii="Verdana" w:hAnsi="Verdana"/>
          <w:sz w:val="16"/>
          <w:szCs w:val="16"/>
        </w:rPr>
        <w:t>21</w:t>
      </w:r>
      <w:r w:rsidR="00871A66">
        <w:rPr>
          <w:rFonts w:ascii="Verdana" w:hAnsi="Verdana"/>
          <w:sz w:val="16"/>
          <w:szCs w:val="16"/>
        </w:rPr>
        <w:t xml:space="preserve"> </w:t>
      </w:r>
      <w:r w:rsidRPr="0014797B">
        <w:rPr>
          <w:rFonts w:ascii="Verdana" w:hAnsi="Verdana"/>
          <w:sz w:val="16"/>
          <w:szCs w:val="16"/>
        </w:rPr>
        <w:t>501-02, nr. 3252</w:t>
      </w:r>
      <w:bookmarkEnd w:id="0"/>
    </w:p>
  </w:footnote>
  <w:footnote w:id="26">
    <w:p w14:paraId="25FCE380" w14:textId="302781F7" w:rsidR="00316269" w:rsidRPr="00BF2C9E" w:rsidRDefault="00316269" w:rsidP="00316269">
      <w:pPr>
        <w:pStyle w:val="FootnoteText"/>
        <w:rPr>
          <w:rFonts w:ascii="Verdana" w:hAnsi="Verdana"/>
          <w:sz w:val="16"/>
          <w:szCs w:val="16"/>
        </w:rPr>
      </w:pPr>
      <w:r w:rsidRPr="002E7F32">
        <w:rPr>
          <w:rStyle w:val="FootnoteReference"/>
          <w:rFonts w:ascii="Verdana" w:hAnsi="Verdana"/>
          <w:sz w:val="16"/>
          <w:szCs w:val="16"/>
        </w:rPr>
        <w:footnoteRef/>
      </w:r>
      <w:r w:rsidRPr="002E7F32">
        <w:rPr>
          <w:rFonts w:ascii="Verdana" w:hAnsi="Verdana"/>
          <w:sz w:val="16"/>
          <w:szCs w:val="16"/>
        </w:rPr>
        <w:t xml:space="preserve"> </w:t>
      </w:r>
      <w:r>
        <w:rPr>
          <w:rFonts w:ascii="Verdana" w:hAnsi="Verdana"/>
          <w:sz w:val="16"/>
          <w:szCs w:val="16"/>
        </w:rPr>
        <w:t xml:space="preserve">Kamerstuk </w:t>
      </w:r>
      <w:r w:rsidRPr="00B94462">
        <w:rPr>
          <w:rFonts w:ascii="Verdana" w:hAnsi="Verdana"/>
          <w:sz w:val="16"/>
          <w:szCs w:val="16"/>
        </w:rPr>
        <w:t>21</w:t>
      </w:r>
      <w:r w:rsidR="00871A66">
        <w:rPr>
          <w:rFonts w:ascii="Verdana" w:hAnsi="Verdana"/>
          <w:sz w:val="16"/>
          <w:szCs w:val="16"/>
        </w:rPr>
        <w:t xml:space="preserve"> </w:t>
      </w:r>
      <w:r w:rsidRPr="00B94462">
        <w:rPr>
          <w:rFonts w:ascii="Verdana" w:hAnsi="Verdana"/>
          <w:sz w:val="16"/>
          <w:szCs w:val="16"/>
        </w:rPr>
        <w:t>501-20</w:t>
      </w:r>
      <w:r>
        <w:rPr>
          <w:rFonts w:ascii="Verdana" w:hAnsi="Verdana"/>
          <w:sz w:val="16"/>
          <w:szCs w:val="16"/>
        </w:rPr>
        <w:t xml:space="preserve">, nr. </w:t>
      </w:r>
      <w:r w:rsidRPr="00B94462">
        <w:rPr>
          <w:rFonts w:ascii="Verdana" w:hAnsi="Verdana"/>
          <w:sz w:val="16"/>
          <w:szCs w:val="16"/>
        </w:rPr>
        <w:t>2338</w:t>
      </w:r>
    </w:p>
  </w:footnote>
  <w:footnote w:id="27">
    <w:p w14:paraId="71B067F5" w14:textId="76B19FD1" w:rsidR="00316269" w:rsidRPr="00FE681E" w:rsidRDefault="00316269" w:rsidP="00316269">
      <w:pPr>
        <w:pStyle w:val="FootnoteText"/>
        <w:rPr>
          <w:rFonts w:ascii="Verdana" w:hAnsi="Verdana"/>
          <w:sz w:val="16"/>
          <w:szCs w:val="16"/>
        </w:rPr>
      </w:pPr>
      <w:r>
        <w:rPr>
          <w:rStyle w:val="FootnoteReference"/>
        </w:rPr>
        <w:footnoteRef/>
      </w:r>
      <w:r>
        <w:t xml:space="preserve"> </w:t>
      </w:r>
      <w:r w:rsidRPr="00FE681E">
        <w:rPr>
          <w:rFonts w:ascii="Verdana" w:hAnsi="Verdana"/>
          <w:sz w:val="16"/>
          <w:szCs w:val="16"/>
        </w:rPr>
        <w:t>Kamerstuk 21</w:t>
      </w:r>
      <w:r w:rsidR="00871A66">
        <w:rPr>
          <w:rFonts w:ascii="Verdana" w:hAnsi="Verdana"/>
          <w:sz w:val="16"/>
          <w:szCs w:val="16"/>
        </w:rPr>
        <w:t xml:space="preserve"> </w:t>
      </w:r>
      <w:r w:rsidRPr="00FE681E">
        <w:rPr>
          <w:rFonts w:ascii="Verdana" w:hAnsi="Verdana"/>
          <w:sz w:val="16"/>
          <w:szCs w:val="16"/>
        </w:rPr>
        <w:t>501-02, nr. 3400</w:t>
      </w:r>
    </w:p>
  </w:footnote>
  <w:footnote w:id="28">
    <w:p w14:paraId="179126A1" w14:textId="0654F7F0" w:rsidR="00316269" w:rsidRPr="00BF2C9E" w:rsidRDefault="00316269" w:rsidP="00316269">
      <w:pPr>
        <w:pStyle w:val="FootnoteText"/>
        <w:rPr>
          <w:rFonts w:ascii="Verdana" w:hAnsi="Verdana"/>
          <w:sz w:val="16"/>
          <w:szCs w:val="16"/>
        </w:rPr>
      </w:pPr>
      <w:r w:rsidRPr="00FE681E">
        <w:rPr>
          <w:rStyle w:val="FootnoteReference"/>
          <w:rFonts w:ascii="Verdana" w:hAnsi="Verdana"/>
          <w:sz w:val="16"/>
          <w:szCs w:val="16"/>
        </w:rPr>
        <w:footnoteRef/>
      </w:r>
      <w:r w:rsidRPr="00FE681E">
        <w:rPr>
          <w:rFonts w:ascii="Verdana" w:hAnsi="Verdana"/>
          <w:sz w:val="16"/>
          <w:szCs w:val="16"/>
        </w:rPr>
        <w:t xml:space="preserve"> Kamerstuk 23</w:t>
      </w:r>
      <w:r w:rsidR="00871A66">
        <w:rPr>
          <w:rFonts w:ascii="Verdana" w:hAnsi="Verdana"/>
          <w:sz w:val="16"/>
          <w:szCs w:val="16"/>
        </w:rPr>
        <w:t xml:space="preserve"> </w:t>
      </w:r>
      <w:r w:rsidRPr="00FE681E">
        <w:rPr>
          <w:rFonts w:ascii="Verdana" w:hAnsi="Verdana"/>
          <w:sz w:val="16"/>
          <w:szCs w:val="16"/>
        </w:rPr>
        <w:t>987</w:t>
      </w:r>
      <w:r>
        <w:rPr>
          <w:rFonts w:ascii="Verdana" w:hAnsi="Verdana"/>
          <w:sz w:val="16"/>
          <w:szCs w:val="16"/>
        </w:rPr>
        <w:t xml:space="preserve">, nr. </w:t>
      </w:r>
      <w:r w:rsidRPr="00FE681E">
        <w:rPr>
          <w:rFonts w:ascii="Verdana" w:hAnsi="Verdana"/>
          <w:sz w:val="16"/>
          <w:szCs w:val="16"/>
        </w:rPr>
        <w:t>409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8FC03" w14:textId="77777777" w:rsidR="00594A6A" w:rsidRDefault="00594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5E29" w14:textId="066F32B3" w:rsidR="00E443F7" w:rsidRDefault="00065194">
    <w:r>
      <w:rPr>
        <w:noProof/>
      </w:rPr>
      <mc:AlternateContent>
        <mc:Choice Requires="wps">
          <w:drawing>
            <wp:anchor distT="0" distB="0" distL="0" distR="0" simplePos="0" relativeHeight="251652608" behindDoc="0" locked="1" layoutInCell="1" allowOverlap="1" wp14:anchorId="4E4D5E2D" wp14:editId="00EDCAE1">
              <wp:simplePos x="0" y="0"/>
              <wp:positionH relativeFrom="page">
                <wp:posOffset>5920740</wp:posOffset>
              </wp:positionH>
              <wp:positionV relativeFrom="page">
                <wp:posOffset>1965960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4E4D5E5B" w14:textId="77777777" w:rsidR="00E443F7" w:rsidRDefault="00065194">
                          <w:pPr>
                            <w:pStyle w:val="Referentiegegevensbold"/>
                          </w:pPr>
                          <w:r>
                            <w:t>Ministerie van Buitenlandse Zaken</w:t>
                          </w:r>
                        </w:p>
                        <w:p w14:paraId="4E4D5E5C" w14:textId="77777777" w:rsidR="00E443F7" w:rsidRDefault="00E443F7">
                          <w:pPr>
                            <w:pStyle w:val="WitregelW2"/>
                          </w:pPr>
                        </w:p>
                        <w:p w14:paraId="4E4D5E5D" w14:textId="77777777" w:rsidR="00E443F7" w:rsidRDefault="00065194">
                          <w:pPr>
                            <w:pStyle w:val="Referentiegegevensbold"/>
                          </w:pPr>
                          <w:r>
                            <w:t>Onze referentie</w:t>
                          </w:r>
                        </w:p>
                        <w:p w14:paraId="4E4D5E5E" w14:textId="77777777" w:rsidR="00E443F7" w:rsidRDefault="00065194">
                          <w:pPr>
                            <w:pStyle w:val="Referentiegegevens"/>
                          </w:pPr>
                          <w:r>
                            <w:t>BZ2628730</w:t>
                          </w:r>
                        </w:p>
                      </w:txbxContent>
                    </wps:txbx>
                    <wps:bodyPr vert="horz" wrap="square" lIns="0" tIns="0" rIns="0" bIns="0" anchor="t" anchorCtr="0"/>
                  </wps:wsp>
                </a:graphicData>
              </a:graphic>
              <wp14:sizeRelH relativeFrom="margin">
                <wp14:pctWidth>0</wp14:pctWidth>
              </wp14:sizeRelH>
            </wp:anchor>
          </w:drawing>
        </mc:Choice>
        <mc:Fallback>
          <w:pict>
            <v:shapetype w14:anchorId="4E4D5E2D" id="_x0000_t202" coordsize="21600,21600" o:spt="202" path="m,l,21600r21600,l21600,xe">
              <v:stroke joinstyle="miter"/>
              <v:path gradientshapeok="t" o:connecttype="rect"/>
            </v:shapetype>
            <v:shape id="41b1110a-80a4-11ea-b356-6230a4311406" o:spid="_x0000_s1026" type="#_x0000_t202" style="position:absolute;margin-left:466.2pt;margin-top:154.8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" filled="f" stroked="f">
              <v:textbox inset="0,0,0,0">
                <w:txbxContent>
                  <w:p w14:paraId="4E4D5E5B" w14:textId="77777777" w:rsidR="00E443F7" w:rsidRDefault="00065194">
                    <w:pPr>
                      <w:pStyle w:val="Referentiegegevensbold"/>
                    </w:pPr>
                    <w:r>
                      <w:t>Ministerie van Buitenlandse Zaken</w:t>
                    </w:r>
                  </w:p>
                  <w:p w14:paraId="4E4D5E5C" w14:textId="77777777" w:rsidR="00E443F7" w:rsidRDefault="00E443F7">
                    <w:pPr>
                      <w:pStyle w:val="WitregelW2"/>
                    </w:pPr>
                  </w:p>
                  <w:p w14:paraId="4E4D5E5D" w14:textId="77777777" w:rsidR="00E443F7" w:rsidRDefault="00065194">
                    <w:pPr>
                      <w:pStyle w:val="Referentiegegevensbold"/>
                    </w:pPr>
                    <w:r>
                      <w:t>Onze referentie</w:t>
                    </w:r>
                  </w:p>
                  <w:p w14:paraId="4E4D5E5E" w14:textId="77777777" w:rsidR="00E443F7" w:rsidRDefault="00065194">
                    <w:pPr>
                      <w:pStyle w:val="Referentiegegevens"/>
                    </w:pPr>
                    <w:r>
                      <w:t>BZ2628730</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E4D5E31" wp14:editId="72F8C08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4D5E6D" w14:textId="77777777" w:rsidR="00065194" w:rsidRDefault="00065194"/>
                      </w:txbxContent>
                    </wps:txbx>
                    <wps:bodyPr vert="horz" wrap="square" lIns="0" tIns="0" rIns="0" bIns="0" anchor="t" anchorCtr="0"/>
                  </wps:wsp>
                </a:graphicData>
              </a:graphic>
            </wp:anchor>
          </w:drawing>
        </mc:Choice>
        <mc:Fallback>
          <w:pict>
            <v:shape w14:anchorId="4E4D5E31"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E4D5E6D" w14:textId="77777777" w:rsidR="00065194" w:rsidRDefault="0006519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D5E2B" w14:textId="23C94DA9" w:rsidR="00E443F7" w:rsidRDefault="00065194">
    <w:pPr>
      <w:spacing w:after="7131" w:line="14" w:lineRule="exact"/>
    </w:pPr>
    <w:r>
      <w:rPr>
        <w:noProof/>
      </w:rPr>
      <mc:AlternateContent>
        <mc:Choice Requires="wps">
          <w:drawing>
            <wp:anchor distT="0" distB="0" distL="0" distR="0" simplePos="0" relativeHeight="251655680" behindDoc="0" locked="1" layoutInCell="1" allowOverlap="1" wp14:anchorId="4E4D5E33" wp14:editId="4E4D5E3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E4D5E60" w14:textId="77777777" w:rsidR="00065194" w:rsidRDefault="00065194"/>
                      </w:txbxContent>
                    </wps:txbx>
                    <wps:bodyPr vert="horz" wrap="square" lIns="0" tIns="0" rIns="0" bIns="0" anchor="t" anchorCtr="0"/>
                  </wps:wsp>
                </a:graphicData>
              </a:graphic>
            </wp:anchor>
          </w:drawing>
        </mc:Choice>
        <mc:Fallback>
          <w:pict>
            <v:shapetype w14:anchorId="4E4D5E3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E4D5E60" w14:textId="77777777" w:rsidR="00065194" w:rsidRDefault="0006519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E4D5E35" wp14:editId="4E4D5E3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E4D5E44" w14:textId="77777777" w:rsidR="00E443F7" w:rsidRDefault="0006519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E4D5E35"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E4D5E44" w14:textId="77777777" w:rsidR="00E443F7" w:rsidRDefault="0006519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E4D5E37" wp14:editId="4E4D5E3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E443F7" w14:paraId="4E4D5E47" w14:textId="77777777">
                            <w:tc>
                              <w:tcPr>
                                <w:tcW w:w="678" w:type="dxa"/>
                              </w:tcPr>
                              <w:p w14:paraId="4E4D5E45" w14:textId="77777777" w:rsidR="00E443F7" w:rsidRDefault="00065194">
                                <w:r>
                                  <w:t>Datum</w:t>
                                </w:r>
                              </w:p>
                            </w:tc>
                            <w:tc>
                              <w:tcPr>
                                <w:tcW w:w="6851" w:type="dxa"/>
                              </w:tcPr>
                              <w:p w14:paraId="4E4D5E46" w14:textId="6B364669" w:rsidR="00E443F7" w:rsidRDefault="00D454CC">
                                <w:r>
                                  <w:t>9</w:t>
                                </w:r>
                                <w:r w:rsidR="00871A66">
                                  <w:t xml:space="preserve"> juni</w:t>
                                </w:r>
                                <w:r w:rsidR="00065194">
                                  <w:t xml:space="preserve"> 2026</w:t>
                                </w:r>
                              </w:p>
                            </w:tc>
                          </w:tr>
                          <w:tr w:rsidR="00E443F7" w14:paraId="4E4D5E4C" w14:textId="77777777">
                            <w:tc>
                              <w:tcPr>
                                <w:tcW w:w="678" w:type="dxa"/>
                              </w:tcPr>
                              <w:p w14:paraId="4E4D5E48" w14:textId="77777777" w:rsidR="00E443F7" w:rsidRDefault="00065194">
                                <w:r>
                                  <w:t>Betreft</w:t>
                                </w:r>
                              </w:p>
                              <w:p w14:paraId="4E4D5E49" w14:textId="77777777" w:rsidR="00E443F7" w:rsidRDefault="00E443F7"/>
                            </w:tc>
                            <w:tc>
                              <w:tcPr>
                                <w:tcW w:w="6851" w:type="dxa"/>
                              </w:tcPr>
                              <w:p w14:paraId="4E4D5E4A" w14:textId="4D678D00" w:rsidR="00E443F7" w:rsidRDefault="00594A6A">
                                <w:r>
                                  <w:t xml:space="preserve">Kamerbrief inzake </w:t>
                                </w:r>
                                <w:r w:rsidR="00486EED">
                                  <w:t>EU-</w:t>
                                </w:r>
                                <w:r w:rsidR="00065194">
                                  <w:t xml:space="preserve">uitbreiding, waarborgen en </w:t>
                                </w:r>
                                <w:r w:rsidR="00486EED">
                                  <w:t xml:space="preserve">de </w:t>
                                </w:r>
                                <w:r w:rsidR="00065194">
                                  <w:t>Toekomst van Europa</w:t>
                                </w:r>
                              </w:p>
                              <w:p w14:paraId="4E4D5E4B" w14:textId="77777777" w:rsidR="00E443F7" w:rsidRDefault="00E443F7"/>
                            </w:tc>
                          </w:tr>
                        </w:tbl>
                        <w:p w14:paraId="4E4D5E4D" w14:textId="77777777" w:rsidR="00E443F7" w:rsidRDefault="00E443F7"/>
                        <w:p w14:paraId="4E4D5E4E" w14:textId="77777777" w:rsidR="00E443F7" w:rsidRDefault="00E443F7"/>
                      </w:txbxContent>
                    </wps:txbx>
                    <wps:bodyPr vert="horz" wrap="square" lIns="0" tIns="0" rIns="0" bIns="0" anchor="t" anchorCtr="0"/>
                  </wps:wsp>
                </a:graphicData>
              </a:graphic>
            </wp:anchor>
          </w:drawing>
        </mc:Choice>
        <mc:Fallback>
          <w:pict>
            <v:shape w14:anchorId="4E4D5E37"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E443F7" w14:paraId="4E4D5E47" w14:textId="77777777">
                      <w:tc>
                        <w:tcPr>
                          <w:tcW w:w="678" w:type="dxa"/>
                        </w:tcPr>
                        <w:p w14:paraId="4E4D5E45" w14:textId="77777777" w:rsidR="00E443F7" w:rsidRDefault="00065194">
                          <w:r>
                            <w:t>Datum</w:t>
                          </w:r>
                        </w:p>
                      </w:tc>
                      <w:tc>
                        <w:tcPr>
                          <w:tcW w:w="6851" w:type="dxa"/>
                        </w:tcPr>
                        <w:p w14:paraId="4E4D5E46" w14:textId="6B364669" w:rsidR="00E443F7" w:rsidRDefault="00D454CC">
                          <w:r>
                            <w:t>9</w:t>
                          </w:r>
                          <w:r w:rsidR="00871A66">
                            <w:t xml:space="preserve"> juni</w:t>
                          </w:r>
                          <w:r w:rsidR="00065194">
                            <w:t xml:space="preserve"> 2026</w:t>
                          </w:r>
                        </w:p>
                      </w:tc>
                    </w:tr>
                    <w:tr w:rsidR="00E443F7" w14:paraId="4E4D5E4C" w14:textId="77777777">
                      <w:tc>
                        <w:tcPr>
                          <w:tcW w:w="678" w:type="dxa"/>
                        </w:tcPr>
                        <w:p w14:paraId="4E4D5E48" w14:textId="77777777" w:rsidR="00E443F7" w:rsidRDefault="00065194">
                          <w:r>
                            <w:t>Betreft</w:t>
                          </w:r>
                        </w:p>
                        <w:p w14:paraId="4E4D5E49" w14:textId="77777777" w:rsidR="00E443F7" w:rsidRDefault="00E443F7"/>
                      </w:tc>
                      <w:tc>
                        <w:tcPr>
                          <w:tcW w:w="6851" w:type="dxa"/>
                        </w:tcPr>
                        <w:p w14:paraId="4E4D5E4A" w14:textId="4D678D00" w:rsidR="00E443F7" w:rsidRDefault="00594A6A">
                          <w:r>
                            <w:t xml:space="preserve">Kamerbrief inzake </w:t>
                          </w:r>
                          <w:r w:rsidR="00486EED">
                            <w:t>EU-</w:t>
                          </w:r>
                          <w:r w:rsidR="00065194">
                            <w:t xml:space="preserve">uitbreiding, waarborgen en </w:t>
                          </w:r>
                          <w:r w:rsidR="00486EED">
                            <w:t xml:space="preserve">de </w:t>
                          </w:r>
                          <w:r w:rsidR="00065194">
                            <w:t>Toekomst van Europa</w:t>
                          </w:r>
                        </w:p>
                        <w:p w14:paraId="4E4D5E4B" w14:textId="77777777" w:rsidR="00E443F7" w:rsidRDefault="00E443F7"/>
                      </w:tc>
                    </w:tr>
                  </w:tbl>
                  <w:p w14:paraId="4E4D5E4D" w14:textId="77777777" w:rsidR="00E443F7" w:rsidRDefault="00E443F7"/>
                  <w:p w14:paraId="4E4D5E4E" w14:textId="77777777" w:rsidR="00E443F7" w:rsidRDefault="00E443F7"/>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E4D5E39" wp14:editId="112D7539">
              <wp:simplePos x="0" y="0"/>
              <wp:positionH relativeFrom="page">
                <wp:posOffset>5920740</wp:posOffset>
              </wp:positionH>
              <wp:positionV relativeFrom="page">
                <wp:posOffset>1965960</wp:posOffset>
              </wp:positionV>
              <wp:extent cx="14173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7320" cy="8009890"/>
                      </a:xfrm>
                      <a:prstGeom prst="rect">
                        <a:avLst/>
                      </a:prstGeom>
                      <a:noFill/>
                    </wps:spPr>
                    <wps:txbx>
                      <w:txbxContent>
                        <w:p w14:paraId="4E4D5E4F" w14:textId="77777777" w:rsidR="00E443F7" w:rsidRDefault="00065194">
                          <w:pPr>
                            <w:pStyle w:val="Referentiegegevensbold"/>
                          </w:pPr>
                          <w:r>
                            <w:t>Ministerie van Buitenlandse Zaken</w:t>
                          </w:r>
                        </w:p>
                        <w:p w14:paraId="4E4D5E50" w14:textId="77777777" w:rsidR="00E443F7" w:rsidRDefault="00E443F7">
                          <w:pPr>
                            <w:pStyle w:val="WitregelW1"/>
                          </w:pPr>
                        </w:p>
                        <w:p w14:paraId="4E4D5E51" w14:textId="31CCD1A1" w:rsidR="00E443F7" w:rsidRPr="00871A66" w:rsidRDefault="00871A66">
                          <w:pPr>
                            <w:pStyle w:val="Referentiegegevens"/>
                          </w:pPr>
                          <w:r w:rsidRPr="00871A66">
                            <w:t>Rijnstraat 8</w:t>
                          </w:r>
                        </w:p>
                        <w:p w14:paraId="301DFD17" w14:textId="12524633" w:rsidR="00871A66" w:rsidRPr="00E9447D" w:rsidRDefault="00871A66" w:rsidP="00871A66">
                          <w:pPr>
                            <w:rPr>
                              <w:sz w:val="13"/>
                              <w:szCs w:val="13"/>
                              <w:lang w:val="da-DK"/>
                            </w:rPr>
                          </w:pPr>
                          <w:r w:rsidRPr="00E9447D">
                            <w:rPr>
                              <w:sz w:val="13"/>
                              <w:szCs w:val="13"/>
                              <w:lang w:val="da-DK"/>
                            </w:rPr>
                            <w:t>2515XP Den Haag</w:t>
                          </w:r>
                        </w:p>
                        <w:p w14:paraId="542EDED9" w14:textId="1C4C8313" w:rsidR="00871A66" w:rsidRPr="00E9447D" w:rsidRDefault="00871A66" w:rsidP="00871A66">
                          <w:pPr>
                            <w:rPr>
                              <w:sz w:val="13"/>
                              <w:szCs w:val="13"/>
                              <w:lang w:val="da-DK"/>
                            </w:rPr>
                          </w:pPr>
                          <w:r w:rsidRPr="00E9447D">
                            <w:rPr>
                              <w:sz w:val="13"/>
                              <w:szCs w:val="13"/>
                              <w:lang w:val="da-DK"/>
                            </w:rPr>
                            <w:t>Postbus 20061</w:t>
                          </w:r>
                        </w:p>
                        <w:p w14:paraId="70F32A56" w14:textId="5FFD87B8" w:rsidR="00871A66" w:rsidRPr="00E9447D" w:rsidRDefault="00871A66" w:rsidP="00871A66">
                          <w:pPr>
                            <w:rPr>
                              <w:sz w:val="13"/>
                              <w:szCs w:val="13"/>
                              <w:lang w:val="da-DK"/>
                            </w:rPr>
                          </w:pPr>
                          <w:r w:rsidRPr="00E9447D">
                            <w:rPr>
                              <w:sz w:val="13"/>
                              <w:szCs w:val="13"/>
                              <w:lang w:val="da-DK"/>
                            </w:rPr>
                            <w:t>Nederland</w:t>
                          </w:r>
                        </w:p>
                        <w:p w14:paraId="4E4D5E52" w14:textId="77777777" w:rsidR="00E443F7" w:rsidRPr="00E9447D" w:rsidRDefault="00065194">
                          <w:pPr>
                            <w:pStyle w:val="Referentiegegevens"/>
                            <w:rPr>
                              <w:lang w:val="da-DK"/>
                            </w:rPr>
                          </w:pPr>
                          <w:r w:rsidRPr="00E9447D">
                            <w:rPr>
                              <w:lang w:val="da-DK"/>
                            </w:rPr>
                            <w:t>www.minbuza.nl</w:t>
                          </w:r>
                        </w:p>
                        <w:p w14:paraId="4E4D5E53" w14:textId="77777777" w:rsidR="00E443F7" w:rsidRPr="00E9447D" w:rsidRDefault="00E443F7">
                          <w:pPr>
                            <w:pStyle w:val="WitregelW2"/>
                            <w:rPr>
                              <w:lang w:val="da-DK"/>
                            </w:rPr>
                          </w:pPr>
                        </w:p>
                        <w:p w14:paraId="4E4D5E54" w14:textId="77777777" w:rsidR="00E443F7" w:rsidRDefault="00065194">
                          <w:pPr>
                            <w:pStyle w:val="Referentiegegevensbold"/>
                          </w:pPr>
                          <w:r>
                            <w:t>Onze referentie</w:t>
                          </w:r>
                        </w:p>
                        <w:p w14:paraId="4E4D5E55" w14:textId="77777777" w:rsidR="00E443F7" w:rsidRDefault="00065194">
                          <w:pPr>
                            <w:pStyle w:val="Referentiegegevens"/>
                          </w:pPr>
                          <w:r>
                            <w:t>BZ2628730</w:t>
                          </w:r>
                        </w:p>
                        <w:p w14:paraId="4E4D5E56" w14:textId="77777777" w:rsidR="00E443F7" w:rsidRDefault="00E443F7">
                          <w:pPr>
                            <w:pStyle w:val="WitregelW1"/>
                          </w:pPr>
                        </w:p>
                        <w:p w14:paraId="4E4D5E57" w14:textId="77777777" w:rsidR="00E443F7" w:rsidRDefault="00065194">
                          <w:pPr>
                            <w:pStyle w:val="Referentiegegevensbold"/>
                          </w:pPr>
                          <w:r>
                            <w:t>Bijlage(n)</w:t>
                          </w:r>
                        </w:p>
                        <w:p w14:paraId="4E4D5E58" w14:textId="1C382ACD" w:rsidR="00E443F7" w:rsidRDefault="0001177A">
                          <w:pPr>
                            <w:pStyle w:val="Referentiegegevens"/>
                          </w:pPr>
                          <w:r>
                            <w:t xml:space="preserve">1 </w:t>
                          </w:r>
                        </w:p>
                      </w:txbxContent>
                    </wps:txbx>
                    <wps:bodyPr vert="horz" wrap="square" lIns="0" tIns="0" rIns="0" bIns="0" anchor="t" anchorCtr="0"/>
                  </wps:wsp>
                </a:graphicData>
              </a:graphic>
              <wp14:sizeRelH relativeFrom="margin">
                <wp14:pctWidth>0</wp14:pctWidth>
              </wp14:sizeRelH>
            </wp:anchor>
          </w:drawing>
        </mc:Choice>
        <mc:Fallback>
          <w:pict>
            <v:shape w14:anchorId="4E4D5E39" id="41b10cd4-80a4-11ea-b356-6230a4311406" o:spid="_x0000_s1031" type="#_x0000_t202" style="position:absolute;margin-left:466.2pt;margin-top:154.8pt;width:111.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" filled="f" stroked="f">
              <v:textbox inset="0,0,0,0">
                <w:txbxContent>
                  <w:p w14:paraId="4E4D5E4F" w14:textId="77777777" w:rsidR="00E443F7" w:rsidRDefault="00065194">
                    <w:pPr>
                      <w:pStyle w:val="Referentiegegevensbold"/>
                    </w:pPr>
                    <w:r>
                      <w:t>Ministerie van Buitenlandse Zaken</w:t>
                    </w:r>
                  </w:p>
                  <w:p w14:paraId="4E4D5E50" w14:textId="77777777" w:rsidR="00E443F7" w:rsidRDefault="00E443F7">
                    <w:pPr>
                      <w:pStyle w:val="WitregelW1"/>
                    </w:pPr>
                  </w:p>
                  <w:p w14:paraId="4E4D5E51" w14:textId="31CCD1A1" w:rsidR="00E443F7" w:rsidRPr="00871A66" w:rsidRDefault="00871A66">
                    <w:pPr>
                      <w:pStyle w:val="Referentiegegevens"/>
                    </w:pPr>
                    <w:r w:rsidRPr="00871A66">
                      <w:t>Rijnstraat 8</w:t>
                    </w:r>
                  </w:p>
                  <w:p w14:paraId="301DFD17" w14:textId="12524633" w:rsidR="00871A66" w:rsidRPr="00E9447D" w:rsidRDefault="00871A66" w:rsidP="00871A66">
                    <w:pPr>
                      <w:rPr>
                        <w:sz w:val="13"/>
                        <w:szCs w:val="13"/>
                        <w:lang w:val="da-DK"/>
                      </w:rPr>
                    </w:pPr>
                    <w:r w:rsidRPr="00E9447D">
                      <w:rPr>
                        <w:sz w:val="13"/>
                        <w:szCs w:val="13"/>
                        <w:lang w:val="da-DK"/>
                      </w:rPr>
                      <w:t>2515XP Den Haag</w:t>
                    </w:r>
                  </w:p>
                  <w:p w14:paraId="542EDED9" w14:textId="1C4C8313" w:rsidR="00871A66" w:rsidRPr="00E9447D" w:rsidRDefault="00871A66" w:rsidP="00871A66">
                    <w:pPr>
                      <w:rPr>
                        <w:sz w:val="13"/>
                        <w:szCs w:val="13"/>
                        <w:lang w:val="da-DK"/>
                      </w:rPr>
                    </w:pPr>
                    <w:r w:rsidRPr="00E9447D">
                      <w:rPr>
                        <w:sz w:val="13"/>
                        <w:szCs w:val="13"/>
                        <w:lang w:val="da-DK"/>
                      </w:rPr>
                      <w:t>Postbus 20061</w:t>
                    </w:r>
                  </w:p>
                  <w:p w14:paraId="70F32A56" w14:textId="5FFD87B8" w:rsidR="00871A66" w:rsidRPr="00E9447D" w:rsidRDefault="00871A66" w:rsidP="00871A66">
                    <w:pPr>
                      <w:rPr>
                        <w:sz w:val="13"/>
                        <w:szCs w:val="13"/>
                        <w:lang w:val="da-DK"/>
                      </w:rPr>
                    </w:pPr>
                    <w:r w:rsidRPr="00E9447D">
                      <w:rPr>
                        <w:sz w:val="13"/>
                        <w:szCs w:val="13"/>
                        <w:lang w:val="da-DK"/>
                      </w:rPr>
                      <w:t>Nederland</w:t>
                    </w:r>
                  </w:p>
                  <w:p w14:paraId="4E4D5E52" w14:textId="77777777" w:rsidR="00E443F7" w:rsidRPr="00E9447D" w:rsidRDefault="00065194">
                    <w:pPr>
                      <w:pStyle w:val="Referentiegegevens"/>
                      <w:rPr>
                        <w:lang w:val="da-DK"/>
                      </w:rPr>
                    </w:pPr>
                    <w:r w:rsidRPr="00E9447D">
                      <w:rPr>
                        <w:lang w:val="da-DK"/>
                      </w:rPr>
                      <w:t>www.minbuza.nl</w:t>
                    </w:r>
                  </w:p>
                  <w:p w14:paraId="4E4D5E53" w14:textId="77777777" w:rsidR="00E443F7" w:rsidRPr="00E9447D" w:rsidRDefault="00E443F7">
                    <w:pPr>
                      <w:pStyle w:val="WitregelW2"/>
                      <w:rPr>
                        <w:lang w:val="da-DK"/>
                      </w:rPr>
                    </w:pPr>
                  </w:p>
                  <w:p w14:paraId="4E4D5E54" w14:textId="77777777" w:rsidR="00E443F7" w:rsidRDefault="00065194">
                    <w:pPr>
                      <w:pStyle w:val="Referentiegegevensbold"/>
                    </w:pPr>
                    <w:r>
                      <w:t>Onze referentie</w:t>
                    </w:r>
                  </w:p>
                  <w:p w14:paraId="4E4D5E55" w14:textId="77777777" w:rsidR="00E443F7" w:rsidRDefault="00065194">
                    <w:pPr>
                      <w:pStyle w:val="Referentiegegevens"/>
                    </w:pPr>
                    <w:r>
                      <w:t>BZ2628730</w:t>
                    </w:r>
                  </w:p>
                  <w:p w14:paraId="4E4D5E56" w14:textId="77777777" w:rsidR="00E443F7" w:rsidRDefault="00E443F7">
                    <w:pPr>
                      <w:pStyle w:val="WitregelW1"/>
                    </w:pPr>
                  </w:p>
                  <w:p w14:paraId="4E4D5E57" w14:textId="77777777" w:rsidR="00E443F7" w:rsidRDefault="00065194">
                    <w:pPr>
                      <w:pStyle w:val="Referentiegegevensbold"/>
                    </w:pPr>
                    <w:r>
                      <w:t>Bijlage(n)</w:t>
                    </w:r>
                  </w:p>
                  <w:p w14:paraId="4E4D5E58" w14:textId="1C382ACD" w:rsidR="00E443F7" w:rsidRDefault="0001177A">
                    <w:pPr>
                      <w:pStyle w:val="Referentiegegevens"/>
                    </w:pPr>
                    <w:r>
                      <w:t xml:space="preserve">1 </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E4D5E3D" wp14:editId="7CB4FFD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4D5E66" w14:textId="77777777" w:rsidR="00065194" w:rsidRDefault="00065194"/>
                      </w:txbxContent>
                    </wps:txbx>
                    <wps:bodyPr vert="horz" wrap="square" lIns="0" tIns="0" rIns="0" bIns="0" anchor="t" anchorCtr="0"/>
                  </wps:wsp>
                </a:graphicData>
              </a:graphic>
            </wp:anchor>
          </w:drawing>
        </mc:Choice>
        <mc:Fallback>
          <w:pict>
            <v:shape w14:anchorId="4E4D5E3D"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E4D5E66" w14:textId="77777777" w:rsidR="00065194" w:rsidRDefault="0006519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4D5E3F" wp14:editId="4E4D5E4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4D5E68" w14:textId="77777777" w:rsidR="00065194" w:rsidRDefault="00065194"/>
                      </w:txbxContent>
                    </wps:txbx>
                    <wps:bodyPr vert="horz" wrap="square" lIns="0" tIns="0" rIns="0" bIns="0" anchor="t" anchorCtr="0"/>
                  </wps:wsp>
                </a:graphicData>
              </a:graphic>
            </wp:anchor>
          </w:drawing>
        </mc:Choice>
        <mc:Fallback>
          <w:pict>
            <v:shape w14:anchorId="4E4D5E3F"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E4D5E68" w14:textId="77777777" w:rsidR="00065194" w:rsidRDefault="0006519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E4D5E41" wp14:editId="4E4D5E42">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4D5E5A" w14:textId="77777777" w:rsidR="00E443F7" w:rsidRDefault="00065194">
                          <w:pPr>
                            <w:spacing w:line="240" w:lineRule="auto"/>
                          </w:pPr>
                          <w:r>
                            <w:rPr>
                              <w:noProof/>
                            </w:rPr>
                            <w:drawing>
                              <wp:inline distT="0" distB="0" distL="0" distR="0" wp14:anchorId="4E4D5E60" wp14:editId="4E4D5E6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E4D5E41"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E4D5E5A" w14:textId="77777777" w:rsidR="00E443F7" w:rsidRDefault="00065194">
                    <w:pPr>
                      <w:spacing w:line="240" w:lineRule="auto"/>
                    </w:pPr>
                    <w:r>
                      <w:rPr>
                        <w:noProof/>
                      </w:rPr>
                      <w:drawing>
                        <wp:inline distT="0" distB="0" distL="0" distR="0" wp14:anchorId="4E4D5E60" wp14:editId="4E4D5E6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40486D"/>
    <w:multiLevelType w:val="multilevel"/>
    <w:tmpl w:val="0874FE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353DC55"/>
    <w:multiLevelType w:val="multilevel"/>
    <w:tmpl w:val="1ED81F3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E3DE4AF"/>
    <w:multiLevelType w:val="multilevel"/>
    <w:tmpl w:val="26A0723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F36E1D1E"/>
    <w:multiLevelType w:val="multilevel"/>
    <w:tmpl w:val="BEA4864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3F00717"/>
    <w:multiLevelType w:val="multilevel"/>
    <w:tmpl w:val="F13B382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15284D"/>
    <w:multiLevelType w:val="hybridMultilevel"/>
    <w:tmpl w:val="E7C29F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93155737">
    <w:abstractNumId w:val="2"/>
  </w:num>
  <w:num w:numId="2" w16cid:durableId="1340548124">
    <w:abstractNumId w:val="1"/>
  </w:num>
  <w:num w:numId="3" w16cid:durableId="1029454784">
    <w:abstractNumId w:val="0"/>
  </w:num>
  <w:num w:numId="4" w16cid:durableId="1865703250">
    <w:abstractNumId w:val="3"/>
  </w:num>
  <w:num w:numId="5" w16cid:durableId="919216843">
    <w:abstractNumId w:val="4"/>
  </w:num>
  <w:num w:numId="6" w16cid:durableId="1168473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3F7"/>
    <w:rsid w:val="0001177A"/>
    <w:rsid w:val="00065194"/>
    <w:rsid w:val="00084762"/>
    <w:rsid w:val="000E72D4"/>
    <w:rsid w:val="000E730A"/>
    <w:rsid w:val="001E107A"/>
    <w:rsid w:val="001F27D9"/>
    <w:rsid w:val="00231A31"/>
    <w:rsid w:val="00252C0A"/>
    <w:rsid w:val="002739F5"/>
    <w:rsid w:val="00294354"/>
    <w:rsid w:val="002965A9"/>
    <w:rsid w:val="002C7951"/>
    <w:rsid w:val="002E587E"/>
    <w:rsid w:val="00303260"/>
    <w:rsid w:val="00316269"/>
    <w:rsid w:val="00320BAB"/>
    <w:rsid w:val="00357530"/>
    <w:rsid w:val="00471838"/>
    <w:rsid w:val="00480D89"/>
    <w:rsid w:val="00481FF8"/>
    <w:rsid w:val="00484BA0"/>
    <w:rsid w:val="00486EED"/>
    <w:rsid w:val="004911DF"/>
    <w:rsid w:val="004F30AF"/>
    <w:rsid w:val="00545AE3"/>
    <w:rsid w:val="00552CFD"/>
    <w:rsid w:val="00584FE1"/>
    <w:rsid w:val="005925DC"/>
    <w:rsid w:val="00594A6A"/>
    <w:rsid w:val="00594C89"/>
    <w:rsid w:val="005C2F06"/>
    <w:rsid w:val="005E5D84"/>
    <w:rsid w:val="005F0B78"/>
    <w:rsid w:val="00640BE5"/>
    <w:rsid w:val="00644C0F"/>
    <w:rsid w:val="00770106"/>
    <w:rsid w:val="00775374"/>
    <w:rsid w:val="007756CD"/>
    <w:rsid w:val="007B1E18"/>
    <w:rsid w:val="007F04BF"/>
    <w:rsid w:val="00857A94"/>
    <w:rsid w:val="00871A66"/>
    <w:rsid w:val="0088594D"/>
    <w:rsid w:val="008A7003"/>
    <w:rsid w:val="008B768B"/>
    <w:rsid w:val="008D229D"/>
    <w:rsid w:val="00924099"/>
    <w:rsid w:val="009F4571"/>
    <w:rsid w:val="00A34B70"/>
    <w:rsid w:val="00A76F1A"/>
    <w:rsid w:val="00A93D27"/>
    <w:rsid w:val="00AF1581"/>
    <w:rsid w:val="00AF33BA"/>
    <w:rsid w:val="00B51FAC"/>
    <w:rsid w:val="00B660AF"/>
    <w:rsid w:val="00B71F5C"/>
    <w:rsid w:val="00BC7660"/>
    <w:rsid w:val="00BE706B"/>
    <w:rsid w:val="00C90B1C"/>
    <w:rsid w:val="00CE1A80"/>
    <w:rsid w:val="00CF43D3"/>
    <w:rsid w:val="00D1463C"/>
    <w:rsid w:val="00D454CC"/>
    <w:rsid w:val="00DB0C82"/>
    <w:rsid w:val="00E443F7"/>
    <w:rsid w:val="00E9447D"/>
    <w:rsid w:val="00EC5D2D"/>
    <w:rsid w:val="00ED0737"/>
    <w:rsid w:val="00ED544B"/>
    <w:rsid w:val="00F16118"/>
    <w:rsid w:val="00F228CC"/>
    <w:rsid w:val="00F77C85"/>
    <w:rsid w:val="00FB63DF"/>
    <w:rsid w:val="00FC02BE"/>
    <w:rsid w:val="00FD10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D5E21"/>
  <w15:docId w15:val="{B2CC9357-A7EA-4D84-A3A0-1A4C9994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65194"/>
    <w:pPr>
      <w:tabs>
        <w:tab w:val="center" w:pos="4513"/>
        <w:tab w:val="right" w:pos="9026"/>
      </w:tabs>
      <w:spacing w:line="240" w:lineRule="auto"/>
    </w:pPr>
  </w:style>
  <w:style w:type="character" w:customStyle="1" w:styleId="HeaderChar">
    <w:name w:val="Header Char"/>
    <w:basedOn w:val="DefaultParagraphFont"/>
    <w:link w:val="Header"/>
    <w:uiPriority w:val="99"/>
    <w:rsid w:val="00065194"/>
    <w:rPr>
      <w:rFonts w:ascii="Verdana" w:hAnsi="Verdana"/>
      <w:color w:val="000000"/>
      <w:sz w:val="18"/>
      <w:szCs w:val="18"/>
    </w:rPr>
  </w:style>
  <w:style w:type="paragraph" w:styleId="Footer">
    <w:name w:val="footer"/>
    <w:basedOn w:val="Normal"/>
    <w:link w:val="FooterChar"/>
    <w:uiPriority w:val="99"/>
    <w:unhideWhenUsed/>
    <w:rsid w:val="00065194"/>
    <w:pPr>
      <w:tabs>
        <w:tab w:val="center" w:pos="4513"/>
        <w:tab w:val="right" w:pos="9026"/>
      </w:tabs>
      <w:spacing w:line="240" w:lineRule="auto"/>
    </w:pPr>
  </w:style>
  <w:style w:type="character" w:customStyle="1" w:styleId="FooterChar">
    <w:name w:val="Footer Char"/>
    <w:basedOn w:val="DefaultParagraphFont"/>
    <w:link w:val="Footer"/>
    <w:uiPriority w:val="99"/>
    <w:rsid w:val="00065194"/>
    <w:rPr>
      <w:rFonts w:ascii="Verdana" w:hAnsi="Verdana"/>
      <w:color w:val="000000"/>
      <w:sz w:val="18"/>
      <w:szCs w:val="18"/>
    </w:rPr>
  </w:style>
  <w:style w:type="paragraph" w:styleId="FootnoteText">
    <w:name w:val="footnote text"/>
    <w:basedOn w:val="Normal"/>
    <w:link w:val="FootnoteTextChar"/>
    <w:uiPriority w:val="99"/>
    <w:semiHidden/>
    <w:unhideWhenUsed/>
    <w:rsid w:val="00486EED"/>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486EED"/>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486EED"/>
    <w:rPr>
      <w:vertAlign w:val="superscript"/>
    </w:rPr>
  </w:style>
  <w:style w:type="paragraph" w:styleId="Revision">
    <w:name w:val="Revision"/>
    <w:hidden/>
    <w:uiPriority w:val="99"/>
    <w:semiHidden/>
    <w:rsid w:val="0092409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24099"/>
    <w:rPr>
      <w:sz w:val="16"/>
      <w:szCs w:val="16"/>
    </w:rPr>
  </w:style>
  <w:style w:type="paragraph" w:styleId="CommentText">
    <w:name w:val="annotation text"/>
    <w:basedOn w:val="Normal"/>
    <w:link w:val="CommentTextChar"/>
    <w:uiPriority w:val="99"/>
    <w:unhideWhenUsed/>
    <w:rsid w:val="00924099"/>
    <w:pPr>
      <w:spacing w:line="240" w:lineRule="auto"/>
    </w:pPr>
    <w:rPr>
      <w:sz w:val="20"/>
      <w:szCs w:val="20"/>
    </w:rPr>
  </w:style>
  <w:style w:type="character" w:customStyle="1" w:styleId="CommentTextChar">
    <w:name w:val="Comment Text Char"/>
    <w:basedOn w:val="DefaultParagraphFont"/>
    <w:link w:val="CommentText"/>
    <w:uiPriority w:val="99"/>
    <w:rsid w:val="0092409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24099"/>
    <w:rPr>
      <w:b/>
      <w:bCs/>
    </w:rPr>
  </w:style>
  <w:style w:type="character" w:customStyle="1" w:styleId="CommentSubjectChar">
    <w:name w:val="Comment Subject Char"/>
    <w:basedOn w:val="CommentTextChar"/>
    <w:link w:val="CommentSubject"/>
    <w:uiPriority w:val="99"/>
    <w:semiHidden/>
    <w:rsid w:val="00924099"/>
    <w:rPr>
      <w:rFonts w:ascii="Verdana" w:hAnsi="Verdana"/>
      <w:b/>
      <w:bCs/>
      <w:color w:val="000000"/>
    </w:rPr>
  </w:style>
  <w:style w:type="character" w:styleId="UnresolvedMention">
    <w:name w:val="Unresolved Mention"/>
    <w:basedOn w:val="DefaultParagraphFont"/>
    <w:uiPriority w:val="99"/>
    <w:semiHidden/>
    <w:unhideWhenUsed/>
    <w:rsid w:val="00E94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a01bb73b-d804-41f2-afad-c928ff330f04/file" TargetMode="External"/><Relationship Id="rId3" Type="http://schemas.openxmlformats.org/officeDocument/2006/relationships/hyperlink" Target="https://www.seo.nl/wp-content/uploads/2025/09/2025-74-Economische-evaluatie-van-EU-Uitbreiding.pdf" TargetMode="External"/><Relationship Id="rId7" Type="http://schemas.openxmlformats.org/officeDocument/2006/relationships/hyperlink" Target="https://commission.europa.eu/topics/competitiveness/draghi-report_en" TargetMode="External"/><Relationship Id="rId2" Type="http://schemas.openxmlformats.org/officeDocument/2006/relationships/hyperlink" Target="https://www.cbs.nl/nl-nl/nieuws/2024/23/ruim-745-duizend-mensen-met-andere-eu-nationaliteit-in-nederland" TargetMode="External"/><Relationship Id="rId1" Type="http://schemas.openxmlformats.org/officeDocument/2006/relationships/hyperlink" Target="https://tradingeconomics.com/netherlands/imports/croatia" TargetMode="External"/><Relationship Id="rId6" Type="http://schemas.openxmlformats.org/officeDocument/2006/relationships/hyperlink" Target="https://www.government.nl/documents/2026/03/31/joint-communique-kingdom-of-the-netherlands-ukraine-following-second-intergovernmental-conference" TargetMode="External"/><Relationship Id="rId5" Type="http://schemas.openxmlformats.org/officeDocument/2006/relationships/hyperlink" Target="https://www.tweedekamer.nl/downloads/document?id=2025D52261" TargetMode="External"/><Relationship Id="rId10" Type="http://schemas.openxmlformats.org/officeDocument/2006/relationships/hyperlink" Target="https://institutdelors.eu/content/uploads/2025/04/20230919-Group-of-Twelve-REPORT.pdf" TargetMode="External"/><Relationship Id="rId4" Type="http://schemas.openxmlformats.org/officeDocument/2006/relationships/hyperlink" Target="https://www.tweedekamer.nl/downloads/document?id=2025D52261" TargetMode="External"/><Relationship Id="rId9" Type="http://schemas.openxmlformats.org/officeDocument/2006/relationships/hyperlink" Target="https://open.overheid.nl/documenten/b07ff920-ab49-494b-85b8-3a13e3087237/fil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5855</ap:Words>
  <ap:Characters>32206</ap:Characters>
  <ap:DocSecurity>0</ap:DocSecurity>
  <ap:Lines>268</ap:Lines>
  <ap:Paragraphs>75</ap:Paragraphs>
  <ap:ScaleCrop>false</ap:ScaleCrop>
  <ap:HeadingPairs>
    <vt:vector baseType="variant" size="2">
      <vt:variant>
        <vt:lpstr>Title</vt:lpstr>
      </vt:variant>
      <vt:variant>
        <vt:i4>1</vt:i4>
      </vt:variant>
    </vt:vector>
  </ap:HeadingPairs>
  <ap:TitlesOfParts>
    <vt:vector baseType="lpstr" size="1">
      <vt:lpstr>Kamerbrief uitbreiding, geleidelijke integratie, waarborgen en Toekomst van Europa</vt:lpstr>
    </vt:vector>
  </ap:TitlesOfParts>
  <ap:LinksUpToDate>false</ap:LinksUpToDate>
  <ap:CharactersWithSpaces>37986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2026-06-01T14:07:00.0000000Z</lastPrinted>
  <dcterms:created xsi:type="dcterms:W3CDTF">2026-06-09T15:35:00.0000000Z</dcterms:created>
  <dcterms:modified xsi:type="dcterms:W3CDTF">2026-06-09T15:35:00.0000000Z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https://247.plaza.buzaservices.nl/subject/PV-RK2026042026/BZ2628730/Reguliere%20kamerbrief%20-%20Kamerbrief%20uitbreiding, geleidelijke integratie, waarborgen en Toekomst van Europa.docx</vt:lpwstr>
  </property>
  <property fmtid="{D5CDD505-2E9C-101B-9397-08002B2CF9AE}" pid="24" name="_dlc_DocIdItemGuid">
    <vt:lpwstr>5b98db01-5a01-4a13-971a-6bb1cb190d82</vt:lpwstr>
  </property>
  <property fmtid="{D5CDD505-2E9C-101B-9397-08002B2CF9AE}" pid="25" name="_docset_NoMedatataSyncRequired">
    <vt:lpwstr>False</vt:lpwstr>
  </property>
</Properties>
</file>