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2026Z12429</w:t>
        <w:br/>
      </w:r>
      <w:proofErr w:type="spellEnd"/>
    </w:p>
    <w:p>
      <w:pPr>
        <w:pStyle w:val="Normal"/>
        <w:rPr>
          <w:b w:val="1"/>
          <w:bCs w:val="1"/>
        </w:rPr>
      </w:pPr>
      <w:r w:rsidR="250AE766">
        <w:rPr>
          <w:b w:val="0"/>
          <w:bCs w:val="0"/>
        </w:rPr>
        <w:t>(ingezonden 9 juni 2026)</w:t>
        <w:br/>
      </w:r>
    </w:p>
    <w:p>
      <w:r>
        <w:t xml:space="preserve">Vragen van het lid Stultiens (GroenLinks-PvdA) aan de staatssecretaris van Financiën over alternatieve fiscale routes voor de CV/BV structuur en andere belastingontwijkende structuren</w:t>
      </w:r>
      <w:r>
        <w:br/>
      </w:r>
    </w:p>
    <w:p>
      <w:r>
        <w:t xml:space="preserve"> </w:t>
      </w:r>
      <w:r>
        <w:br/>
      </w:r>
    </w:p>
    <w:p>
      <w:pPr>
        <w:pStyle w:val="ListParagraph"/>
        <w:numPr>
          <w:ilvl w:val="0"/>
          <w:numId w:val="100510410"/>
        </w:numPr>
        <w:ind w:left="360"/>
      </w:pPr>
      <w:r>
        <w:t xml:space="preserve">Bent u zich ervan bewust dat uw ambtsvoorganger bij de behandeling van de Wet implementatie tweede EU-richtlijn antibelastingontwijking heeft aangegeven[1] te verwachten dat het grootste deel van de belastingplichtigen met een CV/BV-structuur de structuur zal wijzigen, dat het niet valt uit te sluiten dat een groep belastingplichtigen daarbij op zoek zal gaan naar een andere wijze om de belastingdruk te verlagen en dat hij niet kon overzien hoe dergelijke structuren zouden worden vormgegeven?</w:t>
      </w:r>
      <w:r>
        <w:br/>
      </w:r>
    </w:p>
    <w:p>
      <w:pPr>
        <w:pStyle w:val="ListParagraph"/>
        <w:numPr>
          <w:ilvl w:val="0"/>
          <w:numId w:val="100510410"/>
        </w:numPr>
        <w:ind w:left="360"/>
      </w:pPr>
      <w:r>
        <w:t xml:space="preserve">Kunt u thans wel overzien hoe belastingplichtigen met een CV/BV-structuur hun structuur naar aanleiding van de Wet implementatie tweede EU-richtlijn antibelastingontwijking hebben aangepast? Zo ja, kunt u een overzicht verstrekken van alternatieve structuren die zij in dat kader hebben geïmplementeerd? Zo nee, bent u bereid om dit door het ministerie van Financiën in samenwerking met de Belastingdienst te laten onderzoeken, op vergelijkbare wijze als in 2016 met het onderzoek dat heeft geleid tot de notitie CV/BV-structuren in Nederland[2]?</w:t>
      </w:r>
      <w:r>
        <w:br/>
      </w:r>
    </w:p>
    <w:p>
      <w:pPr>
        <w:pStyle w:val="ListParagraph"/>
        <w:numPr>
          <w:ilvl w:val="0"/>
          <w:numId w:val="100510410"/>
        </w:numPr>
        <w:ind w:left="360"/>
      </w:pPr>
      <w:r>
        <w:t xml:space="preserve">Klopt het dat één van de alternatieve structuren die in dit kader zijn geïmplementeerd het tussenschuiven van een Singaporese vennootschap behelst, zodanig dat de Amerikaanse vennootschap daarna de aandelen in de Singaporese vennootschap houdt, de Singaporese vennootschap vennoot is in de CV met een winstaandeel van meer dan 99 procent en de CV de aandelen houdt in de BV?</w:t>
      </w:r>
      <w:r>
        <w:br/>
      </w:r>
    </w:p>
    <w:p>
      <w:pPr>
        <w:pStyle w:val="ListParagraph"/>
        <w:numPr>
          <w:ilvl w:val="0"/>
          <w:numId w:val="100510410"/>
        </w:numPr>
        <w:ind w:left="360"/>
      </w:pPr>
      <w:r>
        <w:t xml:space="preserve">Klopt het dat het mogelijk is of was om de CV voor toepassing van de Singaporese belastingwet als transparant te kwalificeren?</w:t>
      </w:r>
      <w:r>
        <w:br/>
      </w:r>
    </w:p>
    <w:p>
      <w:pPr>
        <w:pStyle w:val="ListParagraph"/>
        <w:numPr>
          <w:ilvl w:val="0"/>
          <w:numId w:val="100510410"/>
        </w:numPr>
        <w:ind w:left="360"/>
      </w:pPr>
      <w:r>
        <w:t xml:space="preserve">Klopt het dat Singapore een territoriaal belastingstelsel heeft of had en dat dit er in deze structuur toe zou leiden of heeft geleid dat de winst die de Singaporese vennootschap geniet ter zake van haar deelname als vennoot in de CV door Singapore niet werd of wordt belast?</w:t>
      </w:r>
      <w:r>
        <w:br/>
      </w:r>
    </w:p>
    <w:p>
      <w:pPr>
        <w:pStyle w:val="ListParagraph"/>
        <w:numPr>
          <w:ilvl w:val="0"/>
          <w:numId w:val="100510410"/>
        </w:numPr>
        <w:ind w:left="360"/>
      </w:pPr>
      <w:r>
        <w:t xml:space="preserve">Klopt het, ervan uitgaande dat Singapore de CV als transparant zou zien, dat voor de jaren 2020 en 2021 royalty’s die de BV aan de CV betaalde, aftrekbaar bleven omdat de aftrekbeperking van de antimismatchregels niet van toepassing was aangezien er geen sprake was van een mismatch omdat Singapore de CV net als Nederland als transparant beschouwde?</w:t>
      </w:r>
      <w:r>
        <w:br/>
      </w:r>
    </w:p>
    <w:p>
      <w:pPr>
        <w:pStyle w:val="ListParagraph"/>
        <w:numPr>
          <w:ilvl w:val="0"/>
          <w:numId w:val="100510410"/>
        </w:numPr>
        <w:ind w:left="360"/>
      </w:pPr>
      <w:r>
        <w:t xml:space="preserve">Klopt het dat de CV sinds 2022 als een zogenoemde omgekeerde hybride wordt beschouwd omdat de Amerikaanse vennootschap als aandeelhouder van de Singaporese vennootschap een indirect belang heeft in de CV en de Verenigde Staten de CV als niet-transparant zien? Zo ja, betekent dit dat de CV belastingplichtig wordt voor de vennootschapsbelasting maar dat de winst die toerekenbaar is aan de Singaporese vennootschap aftrekbaar is indien wordt voldaan aan de voorwaarden van artikel 9, eerste lid, onderdeel e, van de Wet op de vennootschapsbelasting 1969?</w:t>
      </w:r>
      <w:r>
        <w:br/>
      </w:r>
    </w:p>
    <w:p>
      <w:pPr>
        <w:pStyle w:val="ListParagraph"/>
        <w:numPr>
          <w:ilvl w:val="0"/>
          <w:numId w:val="100510410"/>
        </w:numPr>
        <w:ind w:left="360"/>
      </w:pPr>
      <w:r>
        <w:t xml:space="preserve">Kwalificeert of kwalificeerde de wijze waarop Singapore het inkomen van de Singaporese vennootschap als vennoot in de CV in de heffing betrok of betrekt als “in een naar de winst geheven belasting wordt betrokken” in de zin van artikel 9, eerste lid, onderdeel e, van de Wet op de vennootschapsbelasting 1969, zelfs indien daarbij wordt aangenomen dat Singapore over dit inkomen vanwege het aldaar vigerende territoriale belastingsysteem niet daadwerkelijk belasting heft? Is het mogelijk om over deze kwalificatie afspraken te maken met de Nederlandse fiscus? Zijn er met de Nederlandse fiscus afspraken gemaakt over deze kwalificatie en zo ja, hoeveel?</w:t>
      </w:r>
      <w:r>
        <w:br/>
      </w:r>
    </w:p>
    <w:p>
      <w:pPr>
        <w:pStyle w:val="ListParagraph"/>
        <w:numPr>
          <w:ilvl w:val="0"/>
          <w:numId w:val="100510410"/>
        </w:numPr>
        <w:ind w:left="360"/>
      </w:pPr>
      <w:r>
        <w:t xml:space="preserve">Veronderstellend dat de voorgaande vraag bevestigend wordt beantwoord, leidt één en ander er dan toe dat de CV vanaf 2022 weliswaar belastingplichtig is voor de Nederlandse vennootschapsbelasting maar dat er niettemin weinig Nederlandse vennootschapsbelasting kan worden geheven omdat bij het bepalen van de omvang van de winst van de CV de winst die toerekenbaar is aan de Singaporese vennootschap (ruim 99 procent) aftrekbaar is?</w:t>
      </w:r>
      <w:r>
        <w:br/>
      </w:r>
    </w:p>
    <w:p>
      <w:pPr>
        <w:pStyle w:val="ListParagraph"/>
        <w:numPr>
          <w:ilvl w:val="0"/>
          <w:numId w:val="100510410"/>
        </w:numPr>
        <w:ind w:left="360"/>
      </w:pPr>
      <w:r>
        <w:t xml:space="preserve">Klopt het dat deze structuren zo kunnen worden opgezet dat de Singaporese vennootschap niet buitenlands belastingplichtig wordt voor de Nederlandse vennootschapsbelasting in de zin van artikel 17, onderdeel g, van de Wet vennootschapsbelasting 1969? Is het mogelijk om hierover afspraken te maken met de Nederlandse fiscus? Zijn hierover afspraken gemaakt en zo ja hoeveel?</w:t>
      </w:r>
      <w:r>
        <w:br/>
      </w:r>
    </w:p>
    <w:p>
      <w:pPr>
        <w:pStyle w:val="ListParagraph"/>
        <w:numPr>
          <w:ilvl w:val="0"/>
          <w:numId w:val="100510410"/>
        </w:numPr>
        <w:ind w:left="360"/>
      </w:pPr>
      <w:r>
        <w:t xml:space="preserve">Klopt het dat er afspraken over de in de voorgaande vragen bedoelde structuur met de Nederlandse fiscus zijn gemaakt en zijn er samenvattingen van deze afspraken gepubliceerd? Zo ja, kunt u specificeren waar deze afspraken in de ruling-database zijn terug te vinden? Zo nee, waarom niet?</w:t>
      </w:r>
      <w:r>
        <w:br/>
      </w:r>
    </w:p>
    <w:p>
      <w:pPr>
        <w:pStyle w:val="ListParagraph"/>
        <w:numPr>
          <w:ilvl w:val="0"/>
          <w:numId w:val="100510410"/>
        </w:numPr>
        <w:ind w:left="360"/>
      </w:pPr>
      <w:r>
        <w:t xml:space="preserve">Leidt één en ander dan tot de slotsom dat na het tussenschuiven van een Singaporese vennootschap de CV/BV-structuur ondanks de Wet implementatie tweede EU-richtlijn antibelastingontwijking heeft kunnen voortbestaan? Zo ja, is de conclusie in de Effectmeting ATAD 2[3] dat deze wet CV/BV structuren effectief tegengaat dan onjuist?</w:t>
      </w:r>
      <w:r>
        <w:br/>
      </w:r>
    </w:p>
    <w:p>
      <w:pPr>
        <w:pStyle w:val="ListParagraph"/>
        <w:numPr>
          <w:ilvl w:val="0"/>
          <w:numId w:val="100510410"/>
        </w:numPr>
        <w:ind w:left="360"/>
      </w:pPr>
      <w:r>
        <w:t xml:space="preserve">Klopt het dat sinds 2025 de hiervoor besproken structuur zodanig wordt aangepast dat de Singaporese vennootschap wordt vervangen door een Zwitserse vennootschap? Kunt u verklaren waarom dat zo is?</w:t>
      </w:r>
      <w:r>
        <w:br/>
      </w:r>
    </w:p>
    <w:p>
      <w:pPr>
        <w:pStyle w:val="ListParagraph"/>
        <w:numPr>
          <w:ilvl w:val="0"/>
          <w:numId w:val="100510410"/>
        </w:numPr>
        <w:ind w:left="360"/>
      </w:pPr>
      <w:r>
        <w:t xml:space="preserve">Kunt u bevestigen dat een reden om de Singaporese vennootschap te vervangen door een Zwitserse vennootschap kan zijn gelegen in de invoering van de minimumbelasting door Singapore?</w:t>
      </w:r>
      <w:r>
        <w:br/>
      </w:r>
    </w:p>
    <w:p>
      <w:pPr>
        <w:pStyle w:val="ListParagraph"/>
        <w:numPr>
          <w:ilvl w:val="0"/>
          <w:numId w:val="100510410"/>
        </w:numPr>
        <w:ind w:left="360"/>
      </w:pPr>
      <w:r>
        <w:t xml:space="preserve">Kunt u bevestigen dat de minimumbelasting in Zwitserland en/of in sommige Zwitserse kantons zodanig is geïmplementeerd dat daarvan een zogenoemd gekwalificeerd terugbetaalbaar belastingkrediet (QRTC) deel uitmaakt?</w:t>
      </w:r>
      <w:r>
        <w:br/>
      </w:r>
    </w:p>
    <w:p>
      <w:pPr>
        <w:pStyle w:val="ListParagraph"/>
        <w:numPr>
          <w:ilvl w:val="0"/>
          <w:numId w:val="100510410"/>
        </w:numPr>
        <w:ind w:left="360"/>
      </w:pPr>
      <w:r>
        <w:t xml:space="preserve">Kunt u bevestigen dat het door middel van deze QRTC in Zwitserland mogelijk is om aldaar winst te behalen die belast wordt naar een effectief tarief dat aanzienlijk lager is dan 15 procent indien er bij het bepalen van het effectieve tarief anders dan voor de toepassing van de minimumbelasting vanuit wordt gegaan dat de QRTC in mindering komt op de belasting? Is het denkbaar om aldus in Zwitserland winst te behalen die wordt belast naar een effectief tarief dat kan liggen tussen de twee procent en de acht procent zonder dat daar wordt bijgeheven op grond van de minimumbelasting?</w:t>
      </w:r>
      <w:r>
        <w:br/>
      </w:r>
    </w:p>
    <w:p>
      <w:pPr>
        <w:pStyle w:val="ListParagraph"/>
        <w:numPr>
          <w:ilvl w:val="0"/>
          <w:numId w:val="100510410"/>
        </w:numPr>
        <w:ind w:left="360"/>
      </w:pPr>
      <w:r>
        <w:t xml:space="preserve">Is het in Zwitserland mogelijk om immateriële activa ten tijde van de verkrijging door of inbreng in een Zwitserse vennootschap te waarderen op de waarde in het economisch verkeer en daarop af te schrijven? Is de rente op een lening die dient ter financiering van de verkrijging van immateriële activa daar aftrekbaar? In hoeverre spelen dergelijke afschrijvingen en renteaftrek een rol bij het bepalen van het effectieve tarief over de daar behaalde winst?</w:t>
      </w:r>
      <w:r>
        <w:br/>
      </w:r>
    </w:p>
    <w:p>
      <w:pPr>
        <w:pStyle w:val="ListParagraph"/>
        <w:numPr>
          <w:ilvl w:val="0"/>
          <w:numId w:val="100510410"/>
        </w:numPr>
        <w:ind w:left="360"/>
      </w:pPr>
      <w:r>
        <w:t xml:space="preserve">Kunt u bevestigen dat er Nederlandse belastingplichtigen zijn die immateriële activa hebben ondergebracht in een Zwitserse (klein)dochtervennootschap en/of een dergelijke vennootschap gebruiken als concernfinancieringsvennootschap? Zo ja, om hoeveel belastingplichtigen gaat het bij benadering? Zijn hierover afspraken gemaakt met de Nederlandse fiscus door deze belastingplichtigen? Zijn er samenvattingen van deze afspraken gepubliceerd? Zo ja, kunt u specificeren waar deze afspraken in de ruling-database zijn terug te vinden? Zo nee, waarom niet?</w:t>
      </w:r>
      <w:r>
        <w:br/>
      </w:r>
    </w:p>
    <w:p>
      <w:pPr>
        <w:pStyle w:val="ListParagraph"/>
        <w:numPr>
          <w:ilvl w:val="0"/>
          <w:numId w:val="100510410"/>
        </w:numPr>
        <w:ind w:left="360"/>
      </w:pPr>
      <w:r>
        <w:t xml:space="preserve">Bent u het ermee eens dat om belastingontwijking door multinationals aan te pakken meer fundamentele maatregelen nodig zijn dan die tot nu toe zijn getroffen? Zo nee, waarom niet?</w:t>
      </w:r>
      <w:r>
        <w:br/>
      </w:r>
    </w:p>
    <w:p>
      <w:pPr>
        <w:pStyle w:val="ListParagraph"/>
        <w:numPr>
          <w:ilvl w:val="0"/>
          <w:numId w:val="100510410"/>
        </w:numPr>
        <w:ind w:left="360"/>
      </w:pPr>
      <w:r>
        <w:t xml:space="preserve">Klopt het dat in belastingontwijkende structuren van multinationals de winst vaak wordt verlaagd door middel van de aftrek van rente en royalty’s die zijn verschuldigd door aan de Nederlandse vennootschapsbelasting onderworpen belastingplichtigen aan groepsmaatschappijen die zijn gevestigd in landen met een effectief tarief dat lager is dan 15 procent?</w:t>
      </w:r>
      <w:r>
        <w:br/>
      </w:r>
    </w:p>
    <w:p>
      <w:pPr>
        <w:pStyle w:val="ListParagraph"/>
        <w:numPr>
          <w:ilvl w:val="0"/>
          <w:numId w:val="100510410"/>
        </w:numPr>
        <w:ind w:left="360"/>
      </w:pPr>
      <w:r>
        <w:t xml:space="preserve">Kunt u een overzicht geven van de bedragen die zijn gemoeid met aftrekbare rente en royalty’s die zijn verschuldigd door aan de Nederlandse vennootschapsbelasting onderworpen belastingplichtigen aan groepsmaatschappijen die zijn gevestigd in landen zoals Zwitserland waar het mogelijk is een effectief tarief te bereiken dat lager is dan 15 procent? Is het mogelijk om in dit overzicht per land (van de ontvanger van de rente en/of royalty’s) een specificatie te geven? Zo nee, bent u bereid om dit door het ministerie van Financiën in samenwerking met de Belastingdienst te laten onderzoeken?</w:t>
      </w:r>
      <w:r>
        <w:br/>
      </w:r>
    </w:p>
    <w:p>
      <w:pPr>
        <w:pStyle w:val="ListParagraph"/>
        <w:numPr>
          <w:ilvl w:val="0"/>
          <w:numId w:val="100510410"/>
        </w:numPr>
        <w:ind w:left="360"/>
      </w:pPr>
      <w:r>
        <w:t xml:space="preserve">Zou het volgens u mogelijk zijn om in de Wet op de vennootschapsbelasting 1969 een aftrekbeperking op te nemen voor rente en royalty’s die zijn verschuldigd aan groepsmaatschappijen die zijn gevestigd in niet-EU landen met een effectief tarief dat lager is dan 15 procent?</w:t>
      </w:r>
      <w:r>
        <w:br/>
      </w:r>
    </w:p>
    <w:p>
      <w:pPr>
        <w:pStyle w:val="ListParagraph"/>
        <w:numPr>
          <w:ilvl w:val="0"/>
          <w:numId w:val="100510410"/>
        </w:numPr>
        <w:ind w:left="360"/>
      </w:pPr>
      <w:r>
        <w:t xml:space="preserve">Kunt u deze vragen beantwoorden voorafgaand aan de technische briefing over belastingontwijkingsconstructies?</w:t>
      </w:r>
      <w:r>
        <w:br/>
      </w:r>
    </w:p>
    <w:p>
      <w:r>
        <w:t xml:space="preserve"> </w:t>
      </w:r>
      <w:r>
        <w:br/>
      </w:r>
    </w:p>
    <w:p>
      <w:r>
        <w:t xml:space="preserve"> </w:t>
      </w:r>
      <w:r>
        <w:br/>
      </w:r>
    </w:p>
    <w:p>
      <w:r>
        <w:t xml:space="preserve">[1] Kamerstukken 2019-2020, 35 241, nr. 7, pagina 7.</w:t>
      </w:r>
      <w:r>
        <w:br/>
      </w:r>
    </w:p>
    <w:p>
      <w:r>
        <w:t xml:space="preserve">[2] Bijlage 21 bij het Besluit op het Wob-verzoek inzake CV-BV structuren en informeel kapitaalrulings van 27 maart 2017.</w:t>
      </w:r>
      <w:r>
        <w:br/>
      </w:r>
    </w:p>
    <w:p>
      <w:r>
        <w:t xml:space="preserve">[3] Bijlage 2 bij uw brief van 11 december 2024 inzake monitoring van de effecten van de aanpak van belastingontwijking.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