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C2" w:rsidRDefault="00D00D0D" w14:paraId="3EBFBF6E" w14:textId="16B975F0">
      <w:bookmarkStart w:name="_GoBack" w:id="0"/>
      <w:bookmarkEnd w:id="0"/>
      <w:r>
        <w:t>Geachte voorzitter,</w:t>
      </w:r>
    </w:p>
    <w:p w:rsidR="00D00D0D" w:rsidRDefault="00D00D0D" w14:paraId="44AEB7AD" w14:textId="77777777"/>
    <w:p w:rsidR="00D00D0D" w:rsidP="00D00D0D" w:rsidRDefault="00D00D0D" w14:paraId="2F485353" w14:textId="727F5CE9">
      <w:r>
        <w:t xml:space="preserve">Op </w:t>
      </w:r>
      <w:r w:rsidR="002D052B">
        <w:t xml:space="preserve">3 </w:t>
      </w:r>
      <w:r>
        <w:t xml:space="preserve">juni jl. heeft u mij verzocht te reageren op een brief met </w:t>
      </w:r>
      <w:r w:rsidR="002D052B">
        <w:t xml:space="preserve">vragen en opmerkingen </w:t>
      </w:r>
      <w:r>
        <w:t xml:space="preserve">van de </w:t>
      </w:r>
      <w:r w:rsidR="002D052B">
        <w:t>g</w:t>
      </w:r>
      <w:r>
        <w:t xml:space="preserve">emeente Dordrecht </w:t>
      </w:r>
      <w:r w:rsidR="000F6BF8">
        <w:t xml:space="preserve">ten behoeve van </w:t>
      </w:r>
      <w:r w:rsidR="002D052B">
        <w:t xml:space="preserve">het </w:t>
      </w:r>
      <w:r>
        <w:t>commissiedebat Externe</w:t>
      </w:r>
      <w:r w:rsidR="002D052B">
        <w:t xml:space="preserve"> </w:t>
      </w:r>
      <w:r>
        <w:t xml:space="preserve">veiligheid d.d. 10 juni 2026. </w:t>
      </w:r>
      <w:r w:rsidR="00BB612C">
        <w:t xml:space="preserve">Deze brief is gebaseerd op een oproep van de VNG van 18 juni 2025.  </w:t>
      </w:r>
      <w:r>
        <w:t>Hierbij treft u deze aan.</w:t>
      </w:r>
    </w:p>
    <w:p w:rsidR="002D052B" w:rsidP="00D00D0D" w:rsidRDefault="002D052B" w14:paraId="6A3CE5C8" w14:textId="77777777"/>
    <w:p w:rsidR="003F5C3E" w:rsidP="002D052B" w:rsidRDefault="002D052B" w14:paraId="5D10AE59" w14:textId="278372F9">
      <w:pPr>
        <w:autoSpaceDN/>
        <w:spacing w:after="160" w:line="259" w:lineRule="auto"/>
      </w:pPr>
      <w:r w:rsidRPr="002D052B">
        <w:t>PFAS-verbindingen vormen een groep van chemische stoffen die bij</w:t>
      </w:r>
      <w:r>
        <w:t xml:space="preserve"> </w:t>
      </w:r>
      <w:r w:rsidRPr="002D052B">
        <w:t>langdurige blootstelling schadelijk kunnen zijn voor zowel de gezondheid</w:t>
      </w:r>
      <w:r>
        <w:t xml:space="preserve"> </w:t>
      </w:r>
      <w:r w:rsidRPr="002D052B">
        <w:t>als het milieu.</w:t>
      </w:r>
      <w:r w:rsidR="003F5C3E">
        <w:t xml:space="preserve"> </w:t>
      </w:r>
      <w:r w:rsidRPr="008E0ED3" w:rsidR="003F5C3E">
        <w:t>Het Rijk hanteert een totaalaanpak van PFAS via vier hoofdlijnen:</w:t>
      </w:r>
      <w:r w:rsidR="003F5C3E">
        <w:t xml:space="preserve"> 1. </w:t>
      </w:r>
      <w:r w:rsidRPr="008E0ED3" w:rsidR="003F5C3E">
        <w:t xml:space="preserve">Een zo breed mogelijk Europees PFAS-verbod. </w:t>
      </w:r>
      <w:r w:rsidR="003F5C3E">
        <w:t>2. H</w:t>
      </w:r>
      <w:r w:rsidRPr="008E0ED3" w:rsidR="003F5C3E">
        <w:t xml:space="preserve">et stimuleren van de transitie naar alternatieven voor PFAS. </w:t>
      </w:r>
      <w:r w:rsidR="003F5C3E">
        <w:t xml:space="preserve">3. </w:t>
      </w:r>
      <w:r w:rsidRPr="008E0ED3" w:rsidR="003F5C3E">
        <w:t>Er moet zo weinig mogelijk PFAS in het milieu terechtkomen</w:t>
      </w:r>
      <w:r w:rsidR="003F5C3E">
        <w:t xml:space="preserve"> en 4. </w:t>
      </w:r>
      <w:r w:rsidR="0075715E">
        <w:t>D</w:t>
      </w:r>
      <w:r w:rsidRPr="008E0ED3" w:rsidR="003F5C3E">
        <w:t>e blootstelling aan PFAS zo veel mogelijk voorkomen.</w:t>
      </w:r>
      <w:r w:rsidR="007A1D1C">
        <w:rPr>
          <w:rStyle w:val="FootnoteReference"/>
        </w:rPr>
        <w:footnoteReference w:id="1"/>
      </w:r>
      <w:r w:rsidRPr="002D052B">
        <w:t xml:space="preserve"> </w:t>
      </w:r>
    </w:p>
    <w:p w:rsidRPr="00451E29" w:rsidR="002D052B" w:rsidP="007A1D1C" w:rsidRDefault="002D052B" w14:paraId="7DD84897" w14:textId="5E3EF5B9">
      <w:pPr>
        <w:autoSpaceDN/>
        <w:spacing w:after="160" w:line="259" w:lineRule="auto"/>
      </w:pPr>
      <w:r>
        <w:t>In een aantal Nederlandse regio’s, waaronder Dordrecht en de regio rondom de Westerschelde, zijn de gevolgen van PFAS-vervuiling in het bijzonder merkbaar. Dit heeft impact op het dagelijks leven van inwoners.</w:t>
      </w:r>
      <w:r w:rsidR="00BB612C">
        <w:t xml:space="preserve"> </w:t>
      </w:r>
      <w:r>
        <w:t xml:space="preserve">Vanuit het Rijk lopen daarom verschillende acties voor deze regio’s. </w:t>
      </w:r>
      <w:r w:rsidRPr="00783FBA" w:rsidR="00783FBA">
        <w:t xml:space="preserve">Via de Tijdelijke regeling uitkering Bodem 2024-2030 (SPUK Bodem) ondersteunt het Rijk decentrale overheden bij onder meer het opruimen van PFAS-verontreiniging wanneer sprake is van onaanvaardbare risico’s voor mens of milieu en deze kosten niet bij de vervuiler kunnen worden neergelegd. De gemeente Dordrecht heeft, mede als penvoerder voor de omliggende gemeenten en in samenwerking met de provincie Zuid-Holland, hiervoor in de afgelopen jaren aanvragen ingediend en het Rijk heeft daarop middelen verstrekt. Op dit moment is bij de RVO een aanvraag in behandeling voor een bijdrage voor de komende jaren. </w:t>
      </w:r>
      <w:r w:rsidR="00783FBA">
        <w:t>E</w:t>
      </w:r>
      <w:r>
        <w:t xml:space="preserve">ind 2024 </w:t>
      </w:r>
      <w:r w:rsidR="00783FBA">
        <w:t xml:space="preserve">is </w:t>
      </w:r>
      <w:r w:rsidRPr="00985ED7">
        <w:t>een Rijkscoördinator aangesteld als interdepartementaal aanspreekpunt voor vragen over PFAS in de regio rondom</w:t>
      </w:r>
      <w:r>
        <w:t xml:space="preserve"> </w:t>
      </w:r>
      <w:r w:rsidRPr="00985ED7">
        <w:t>Chemours.</w:t>
      </w:r>
      <w:r>
        <w:rPr>
          <w:rStyle w:val="FootnoteReference"/>
        </w:rPr>
        <w:footnoteReference w:id="2"/>
      </w:r>
      <w:r>
        <w:t xml:space="preserve"> Daarnaast worden er in het lopende onderzoek van het RIVM naar PFAS in Nederlands bloed </w:t>
      </w:r>
      <w:r w:rsidRPr="007F70F9">
        <w:t xml:space="preserve">extra monsters </w:t>
      </w:r>
      <w:r>
        <w:t xml:space="preserve">opgenomen </w:t>
      </w:r>
      <w:r w:rsidRPr="007F70F9">
        <w:t xml:space="preserve">uit de regio’s rondom Chemours en de Westerschelde om te onderzoeken of </w:t>
      </w:r>
      <w:r>
        <w:t xml:space="preserve">de </w:t>
      </w:r>
      <w:r w:rsidRPr="007F70F9">
        <w:t>concentraties in deze regio’s afwijken van het landelijk gemiddelde.</w:t>
      </w:r>
      <w:r>
        <w:t xml:space="preserve"> </w:t>
      </w:r>
      <w:r w:rsidR="00783FBA">
        <w:t>Verder</w:t>
      </w:r>
      <w:r>
        <w:t xml:space="preserve"> zijn er eind 2025 gezondheidsonderzoeken gestart in deze </w:t>
      </w:r>
      <w:r>
        <w:lastRenderedPageBreak/>
        <w:t xml:space="preserve">regio’s, </w:t>
      </w:r>
      <w:r w:rsidRPr="007F70F9">
        <w:t>om duidelijk te krijgen of er in de</w:t>
      </w:r>
      <w:r>
        <w:t>ze</w:t>
      </w:r>
      <w:r w:rsidRPr="007F70F9">
        <w:t xml:space="preserve"> regio’s</w:t>
      </w:r>
      <w:r>
        <w:t xml:space="preserve"> </w:t>
      </w:r>
      <w:r w:rsidRPr="007F70F9">
        <w:t>sprake is van een afwijkende</w:t>
      </w:r>
      <w:r>
        <w:t xml:space="preserve"> </w:t>
      </w:r>
      <w:r w:rsidRPr="007F70F9">
        <w:t>gezondheidssituatie die kan samenhangen met verhoogde</w:t>
      </w:r>
      <w:r>
        <w:t xml:space="preserve"> </w:t>
      </w:r>
      <w:r w:rsidRPr="007F70F9">
        <w:t>PFAS-concentraties.</w:t>
      </w:r>
      <w:r>
        <w:rPr>
          <w:rStyle w:val="FootnoteReference"/>
        </w:rPr>
        <w:footnoteReference w:id="3"/>
      </w:r>
      <w:r>
        <w:t xml:space="preserve"> Over beide onderzoeken zal ik dit najaar de voortgang delen. </w:t>
      </w:r>
    </w:p>
    <w:p w:rsidR="002D052B" w:rsidP="00D00D0D" w:rsidRDefault="002D052B" w14:paraId="7056E5AF" w14:textId="77CF352D">
      <w:r>
        <w:t>Hieronder ga ik nader in op de zorgen die gedeeld zijn door de gemeente Dordrecht.</w:t>
      </w:r>
    </w:p>
    <w:p w:rsidR="00D00D0D" w:rsidP="00D00D0D" w:rsidRDefault="00D00D0D" w14:paraId="30A54E36" w14:textId="77777777"/>
    <w:p w:rsidR="00D00D0D" w:rsidP="00D00D0D" w:rsidRDefault="00D00D0D" w14:paraId="6E216291" w14:textId="77777777"/>
    <w:p w:rsidRPr="00785CCD" w:rsidR="00D00D0D" w:rsidP="003E3180" w:rsidRDefault="00D00D0D" w14:paraId="005A48B2" w14:textId="6CCE7A9F">
      <w:pPr>
        <w:pStyle w:val="Default"/>
        <w:numPr>
          <w:ilvl w:val="0"/>
          <w:numId w:val="26"/>
        </w:numPr>
        <w:ind w:left="360"/>
        <w:rPr>
          <w:rFonts w:ascii="Verdana" w:hAnsi="Verdana"/>
          <w:sz w:val="18"/>
          <w:szCs w:val="18"/>
        </w:rPr>
      </w:pPr>
      <w:r w:rsidRPr="00785CCD">
        <w:rPr>
          <w:rFonts w:ascii="Verdana" w:hAnsi="Verdana"/>
          <w:sz w:val="18"/>
          <w:szCs w:val="18"/>
        </w:rPr>
        <w:t xml:space="preserve">Voer een landelijk verbod in op de productie, gebruik en handel voor PFAS zolang Europese restricties uitblijven, en werk verder aan het lozingsverbod zoals genoemd in het regeerakkoord. </w:t>
      </w:r>
      <w:r w:rsidRPr="00785CCD">
        <w:rPr>
          <w:rFonts w:ascii="Verdana" w:hAnsi="Verdana"/>
          <w:sz w:val="18"/>
          <w:szCs w:val="18"/>
        </w:rPr>
        <w:br/>
      </w:r>
    </w:p>
    <w:p w:rsidRPr="00D47B75" w:rsidR="00D00D0D" w:rsidP="003E3180" w:rsidRDefault="00D00D0D" w14:paraId="442DCDEA" w14:textId="678E28D1">
      <w:pPr>
        <w:pStyle w:val="Default"/>
        <w:rPr>
          <w:rFonts w:ascii="Verdana" w:hAnsi="Verdana" w:cs="Lohit Hindi"/>
          <w:sz w:val="18"/>
          <w:szCs w:val="18"/>
        </w:rPr>
      </w:pPr>
      <w:r w:rsidRPr="00D47B75">
        <w:rPr>
          <w:rFonts w:ascii="Verdana" w:hAnsi="Verdana" w:cs="Lohit Hindi"/>
          <w:sz w:val="18"/>
          <w:szCs w:val="18"/>
        </w:rPr>
        <w:t>Op 21 juli 2025 hebben de toenmalige minister en staatssecretaris van IenW de Kamer schriftelijk geïnformeerd</w:t>
      </w:r>
      <w:r w:rsidRPr="000F6BF8" w:rsidR="00591FB6">
        <w:rPr>
          <w:rFonts w:ascii="Verdana" w:hAnsi="Verdana" w:cs="Lohit Hindi"/>
          <w:sz w:val="18"/>
          <w:szCs w:val="18"/>
          <w:vertAlign w:val="superscript"/>
        </w:rPr>
        <w:footnoteReference w:id="4"/>
      </w:r>
      <w:r w:rsidRPr="000F6BF8">
        <w:rPr>
          <w:rFonts w:ascii="Verdana" w:hAnsi="Verdana" w:cs="Lohit Hindi"/>
          <w:sz w:val="18"/>
          <w:szCs w:val="18"/>
          <w:vertAlign w:val="superscript"/>
        </w:rPr>
        <w:t xml:space="preserve"> </w:t>
      </w:r>
      <w:r w:rsidRPr="00D47B75">
        <w:rPr>
          <w:rFonts w:ascii="Verdana" w:hAnsi="Verdana" w:cs="Lohit Hindi"/>
          <w:sz w:val="18"/>
          <w:szCs w:val="18"/>
        </w:rPr>
        <w:t>over de verkenning van een nationaal verbod om bepaalde producten op de markt te brengen en over de mogelijke opties voor een lozingsverbod.</w:t>
      </w:r>
      <w:r w:rsidRPr="00D47B75">
        <w:rPr>
          <w:rFonts w:ascii="Verdana" w:hAnsi="Verdana" w:cs="Lohit Hindi"/>
          <w:sz w:val="18"/>
          <w:szCs w:val="18"/>
        </w:rPr>
        <w:br/>
      </w:r>
      <w:r w:rsidRPr="00D47B75" w:rsidR="00BB612C">
        <w:rPr>
          <w:rFonts w:ascii="Verdana" w:hAnsi="Verdana" w:cs="Lohit Hindi"/>
          <w:sz w:val="18"/>
          <w:szCs w:val="18"/>
        </w:rPr>
        <w:t xml:space="preserve">De belasting van PFAS aan mens en milieu is een internationaal vraagstuk. Deze problematiek houdt niet op bij de grens. </w:t>
      </w:r>
      <w:r w:rsidRPr="00D47B75">
        <w:rPr>
          <w:rFonts w:ascii="Verdana" w:hAnsi="Verdana" w:cs="Lohit Hindi"/>
          <w:sz w:val="18"/>
          <w:szCs w:val="18"/>
        </w:rPr>
        <w:t xml:space="preserve">Ten aanzien van een nationaal verbod, vooruitlopend op de Europese restrictie, is </w:t>
      </w:r>
      <w:r w:rsidRPr="00D47B75" w:rsidR="00BB612C">
        <w:rPr>
          <w:rFonts w:ascii="Verdana" w:hAnsi="Verdana" w:cs="Lohit Hindi"/>
          <w:sz w:val="18"/>
          <w:szCs w:val="18"/>
        </w:rPr>
        <w:t xml:space="preserve">daarom </w:t>
      </w:r>
      <w:r w:rsidRPr="00D47B75">
        <w:rPr>
          <w:rFonts w:ascii="Verdana" w:hAnsi="Verdana" w:cs="Lohit Hindi"/>
          <w:sz w:val="18"/>
          <w:szCs w:val="18"/>
        </w:rPr>
        <w:t>in die brief gesteld dat de tijdwinst en daarmee de milieuwinst van een nationaal verbod heel beperkt zou zijn e</w:t>
      </w:r>
      <w:r w:rsidRPr="00D47B75" w:rsidR="00591FB6">
        <w:rPr>
          <w:rFonts w:ascii="Verdana" w:hAnsi="Verdana" w:cs="Lohit Hindi"/>
          <w:sz w:val="18"/>
          <w:szCs w:val="18"/>
        </w:rPr>
        <w:t xml:space="preserve">n </w:t>
      </w:r>
      <w:r w:rsidR="00222BF6">
        <w:rPr>
          <w:rFonts w:ascii="Verdana" w:hAnsi="Verdana" w:cs="Lohit Hindi"/>
          <w:sz w:val="18"/>
          <w:szCs w:val="18"/>
        </w:rPr>
        <w:t xml:space="preserve">dat </w:t>
      </w:r>
      <w:r w:rsidRPr="00D47B75" w:rsidR="00591FB6">
        <w:rPr>
          <w:rFonts w:ascii="Verdana" w:hAnsi="Verdana" w:cs="Lohit Hindi"/>
          <w:sz w:val="18"/>
          <w:szCs w:val="18"/>
        </w:rPr>
        <w:t xml:space="preserve">daar wel praktische nadelen tegenover staan. Dit is nog steeds het geval. Naar verwachting vindt in 2027 besluitvorming plaats over de Europese PFAS-restrictie. </w:t>
      </w:r>
      <w:r w:rsidRPr="00E33E5D" w:rsidR="00E33E5D">
        <w:rPr>
          <w:rFonts w:ascii="Verdana" w:hAnsi="Verdana" w:cs="Lohit Hindi"/>
          <w:sz w:val="18"/>
          <w:szCs w:val="18"/>
        </w:rPr>
        <w:t xml:space="preserve">Ik zal </w:t>
      </w:r>
      <w:r w:rsidR="00E33E5D">
        <w:rPr>
          <w:rFonts w:ascii="Verdana" w:hAnsi="Verdana" w:cs="Lohit Hindi"/>
          <w:sz w:val="18"/>
          <w:szCs w:val="18"/>
        </w:rPr>
        <w:t xml:space="preserve">mij </w:t>
      </w:r>
      <w:r w:rsidRPr="00E33E5D" w:rsidR="00E33E5D">
        <w:rPr>
          <w:rFonts w:ascii="Verdana" w:hAnsi="Verdana" w:cs="Lohit Hindi"/>
          <w:sz w:val="18"/>
          <w:szCs w:val="18"/>
        </w:rPr>
        <w:t xml:space="preserve">aanvullend op </w:t>
      </w:r>
      <w:r w:rsidR="00E33E5D">
        <w:rPr>
          <w:rFonts w:ascii="Verdana" w:hAnsi="Verdana" w:cs="Lohit Hindi"/>
          <w:sz w:val="18"/>
          <w:szCs w:val="18"/>
        </w:rPr>
        <w:t xml:space="preserve">de </w:t>
      </w:r>
      <w:r w:rsidRPr="00E33E5D" w:rsidR="00E33E5D">
        <w:rPr>
          <w:rFonts w:ascii="Verdana" w:hAnsi="Verdana" w:cs="Lohit Hindi"/>
          <w:sz w:val="18"/>
          <w:szCs w:val="18"/>
        </w:rPr>
        <w:t xml:space="preserve">bestaande inzet in samenwerking met de REACH-UP groep blijven inzetten om de besluitvorming in EU verband te bespoedigen. In deze REACH-UP groep zitten samenwerkende gelijkgestemde lidstaten, hiertoe behoren  België;  Denemarken (initiatiefnemer); Duitsland; Frankrijk, Oostenrijk, Zweden, Finland, Luxemburg, Spanje en Noorwegen (geassocieerd). </w:t>
      </w:r>
      <w:r w:rsidRPr="00D47B75" w:rsidR="00591FB6">
        <w:rPr>
          <w:rFonts w:ascii="Verdana" w:hAnsi="Verdana" w:cs="Lohit Hindi"/>
          <w:sz w:val="18"/>
          <w:szCs w:val="18"/>
        </w:rPr>
        <w:t xml:space="preserve">Het vooruitlopend daarop gaan werken aan een nationaal verbod is </w:t>
      </w:r>
      <w:r w:rsidR="00E33E5D">
        <w:rPr>
          <w:rFonts w:ascii="Verdana" w:hAnsi="Verdana" w:cs="Lohit Hindi"/>
          <w:sz w:val="18"/>
          <w:szCs w:val="18"/>
        </w:rPr>
        <w:t>daarom aanzienlijk minder effectief</w:t>
      </w:r>
      <w:r w:rsidR="00222BF6">
        <w:rPr>
          <w:rFonts w:ascii="Verdana" w:hAnsi="Verdana" w:cs="Lohit Hindi"/>
          <w:sz w:val="18"/>
          <w:szCs w:val="18"/>
        </w:rPr>
        <w:t>;</w:t>
      </w:r>
      <w:r w:rsidRPr="00D47B75" w:rsidR="00591FB6">
        <w:rPr>
          <w:rFonts w:ascii="Verdana" w:hAnsi="Verdana" w:cs="Lohit Hindi"/>
          <w:sz w:val="18"/>
          <w:szCs w:val="18"/>
        </w:rPr>
        <w:t xml:space="preserve"> ook een nationaal verbod instellen vergt onderbouwing, inspraak, besluitvormingsprocedure en daarmee een zekere doorlooptijd.</w:t>
      </w:r>
      <w:r w:rsidRPr="00D47B75" w:rsidR="00BB612C">
        <w:rPr>
          <w:rFonts w:ascii="Verdana" w:hAnsi="Verdana" w:cs="Lohit Hindi"/>
          <w:sz w:val="18"/>
          <w:szCs w:val="18"/>
        </w:rPr>
        <w:t xml:space="preserve"> Bovendien zal een nationaal verbod geen enkele prikkel zijn voor innovatie dit in tegenstelling tot een Europese restrictie.</w:t>
      </w:r>
    </w:p>
    <w:p w:rsidRPr="00D00D0D" w:rsidR="00591FB6" w:rsidP="00D00D0D" w:rsidRDefault="00591FB6" w14:paraId="77F081AC" w14:textId="77777777">
      <w:pPr>
        <w:pStyle w:val="Default"/>
        <w:ind w:left="360"/>
        <w:rPr>
          <w:sz w:val="22"/>
          <w:szCs w:val="22"/>
        </w:rPr>
      </w:pPr>
    </w:p>
    <w:p w:rsidR="00A90F7D" w:rsidP="00A90F7D" w:rsidRDefault="00783FBA" w14:paraId="09B621E5" w14:textId="196FD820">
      <w:r>
        <w:t>Ten aanzien van lozingen heeft het kabinet in</w:t>
      </w:r>
      <w:r w:rsidRPr="00451E29" w:rsidR="00A90F7D">
        <w:t xml:space="preserve"> het coalitieakkoord aangekondigd om te bezien of en hoe op korte termijn een lozingsverbod voor PFAS mogelijk is.</w:t>
      </w:r>
      <w:r w:rsidR="00A90F7D">
        <w:t xml:space="preserve"> Afgelopen zomer is de Kamer geïnformeerd dat een volledig PFAS-lozingsverbod niet wenselijk is, aangezien dit belangrijke sectoren in de maatschappij zou stil leggen. Dit zijn bijvoorbeeld de drinkwaterwinning en het grondverzet. Als alternatief werd toegezegd te kijken naar een gedeeltelijk PFAS-lozingsverbod, gericht op specifieke sectoren of activiteiten met een hoge PFAS-uitstoot.</w:t>
      </w:r>
      <w:r w:rsidRPr="000F6BF8" w:rsidR="00A90F7D">
        <w:rPr>
          <w:vertAlign w:val="superscript"/>
        </w:rPr>
        <w:footnoteReference w:id="5"/>
      </w:r>
      <w:r w:rsidRPr="000F6BF8" w:rsidR="00A90F7D">
        <w:rPr>
          <w:vertAlign w:val="superscript"/>
        </w:rPr>
        <w:t xml:space="preserve"> </w:t>
      </w:r>
    </w:p>
    <w:p w:rsidR="00A90F7D" w:rsidP="00A90F7D" w:rsidRDefault="00A90F7D" w14:paraId="2B3EF468" w14:textId="77777777">
      <w:r>
        <w:t>Momenteel loopt een onderzoek om te kijken hoe een dergelijk gedeeltelijk PFAS-lozingsverbod kan worden ingevuld. De minister van IenW heeft uw Kamer onlangs geïnformeerd over de scope en stand van zaken van dit onderzoek.</w:t>
      </w:r>
      <w:r w:rsidRPr="000F6BF8">
        <w:rPr>
          <w:vertAlign w:val="superscript"/>
        </w:rPr>
        <w:footnoteReference w:id="6"/>
      </w:r>
      <w:r>
        <w:t xml:space="preserve"> </w:t>
      </w:r>
      <w:r w:rsidRPr="00451E29">
        <w:t>Naar verwachting zullen de resultaten van dit onderzoek in het derde kwartaal van 2026 gereed zijn. Aan de hand van de uitkomsten zal het kabinet besluiten of en hoe op korte termijn een lozingsverbod voor PFAS mogelijk is. De Kamer wordt daar in het najaar van 2026 per brief over geïnformeerd.</w:t>
      </w:r>
    </w:p>
    <w:p w:rsidR="00A90F7D" w:rsidP="00D00D0D" w:rsidRDefault="00A90F7D" w14:paraId="3CF7E85A" w14:textId="77777777"/>
    <w:p w:rsidRPr="00D47B75" w:rsidR="00406A7E" w:rsidP="00406A7E" w:rsidRDefault="00406A7E" w14:paraId="4407B3AB" w14:textId="4FCD10D4">
      <w:r w:rsidRPr="00D47B75">
        <w:t xml:space="preserve">De in de beleidsbrief van 24 april 2026 aangekondigde beleidsverscherping </w:t>
      </w:r>
      <w:r w:rsidR="001673E9">
        <w:t xml:space="preserve">voor lozingen </w:t>
      </w:r>
      <w:r w:rsidRPr="00D47B75">
        <w:t>ziet op een strengere toepassing van het bestaande vergunningen- en toezichtkader voor lozingen. Daarbij wordt bezien of bestaande vergunningen waar nodig kunnen worden herzien of aangescherpt op basis van de meest actuele kennis, de ontwikkeling van best beschikbare technieken (BBT) en de geldende regelgeving voor Zeer Zorgwekkende Stoffen (ZZS). Ook voor nieuwe lozingen geldt dat deze worden beoordeeld aan de hand van deze kaders.</w:t>
      </w:r>
      <w:r w:rsidR="001673E9">
        <w:t xml:space="preserve"> </w:t>
      </w:r>
      <w:r w:rsidRPr="00D47B75">
        <w:t>Conform de toezeggingen TZ202602-010 en TZ202605-051 zal uw Kamer voorafgaand aan het Commissiedebat Water van 25 juni 2026 nader worden geïnformeerd in de brief «Voortgang Kaderrichtlijn Water». In deze brief wordt onder meer ingegaan op de rol van de bevoegde gezagen bij vergunningverlening, toezicht en handhaving en de voortgang van het bezien en waar nodig herzien van vergunningen.</w:t>
      </w:r>
    </w:p>
    <w:p w:rsidR="00D00D0D" w:rsidP="00D00D0D" w:rsidRDefault="00D00D0D" w14:paraId="6930B34F" w14:textId="77777777">
      <w:pPr>
        <w:pStyle w:val="Default"/>
      </w:pPr>
    </w:p>
    <w:p w:rsidRPr="00785CCD" w:rsidR="00D00D0D" w:rsidP="00785CCD" w:rsidRDefault="00D00D0D" w14:paraId="0C5BC075" w14:textId="4B3DFD99">
      <w:pPr>
        <w:pStyle w:val="Default"/>
        <w:numPr>
          <w:ilvl w:val="0"/>
          <w:numId w:val="26"/>
        </w:numPr>
        <w:ind w:left="360"/>
        <w:rPr>
          <w:rFonts w:ascii="Verdana" w:hAnsi="Verdana"/>
          <w:sz w:val="18"/>
          <w:szCs w:val="18"/>
        </w:rPr>
      </w:pPr>
      <w:r w:rsidRPr="00785CCD">
        <w:rPr>
          <w:rFonts w:ascii="Verdana" w:hAnsi="Verdana"/>
          <w:sz w:val="18"/>
          <w:szCs w:val="18"/>
        </w:rPr>
        <w:t xml:space="preserve">Ondersteun bedrijven, consumenten en gemeenten bij onderzoek naar alternatieven voor PFAS en het opruimen van bestaande vervuiling </w:t>
      </w:r>
      <w:r w:rsidRPr="00785CCD" w:rsidR="00591FB6">
        <w:rPr>
          <w:rFonts w:ascii="Verdana" w:hAnsi="Verdana"/>
          <w:sz w:val="18"/>
          <w:szCs w:val="18"/>
        </w:rPr>
        <w:br/>
      </w:r>
    </w:p>
    <w:p w:rsidRPr="00785CCD" w:rsidR="00D00D0D" w:rsidP="003E3180" w:rsidRDefault="00591FB6" w14:paraId="7CCE6C87" w14:textId="5BB26810">
      <w:pPr>
        <w:pStyle w:val="Default"/>
        <w:rPr>
          <w:rFonts w:ascii="Verdana" w:hAnsi="Verdana" w:cs="Lohit Hindi"/>
          <w:sz w:val="18"/>
          <w:szCs w:val="18"/>
        </w:rPr>
      </w:pPr>
      <w:r w:rsidRPr="00785CCD">
        <w:rPr>
          <w:rFonts w:ascii="Verdana" w:hAnsi="Verdana" w:cs="Lohit Hindi"/>
          <w:sz w:val="18"/>
          <w:szCs w:val="18"/>
        </w:rPr>
        <w:t xml:space="preserve">Gemeenten kunnen al zelf actie ondernemen, bijvoorbeeld door bij aankopen en aanbestedingen eisen te stellen aan de samenstelling van producten. </w:t>
      </w:r>
    </w:p>
    <w:p w:rsidRPr="00785CCD" w:rsidR="00D00D0D" w:rsidP="003E3180" w:rsidRDefault="00591FB6" w14:paraId="78A16A8C" w14:textId="1D6F2789">
      <w:pPr>
        <w:pStyle w:val="Default"/>
        <w:rPr>
          <w:rFonts w:ascii="Verdana" w:hAnsi="Verdana" w:cs="Lohit Hindi"/>
          <w:sz w:val="18"/>
          <w:szCs w:val="18"/>
        </w:rPr>
      </w:pPr>
      <w:r w:rsidRPr="00785CCD">
        <w:rPr>
          <w:rFonts w:ascii="Verdana" w:hAnsi="Verdana" w:cs="Lohit Hindi"/>
          <w:sz w:val="18"/>
          <w:szCs w:val="18"/>
        </w:rPr>
        <w:t xml:space="preserve">Mijn voorganger heeft toegezegd te onderzoeken of vrijwillige labelling van consumentenproducten behulpzaam kan zijn voor consumenten. Er wordt onderzocht of labelling inderdaad als behulpzaam wordt ervaren en als, dan voor welke producten. Op basis van de uitkomst zal </w:t>
      </w:r>
      <w:r w:rsidRPr="00785CCD" w:rsidR="002354BC">
        <w:rPr>
          <w:rFonts w:ascii="Verdana" w:hAnsi="Verdana" w:cs="Lohit Hindi"/>
          <w:sz w:val="18"/>
          <w:szCs w:val="18"/>
        </w:rPr>
        <w:t xml:space="preserve">ik in gesprek gaan met de betreffende sectoren. Ik </w:t>
      </w:r>
      <w:r w:rsidR="0075715E">
        <w:rPr>
          <w:rFonts w:ascii="Verdana" w:hAnsi="Verdana" w:cs="Lohit Hindi"/>
          <w:sz w:val="18"/>
          <w:szCs w:val="18"/>
        </w:rPr>
        <w:t>verwacht</w:t>
      </w:r>
      <w:r w:rsidRPr="00785CCD" w:rsidR="0075715E">
        <w:rPr>
          <w:rFonts w:ascii="Verdana" w:hAnsi="Verdana" w:cs="Lohit Hindi"/>
          <w:sz w:val="18"/>
          <w:szCs w:val="18"/>
        </w:rPr>
        <w:t xml:space="preserve"> </w:t>
      </w:r>
      <w:r w:rsidRPr="00785CCD" w:rsidR="002354BC">
        <w:rPr>
          <w:rFonts w:ascii="Verdana" w:hAnsi="Verdana" w:cs="Lohit Hindi"/>
          <w:sz w:val="18"/>
          <w:szCs w:val="18"/>
        </w:rPr>
        <w:t xml:space="preserve">u voor het eind van dit jaar </w:t>
      </w:r>
      <w:r w:rsidR="0075715E">
        <w:rPr>
          <w:rFonts w:ascii="Verdana" w:hAnsi="Verdana" w:cs="Lohit Hindi"/>
          <w:sz w:val="18"/>
          <w:szCs w:val="18"/>
        </w:rPr>
        <w:t xml:space="preserve">over de uitkomsten te kunnen </w:t>
      </w:r>
      <w:r w:rsidRPr="00785CCD" w:rsidR="002354BC">
        <w:rPr>
          <w:rFonts w:ascii="Verdana" w:hAnsi="Verdana" w:cs="Lohit Hindi"/>
          <w:sz w:val="18"/>
          <w:szCs w:val="18"/>
        </w:rPr>
        <w:t>informeren.</w:t>
      </w:r>
    </w:p>
    <w:p w:rsidR="00D00D0D" w:rsidP="00D00D0D" w:rsidRDefault="00D00D0D" w14:paraId="027375FA" w14:textId="77777777">
      <w:pPr>
        <w:pStyle w:val="Default"/>
      </w:pPr>
    </w:p>
    <w:p w:rsidRPr="00785CCD" w:rsidR="00D00D0D" w:rsidP="003E3180" w:rsidRDefault="00D00D0D" w14:paraId="57208CB8" w14:textId="5D0BE556">
      <w:pPr>
        <w:pStyle w:val="Default"/>
        <w:numPr>
          <w:ilvl w:val="0"/>
          <w:numId w:val="26"/>
        </w:numPr>
        <w:ind w:left="360"/>
        <w:rPr>
          <w:rFonts w:ascii="Verdana" w:hAnsi="Verdana"/>
          <w:sz w:val="18"/>
          <w:szCs w:val="18"/>
        </w:rPr>
      </w:pPr>
      <w:r w:rsidRPr="00785CCD">
        <w:rPr>
          <w:rFonts w:ascii="Verdana" w:hAnsi="Verdana"/>
          <w:sz w:val="18"/>
          <w:szCs w:val="18"/>
        </w:rPr>
        <w:t xml:space="preserve">Maak het voorzorgbeginsel leidend bij vergunningverlening voor PFAS en zorg voor goede handhaving </w:t>
      </w:r>
      <w:r w:rsidRPr="00785CCD" w:rsidR="002354BC">
        <w:rPr>
          <w:rFonts w:ascii="Verdana" w:hAnsi="Verdana"/>
          <w:sz w:val="18"/>
          <w:szCs w:val="18"/>
        </w:rPr>
        <w:br/>
      </w:r>
    </w:p>
    <w:p w:rsidRPr="00785CCD" w:rsidR="002354BC" w:rsidP="003E3180" w:rsidRDefault="002354BC" w14:paraId="7BBEF52C" w14:textId="5FE5894D">
      <w:pPr>
        <w:pStyle w:val="Default"/>
        <w:rPr>
          <w:rFonts w:ascii="Verdana" w:hAnsi="Verdana" w:cs="Lohit Hindi"/>
          <w:sz w:val="18"/>
          <w:szCs w:val="18"/>
        </w:rPr>
      </w:pPr>
      <w:r w:rsidRPr="00785CCD">
        <w:rPr>
          <w:rFonts w:ascii="Verdana" w:hAnsi="Verdana" w:cs="Lohit Hindi"/>
          <w:sz w:val="18"/>
          <w:szCs w:val="18"/>
        </w:rPr>
        <w:t xml:space="preserve">Het voorzorgsbeginsel wordt toegepast bij onzekere risico’s. In het geval van PFAS is er geen sprake van een onzeker risico, de hele groep is aangewezen als Zeer Zorgwekkende Stof. Daarmee zijn alle bijbehorende verplichtingen ook nu al van toepassing, zoals de plicht om emissies te minimaliseren en voor vergunningplichtige bedrijven aanvullend om hierover periodiek een Vermijdings- en Reductieprogramma op te stellen en de emissies van vrijkomende ZZS te registeren in een landelijke database. </w:t>
      </w:r>
      <w:r w:rsidRPr="00785CCD" w:rsidR="0054263B">
        <w:rPr>
          <w:rFonts w:ascii="Verdana" w:hAnsi="Verdana" w:cs="Lohit Hindi"/>
          <w:sz w:val="18"/>
          <w:szCs w:val="18"/>
        </w:rPr>
        <w:t xml:space="preserve">Om bedrijven hierin te ondersteunen </w:t>
      </w:r>
      <w:r w:rsidR="0075715E">
        <w:rPr>
          <w:rFonts w:ascii="Verdana" w:hAnsi="Verdana" w:cs="Lohit Hindi"/>
          <w:sz w:val="18"/>
          <w:szCs w:val="18"/>
        </w:rPr>
        <w:t>is</w:t>
      </w:r>
      <w:r w:rsidRPr="00785CCD" w:rsidR="0054263B">
        <w:rPr>
          <w:rFonts w:ascii="Verdana" w:hAnsi="Verdana" w:cs="Lohit Hindi"/>
          <w:sz w:val="18"/>
          <w:szCs w:val="18"/>
        </w:rPr>
        <w:t xml:space="preserve"> begin dit jaar de wegwijzer PFAS als ZZS uitgebracht.</w:t>
      </w:r>
      <w:r w:rsidR="0075715E">
        <w:rPr>
          <w:rStyle w:val="FootnoteReference"/>
          <w:rFonts w:ascii="Verdana" w:hAnsi="Verdana" w:cs="Lohit Hindi"/>
          <w:sz w:val="18"/>
          <w:szCs w:val="18"/>
        </w:rPr>
        <w:footnoteReference w:id="7"/>
      </w:r>
    </w:p>
    <w:p w:rsidRPr="00785CCD" w:rsidR="002354BC" w:rsidP="003E3180" w:rsidRDefault="002354BC" w14:paraId="228F8E0E" w14:textId="77777777">
      <w:pPr>
        <w:pStyle w:val="Default"/>
        <w:rPr>
          <w:rFonts w:ascii="Verdana" w:hAnsi="Verdana" w:cs="Lohit Hindi"/>
          <w:sz w:val="18"/>
          <w:szCs w:val="18"/>
        </w:rPr>
      </w:pPr>
    </w:p>
    <w:p w:rsidRPr="00785CCD" w:rsidR="0054263B" w:rsidP="0054263B" w:rsidRDefault="002354BC" w14:paraId="14E99E02" w14:textId="77777777">
      <w:pPr>
        <w:pStyle w:val="Default"/>
        <w:rPr>
          <w:rFonts w:ascii="Verdana" w:hAnsi="Verdana" w:cs="Lohit Hindi"/>
          <w:sz w:val="18"/>
          <w:szCs w:val="18"/>
        </w:rPr>
      </w:pPr>
      <w:r w:rsidRPr="00785CCD">
        <w:rPr>
          <w:rFonts w:ascii="Verdana" w:hAnsi="Verdana" w:cs="Lohit Hindi"/>
          <w:sz w:val="18"/>
          <w:szCs w:val="18"/>
        </w:rPr>
        <w:t xml:space="preserve">Handhaving is de verantwoordelijkheid van het bevoegde gezag. Voor de meeste van de betreffende bedrijven </w:t>
      </w:r>
      <w:r w:rsidRPr="00785CCD" w:rsidR="00057E6D">
        <w:rPr>
          <w:rFonts w:ascii="Verdana" w:hAnsi="Verdana" w:cs="Lohit Hindi"/>
          <w:sz w:val="18"/>
          <w:szCs w:val="18"/>
        </w:rPr>
        <w:t xml:space="preserve">zijn </w:t>
      </w:r>
      <w:r w:rsidRPr="00785CCD">
        <w:rPr>
          <w:rFonts w:ascii="Verdana" w:hAnsi="Verdana" w:cs="Lohit Hindi"/>
          <w:sz w:val="18"/>
          <w:szCs w:val="18"/>
        </w:rPr>
        <w:t>dat de omgevingsdienst</w:t>
      </w:r>
      <w:r w:rsidRPr="00785CCD" w:rsidR="00057E6D">
        <w:rPr>
          <w:rFonts w:ascii="Verdana" w:hAnsi="Verdana" w:cs="Lohit Hindi"/>
          <w:sz w:val="18"/>
          <w:szCs w:val="18"/>
        </w:rPr>
        <w:t>, Rijkswaterstaat of de waterschappen</w:t>
      </w:r>
      <w:r w:rsidRPr="00785CCD">
        <w:rPr>
          <w:rFonts w:ascii="Verdana" w:hAnsi="Verdana" w:cs="Lohit Hindi"/>
          <w:sz w:val="18"/>
          <w:szCs w:val="18"/>
        </w:rPr>
        <w:t xml:space="preserve">. </w:t>
      </w:r>
      <w:r w:rsidRPr="00785CCD" w:rsidR="0054263B">
        <w:rPr>
          <w:rFonts w:ascii="Verdana" w:hAnsi="Verdana" w:cs="Lohit Hindi"/>
          <w:sz w:val="18"/>
          <w:szCs w:val="18"/>
        </w:rPr>
        <w:t>Om te zorgen voor een uniforme beoordeling van de Vermijdings en reductieprogramma’s werk ik samen met de stakeholders aan de Handreiking beoordeling VRP, die ik in het najaar verwacht op te leveren.</w:t>
      </w:r>
    </w:p>
    <w:p w:rsidRPr="00D00D0D" w:rsidR="002354BC" w:rsidP="003E3180" w:rsidRDefault="002354BC" w14:paraId="33D26EEA" w14:textId="615F79FB">
      <w:pPr>
        <w:pStyle w:val="Default"/>
        <w:rPr>
          <w:sz w:val="22"/>
          <w:szCs w:val="22"/>
        </w:rPr>
      </w:pPr>
    </w:p>
    <w:p w:rsidR="00D00D0D" w:rsidP="00783FBA" w:rsidRDefault="00D00D0D" w14:paraId="5CE21215" w14:textId="77777777"/>
    <w:p w:rsidR="00D00D0D" w:rsidP="00D00D0D" w:rsidRDefault="00D00D0D" w14:paraId="12B230D9" w14:textId="77777777"/>
    <w:p w:rsidR="007C10C2" w:rsidRDefault="00E33A75" w14:paraId="5D1FB760" w14:textId="77777777">
      <w:pPr>
        <w:pStyle w:val="WitregelW1bodytekst"/>
      </w:pPr>
      <w:r>
        <w:t xml:space="preserve">  </w:t>
      </w:r>
    </w:p>
    <w:p w:rsidR="007C10C2" w:rsidRDefault="00E33A75" w14:paraId="24CAC49B" w14:textId="77777777">
      <w:pPr>
        <w:pStyle w:val="Slotzin"/>
      </w:pPr>
      <w:r>
        <w:t>Hoogachtend,</w:t>
      </w:r>
    </w:p>
    <w:p w:rsidR="007C10C2" w:rsidRDefault="00E33A75" w14:paraId="11E522E9" w14:textId="77777777">
      <w:pPr>
        <w:pStyle w:val="OndertekeningArea1"/>
      </w:pPr>
      <w:r>
        <w:t>DE STAATSSECRETARIS VAN INFRASTRUCTUUR EN WATERSTAAT,</w:t>
      </w:r>
    </w:p>
    <w:p w:rsidR="007C10C2" w:rsidRDefault="007C10C2" w14:paraId="1E790BC1" w14:textId="77777777"/>
    <w:p w:rsidR="007C10C2" w:rsidRDefault="007C10C2" w14:paraId="24C4AD0D" w14:textId="77777777"/>
    <w:p w:rsidR="007C10C2" w:rsidRDefault="007C10C2" w14:paraId="282F9F92" w14:textId="77777777"/>
    <w:p w:rsidR="007C10C2" w:rsidRDefault="007C10C2" w14:paraId="46096155" w14:textId="77777777"/>
    <w:p w:rsidR="007C10C2" w:rsidRDefault="00E33A75" w14:paraId="70E7C3AE" w14:textId="77777777">
      <w:r>
        <w:t>Annet Bertram</w:t>
      </w:r>
    </w:p>
    <w:sectPr w:rsidR="007C10C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F629" w14:textId="77777777" w:rsidR="00EE03E0" w:rsidRDefault="00EE03E0">
      <w:pPr>
        <w:spacing w:line="240" w:lineRule="auto"/>
      </w:pPr>
      <w:r>
        <w:separator/>
      </w:r>
    </w:p>
  </w:endnote>
  <w:endnote w:type="continuationSeparator" w:id="0">
    <w:p w14:paraId="55192584" w14:textId="77777777" w:rsidR="00EE03E0" w:rsidRDefault="00EE0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013F" w14:textId="77777777" w:rsidR="00913B4E" w:rsidRDefault="00913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784B" w14:textId="77777777" w:rsidR="00913B4E" w:rsidRDefault="00913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EA9A" w14:textId="77777777" w:rsidR="00913B4E" w:rsidRDefault="0091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3525" w14:textId="77777777" w:rsidR="00EE03E0" w:rsidRDefault="00EE03E0">
      <w:pPr>
        <w:spacing w:line="240" w:lineRule="auto"/>
      </w:pPr>
      <w:r>
        <w:separator/>
      </w:r>
    </w:p>
  </w:footnote>
  <w:footnote w:type="continuationSeparator" w:id="0">
    <w:p w14:paraId="3A5402B7" w14:textId="77777777" w:rsidR="00EE03E0" w:rsidRDefault="00EE03E0">
      <w:pPr>
        <w:spacing w:line="240" w:lineRule="auto"/>
      </w:pPr>
      <w:r>
        <w:continuationSeparator/>
      </w:r>
    </w:p>
  </w:footnote>
  <w:footnote w:id="1">
    <w:p w14:paraId="22D8D39A" w14:textId="4091116E" w:rsidR="007A1D1C" w:rsidRDefault="007A1D1C">
      <w:pPr>
        <w:pStyle w:val="FootnoteText"/>
      </w:pPr>
      <w:r>
        <w:rPr>
          <w:rStyle w:val="FootnoteReference"/>
        </w:rPr>
        <w:footnoteRef/>
      </w:r>
      <w:r>
        <w:t xml:space="preserve"> </w:t>
      </w:r>
      <w:hyperlink r:id="rId1" w:history="1">
        <w:r w:rsidRPr="007A1D1C">
          <w:rPr>
            <w:rStyle w:val="Hyperlink"/>
            <w:sz w:val="16"/>
            <w:szCs w:val="16"/>
          </w:rPr>
          <w:t>Schriftelijke antwoorden op vragen gesteld tijdens de eerste termijn van de begrotingsbehandeling van Infrastructuur en Waterstaat op 20 januari 2026 | Tweede Kamer der Staten-Generaa</w:t>
        </w:r>
        <w:r w:rsidRPr="007A1D1C">
          <w:rPr>
            <w:rStyle w:val="Hyperlink"/>
          </w:rPr>
          <w:t>l</w:t>
        </w:r>
      </w:hyperlink>
      <w:r w:rsidR="0075715E">
        <w:t xml:space="preserve"> </w:t>
      </w:r>
      <w:r w:rsidR="0075715E" w:rsidRPr="00071640">
        <w:rPr>
          <w:sz w:val="16"/>
          <w:szCs w:val="16"/>
        </w:rPr>
        <w:t>Kenmerk: 2026D02567</w:t>
      </w:r>
    </w:p>
  </w:footnote>
  <w:footnote w:id="2">
    <w:p w14:paraId="6D65B905" w14:textId="77777777" w:rsidR="002D052B" w:rsidRPr="003F5C3E" w:rsidRDefault="002D052B" w:rsidP="002D052B">
      <w:pPr>
        <w:pStyle w:val="FootnoteText"/>
        <w:rPr>
          <w:sz w:val="16"/>
          <w:szCs w:val="16"/>
        </w:rPr>
      </w:pPr>
      <w:r w:rsidRPr="003F5C3E">
        <w:rPr>
          <w:rStyle w:val="FootnoteReference"/>
          <w:sz w:val="16"/>
          <w:szCs w:val="16"/>
        </w:rPr>
        <w:footnoteRef/>
      </w:r>
      <w:r w:rsidRPr="003F5C3E">
        <w:rPr>
          <w:sz w:val="16"/>
          <w:szCs w:val="16"/>
        </w:rPr>
        <w:t xml:space="preserve"> Tweede Kamer, vergaderjaar 2024-2025, 35 334, nr. 321.</w:t>
      </w:r>
    </w:p>
  </w:footnote>
  <w:footnote w:id="3">
    <w:p w14:paraId="7277F1DE" w14:textId="77777777" w:rsidR="002D052B" w:rsidRPr="00071640" w:rsidRDefault="002D052B" w:rsidP="002D052B">
      <w:pPr>
        <w:pStyle w:val="FootnoteText"/>
        <w:rPr>
          <w:sz w:val="16"/>
          <w:szCs w:val="16"/>
        </w:rPr>
      </w:pPr>
      <w:r w:rsidRPr="00071640">
        <w:rPr>
          <w:sz w:val="16"/>
          <w:szCs w:val="16"/>
        </w:rPr>
        <w:footnoteRef/>
      </w:r>
      <w:r w:rsidRPr="00071640">
        <w:rPr>
          <w:sz w:val="16"/>
          <w:szCs w:val="16"/>
        </w:rPr>
        <w:t xml:space="preserve"> Tweede Kamer, vergaderjaar 2024–2025, 35 334, nr. 407.</w:t>
      </w:r>
    </w:p>
  </w:footnote>
  <w:footnote w:id="4">
    <w:p w14:paraId="7E9B8BF2" w14:textId="5B41FF28" w:rsidR="00591FB6" w:rsidRPr="00071640" w:rsidRDefault="00591FB6">
      <w:pPr>
        <w:pStyle w:val="FootnoteText"/>
        <w:rPr>
          <w:sz w:val="16"/>
          <w:szCs w:val="16"/>
        </w:rPr>
      </w:pPr>
      <w:r w:rsidRPr="00071640">
        <w:rPr>
          <w:sz w:val="16"/>
          <w:szCs w:val="16"/>
        </w:rPr>
        <w:footnoteRef/>
      </w:r>
      <w:r w:rsidRPr="00071640">
        <w:rPr>
          <w:sz w:val="16"/>
          <w:szCs w:val="16"/>
        </w:rPr>
        <w:t xml:space="preserve"> 35 334 / 22 343 Nr. 406, 21-7-2026</w:t>
      </w:r>
    </w:p>
  </w:footnote>
  <w:footnote w:id="5">
    <w:p w14:paraId="293305AF" w14:textId="77777777" w:rsidR="00A90F7D" w:rsidRPr="00071640" w:rsidRDefault="00A90F7D" w:rsidP="00A90F7D">
      <w:pPr>
        <w:pStyle w:val="FootnoteText"/>
        <w:rPr>
          <w:sz w:val="16"/>
          <w:szCs w:val="16"/>
        </w:rPr>
      </w:pPr>
      <w:r w:rsidRPr="00071640">
        <w:rPr>
          <w:sz w:val="16"/>
          <w:szCs w:val="16"/>
        </w:rPr>
        <w:footnoteRef/>
      </w:r>
      <w:r w:rsidRPr="00071640">
        <w:rPr>
          <w:sz w:val="16"/>
          <w:szCs w:val="16"/>
        </w:rPr>
        <w:t xml:space="preserve"> Tweede Kamer vergaderjaar 2024-2025, 35 334, nr. 406.</w:t>
      </w:r>
    </w:p>
  </w:footnote>
  <w:footnote w:id="6">
    <w:p w14:paraId="256DE47D" w14:textId="77777777" w:rsidR="00A90F7D" w:rsidRDefault="00A90F7D" w:rsidP="00A90F7D">
      <w:pPr>
        <w:pStyle w:val="FootnoteText"/>
      </w:pPr>
      <w:r w:rsidRPr="00071640">
        <w:rPr>
          <w:sz w:val="16"/>
          <w:szCs w:val="16"/>
        </w:rPr>
        <w:footnoteRef/>
      </w:r>
      <w:r w:rsidRPr="00071640">
        <w:rPr>
          <w:sz w:val="16"/>
          <w:szCs w:val="16"/>
        </w:rPr>
        <w:t xml:space="preserve"> Tweede Kamer vergaderjaar 2025-2026, 35 334, nr. 444.</w:t>
      </w:r>
    </w:p>
  </w:footnote>
  <w:footnote w:id="7">
    <w:p w14:paraId="1FAF6F6D" w14:textId="4D251122" w:rsidR="0075715E" w:rsidRPr="00071640" w:rsidRDefault="0075715E">
      <w:pPr>
        <w:pStyle w:val="FootnoteText"/>
        <w:rPr>
          <w:sz w:val="16"/>
          <w:szCs w:val="16"/>
        </w:rPr>
      </w:pPr>
      <w:r w:rsidRPr="00071640">
        <w:rPr>
          <w:rStyle w:val="FootnoteReference"/>
          <w:sz w:val="16"/>
          <w:szCs w:val="16"/>
        </w:rPr>
        <w:footnoteRef/>
      </w:r>
      <w:r w:rsidRPr="00071640">
        <w:rPr>
          <w:sz w:val="16"/>
          <w:szCs w:val="16"/>
        </w:rPr>
        <w:t xml:space="preserve"> </w:t>
      </w:r>
      <w:r w:rsidR="00071640" w:rsidRPr="00071640">
        <w:rPr>
          <w:sz w:val="16"/>
          <w:szCs w:val="16"/>
        </w:rPr>
        <w:t>https://iplo.nl/thema/zeer-zorgwekkende-stoffen-zzs/pfas-zeer-zorgwekkende-stof-zzs/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D9E3" w14:textId="77777777" w:rsidR="00913B4E" w:rsidRDefault="00913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EB2C" w14:textId="77777777" w:rsidR="007C10C2" w:rsidRDefault="00E33A75">
    <w:r>
      <w:rPr>
        <w:noProof/>
        <w:lang w:val="en-GB" w:eastAsia="en-GB"/>
      </w:rPr>
      <mc:AlternateContent>
        <mc:Choice Requires="wps">
          <w:drawing>
            <wp:anchor distT="0" distB="0" distL="0" distR="0" simplePos="0" relativeHeight="251651584" behindDoc="0" locked="1" layoutInCell="1" allowOverlap="1" wp14:anchorId="0D5D9B71" wp14:editId="5B20F95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D648BB" w14:textId="77777777" w:rsidR="007C10C2" w:rsidRDefault="00E33A75">
                          <w:pPr>
                            <w:pStyle w:val="AfzendgegevensKop0"/>
                          </w:pPr>
                          <w:r>
                            <w:t>Ministerie van Infrastructuur en Waterstaat</w:t>
                          </w:r>
                        </w:p>
                        <w:p w14:paraId="53CC7609" w14:textId="77777777" w:rsidR="00E8397E" w:rsidRDefault="00E8397E" w:rsidP="00E8397E"/>
                        <w:p w14:paraId="7DF19785" w14:textId="77777777" w:rsidR="00E8397E" w:rsidRPr="00E8397E" w:rsidRDefault="00E8397E" w:rsidP="00E8397E">
                          <w:pPr>
                            <w:spacing w:line="240" w:lineRule="auto"/>
                            <w:rPr>
                              <w:b/>
                              <w:bCs/>
                              <w:sz w:val="13"/>
                              <w:szCs w:val="13"/>
                            </w:rPr>
                          </w:pPr>
                          <w:r w:rsidRPr="00E8397E">
                            <w:rPr>
                              <w:b/>
                              <w:bCs/>
                              <w:sz w:val="13"/>
                              <w:szCs w:val="13"/>
                            </w:rPr>
                            <w:t>Ons kenmerk</w:t>
                          </w:r>
                        </w:p>
                        <w:p w14:paraId="384EB6DD" w14:textId="77777777" w:rsidR="00E8397E" w:rsidRPr="00E8397E" w:rsidRDefault="00E8397E" w:rsidP="00E8397E">
                          <w:pPr>
                            <w:spacing w:line="240" w:lineRule="auto"/>
                            <w:rPr>
                              <w:sz w:val="13"/>
                              <w:szCs w:val="13"/>
                            </w:rPr>
                          </w:pPr>
                          <w:r w:rsidRPr="00E8397E">
                            <w:rPr>
                              <w:sz w:val="13"/>
                              <w:szCs w:val="13"/>
                            </w:rPr>
                            <w:t>IENW/BSK-2026/101277</w:t>
                          </w:r>
                        </w:p>
                        <w:p w14:paraId="5588D8CA" w14:textId="77777777" w:rsidR="00E8397E" w:rsidRPr="00E8397E" w:rsidRDefault="00E8397E" w:rsidP="00E8397E"/>
                      </w:txbxContent>
                    </wps:txbx>
                    <wps:bodyPr vert="horz" wrap="square" lIns="0" tIns="0" rIns="0" bIns="0" anchor="t" anchorCtr="0"/>
                  </wps:wsp>
                </a:graphicData>
              </a:graphic>
            </wp:anchor>
          </w:drawing>
        </mc:Choice>
        <mc:Fallback>
          <w:pict>
            <v:shapetype w14:anchorId="0D5D9B7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D648BB" w14:textId="77777777" w:rsidR="007C10C2" w:rsidRDefault="00E33A75">
                    <w:pPr>
                      <w:pStyle w:val="AfzendgegevensKop0"/>
                    </w:pPr>
                    <w:r>
                      <w:t>Ministerie van Infrastructuur en Waterstaat</w:t>
                    </w:r>
                  </w:p>
                  <w:p w14:paraId="53CC7609" w14:textId="77777777" w:rsidR="00E8397E" w:rsidRDefault="00E8397E" w:rsidP="00E8397E"/>
                  <w:p w14:paraId="7DF19785" w14:textId="77777777" w:rsidR="00E8397E" w:rsidRPr="00E8397E" w:rsidRDefault="00E8397E" w:rsidP="00E8397E">
                    <w:pPr>
                      <w:spacing w:line="240" w:lineRule="auto"/>
                      <w:rPr>
                        <w:b/>
                        <w:bCs/>
                        <w:sz w:val="13"/>
                        <w:szCs w:val="13"/>
                      </w:rPr>
                    </w:pPr>
                    <w:r w:rsidRPr="00E8397E">
                      <w:rPr>
                        <w:b/>
                        <w:bCs/>
                        <w:sz w:val="13"/>
                        <w:szCs w:val="13"/>
                      </w:rPr>
                      <w:t>Ons kenmerk</w:t>
                    </w:r>
                  </w:p>
                  <w:p w14:paraId="384EB6DD" w14:textId="77777777" w:rsidR="00E8397E" w:rsidRPr="00E8397E" w:rsidRDefault="00E8397E" w:rsidP="00E8397E">
                    <w:pPr>
                      <w:spacing w:line="240" w:lineRule="auto"/>
                      <w:rPr>
                        <w:sz w:val="13"/>
                        <w:szCs w:val="13"/>
                      </w:rPr>
                    </w:pPr>
                    <w:r w:rsidRPr="00E8397E">
                      <w:rPr>
                        <w:sz w:val="13"/>
                        <w:szCs w:val="13"/>
                      </w:rPr>
                      <w:t>IENW/BSK-2026/101277</w:t>
                    </w:r>
                  </w:p>
                  <w:p w14:paraId="5588D8CA" w14:textId="77777777" w:rsidR="00E8397E" w:rsidRPr="00E8397E" w:rsidRDefault="00E8397E" w:rsidP="00E8397E"/>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098C44" wp14:editId="5856DF7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49DD39" w14:textId="77777777" w:rsidR="007C10C2" w:rsidRDefault="00E33A75">
                          <w:pPr>
                            <w:pStyle w:val="Referentiegegevens"/>
                          </w:pPr>
                          <w:r>
                            <w:t xml:space="preserve">Page </w:t>
                          </w:r>
                          <w:r>
                            <w:fldChar w:fldCharType="begin"/>
                          </w:r>
                          <w:r>
                            <w:instrText>PAGE</w:instrText>
                          </w:r>
                          <w:r>
                            <w:fldChar w:fldCharType="separate"/>
                          </w:r>
                          <w:r w:rsidR="00D00D0D">
                            <w:rPr>
                              <w:noProof/>
                            </w:rPr>
                            <w:t>1</w:t>
                          </w:r>
                          <w:r>
                            <w:fldChar w:fldCharType="end"/>
                          </w:r>
                          <w:r>
                            <w:t xml:space="preserve"> of </w:t>
                          </w:r>
                          <w:r>
                            <w:fldChar w:fldCharType="begin"/>
                          </w:r>
                          <w:r>
                            <w:instrText>NUMPAGES</w:instrText>
                          </w:r>
                          <w:r>
                            <w:fldChar w:fldCharType="separate"/>
                          </w:r>
                          <w:r w:rsidR="00D00D0D">
                            <w:rPr>
                              <w:noProof/>
                            </w:rPr>
                            <w:t>1</w:t>
                          </w:r>
                          <w:r>
                            <w:fldChar w:fldCharType="end"/>
                          </w:r>
                        </w:p>
                      </w:txbxContent>
                    </wps:txbx>
                    <wps:bodyPr vert="horz" wrap="square" lIns="0" tIns="0" rIns="0" bIns="0" anchor="t" anchorCtr="0"/>
                  </wps:wsp>
                </a:graphicData>
              </a:graphic>
            </wp:anchor>
          </w:drawing>
        </mc:Choice>
        <mc:Fallback>
          <w:pict>
            <v:shape w14:anchorId="1B098C4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649DD39" w14:textId="77777777" w:rsidR="007C10C2" w:rsidRDefault="00E33A75">
                    <w:pPr>
                      <w:pStyle w:val="Referentiegegevens"/>
                    </w:pPr>
                    <w:r>
                      <w:t xml:space="preserve">Page </w:t>
                    </w:r>
                    <w:r>
                      <w:fldChar w:fldCharType="begin"/>
                    </w:r>
                    <w:r>
                      <w:instrText>PAGE</w:instrText>
                    </w:r>
                    <w:r>
                      <w:fldChar w:fldCharType="separate"/>
                    </w:r>
                    <w:r w:rsidR="00D00D0D">
                      <w:rPr>
                        <w:noProof/>
                      </w:rPr>
                      <w:t>1</w:t>
                    </w:r>
                    <w:r>
                      <w:fldChar w:fldCharType="end"/>
                    </w:r>
                    <w:r>
                      <w:t xml:space="preserve"> of </w:t>
                    </w:r>
                    <w:r>
                      <w:fldChar w:fldCharType="begin"/>
                    </w:r>
                    <w:r>
                      <w:instrText>NUMPAGES</w:instrText>
                    </w:r>
                    <w:r>
                      <w:fldChar w:fldCharType="separate"/>
                    </w:r>
                    <w:r w:rsidR="00D00D0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7C90054" wp14:editId="151E4D4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56C07D" w14:textId="77777777" w:rsidR="00F07DB7" w:rsidRDefault="00F07DB7"/>
                      </w:txbxContent>
                    </wps:txbx>
                    <wps:bodyPr vert="horz" wrap="square" lIns="0" tIns="0" rIns="0" bIns="0" anchor="t" anchorCtr="0"/>
                  </wps:wsp>
                </a:graphicData>
              </a:graphic>
            </wp:anchor>
          </w:drawing>
        </mc:Choice>
        <mc:Fallback>
          <w:pict>
            <v:shape w14:anchorId="17C9005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56C07D" w14:textId="77777777" w:rsidR="00F07DB7" w:rsidRDefault="00F07DB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87E141" wp14:editId="65D95E7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62373E" w14:textId="77777777" w:rsidR="00F07DB7" w:rsidRDefault="00F07DB7"/>
                      </w:txbxContent>
                    </wps:txbx>
                    <wps:bodyPr vert="horz" wrap="square" lIns="0" tIns="0" rIns="0" bIns="0" anchor="t" anchorCtr="0"/>
                  </wps:wsp>
                </a:graphicData>
              </a:graphic>
            </wp:anchor>
          </w:drawing>
        </mc:Choice>
        <mc:Fallback>
          <w:pict>
            <v:shape w14:anchorId="4687E14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E62373E" w14:textId="77777777" w:rsidR="00F07DB7" w:rsidRDefault="00F07DB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696D" w14:textId="77777777" w:rsidR="007C10C2" w:rsidRDefault="00E33A7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0AE67B" wp14:editId="4038ED4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83A0F7" w14:textId="77777777" w:rsidR="00F07DB7" w:rsidRDefault="00F07DB7"/>
                      </w:txbxContent>
                    </wps:txbx>
                    <wps:bodyPr vert="horz" wrap="square" lIns="0" tIns="0" rIns="0" bIns="0" anchor="t" anchorCtr="0"/>
                  </wps:wsp>
                </a:graphicData>
              </a:graphic>
            </wp:anchor>
          </w:drawing>
        </mc:Choice>
        <mc:Fallback>
          <w:pict>
            <v:shapetype w14:anchorId="5F0AE67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83A0F7" w14:textId="77777777" w:rsidR="00F07DB7" w:rsidRDefault="00F07DB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F47D09" wp14:editId="586DA8D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07F5E5" w14:textId="56759B9A" w:rsidR="007C10C2" w:rsidRDefault="00E33A75">
                          <w:pPr>
                            <w:pStyle w:val="Referentiegegevens"/>
                          </w:pPr>
                          <w:r>
                            <w:t xml:space="preserve">Page </w:t>
                          </w:r>
                          <w:r>
                            <w:fldChar w:fldCharType="begin"/>
                          </w:r>
                          <w:r>
                            <w:instrText>PAGE</w:instrText>
                          </w:r>
                          <w:r>
                            <w:fldChar w:fldCharType="separate"/>
                          </w:r>
                          <w:r w:rsidR="005B0B84">
                            <w:rPr>
                              <w:noProof/>
                            </w:rPr>
                            <w:t>1</w:t>
                          </w:r>
                          <w:r>
                            <w:fldChar w:fldCharType="end"/>
                          </w:r>
                          <w:r>
                            <w:t xml:space="preserve"> of </w:t>
                          </w:r>
                          <w:r>
                            <w:fldChar w:fldCharType="begin"/>
                          </w:r>
                          <w:r>
                            <w:instrText>NUMPAGES</w:instrText>
                          </w:r>
                          <w:r>
                            <w:fldChar w:fldCharType="separate"/>
                          </w:r>
                          <w:r w:rsidR="005B0B84">
                            <w:rPr>
                              <w:noProof/>
                            </w:rPr>
                            <w:t>1</w:t>
                          </w:r>
                          <w:r>
                            <w:fldChar w:fldCharType="end"/>
                          </w:r>
                        </w:p>
                      </w:txbxContent>
                    </wps:txbx>
                    <wps:bodyPr vert="horz" wrap="square" lIns="0" tIns="0" rIns="0" bIns="0" anchor="t" anchorCtr="0"/>
                  </wps:wsp>
                </a:graphicData>
              </a:graphic>
            </wp:anchor>
          </w:drawing>
        </mc:Choice>
        <mc:Fallback>
          <w:pict>
            <v:shape w14:anchorId="62F47D0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07F5E5" w14:textId="56759B9A" w:rsidR="007C10C2" w:rsidRDefault="00E33A75">
                    <w:pPr>
                      <w:pStyle w:val="Referentiegegevens"/>
                    </w:pPr>
                    <w:r>
                      <w:t xml:space="preserve">Page </w:t>
                    </w:r>
                    <w:r>
                      <w:fldChar w:fldCharType="begin"/>
                    </w:r>
                    <w:r>
                      <w:instrText>PAGE</w:instrText>
                    </w:r>
                    <w:r>
                      <w:fldChar w:fldCharType="separate"/>
                    </w:r>
                    <w:r w:rsidR="005B0B84">
                      <w:rPr>
                        <w:noProof/>
                      </w:rPr>
                      <w:t>1</w:t>
                    </w:r>
                    <w:r>
                      <w:fldChar w:fldCharType="end"/>
                    </w:r>
                    <w:r>
                      <w:t xml:space="preserve"> of </w:t>
                    </w:r>
                    <w:r>
                      <w:fldChar w:fldCharType="begin"/>
                    </w:r>
                    <w:r>
                      <w:instrText>NUMPAGES</w:instrText>
                    </w:r>
                    <w:r>
                      <w:fldChar w:fldCharType="separate"/>
                    </w:r>
                    <w:r w:rsidR="005B0B8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1F359DD" wp14:editId="6FCB1C4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D93873" w14:textId="77777777" w:rsidR="007C10C2" w:rsidRDefault="00E33A75">
                          <w:pPr>
                            <w:pStyle w:val="AfzendgegevensKop0"/>
                          </w:pPr>
                          <w:r>
                            <w:t>Ministerie van Infrastructuur en Waterstaat</w:t>
                          </w:r>
                        </w:p>
                        <w:p w14:paraId="55575663" w14:textId="77777777" w:rsidR="007C10C2" w:rsidRDefault="007C10C2">
                          <w:pPr>
                            <w:pStyle w:val="WitregelW1"/>
                          </w:pPr>
                        </w:p>
                        <w:p w14:paraId="129A002A" w14:textId="77777777" w:rsidR="007C10C2" w:rsidRDefault="00E33A75">
                          <w:pPr>
                            <w:pStyle w:val="Afzendgegevens"/>
                          </w:pPr>
                          <w:r>
                            <w:t>Rijnstraat 8</w:t>
                          </w:r>
                        </w:p>
                        <w:p w14:paraId="390509D3" w14:textId="77777777" w:rsidR="007C10C2" w:rsidRPr="00D00D0D" w:rsidRDefault="00E33A75">
                          <w:pPr>
                            <w:pStyle w:val="Afzendgegevens"/>
                            <w:rPr>
                              <w:lang w:val="de-DE"/>
                            </w:rPr>
                          </w:pPr>
                          <w:r w:rsidRPr="00D00D0D">
                            <w:rPr>
                              <w:lang w:val="de-DE"/>
                            </w:rPr>
                            <w:t>2515 XP  Den Haag</w:t>
                          </w:r>
                        </w:p>
                        <w:p w14:paraId="1156B0D5" w14:textId="77777777" w:rsidR="007C10C2" w:rsidRPr="00D00D0D" w:rsidRDefault="00E33A75">
                          <w:pPr>
                            <w:pStyle w:val="Afzendgegevens"/>
                            <w:rPr>
                              <w:lang w:val="de-DE"/>
                            </w:rPr>
                          </w:pPr>
                          <w:r w:rsidRPr="00D00D0D">
                            <w:rPr>
                              <w:lang w:val="de-DE"/>
                            </w:rPr>
                            <w:t>Postbus 20901</w:t>
                          </w:r>
                        </w:p>
                        <w:p w14:paraId="45CA924D" w14:textId="77777777" w:rsidR="007C10C2" w:rsidRPr="00D00D0D" w:rsidRDefault="00E33A75">
                          <w:pPr>
                            <w:pStyle w:val="Afzendgegevens"/>
                            <w:rPr>
                              <w:lang w:val="de-DE"/>
                            </w:rPr>
                          </w:pPr>
                          <w:r w:rsidRPr="00D00D0D">
                            <w:rPr>
                              <w:lang w:val="de-DE"/>
                            </w:rPr>
                            <w:t>2500 EX Den Haag</w:t>
                          </w:r>
                        </w:p>
                        <w:p w14:paraId="075B7349" w14:textId="77777777" w:rsidR="007C10C2" w:rsidRPr="00D00D0D" w:rsidRDefault="007C10C2">
                          <w:pPr>
                            <w:pStyle w:val="WitregelW1"/>
                            <w:rPr>
                              <w:lang w:val="de-DE"/>
                            </w:rPr>
                          </w:pPr>
                        </w:p>
                        <w:p w14:paraId="5A626CCB" w14:textId="77777777" w:rsidR="007C10C2" w:rsidRPr="00D00D0D" w:rsidRDefault="00E33A75">
                          <w:pPr>
                            <w:pStyle w:val="Afzendgegevens"/>
                            <w:rPr>
                              <w:lang w:val="de-DE"/>
                            </w:rPr>
                          </w:pPr>
                          <w:r w:rsidRPr="00D00D0D">
                            <w:rPr>
                              <w:lang w:val="de-DE"/>
                            </w:rPr>
                            <w:t>T   070-456 0000</w:t>
                          </w:r>
                        </w:p>
                        <w:p w14:paraId="0CF48735" w14:textId="77777777" w:rsidR="007C10C2" w:rsidRPr="00E8397E" w:rsidRDefault="00E33A75" w:rsidP="00E8397E">
                          <w:pPr>
                            <w:pStyle w:val="Afzendgegevens"/>
                            <w:spacing w:line="240" w:lineRule="auto"/>
                          </w:pPr>
                          <w:r>
                            <w:t>F   07</w:t>
                          </w:r>
                          <w:r w:rsidRPr="00E8397E">
                            <w:t>0-456 1111</w:t>
                          </w:r>
                        </w:p>
                        <w:p w14:paraId="1BF3BF78" w14:textId="77777777" w:rsidR="007C10C2" w:rsidRPr="00E8397E" w:rsidRDefault="007C10C2" w:rsidP="00E8397E">
                          <w:pPr>
                            <w:pStyle w:val="WitregelW2"/>
                            <w:spacing w:line="240" w:lineRule="auto"/>
                            <w:rPr>
                              <w:sz w:val="13"/>
                              <w:szCs w:val="13"/>
                            </w:rPr>
                          </w:pPr>
                        </w:p>
                        <w:p w14:paraId="42377B9B" w14:textId="5C504D60" w:rsidR="00E8397E" w:rsidRPr="00E8397E" w:rsidRDefault="00E8397E" w:rsidP="00E8397E">
                          <w:pPr>
                            <w:spacing w:line="240" w:lineRule="auto"/>
                            <w:rPr>
                              <w:b/>
                              <w:bCs/>
                              <w:sz w:val="13"/>
                              <w:szCs w:val="13"/>
                            </w:rPr>
                          </w:pPr>
                          <w:r w:rsidRPr="00E8397E">
                            <w:rPr>
                              <w:b/>
                              <w:bCs/>
                              <w:sz w:val="13"/>
                              <w:szCs w:val="13"/>
                            </w:rPr>
                            <w:t>Ons kenmerk</w:t>
                          </w:r>
                        </w:p>
                        <w:p w14:paraId="36D773C6" w14:textId="6656513F" w:rsidR="00E8397E" w:rsidRPr="00E8397E" w:rsidRDefault="00E8397E" w:rsidP="00E8397E">
                          <w:pPr>
                            <w:spacing w:line="240" w:lineRule="auto"/>
                            <w:rPr>
                              <w:sz w:val="13"/>
                              <w:szCs w:val="13"/>
                            </w:rPr>
                          </w:pPr>
                          <w:r w:rsidRPr="00E8397E">
                            <w:rPr>
                              <w:sz w:val="13"/>
                              <w:szCs w:val="13"/>
                            </w:rPr>
                            <w:t>IENW/BSK-2026/101277</w:t>
                          </w:r>
                        </w:p>
                        <w:p w14:paraId="0CC9005B" w14:textId="77777777" w:rsidR="00E8397E" w:rsidRPr="00E8397E" w:rsidRDefault="00E8397E" w:rsidP="00E8397E">
                          <w:pPr>
                            <w:spacing w:line="240" w:lineRule="auto"/>
                            <w:rPr>
                              <w:sz w:val="13"/>
                              <w:szCs w:val="13"/>
                            </w:rPr>
                          </w:pPr>
                        </w:p>
                        <w:p w14:paraId="71050F72" w14:textId="77777777" w:rsidR="007C10C2" w:rsidRPr="00E8397E" w:rsidRDefault="00E33A75" w:rsidP="00E8397E">
                          <w:pPr>
                            <w:pStyle w:val="Referentiegegevenskop"/>
                            <w:spacing w:line="240" w:lineRule="auto"/>
                          </w:pPr>
                          <w:r w:rsidRPr="00E8397E">
                            <w:t>Uw kenmerk</w:t>
                          </w:r>
                        </w:p>
                        <w:p w14:paraId="6A2E72BC" w14:textId="77777777" w:rsidR="007C10C2" w:rsidRDefault="00E33A75" w:rsidP="00E8397E">
                          <w:pPr>
                            <w:pStyle w:val="Referentiegegevens"/>
                            <w:spacing w:line="240" w:lineRule="auto"/>
                          </w:pPr>
                          <w:r w:rsidRPr="00E8397E">
                            <w:t>2026Z106</w:t>
                          </w:r>
                          <w:r>
                            <w:t>96/2026D27051</w:t>
                          </w:r>
                        </w:p>
                        <w:p w14:paraId="183E4B00" w14:textId="77777777" w:rsidR="00A23DF2" w:rsidRPr="00A23DF2" w:rsidRDefault="00A23DF2" w:rsidP="00A23DF2">
                          <w:pPr>
                            <w:spacing w:line="240" w:lineRule="auto"/>
                            <w:rPr>
                              <w:sz w:val="13"/>
                              <w:szCs w:val="13"/>
                            </w:rPr>
                          </w:pPr>
                        </w:p>
                        <w:p w14:paraId="4EBB0B4A" w14:textId="6D961355" w:rsidR="00A23DF2" w:rsidRPr="00A23DF2" w:rsidRDefault="00A23DF2" w:rsidP="00A23DF2">
                          <w:pPr>
                            <w:spacing w:line="240" w:lineRule="auto"/>
                            <w:rPr>
                              <w:b/>
                              <w:bCs/>
                              <w:sz w:val="13"/>
                              <w:szCs w:val="13"/>
                            </w:rPr>
                          </w:pPr>
                          <w:r w:rsidRPr="00A23DF2">
                            <w:rPr>
                              <w:b/>
                              <w:bCs/>
                              <w:sz w:val="13"/>
                              <w:szCs w:val="13"/>
                            </w:rPr>
                            <w:t>Bijlage(n)</w:t>
                          </w:r>
                        </w:p>
                        <w:p w14:paraId="460F10EF" w14:textId="4B09842E" w:rsidR="00A23DF2" w:rsidRPr="00A23DF2" w:rsidRDefault="00A23DF2" w:rsidP="00A23DF2">
                          <w:pPr>
                            <w:spacing w:line="240" w:lineRule="auto"/>
                            <w:rPr>
                              <w:sz w:val="13"/>
                              <w:szCs w:val="13"/>
                            </w:rPr>
                          </w:pPr>
                          <w:r w:rsidRPr="00A23DF2">
                            <w:rPr>
                              <w:sz w:val="13"/>
                              <w:szCs w:val="13"/>
                            </w:rPr>
                            <w:t>1</w:t>
                          </w:r>
                        </w:p>
                      </w:txbxContent>
                    </wps:txbx>
                    <wps:bodyPr vert="horz" wrap="square" lIns="0" tIns="0" rIns="0" bIns="0" anchor="t" anchorCtr="0"/>
                  </wps:wsp>
                </a:graphicData>
              </a:graphic>
            </wp:anchor>
          </w:drawing>
        </mc:Choice>
        <mc:Fallback>
          <w:pict>
            <v:shape w14:anchorId="01F359D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1D93873" w14:textId="77777777" w:rsidR="007C10C2" w:rsidRDefault="00E33A75">
                    <w:pPr>
                      <w:pStyle w:val="AfzendgegevensKop0"/>
                    </w:pPr>
                    <w:r>
                      <w:t>Ministerie van Infrastructuur en Waterstaat</w:t>
                    </w:r>
                  </w:p>
                  <w:p w14:paraId="55575663" w14:textId="77777777" w:rsidR="007C10C2" w:rsidRDefault="007C10C2">
                    <w:pPr>
                      <w:pStyle w:val="WitregelW1"/>
                    </w:pPr>
                  </w:p>
                  <w:p w14:paraId="129A002A" w14:textId="77777777" w:rsidR="007C10C2" w:rsidRDefault="00E33A75">
                    <w:pPr>
                      <w:pStyle w:val="Afzendgegevens"/>
                    </w:pPr>
                    <w:r>
                      <w:t>Rijnstraat 8</w:t>
                    </w:r>
                  </w:p>
                  <w:p w14:paraId="390509D3" w14:textId="77777777" w:rsidR="007C10C2" w:rsidRPr="00D00D0D" w:rsidRDefault="00E33A75">
                    <w:pPr>
                      <w:pStyle w:val="Afzendgegevens"/>
                      <w:rPr>
                        <w:lang w:val="de-DE"/>
                      </w:rPr>
                    </w:pPr>
                    <w:r w:rsidRPr="00D00D0D">
                      <w:rPr>
                        <w:lang w:val="de-DE"/>
                      </w:rPr>
                      <w:t>2515 XP  Den Haag</w:t>
                    </w:r>
                  </w:p>
                  <w:p w14:paraId="1156B0D5" w14:textId="77777777" w:rsidR="007C10C2" w:rsidRPr="00D00D0D" w:rsidRDefault="00E33A75">
                    <w:pPr>
                      <w:pStyle w:val="Afzendgegevens"/>
                      <w:rPr>
                        <w:lang w:val="de-DE"/>
                      </w:rPr>
                    </w:pPr>
                    <w:r w:rsidRPr="00D00D0D">
                      <w:rPr>
                        <w:lang w:val="de-DE"/>
                      </w:rPr>
                      <w:t>Postbus 20901</w:t>
                    </w:r>
                  </w:p>
                  <w:p w14:paraId="45CA924D" w14:textId="77777777" w:rsidR="007C10C2" w:rsidRPr="00D00D0D" w:rsidRDefault="00E33A75">
                    <w:pPr>
                      <w:pStyle w:val="Afzendgegevens"/>
                      <w:rPr>
                        <w:lang w:val="de-DE"/>
                      </w:rPr>
                    </w:pPr>
                    <w:r w:rsidRPr="00D00D0D">
                      <w:rPr>
                        <w:lang w:val="de-DE"/>
                      </w:rPr>
                      <w:t>2500 EX Den Haag</w:t>
                    </w:r>
                  </w:p>
                  <w:p w14:paraId="075B7349" w14:textId="77777777" w:rsidR="007C10C2" w:rsidRPr="00D00D0D" w:rsidRDefault="007C10C2">
                    <w:pPr>
                      <w:pStyle w:val="WitregelW1"/>
                      <w:rPr>
                        <w:lang w:val="de-DE"/>
                      </w:rPr>
                    </w:pPr>
                  </w:p>
                  <w:p w14:paraId="5A626CCB" w14:textId="77777777" w:rsidR="007C10C2" w:rsidRPr="00D00D0D" w:rsidRDefault="00E33A75">
                    <w:pPr>
                      <w:pStyle w:val="Afzendgegevens"/>
                      <w:rPr>
                        <w:lang w:val="de-DE"/>
                      </w:rPr>
                    </w:pPr>
                    <w:r w:rsidRPr="00D00D0D">
                      <w:rPr>
                        <w:lang w:val="de-DE"/>
                      </w:rPr>
                      <w:t>T   070-456 0000</w:t>
                    </w:r>
                  </w:p>
                  <w:p w14:paraId="0CF48735" w14:textId="77777777" w:rsidR="007C10C2" w:rsidRPr="00E8397E" w:rsidRDefault="00E33A75" w:rsidP="00E8397E">
                    <w:pPr>
                      <w:pStyle w:val="Afzendgegevens"/>
                      <w:spacing w:line="240" w:lineRule="auto"/>
                    </w:pPr>
                    <w:r>
                      <w:t>F   07</w:t>
                    </w:r>
                    <w:r w:rsidRPr="00E8397E">
                      <w:t>0-456 1111</w:t>
                    </w:r>
                  </w:p>
                  <w:p w14:paraId="1BF3BF78" w14:textId="77777777" w:rsidR="007C10C2" w:rsidRPr="00E8397E" w:rsidRDefault="007C10C2" w:rsidP="00E8397E">
                    <w:pPr>
                      <w:pStyle w:val="WitregelW2"/>
                      <w:spacing w:line="240" w:lineRule="auto"/>
                      <w:rPr>
                        <w:sz w:val="13"/>
                        <w:szCs w:val="13"/>
                      </w:rPr>
                    </w:pPr>
                  </w:p>
                  <w:p w14:paraId="42377B9B" w14:textId="5C504D60" w:rsidR="00E8397E" w:rsidRPr="00E8397E" w:rsidRDefault="00E8397E" w:rsidP="00E8397E">
                    <w:pPr>
                      <w:spacing w:line="240" w:lineRule="auto"/>
                      <w:rPr>
                        <w:b/>
                        <w:bCs/>
                        <w:sz w:val="13"/>
                        <w:szCs w:val="13"/>
                      </w:rPr>
                    </w:pPr>
                    <w:r w:rsidRPr="00E8397E">
                      <w:rPr>
                        <w:b/>
                        <w:bCs/>
                        <w:sz w:val="13"/>
                        <w:szCs w:val="13"/>
                      </w:rPr>
                      <w:t>Ons kenmerk</w:t>
                    </w:r>
                  </w:p>
                  <w:p w14:paraId="36D773C6" w14:textId="6656513F" w:rsidR="00E8397E" w:rsidRPr="00E8397E" w:rsidRDefault="00E8397E" w:rsidP="00E8397E">
                    <w:pPr>
                      <w:spacing w:line="240" w:lineRule="auto"/>
                      <w:rPr>
                        <w:sz w:val="13"/>
                        <w:szCs w:val="13"/>
                      </w:rPr>
                    </w:pPr>
                    <w:r w:rsidRPr="00E8397E">
                      <w:rPr>
                        <w:sz w:val="13"/>
                        <w:szCs w:val="13"/>
                      </w:rPr>
                      <w:t>IENW/BSK-2026/101277</w:t>
                    </w:r>
                  </w:p>
                  <w:p w14:paraId="0CC9005B" w14:textId="77777777" w:rsidR="00E8397E" w:rsidRPr="00E8397E" w:rsidRDefault="00E8397E" w:rsidP="00E8397E">
                    <w:pPr>
                      <w:spacing w:line="240" w:lineRule="auto"/>
                      <w:rPr>
                        <w:sz w:val="13"/>
                        <w:szCs w:val="13"/>
                      </w:rPr>
                    </w:pPr>
                  </w:p>
                  <w:p w14:paraId="71050F72" w14:textId="77777777" w:rsidR="007C10C2" w:rsidRPr="00E8397E" w:rsidRDefault="00E33A75" w:rsidP="00E8397E">
                    <w:pPr>
                      <w:pStyle w:val="Referentiegegevenskop"/>
                      <w:spacing w:line="240" w:lineRule="auto"/>
                    </w:pPr>
                    <w:r w:rsidRPr="00E8397E">
                      <w:t>Uw kenmerk</w:t>
                    </w:r>
                  </w:p>
                  <w:p w14:paraId="6A2E72BC" w14:textId="77777777" w:rsidR="007C10C2" w:rsidRDefault="00E33A75" w:rsidP="00E8397E">
                    <w:pPr>
                      <w:pStyle w:val="Referentiegegevens"/>
                      <w:spacing w:line="240" w:lineRule="auto"/>
                    </w:pPr>
                    <w:r w:rsidRPr="00E8397E">
                      <w:t>2026Z106</w:t>
                    </w:r>
                    <w:r>
                      <w:t>96/2026D27051</w:t>
                    </w:r>
                  </w:p>
                  <w:p w14:paraId="183E4B00" w14:textId="77777777" w:rsidR="00A23DF2" w:rsidRPr="00A23DF2" w:rsidRDefault="00A23DF2" w:rsidP="00A23DF2">
                    <w:pPr>
                      <w:spacing w:line="240" w:lineRule="auto"/>
                      <w:rPr>
                        <w:sz w:val="13"/>
                        <w:szCs w:val="13"/>
                      </w:rPr>
                    </w:pPr>
                  </w:p>
                  <w:p w14:paraId="4EBB0B4A" w14:textId="6D961355" w:rsidR="00A23DF2" w:rsidRPr="00A23DF2" w:rsidRDefault="00A23DF2" w:rsidP="00A23DF2">
                    <w:pPr>
                      <w:spacing w:line="240" w:lineRule="auto"/>
                      <w:rPr>
                        <w:b/>
                        <w:bCs/>
                        <w:sz w:val="13"/>
                        <w:szCs w:val="13"/>
                      </w:rPr>
                    </w:pPr>
                    <w:r w:rsidRPr="00A23DF2">
                      <w:rPr>
                        <w:b/>
                        <w:bCs/>
                        <w:sz w:val="13"/>
                        <w:szCs w:val="13"/>
                      </w:rPr>
                      <w:t>Bijlage(n)</w:t>
                    </w:r>
                  </w:p>
                  <w:p w14:paraId="460F10EF" w14:textId="4B09842E" w:rsidR="00A23DF2" w:rsidRPr="00A23DF2" w:rsidRDefault="00A23DF2" w:rsidP="00A23DF2">
                    <w:pPr>
                      <w:spacing w:line="240" w:lineRule="auto"/>
                      <w:rPr>
                        <w:sz w:val="13"/>
                        <w:szCs w:val="13"/>
                      </w:rPr>
                    </w:pPr>
                    <w:r w:rsidRPr="00A23DF2">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086A9E" wp14:editId="03EF215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CE8EBA" w14:textId="72698F8E" w:rsidR="00F07DB7" w:rsidRDefault="00D03922">
                          <w:r>
                            <w:rPr>
                              <w:noProof/>
                              <w:lang w:val="en-GB" w:eastAsia="en-GB"/>
                            </w:rPr>
                            <w:drawing>
                              <wp:inline distT="0" distB="0" distL="0" distR="0" wp14:anchorId="56B533D2" wp14:editId="72060523">
                                <wp:extent cx="467995" cy="1583690"/>
                                <wp:effectExtent l="0" t="0" r="8255" b="0"/>
                                <wp:docPr id="19996080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086A9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ACE8EBA" w14:textId="72698F8E" w:rsidR="00F07DB7" w:rsidRDefault="00D03922">
                    <w:r>
                      <w:rPr>
                        <w:noProof/>
                        <w:lang w:val="en-GB" w:eastAsia="en-GB"/>
                      </w:rPr>
                      <w:drawing>
                        <wp:inline distT="0" distB="0" distL="0" distR="0" wp14:anchorId="56B533D2" wp14:editId="72060523">
                          <wp:extent cx="467995" cy="1583690"/>
                          <wp:effectExtent l="0" t="0" r="8255" b="0"/>
                          <wp:docPr id="19996080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7DFD131" wp14:editId="30690790">
              <wp:simplePos x="3995420" y="0"/>
              <wp:positionH relativeFrom="page">
                <wp:posOffset>3995420</wp:posOffset>
              </wp:positionH>
              <wp:positionV relativeFrom="paragraph">
                <wp:posOffset>0</wp:posOffset>
              </wp:positionV>
              <wp:extent cx="2339975" cy="1583690"/>
              <wp:effectExtent l="0" t="0" r="0" b="0"/>
              <wp:wrapNone/>
              <wp:docPr id="9"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E01226" w14:textId="77777777" w:rsidR="007C10C2" w:rsidRDefault="00E33A75">
                          <w:pPr>
                            <w:spacing w:line="240" w:lineRule="auto"/>
                          </w:pPr>
                          <w:r>
                            <w:rPr>
                              <w:noProof/>
                              <w:lang w:val="en-GB" w:eastAsia="en-GB"/>
                            </w:rPr>
                            <w:drawing>
                              <wp:inline distT="0" distB="0" distL="0" distR="0" wp14:anchorId="2A93EC44" wp14:editId="07DBA6C7">
                                <wp:extent cx="2339975" cy="1582834"/>
                                <wp:effectExtent l="0" t="0" r="0" b="0"/>
                                <wp:docPr id="10"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FD13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CRMQAiwgEAAFQDAAAOAAAAAAAAAAAAAAAA&#10;AC4CAABkcnMvZTJvRG9jLnhtbFBLAQItABQABgAIAAAAIQBYw2c/3gAAAAgBAAAPAAAAAAAAAAAA&#10;AAAAABwEAABkcnMvZG93bnJldi54bWxQSwUGAAAAAAQABADzAAAAJwUAAAAA&#10;" filled="f" stroked="f">
              <v:textbox inset="0,0,0,0">
                <w:txbxContent>
                  <w:p w14:paraId="2FE01226" w14:textId="77777777" w:rsidR="007C10C2" w:rsidRDefault="00E33A75">
                    <w:pPr>
                      <w:spacing w:line="240" w:lineRule="auto"/>
                    </w:pPr>
                    <w:r>
                      <w:rPr>
                        <w:noProof/>
                        <w:lang w:val="en-GB" w:eastAsia="en-GB"/>
                      </w:rPr>
                      <w:drawing>
                        <wp:inline distT="0" distB="0" distL="0" distR="0" wp14:anchorId="2A93EC44" wp14:editId="07DBA6C7">
                          <wp:extent cx="2339975" cy="1582834"/>
                          <wp:effectExtent l="0" t="0" r="0" b="0"/>
                          <wp:docPr id="10"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853F315" wp14:editId="57A14950">
              <wp:simplePos x="1007744" y="1691639"/>
              <wp:positionH relativeFrom="page">
                <wp:posOffset>1007744</wp:posOffset>
              </wp:positionH>
              <wp:positionV relativeFrom="paragraph">
                <wp:posOffset>1691639</wp:posOffset>
              </wp:positionV>
              <wp:extent cx="3563620" cy="143510"/>
              <wp:effectExtent l="0" t="0" r="0" b="0"/>
              <wp:wrapNone/>
              <wp:docPr id="11"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02FD57C" w14:textId="77777777" w:rsidR="007C10C2" w:rsidRDefault="00E33A7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853F31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Bk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S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CJTbBkwAEAAFQDAAAOAAAAAAAAAAAAAAAA&#10;AC4CAABkcnMvZTJvRG9jLnhtbFBLAQItABQABgAIAAAAIQCGBf3o4AAAAAsBAAAPAAAAAAAAAAAA&#10;AAAAABoEAABkcnMvZG93bnJldi54bWxQSwUGAAAAAAQABADzAAAAJwUAAAAA&#10;" filled="f" stroked="f">
              <v:textbox inset="0,0,0,0">
                <w:txbxContent>
                  <w:p w14:paraId="202FD57C" w14:textId="77777777" w:rsidR="007C10C2" w:rsidRDefault="00E33A7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1867659" wp14:editId="7E7730EF">
              <wp:simplePos x="1007744" y="1943735"/>
              <wp:positionH relativeFrom="page">
                <wp:posOffset>1007744</wp:posOffset>
              </wp:positionH>
              <wp:positionV relativeFrom="paragraph">
                <wp:posOffset>1943735</wp:posOffset>
              </wp:positionV>
              <wp:extent cx="3491865" cy="1079500"/>
              <wp:effectExtent l="0" t="0" r="0" b="0"/>
              <wp:wrapNone/>
              <wp:docPr id="12"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A9B8FC0" w14:textId="77777777" w:rsidR="007C10C2" w:rsidRDefault="00E33A7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186765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awg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1dRYpjGGe2r&#10;Xd3vu11WV2uelaUQWb3dbrKi2lSMlyh7sY7CTc43WP/kECHM7+yMIEvcYzDqMUvQ8YudEszjCC43&#10;2cUcCMfgenNX1rstJRxzZbG/2xZpMPlruQMfPgirSXRaCjjXJDc7f/IBqeDV5Up8zdhHNY4xHjle&#10;uUQvzN18bTY9EEOd7S/IH1cYcQcLPymZcB1a6n88MxCUjB8N6h13Z3FgcbrFYYZjaUsDJVf3fUg7&#10;tjDA4SWOL4sWt+P3c+L5+jscfwE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DPrE5rCAQAAVgMAAA4AAAAAAAAAAAAA&#10;AAAALgIAAGRycy9lMm9Eb2MueG1sUEsBAi0AFAAGAAgAAAAhAJbtBRbgAAAACwEAAA8AAAAAAAAA&#10;AAAAAAAAHAQAAGRycy9kb3ducmV2LnhtbFBLBQYAAAAABAAEAPMAAAApBQAAAAA=&#10;" filled="f" stroked="f">
              <v:textbox inset="0,0,0,0">
                <w:txbxContent>
                  <w:p w14:paraId="1A9B8FC0" w14:textId="77777777" w:rsidR="007C10C2" w:rsidRDefault="00E33A7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D9D43A6" wp14:editId="553916D6">
              <wp:simplePos x="1007744" y="3635375"/>
              <wp:positionH relativeFrom="page">
                <wp:posOffset>1007744</wp:posOffset>
              </wp:positionH>
              <wp:positionV relativeFrom="paragraph">
                <wp:posOffset>3635375</wp:posOffset>
              </wp:positionV>
              <wp:extent cx="4105275" cy="629920"/>
              <wp:effectExtent l="0" t="0" r="0" b="0"/>
              <wp:wrapNone/>
              <wp:docPr id="13"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10C2" w14:paraId="50CF6B3D" w14:textId="77777777">
                            <w:trPr>
                              <w:trHeight w:val="200"/>
                            </w:trPr>
                            <w:tc>
                              <w:tcPr>
                                <w:tcW w:w="1140" w:type="dxa"/>
                              </w:tcPr>
                              <w:p w14:paraId="12819454" w14:textId="77777777" w:rsidR="007C10C2" w:rsidRDefault="007C10C2"/>
                            </w:tc>
                            <w:tc>
                              <w:tcPr>
                                <w:tcW w:w="5400" w:type="dxa"/>
                              </w:tcPr>
                              <w:p w14:paraId="1024048E" w14:textId="77777777" w:rsidR="007C10C2" w:rsidRDefault="007C10C2"/>
                            </w:tc>
                          </w:tr>
                          <w:tr w:rsidR="007C10C2" w14:paraId="1AFAEC93" w14:textId="77777777">
                            <w:trPr>
                              <w:trHeight w:val="240"/>
                            </w:trPr>
                            <w:tc>
                              <w:tcPr>
                                <w:tcW w:w="1140" w:type="dxa"/>
                              </w:tcPr>
                              <w:p w14:paraId="4051F115" w14:textId="77777777" w:rsidR="007C10C2" w:rsidRDefault="00E33A75">
                                <w:r>
                                  <w:t>Datum</w:t>
                                </w:r>
                              </w:p>
                            </w:tc>
                            <w:tc>
                              <w:tcPr>
                                <w:tcW w:w="5400" w:type="dxa"/>
                              </w:tcPr>
                              <w:p w14:paraId="229A7804" w14:textId="6D79FBC0" w:rsidR="007C10C2" w:rsidRDefault="00D03922">
                                <w:r>
                                  <w:t>9 juni 2026</w:t>
                                </w:r>
                              </w:p>
                            </w:tc>
                          </w:tr>
                          <w:tr w:rsidR="007C10C2" w14:paraId="087F98EF" w14:textId="77777777">
                            <w:trPr>
                              <w:trHeight w:val="240"/>
                            </w:trPr>
                            <w:tc>
                              <w:tcPr>
                                <w:tcW w:w="1140" w:type="dxa"/>
                              </w:tcPr>
                              <w:p w14:paraId="275282F2" w14:textId="77777777" w:rsidR="007C10C2" w:rsidRDefault="00E33A75">
                                <w:r>
                                  <w:t>Betreft</w:t>
                                </w:r>
                              </w:p>
                            </w:tc>
                            <w:tc>
                              <w:tcPr>
                                <w:tcW w:w="5400" w:type="dxa"/>
                              </w:tcPr>
                              <w:p w14:paraId="23763297" w14:textId="2FF8C5C6" w:rsidR="007C10C2" w:rsidRDefault="007163F3">
                                <w:r>
                                  <w:t>Reactie op c</w:t>
                                </w:r>
                                <w:r w:rsidR="00E33A75">
                                  <w:t>ommentaar Gemeente Dordrecht en andere t.b.v. commissiedebat Externe veiligheid d.d. 10 juni 2026</w:t>
                                </w:r>
                              </w:p>
                            </w:tc>
                          </w:tr>
                          <w:tr w:rsidR="007C10C2" w14:paraId="4A3F533E" w14:textId="77777777">
                            <w:trPr>
                              <w:trHeight w:val="200"/>
                            </w:trPr>
                            <w:tc>
                              <w:tcPr>
                                <w:tcW w:w="1140" w:type="dxa"/>
                              </w:tcPr>
                              <w:p w14:paraId="221AC6A4" w14:textId="77777777" w:rsidR="007C10C2" w:rsidRDefault="007C10C2"/>
                            </w:tc>
                            <w:tc>
                              <w:tcPr>
                                <w:tcW w:w="5400" w:type="dxa"/>
                              </w:tcPr>
                              <w:p w14:paraId="784355CB" w14:textId="77777777" w:rsidR="007C10C2" w:rsidRDefault="007C10C2"/>
                            </w:tc>
                          </w:tr>
                        </w:tbl>
                        <w:p w14:paraId="7A694D28" w14:textId="77777777" w:rsidR="00F07DB7" w:rsidRDefault="00F07DB7"/>
                      </w:txbxContent>
                    </wps:txbx>
                    <wps:bodyPr vert="horz" wrap="square" lIns="0" tIns="0" rIns="0" bIns="0" anchor="t" anchorCtr="0"/>
                  </wps:wsp>
                </a:graphicData>
              </a:graphic>
            </wp:anchor>
          </w:drawing>
        </mc:Choice>
        <mc:Fallback>
          <w:pict>
            <v:shape w14:anchorId="3D9D43A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ysx9V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10C2" w14:paraId="50CF6B3D" w14:textId="77777777">
                      <w:trPr>
                        <w:trHeight w:val="200"/>
                      </w:trPr>
                      <w:tc>
                        <w:tcPr>
                          <w:tcW w:w="1140" w:type="dxa"/>
                        </w:tcPr>
                        <w:p w14:paraId="12819454" w14:textId="77777777" w:rsidR="007C10C2" w:rsidRDefault="007C10C2"/>
                      </w:tc>
                      <w:tc>
                        <w:tcPr>
                          <w:tcW w:w="5400" w:type="dxa"/>
                        </w:tcPr>
                        <w:p w14:paraId="1024048E" w14:textId="77777777" w:rsidR="007C10C2" w:rsidRDefault="007C10C2"/>
                      </w:tc>
                    </w:tr>
                    <w:tr w:rsidR="007C10C2" w14:paraId="1AFAEC93" w14:textId="77777777">
                      <w:trPr>
                        <w:trHeight w:val="240"/>
                      </w:trPr>
                      <w:tc>
                        <w:tcPr>
                          <w:tcW w:w="1140" w:type="dxa"/>
                        </w:tcPr>
                        <w:p w14:paraId="4051F115" w14:textId="77777777" w:rsidR="007C10C2" w:rsidRDefault="00E33A75">
                          <w:r>
                            <w:t>Datum</w:t>
                          </w:r>
                        </w:p>
                      </w:tc>
                      <w:tc>
                        <w:tcPr>
                          <w:tcW w:w="5400" w:type="dxa"/>
                        </w:tcPr>
                        <w:p w14:paraId="229A7804" w14:textId="6D79FBC0" w:rsidR="007C10C2" w:rsidRDefault="00D03922">
                          <w:r>
                            <w:t>9 juni 2026</w:t>
                          </w:r>
                        </w:p>
                      </w:tc>
                    </w:tr>
                    <w:tr w:rsidR="007C10C2" w14:paraId="087F98EF" w14:textId="77777777">
                      <w:trPr>
                        <w:trHeight w:val="240"/>
                      </w:trPr>
                      <w:tc>
                        <w:tcPr>
                          <w:tcW w:w="1140" w:type="dxa"/>
                        </w:tcPr>
                        <w:p w14:paraId="275282F2" w14:textId="77777777" w:rsidR="007C10C2" w:rsidRDefault="00E33A75">
                          <w:r>
                            <w:t>Betreft</w:t>
                          </w:r>
                        </w:p>
                      </w:tc>
                      <w:tc>
                        <w:tcPr>
                          <w:tcW w:w="5400" w:type="dxa"/>
                        </w:tcPr>
                        <w:p w14:paraId="23763297" w14:textId="2FF8C5C6" w:rsidR="007C10C2" w:rsidRDefault="007163F3">
                          <w:r>
                            <w:t>Reactie op c</w:t>
                          </w:r>
                          <w:r w:rsidR="00E33A75">
                            <w:t>ommentaar Gemeente Dordrecht en andere t.b.v. commissiedebat Externe veiligheid d.d. 10 juni 2026</w:t>
                          </w:r>
                        </w:p>
                      </w:tc>
                    </w:tr>
                    <w:tr w:rsidR="007C10C2" w14:paraId="4A3F533E" w14:textId="77777777">
                      <w:trPr>
                        <w:trHeight w:val="200"/>
                      </w:trPr>
                      <w:tc>
                        <w:tcPr>
                          <w:tcW w:w="1140" w:type="dxa"/>
                        </w:tcPr>
                        <w:p w14:paraId="221AC6A4" w14:textId="77777777" w:rsidR="007C10C2" w:rsidRDefault="007C10C2"/>
                      </w:tc>
                      <w:tc>
                        <w:tcPr>
                          <w:tcW w:w="5400" w:type="dxa"/>
                        </w:tcPr>
                        <w:p w14:paraId="784355CB" w14:textId="77777777" w:rsidR="007C10C2" w:rsidRDefault="007C10C2"/>
                      </w:tc>
                    </w:tr>
                  </w:tbl>
                  <w:p w14:paraId="7A694D28" w14:textId="77777777" w:rsidR="00F07DB7" w:rsidRDefault="00F07DB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2E004A" wp14:editId="21CDC39E">
              <wp:simplePos x="1007744" y="1199515"/>
              <wp:positionH relativeFrom="page">
                <wp:posOffset>1007744</wp:posOffset>
              </wp:positionH>
              <wp:positionV relativeFrom="paragraph">
                <wp:posOffset>1199515</wp:posOffset>
              </wp:positionV>
              <wp:extent cx="2381250" cy="285750"/>
              <wp:effectExtent l="0" t="0" r="0" b="0"/>
              <wp:wrapNone/>
              <wp:docPr id="14"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214F6C" w14:textId="77777777" w:rsidR="00F07DB7" w:rsidRDefault="00F07DB7"/>
                      </w:txbxContent>
                    </wps:txbx>
                    <wps:bodyPr vert="horz" wrap="square" lIns="0" tIns="0" rIns="0" bIns="0" anchor="t" anchorCtr="0"/>
                  </wps:wsp>
                </a:graphicData>
              </a:graphic>
            </wp:anchor>
          </w:drawing>
        </mc:Choice>
        <mc:Fallback>
          <w:pict>
            <v:shape w14:anchorId="0A2E004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vELm74BAABVAwAADgAAAAAAAAAAAAAAAAAu&#10;AgAAZHJzL2Uyb0RvYy54bWxQSwECLQAUAAYACAAAACEAPPsda+AAAAALAQAADwAAAAAAAAAAAAAA&#10;AAAYBAAAZHJzL2Rvd25yZXYueG1sUEsFBgAAAAAEAAQA8wAAACUFAAAAAA==&#10;" filled="f" stroked="f">
              <v:textbox inset="0,0,0,0">
                <w:txbxContent>
                  <w:p w14:paraId="11214F6C" w14:textId="77777777" w:rsidR="00F07DB7" w:rsidRDefault="00F07D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2BE99"/>
    <w:multiLevelType w:val="multilevel"/>
    <w:tmpl w:val="CBAF8E2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2BE95A"/>
    <w:multiLevelType w:val="multilevel"/>
    <w:tmpl w:val="530067E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66A45B"/>
    <w:multiLevelType w:val="multilevel"/>
    <w:tmpl w:val="24443AD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1D8008"/>
    <w:multiLevelType w:val="multilevel"/>
    <w:tmpl w:val="F179445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D4F6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0A0E1E"/>
    <w:multiLevelType w:val="multilevel"/>
    <w:tmpl w:val="1CE36CF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34B74B"/>
    <w:multiLevelType w:val="multilevel"/>
    <w:tmpl w:val="5E574B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5A1CA8"/>
    <w:multiLevelType w:val="multilevel"/>
    <w:tmpl w:val="8440B3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3F0BD5"/>
    <w:multiLevelType w:val="multilevel"/>
    <w:tmpl w:val="2F2B166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5EAEC0"/>
    <w:multiLevelType w:val="multilevel"/>
    <w:tmpl w:val="007D639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2216F7"/>
    <w:multiLevelType w:val="multilevel"/>
    <w:tmpl w:val="0ECE04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90B6DB"/>
    <w:multiLevelType w:val="multilevel"/>
    <w:tmpl w:val="7B5B30C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E6F820"/>
    <w:multiLevelType w:val="multilevel"/>
    <w:tmpl w:val="8107BA1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DD0184"/>
    <w:multiLevelType w:val="hybridMultilevel"/>
    <w:tmpl w:val="8D94F870"/>
    <w:lvl w:ilvl="0" w:tplc="A0FA48AC">
      <w:start w:val="1"/>
      <w:numFmt w:val="decimal"/>
      <w:lvlText w:val="%1."/>
      <w:lvlJc w:val="left"/>
      <w:pPr>
        <w:ind w:left="720" w:hanging="360"/>
      </w:pPr>
      <w:rPr>
        <w:color w:val="000000" w:themeColor="text1"/>
      </w:rPr>
    </w:lvl>
    <w:lvl w:ilvl="1" w:tplc="DF182000">
      <w:start w:val="1"/>
      <w:numFmt w:val="lowerLetter"/>
      <w:lvlText w:val="%2."/>
      <w:lvlJc w:val="left"/>
      <w:pPr>
        <w:ind w:left="1440" w:hanging="360"/>
      </w:pPr>
    </w:lvl>
    <w:lvl w:ilvl="2" w:tplc="F07443CA">
      <w:start w:val="1"/>
      <w:numFmt w:val="lowerRoman"/>
      <w:lvlText w:val="%3."/>
      <w:lvlJc w:val="right"/>
      <w:pPr>
        <w:ind w:left="2160" w:hanging="180"/>
      </w:pPr>
    </w:lvl>
    <w:lvl w:ilvl="3" w:tplc="FCC6FF90">
      <w:start w:val="1"/>
      <w:numFmt w:val="decimal"/>
      <w:lvlText w:val="%4."/>
      <w:lvlJc w:val="left"/>
      <w:pPr>
        <w:ind w:left="2880" w:hanging="360"/>
      </w:pPr>
    </w:lvl>
    <w:lvl w:ilvl="4" w:tplc="E28005E8">
      <w:start w:val="1"/>
      <w:numFmt w:val="lowerLetter"/>
      <w:lvlText w:val="%5."/>
      <w:lvlJc w:val="left"/>
      <w:pPr>
        <w:ind w:left="3600" w:hanging="360"/>
      </w:pPr>
    </w:lvl>
    <w:lvl w:ilvl="5" w:tplc="F7B0A5B2">
      <w:start w:val="1"/>
      <w:numFmt w:val="lowerRoman"/>
      <w:lvlText w:val="%6."/>
      <w:lvlJc w:val="right"/>
      <w:pPr>
        <w:ind w:left="4320" w:hanging="180"/>
      </w:pPr>
    </w:lvl>
    <w:lvl w:ilvl="6" w:tplc="274E6306">
      <w:start w:val="1"/>
      <w:numFmt w:val="decimal"/>
      <w:lvlText w:val="%7."/>
      <w:lvlJc w:val="left"/>
      <w:pPr>
        <w:ind w:left="5040" w:hanging="360"/>
      </w:pPr>
    </w:lvl>
    <w:lvl w:ilvl="7" w:tplc="368AB238">
      <w:start w:val="1"/>
      <w:numFmt w:val="lowerLetter"/>
      <w:lvlText w:val="%8."/>
      <w:lvlJc w:val="left"/>
      <w:pPr>
        <w:ind w:left="5760" w:hanging="360"/>
      </w:pPr>
    </w:lvl>
    <w:lvl w:ilvl="8" w:tplc="C0749C22">
      <w:start w:val="1"/>
      <w:numFmt w:val="lowerRoman"/>
      <w:lvlText w:val="%9."/>
      <w:lvlJc w:val="right"/>
      <w:pPr>
        <w:ind w:left="6480" w:hanging="180"/>
      </w:pPr>
    </w:lvl>
  </w:abstractNum>
  <w:abstractNum w:abstractNumId="14" w15:restartNumberingAfterBreak="0">
    <w:nsid w:val="0C02D1E5"/>
    <w:multiLevelType w:val="multilevel"/>
    <w:tmpl w:val="AA2F97F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E17058"/>
    <w:multiLevelType w:val="multilevel"/>
    <w:tmpl w:val="69644FB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EFC6F5"/>
    <w:multiLevelType w:val="multilevel"/>
    <w:tmpl w:val="39D4B9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A3CE24"/>
    <w:multiLevelType w:val="multilevel"/>
    <w:tmpl w:val="0244DD0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370BA4"/>
    <w:multiLevelType w:val="hybridMultilevel"/>
    <w:tmpl w:val="18EC7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A9D173"/>
    <w:multiLevelType w:val="multilevel"/>
    <w:tmpl w:val="EF87F1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1915A36"/>
    <w:multiLevelType w:val="multilevel"/>
    <w:tmpl w:val="7F7DC0B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CA34E9"/>
    <w:multiLevelType w:val="multilevel"/>
    <w:tmpl w:val="067B26B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68A681"/>
    <w:multiLevelType w:val="multilevel"/>
    <w:tmpl w:val="EA92936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00D5EA"/>
    <w:multiLevelType w:val="multilevel"/>
    <w:tmpl w:val="E756CC1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76FD45"/>
    <w:multiLevelType w:val="multilevel"/>
    <w:tmpl w:val="6033CF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6F83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EA84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F024C4"/>
    <w:multiLevelType w:val="multilevel"/>
    <w:tmpl w:val="1860C6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7"/>
  </w:num>
  <w:num w:numId="4">
    <w:abstractNumId w:val="20"/>
  </w:num>
  <w:num w:numId="5">
    <w:abstractNumId w:val="24"/>
  </w:num>
  <w:num w:numId="6">
    <w:abstractNumId w:val="10"/>
  </w:num>
  <w:num w:numId="7">
    <w:abstractNumId w:val="5"/>
  </w:num>
  <w:num w:numId="8">
    <w:abstractNumId w:val="15"/>
  </w:num>
  <w:num w:numId="9">
    <w:abstractNumId w:val="17"/>
  </w:num>
  <w:num w:numId="10">
    <w:abstractNumId w:val="0"/>
  </w:num>
  <w:num w:numId="11">
    <w:abstractNumId w:val="7"/>
  </w:num>
  <w:num w:numId="12">
    <w:abstractNumId w:val="19"/>
  </w:num>
  <w:num w:numId="13">
    <w:abstractNumId w:val="14"/>
  </w:num>
  <w:num w:numId="14">
    <w:abstractNumId w:val="22"/>
  </w:num>
  <w:num w:numId="15">
    <w:abstractNumId w:val="6"/>
  </w:num>
  <w:num w:numId="16">
    <w:abstractNumId w:val="9"/>
  </w:num>
  <w:num w:numId="17">
    <w:abstractNumId w:val="23"/>
  </w:num>
  <w:num w:numId="18">
    <w:abstractNumId w:val="1"/>
  </w:num>
  <w:num w:numId="19">
    <w:abstractNumId w:val="8"/>
  </w:num>
  <w:num w:numId="20">
    <w:abstractNumId w:val="16"/>
  </w:num>
  <w:num w:numId="21">
    <w:abstractNumId w:val="12"/>
  </w:num>
  <w:num w:numId="22">
    <w:abstractNumId w:val="3"/>
  </w:num>
  <w:num w:numId="23">
    <w:abstractNumId w:val="2"/>
  </w:num>
  <w:num w:numId="24">
    <w:abstractNumId w:val="25"/>
  </w:num>
  <w:num w:numId="25">
    <w:abstractNumId w:val="26"/>
  </w:num>
  <w:num w:numId="26">
    <w:abstractNumId w:val="18"/>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0D"/>
    <w:rsid w:val="00044B77"/>
    <w:rsid w:val="00057E6D"/>
    <w:rsid w:val="00071640"/>
    <w:rsid w:val="000F6BF8"/>
    <w:rsid w:val="00145ADB"/>
    <w:rsid w:val="00152F5E"/>
    <w:rsid w:val="00163125"/>
    <w:rsid w:val="001673E9"/>
    <w:rsid w:val="001C0DBF"/>
    <w:rsid w:val="001D7D8D"/>
    <w:rsid w:val="00222BF6"/>
    <w:rsid w:val="002354BC"/>
    <w:rsid w:val="00240816"/>
    <w:rsid w:val="002A228E"/>
    <w:rsid w:val="002D052B"/>
    <w:rsid w:val="0030221C"/>
    <w:rsid w:val="00303092"/>
    <w:rsid w:val="00360D42"/>
    <w:rsid w:val="00380EEA"/>
    <w:rsid w:val="003E3180"/>
    <w:rsid w:val="003F5C3E"/>
    <w:rsid w:val="00406A7E"/>
    <w:rsid w:val="00446528"/>
    <w:rsid w:val="004D0EB2"/>
    <w:rsid w:val="004E1391"/>
    <w:rsid w:val="0054263B"/>
    <w:rsid w:val="00547E64"/>
    <w:rsid w:val="00590C17"/>
    <w:rsid w:val="00591FB6"/>
    <w:rsid w:val="005B0B84"/>
    <w:rsid w:val="005B57C0"/>
    <w:rsid w:val="007163F3"/>
    <w:rsid w:val="0075715E"/>
    <w:rsid w:val="00776E02"/>
    <w:rsid w:val="00783B4A"/>
    <w:rsid w:val="00783FBA"/>
    <w:rsid w:val="00785CCD"/>
    <w:rsid w:val="00792531"/>
    <w:rsid w:val="007A1D1C"/>
    <w:rsid w:val="007A2EED"/>
    <w:rsid w:val="007B0794"/>
    <w:rsid w:val="007C10C2"/>
    <w:rsid w:val="007E1A71"/>
    <w:rsid w:val="008244B9"/>
    <w:rsid w:val="008408D5"/>
    <w:rsid w:val="00850DD7"/>
    <w:rsid w:val="0086732B"/>
    <w:rsid w:val="008A73F9"/>
    <w:rsid w:val="00913B4E"/>
    <w:rsid w:val="00A23DF2"/>
    <w:rsid w:val="00A348CF"/>
    <w:rsid w:val="00A90F7D"/>
    <w:rsid w:val="00AC4B99"/>
    <w:rsid w:val="00AD47BB"/>
    <w:rsid w:val="00AE6C36"/>
    <w:rsid w:val="00AF2DA8"/>
    <w:rsid w:val="00B0120B"/>
    <w:rsid w:val="00B96C88"/>
    <w:rsid w:val="00BB612C"/>
    <w:rsid w:val="00C229B8"/>
    <w:rsid w:val="00C878E9"/>
    <w:rsid w:val="00CD1A20"/>
    <w:rsid w:val="00D00D0D"/>
    <w:rsid w:val="00D03922"/>
    <w:rsid w:val="00D47B75"/>
    <w:rsid w:val="00D650DE"/>
    <w:rsid w:val="00DD0F3A"/>
    <w:rsid w:val="00E33A75"/>
    <w:rsid w:val="00E33E5D"/>
    <w:rsid w:val="00E8397E"/>
    <w:rsid w:val="00ED45C6"/>
    <w:rsid w:val="00EE03E0"/>
    <w:rsid w:val="00EF74F5"/>
    <w:rsid w:val="00F07DB7"/>
    <w:rsid w:val="00F359DC"/>
    <w:rsid w:val="00F632EC"/>
    <w:rsid w:val="00F92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0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00D0D"/>
    <w:pPr>
      <w:tabs>
        <w:tab w:val="center" w:pos="4536"/>
        <w:tab w:val="right" w:pos="9072"/>
      </w:tabs>
      <w:spacing w:line="240" w:lineRule="auto"/>
    </w:pPr>
  </w:style>
  <w:style w:type="character" w:customStyle="1" w:styleId="HeaderChar">
    <w:name w:val="Header Char"/>
    <w:basedOn w:val="DefaultParagraphFont"/>
    <w:link w:val="Header"/>
    <w:uiPriority w:val="99"/>
    <w:rsid w:val="00D00D0D"/>
    <w:rPr>
      <w:rFonts w:ascii="Verdana" w:hAnsi="Verdana"/>
      <w:color w:val="000000"/>
      <w:sz w:val="18"/>
      <w:szCs w:val="18"/>
    </w:rPr>
  </w:style>
  <w:style w:type="paragraph" w:styleId="Footer">
    <w:name w:val="footer"/>
    <w:basedOn w:val="Normal"/>
    <w:link w:val="FooterChar"/>
    <w:uiPriority w:val="99"/>
    <w:unhideWhenUsed/>
    <w:rsid w:val="00D00D0D"/>
    <w:pPr>
      <w:tabs>
        <w:tab w:val="center" w:pos="4536"/>
        <w:tab w:val="right" w:pos="9072"/>
      </w:tabs>
      <w:spacing w:line="240" w:lineRule="auto"/>
    </w:pPr>
  </w:style>
  <w:style w:type="character" w:customStyle="1" w:styleId="FooterChar">
    <w:name w:val="Footer Char"/>
    <w:basedOn w:val="DefaultParagraphFont"/>
    <w:link w:val="Footer"/>
    <w:uiPriority w:val="99"/>
    <w:rsid w:val="00D00D0D"/>
    <w:rPr>
      <w:rFonts w:ascii="Verdana" w:hAnsi="Verdana"/>
      <w:color w:val="000000"/>
      <w:sz w:val="18"/>
      <w:szCs w:val="18"/>
    </w:rPr>
  </w:style>
  <w:style w:type="paragraph" w:customStyle="1" w:styleId="Default">
    <w:name w:val="Default"/>
    <w:rsid w:val="00D00D0D"/>
    <w:pPr>
      <w:autoSpaceDE w:val="0"/>
      <w:adjustRightInd w:val="0"/>
      <w:textAlignment w:val="auto"/>
    </w:pPr>
    <w:rPr>
      <w:rFonts w:ascii="Aptos" w:hAnsi="Aptos" w:cs="Aptos"/>
      <w:color w:val="000000"/>
      <w:sz w:val="24"/>
      <w:szCs w:val="24"/>
    </w:rPr>
  </w:style>
  <w:style w:type="paragraph" w:styleId="FootnoteText">
    <w:name w:val="footnote text"/>
    <w:basedOn w:val="Normal"/>
    <w:link w:val="FootnoteTextChar"/>
    <w:uiPriority w:val="99"/>
    <w:semiHidden/>
    <w:unhideWhenUsed/>
    <w:rsid w:val="00591FB6"/>
    <w:pPr>
      <w:spacing w:line="240" w:lineRule="auto"/>
    </w:pPr>
    <w:rPr>
      <w:sz w:val="20"/>
      <w:szCs w:val="20"/>
    </w:rPr>
  </w:style>
  <w:style w:type="character" w:customStyle="1" w:styleId="FootnoteTextChar">
    <w:name w:val="Footnote Text Char"/>
    <w:basedOn w:val="DefaultParagraphFont"/>
    <w:link w:val="FootnoteText"/>
    <w:uiPriority w:val="99"/>
    <w:semiHidden/>
    <w:rsid w:val="00591FB6"/>
    <w:rPr>
      <w:rFonts w:ascii="Verdana" w:hAnsi="Verdana"/>
      <w:color w:val="000000"/>
    </w:rPr>
  </w:style>
  <w:style w:type="character" w:styleId="FootnoteReference">
    <w:name w:val="footnote reference"/>
    <w:basedOn w:val="DefaultParagraphFont"/>
    <w:uiPriority w:val="99"/>
    <w:semiHidden/>
    <w:unhideWhenUsed/>
    <w:rsid w:val="00591FB6"/>
    <w:rPr>
      <w:vertAlign w:val="superscript"/>
    </w:rPr>
  </w:style>
  <w:style w:type="paragraph" w:styleId="Revision">
    <w:name w:val="Revision"/>
    <w:hidden/>
    <w:uiPriority w:val="99"/>
    <w:semiHidden/>
    <w:rsid w:val="002D052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2DA8"/>
    <w:rPr>
      <w:sz w:val="16"/>
      <w:szCs w:val="16"/>
    </w:rPr>
  </w:style>
  <w:style w:type="paragraph" w:styleId="CommentText">
    <w:name w:val="annotation text"/>
    <w:basedOn w:val="Normal"/>
    <w:link w:val="CommentTextChar"/>
    <w:uiPriority w:val="99"/>
    <w:unhideWhenUsed/>
    <w:rsid w:val="00AF2DA8"/>
    <w:pPr>
      <w:spacing w:line="240" w:lineRule="auto"/>
    </w:pPr>
    <w:rPr>
      <w:sz w:val="20"/>
      <w:szCs w:val="20"/>
    </w:rPr>
  </w:style>
  <w:style w:type="character" w:customStyle="1" w:styleId="CommentTextChar">
    <w:name w:val="Comment Text Char"/>
    <w:basedOn w:val="DefaultParagraphFont"/>
    <w:link w:val="CommentText"/>
    <w:uiPriority w:val="99"/>
    <w:rsid w:val="00AF2DA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2DA8"/>
    <w:rPr>
      <w:b/>
      <w:bCs/>
    </w:rPr>
  </w:style>
  <w:style w:type="character" w:customStyle="1" w:styleId="CommentSubjectChar">
    <w:name w:val="Comment Subject Char"/>
    <w:basedOn w:val="CommentTextChar"/>
    <w:link w:val="CommentSubject"/>
    <w:uiPriority w:val="99"/>
    <w:semiHidden/>
    <w:rsid w:val="00AF2DA8"/>
    <w:rPr>
      <w:rFonts w:ascii="Verdana" w:hAnsi="Verdana"/>
      <w:b/>
      <w:bCs/>
      <w:color w:val="000000"/>
    </w:rPr>
  </w:style>
  <w:style w:type="character" w:customStyle="1" w:styleId="UnresolvedMention">
    <w:name w:val="Unresolved Mention"/>
    <w:basedOn w:val="DefaultParagraphFont"/>
    <w:uiPriority w:val="99"/>
    <w:semiHidden/>
    <w:unhideWhenUsed/>
    <w:rsid w:val="0030221C"/>
    <w:rPr>
      <w:color w:val="605E5C"/>
      <w:shd w:val="clear" w:color="auto" w:fill="E1DFDD"/>
    </w:rPr>
  </w:style>
  <w:style w:type="paragraph" w:styleId="ListParagraph">
    <w:name w:val="List Paragraph"/>
    <w:basedOn w:val="Normal"/>
    <w:uiPriority w:val="34"/>
    <w:qFormat/>
    <w:rsid w:val="00CD1A2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FollowedHyperlink">
    <w:name w:val="FollowedHyperlink"/>
    <w:basedOn w:val="DefaultParagraphFont"/>
    <w:uiPriority w:val="99"/>
    <w:semiHidden/>
    <w:unhideWhenUsed/>
    <w:rsid w:val="00785C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1061&amp;did=2026D0256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1177</ap:Words>
  <ap:Characters>6711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Commentaar Gemeente Dordrecht en andere t.b.v. commissiedebat Externe veiligheid d.d. 10 juni 2026</vt:lpstr>
    </vt:vector>
  </ap:TitlesOfParts>
  <ap:LinksUpToDate>false</ap:LinksUpToDate>
  <ap:CharactersWithSpaces>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2026-06-09T14:32:00.0000000Z</dcterms:created>
  <dcterms:modified xsi:type="dcterms:W3CDTF">2026-06-09T14:32:00.0000000Z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Commentaar Gemeente Dordrecht en andere t.b.v. commissiedebat Externe veiligheid d.d. 10 juni 2026</vt:lpwstr>
  </property>
  <property fmtid="{D5CDD505-2E9C-101B-9397-08002B2CF9AE}" pid="5" name="Publicatiedatum">
    <vt:lpwstr/>
  </property>
  <property fmtid="{D5CDD505-2E9C-101B-9397-08002B2CF9AE}" pid="6" name="Verantwoordelijke organisatie">
    <vt:lpwstr>Dir Gezonde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H.A. Meijer</vt:lpwstr>
  </property>
  <property fmtid="{D5CDD505-2E9C-101B-9397-08002B2CF9AE}" pid="14" name="Opgesteld door, Telefoonnummer">
    <vt:lpwstr>070-4566175</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