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4F351A" w:rsidTr="00D9561B" w14:paraId="2DCF8C8B" w14:textId="77777777">
        <w:trPr>
          <w:trHeight w:val="1514"/>
        </w:trPr>
        <w:tc>
          <w:tcPr>
            <w:tcW w:w="7522" w:type="dxa"/>
            <w:tcBorders>
              <w:top w:val="nil"/>
              <w:left w:val="nil"/>
              <w:bottom w:val="nil"/>
              <w:right w:val="nil"/>
            </w:tcBorders>
            <w:tcMar>
              <w:left w:w="0" w:type="dxa"/>
              <w:right w:w="0" w:type="dxa"/>
            </w:tcMar>
          </w:tcPr>
          <w:p w:rsidR="00374412" w:rsidP="00D9561B" w:rsidRDefault="00F91216" w14:paraId="2E7123DC" w14:textId="77777777">
            <w:r>
              <w:t>De v</w:t>
            </w:r>
            <w:r w:rsidR="008E3932">
              <w:t>oorzitter van de Tweede Kamer der Staten-Generaal</w:t>
            </w:r>
          </w:p>
          <w:p w:rsidR="00374412" w:rsidP="00D9561B" w:rsidRDefault="00F91216" w14:paraId="45798910" w14:textId="77777777">
            <w:r>
              <w:t>Postbus 20018</w:t>
            </w:r>
          </w:p>
          <w:p w:rsidR="008E3932" w:rsidP="00D9561B" w:rsidRDefault="00F91216" w14:paraId="628BF1FE" w14:textId="365BE8EA">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4F351A" w:rsidTr="00FF66F9" w14:paraId="0871D129" w14:textId="77777777">
        <w:trPr>
          <w:trHeight w:val="289" w:hRule="exact"/>
        </w:trPr>
        <w:tc>
          <w:tcPr>
            <w:tcW w:w="929" w:type="dxa"/>
          </w:tcPr>
          <w:p w:rsidRPr="00434042" w:rsidR="0005404B" w:rsidP="00FF66F9" w:rsidRDefault="00F91216" w14:paraId="0E4F8039" w14:textId="77777777">
            <w:pPr>
              <w:rPr>
                <w:lang w:eastAsia="en-US"/>
              </w:rPr>
            </w:pPr>
            <w:r>
              <w:rPr>
                <w:lang w:eastAsia="en-US"/>
              </w:rPr>
              <w:t>Datum</w:t>
            </w:r>
          </w:p>
        </w:tc>
        <w:tc>
          <w:tcPr>
            <w:tcW w:w="6581" w:type="dxa"/>
          </w:tcPr>
          <w:p w:rsidRPr="00434042" w:rsidR="0005404B" w:rsidP="00FF66F9" w:rsidRDefault="00237D47" w14:paraId="1AF6C860" w14:textId="232A1E6D">
            <w:pPr>
              <w:rPr>
                <w:lang w:eastAsia="en-US"/>
              </w:rPr>
            </w:pPr>
            <w:r>
              <w:rPr>
                <w:lang w:eastAsia="en-US"/>
              </w:rPr>
              <w:t>9 juni 2026</w:t>
            </w:r>
          </w:p>
        </w:tc>
      </w:tr>
      <w:tr w:rsidR="004F351A" w:rsidTr="00FF66F9" w14:paraId="351CE641" w14:textId="77777777">
        <w:trPr>
          <w:trHeight w:val="368"/>
        </w:trPr>
        <w:tc>
          <w:tcPr>
            <w:tcW w:w="929" w:type="dxa"/>
          </w:tcPr>
          <w:p w:rsidR="0005404B" w:rsidP="00FF66F9" w:rsidRDefault="00F91216" w14:paraId="1171D3E9" w14:textId="77777777">
            <w:pPr>
              <w:rPr>
                <w:lang w:eastAsia="en-US"/>
              </w:rPr>
            </w:pPr>
            <w:r>
              <w:rPr>
                <w:lang w:eastAsia="en-US"/>
              </w:rPr>
              <w:t>Betreft</w:t>
            </w:r>
          </w:p>
        </w:tc>
        <w:tc>
          <w:tcPr>
            <w:tcW w:w="6581" w:type="dxa"/>
          </w:tcPr>
          <w:p w:rsidR="0005404B" w:rsidP="00FF66F9" w:rsidRDefault="00F91216" w14:paraId="56DB4618" w14:textId="77777777">
            <w:pPr>
              <w:rPr>
                <w:lang w:eastAsia="en-US"/>
              </w:rPr>
            </w:pPr>
            <w:r>
              <w:rPr>
                <w:lang w:eastAsia="en-US"/>
              </w:rPr>
              <w:t>Kabinetsreactie aanbevelingen CEDAW</w:t>
            </w:r>
          </w:p>
        </w:tc>
      </w:tr>
    </w:tbl>
    <w:p w:rsidR="004F351A" w:rsidP="000115C8" w:rsidRDefault="00B20109" w14:paraId="30BA15CB" w14:textId="37DC8ADA">
      <w:pPr>
        <w:jc w:val="both"/>
      </w:pPr>
      <w:r w:rsidRP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A83B2F" w:rsidR="004F351A" w:rsidTr="00A421A1" w14:paraId="2A96F5CF" w14:textId="77777777">
        <w:tc>
          <w:tcPr>
            <w:tcW w:w="2160" w:type="dxa"/>
          </w:tcPr>
          <w:p w:rsidRPr="00F53C9D" w:rsidR="006205C0" w:rsidP="000115C8" w:rsidRDefault="00F91216" w14:paraId="6DE2DFD7" w14:textId="77777777">
            <w:pPr>
              <w:pStyle w:val="Colofonkop"/>
              <w:framePr w:hSpace="0" w:wrap="auto" w:hAnchor="text" w:vAnchor="margin" w:xAlign="left" w:yAlign="inline"/>
              <w:jc w:val="both"/>
            </w:pPr>
            <w:r>
              <w:t>Emancipatie</w:t>
            </w:r>
          </w:p>
          <w:p w:rsidR="006205C0" w:rsidP="000115C8" w:rsidRDefault="00F91216" w14:paraId="33B225CE" w14:textId="77777777">
            <w:pPr>
              <w:pStyle w:val="Huisstijl-Gegeven"/>
              <w:spacing w:after="0"/>
              <w:jc w:val="both"/>
            </w:pPr>
            <w:r>
              <w:t xml:space="preserve">Rijnstraat 50 </w:t>
            </w:r>
          </w:p>
          <w:p w:rsidR="004425A7" w:rsidP="000115C8" w:rsidRDefault="00F91216" w14:paraId="54611C7D" w14:textId="77777777">
            <w:pPr>
              <w:pStyle w:val="Huisstijl-Gegeven"/>
              <w:spacing w:after="0"/>
              <w:jc w:val="both"/>
            </w:pPr>
            <w:r>
              <w:t>Den Haag</w:t>
            </w:r>
          </w:p>
          <w:p w:rsidR="004425A7" w:rsidP="000115C8" w:rsidRDefault="00F91216" w14:paraId="2C8EBA48" w14:textId="77777777">
            <w:pPr>
              <w:pStyle w:val="Huisstijl-Gegeven"/>
              <w:spacing w:after="0"/>
              <w:jc w:val="both"/>
            </w:pPr>
            <w:r>
              <w:t>Postbus 16375</w:t>
            </w:r>
          </w:p>
          <w:p w:rsidRPr="007C790E" w:rsidR="004425A7" w:rsidP="000115C8" w:rsidRDefault="00F91216" w14:paraId="7A8D31F2" w14:textId="77777777">
            <w:pPr>
              <w:pStyle w:val="Huisstijl-Gegeven"/>
              <w:spacing w:after="0"/>
              <w:jc w:val="both"/>
              <w:rPr>
                <w:lang w:val="da-DK"/>
              </w:rPr>
            </w:pPr>
            <w:r w:rsidRPr="007C790E">
              <w:rPr>
                <w:lang w:val="da-DK"/>
              </w:rPr>
              <w:t>2500 BJ Den Haag</w:t>
            </w:r>
          </w:p>
          <w:p w:rsidRPr="007C790E" w:rsidR="004425A7" w:rsidP="000115C8" w:rsidRDefault="00F91216" w14:paraId="15C2104C" w14:textId="77777777">
            <w:pPr>
              <w:pStyle w:val="Huisstijl-Gegeven"/>
              <w:spacing w:after="90"/>
              <w:jc w:val="both"/>
              <w:rPr>
                <w:lang w:val="da-DK"/>
              </w:rPr>
            </w:pPr>
            <w:r w:rsidRPr="007C790E">
              <w:rPr>
                <w:lang w:val="da-DK"/>
              </w:rPr>
              <w:t>www.rijksoverheid.nl</w:t>
            </w:r>
          </w:p>
          <w:p w:rsidRPr="00A83B2F" w:rsidR="006205C0" w:rsidP="00237D47" w:rsidRDefault="006205C0" w14:paraId="327E1922" w14:textId="327894D0">
            <w:pPr>
              <w:spacing w:line="180" w:lineRule="exact"/>
              <w:jc w:val="both"/>
              <w:rPr>
                <w:sz w:val="13"/>
                <w:szCs w:val="13"/>
              </w:rPr>
            </w:pPr>
          </w:p>
        </w:tc>
      </w:tr>
      <w:tr w:rsidRPr="00A83B2F" w:rsidR="004F351A" w:rsidTr="00A421A1" w14:paraId="297768B7" w14:textId="77777777">
        <w:trPr>
          <w:trHeight w:val="200" w:hRule="exact"/>
        </w:trPr>
        <w:tc>
          <w:tcPr>
            <w:tcW w:w="2160" w:type="dxa"/>
          </w:tcPr>
          <w:p w:rsidRPr="00A83B2F" w:rsidR="006205C0" w:rsidP="000115C8" w:rsidRDefault="006205C0" w14:paraId="7C60D279" w14:textId="77777777">
            <w:pPr>
              <w:spacing w:after="90" w:line="180" w:lineRule="exact"/>
              <w:jc w:val="both"/>
              <w:rPr>
                <w:sz w:val="13"/>
                <w:szCs w:val="13"/>
              </w:rPr>
            </w:pPr>
          </w:p>
        </w:tc>
      </w:tr>
      <w:tr w:rsidR="004F351A" w:rsidTr="00A421A1" w14:paraId="5A5D60F7" w14:textId="77777777">
        <w:trPr>
          <w:trHeight w:val="450"/>
        </w:trPr>
        <w:tc>
          <w:tcPr>
            <w:tcW w:w="2160" w:type="dxa"/>
          </w:tcPr>
          <w:p w:rsidR="00F51A76" w:rsidP="000115C8" w:rsidRDefault="00F91216" w14:paraId="64F8F897" w14:textId="77777777">
            <w:pPr>
              <w:spacing w:line="180" w:lineRule="exact"/>
              <w:jc w:val="both"/>
              <w:rPr>
                <w:b/>
                <w:sz w:val="13"/>
                <w:szCs w:val="13"/>
              </w:rPr>
            </w:pPr>
            <w:r>
              <w:rPr>
                <w:b/>
                <w:sz w:val="13"/>
                <w:szCs w:val="13"/>
              </w:rPr>
              <w:t>Onze referentie</w:t>
            </w:r>
          </w:p>
          <w:p w:rsidRPr="00FA7882" w:rsidR="006205C0" w:rsidP="000115C8" w:rsidRDefault="00F91216" w14:paraId="3E6596F7" w14:textId="14875E6C">
            <w:pPr>
              <w:spacing w:line="180" w:lineRule="exact"/>
              <w:jc w:val="both"/>
              <w:rPr>
                <w:sz w:val="13"/>
                <w:szCs w:val="13"/>
              </w:rPr>
            </w:pPr>
            <w:r>
              <w:rPr>
                <w:sz w:val="13"/>
                <w:szCs w:val="13"/>
              </w:rPr>
              <w:t>6</w:t>
            </w:r>
            <w:r w:rsidR="00237D47">
              <w:rPr>
                <w:sz w:val="13"/>
                <w:szCs w:val="13"/>
              </w:rPr>
              <w:t>4331545</w:t>
            </w:r>
          </w:p>
        </w:tc>
      </w:tr>
      <w:tr w:rsidR="004F351A" w:rsidTr="00D130C0" w14:paraId="657804A2" w14:textId="77777777">
        <w:trPr>
          <w:trHeight w:val="113"/>
        </w:trPr>
        <w:tc>
          <w:tcPr>
            <w:tcW w:w="2160" w:type="dxa"/>
          </w:tcPr>
          <w:p w:rsidRPr="00C5333A" w:rsidR="006205C0" w:rsidP="000115C8" w:rsidRDefault="00F91216" w14:paraId="4B5DB866" w14:textId="77777777">
            <w:pPr>
              <w:tabs>
                <w:tab w:val="center" w:pos="1080"/>
              </w:tabs>
              <w:spacing w:line="180" w:lineRule="exact"/>
              <w:jc w:val="both"/>
              <w:rPr>
                <w:sz w:val="13"/>
                <w:szCs w:val="13"/>
              </w:rPr>
            </w:pPr>
            <w:r>
              <w:rPr>
                <w:b/>
                <w:sz w:val="13"/>
                <w:szCs w:val="13"/>
              </w:rPr>
              <w:t>Bijlagen</w:t>
            </w:r>
          </w:p>
        </w:tc>
      </w:tr>
      <w:tr w:rsidR="004F351A" w:rsidTr="00D130C0" w14:paraId="3EE06176" w14:textId="77777777">
        <w:trPr>
          <w:trHeight w:val="113"/>
        </w:trPr>
        <w:tc>
          <w:tcPr>
            <w:tcW w:w="2160" w:type="dxa"/>
          </w:tcPr>
          <w:p w:rsidR="006205C0" w:rsidP="005677A8" w:rsidRDefault="005677A8" w14:paraId="0CA0AB66" w14:textId="77777777">
            <w:pPr>
              <w:pStyle w:val="Lijstalinea"/>
              <w:numPr>
                <w:ilvl w:val="0"/>
                <w:numId w:val="18"/>
              </w:numPr>
              <w:spacing w:after="90" w:line="180" w:lineRule="exact"/>
              <w:rPr>
                <w:sz w:val="13"/>
                <w:szCs w:val="13"/>
              </w:rPr>
            </w:pPr>
            <w:r>
              <w:rPr>
                <w:sz w:val="13"/>
                <w:szCs w:val="13"/>
              </w:rPr>
              <w:t xml:space="preserve">Vertaling CEDAW </w:t>
            </w:r>
            <w:proofErr w:type="spellStart"/>
            <w:r>
              <w:rPr>
                <w:sz w:val="13"/>
                <w:szCs w:val="13"/>
              </w:rPr>
              <w:t>Concluding</w:t>
            </w:r>
            <w:proofErr w:type="spellEnd"/>
            <w:r>
              <w:rPr>
                <w:sz w:val="13"/>
                <w:szCs w:val="13"/>
              </w:rPr>
              <w:t xml:space="preserve"> </w:t>
            </w:r>
            <w:proofErr w:type="spellStart"/>
            <w:r>
              <w:rPr>
                <w:sz w:val="13"/>
                <w:szCs w:val="13"/>
              </w:rPr>
              <w:t>observations</w:t>
            </w:r>
            <w:proofErr w:type="spellEnd"/>
          </w:p>
          <w:p w:rsidRPr="005677A8" w:rsidR="005677A8" w:rsidP="005677A8" w:rsidRDefault="005677A8" w14:paraId="4856A40D" w14:textId="19DD645F">
            <w:pPr>
              <w:pStyle w:val="Lijstalinea"/>
              <w:numPr>
                <w:ilvl w:val="0"/>
                <w:numId w:val="18"/>
              </w:numPr>
              <w:spacing w:after="90" w:line="180" w:lineRule="exact"/>
              <w:rPr>
                <w:sz w:val="13"/>
                <w:szCs w:val="13"/>
              </w:rPr>
            </w:pPr>
            <w:r>
              <w:rPr>
                <w:sz w:val="13"/>
                <w:szCs w:val="13"/>
              </w:rPr>
              <w:t xml:space="preserve">Overzicht beleid op </w:t>
            </w:r>
            <w:proofErr w:type="spellStart"/>
            <w:r>
              <w:rPr>
                <w:sz w:val="13"/>
                <w:szCs w:val="13"/>
              </w:rPr>
              <w:t>concluding</w:t>
            </w:r>
            <w:proofErr w:type="spellEnd"/>
            <w:r>
              <w:rPr>
                <w:sz w:val="13"/>
                <w:szCs w:val="13"/>
              </w:rPr>
              <w:t xml:space="preserve"> </w:t>
            </w:r>
            <w:proofErr w:type="spellStart"/>
            <w:r>
              <w:rPr>
                <w:sz w:val="13"/>
                <w:szCs w:val="13"/>
              </w:rPr>
              <w:t>observations</w:t>
            </w:r>
            <w:proofErr w:type="spellEnd"/>
          </w:p>
        </w:tc>
      </w:tr>
    </w:tbl>
    <w:p w:rsidR="005463ED" w:rsidP="000115C8" w:rsidRDefault="005463ED" w14:paraId="4E93BF40" w14:textId="77777777">
      <w:pPr>
        <w:jc w:val="both"/>
      </w:pPr>
    </w:p>
    <w:p w:rsidR="005463ED" w:rsidP="00C122BE" w:rsidRDefault="005463ED" w14:paraId="30644506" w14:textId="77777777"/>
    <w:p w:rsidR="001324F5" w:rsidP="00C122BE" w:rsidRDefault="00CC073E" w14:paraId="1315F887" w14:textId="31918E55">
      <w:r>
        <w:t xml:space="preserve">De vrijheid en gelijkwaardigheid van vrouwen is </w:t>
      </w:r>
      <w:r w:rsidRPr="006A35A8" w:rsidR="006A35A8">
        <w:t xml:space="preserve">een kernwaarde van onze samenleving. </w:t>
      </w:r>
      <w:r>
        <w:t>Dit kabinet wil</w:t>
      </w:r>
      <w:r w:rsidRPr="006A35A8" w:rsidR="006A35A8">
        <w:t xml:space="preserve"> dat iedereen, </w:t>
      </w:r>
      <w:r w:rsidR="00D05A2F">
        <w:t>ongeacht gender</w:t>
      </w:r>
      <w:r w:rsidRPr="006A35A8" w:rsidR="006A35A8">
        <w:t xml:space="preserve">, </w:t>
      </w:r>
      <w:r w:rsidR="00304F97">
        <w:t xml:space="preserve">in veiligheid </w:t>
      </w:r>
      <w:r w:rsidRPr="006A35A8" w:rsidR="006A35A8">
        <w:t xml:space="preserve">de ruimte en kansen krijgt om </w:t>
      </w:r>
      <w:r>
        <w:t xml:space="preserve">eigen keuzes te maken en </w:t>
      </w:r>
      <w:r w:rsidRPr="006A35A8" w:rsidR="006A35A8">
        <w:t>volwaardig mee te doen — thuis, op school</w:t>
      </w:r>
      <w:r w:rsidR="00484E82">
        <w:t>,</w:t>
      </w:r>
      <w:r w:rsidRPr="006A35A8" w:rsidR="006A35A8">
        <w:t xml:space="preserve"> op het werk</w:t>
      </w:r>
      <w:r w:rsidR="00484E82">
        <w:t xml:space="preserve"> en elders in onze samenleving</w:t>
      </w:r>
      <w:r w:rsidRPr="006A35A8" w:rsidR="006A35A8">
        <w:t xml:space="preserve">. Nederland heeft een lange traditie op dit gebied: van </w:t>
      </w:r>
      <w:r w:rsidR="00FE03F1">
        <w:t>de</w:t>
      </w:r>
      <w:r w:rsidRPr="006A35A8" w:rsidR="006A35A8">
        <w:t xml:space="preserve"> </w:t>
      </w:r>
      <w:r w:rsidR="009222C8">
        <w:t xml:space="preserve">relatief </w:t>
      </w:r>
      <w:r w:rsidRPr="006A35A8" w:rsidR="006A35A8">
        <w:t>vroeg</w:t>
      </w:r>
      <w:r w:rsidR="00FE03F1">
        <w:t>e</w:t>
      </w:r>
      <w:r w:rsidRPr="006A35A8" w:rsidR="006A35A8">
        <w:t xml:space="preserve"> invoer</w:t>
      </w:r>
      <w:r w:rsidR="00FE03F1">
        <w:t>ing</w:t>
      </w:r>
      <w:r w:rsidRPr="006A35A8" w:rsidR="006A35A8">
        <w:t xml:space="preserve"> van</w:t>
      </w:r>
      <w:r w:rsidR="003F7C57">
        <w:t xml:space="preserve"> het</w:t>
      </w:r>
      <w:r w:rsidRPr="006A35A8" w:rsidR="006A35A8">
        <w:t xml:space="preserve"> vrouwenkiesrecht tot het stimuleren van</w:t>
      </w:r>
      <w:r w:rsidR="00020DB5">
        <w:t xml:space="preserve"> de keuzevrijheid en </w:t>
      </w:r>
      <w:r w:rsidR="003F7C57">
        <w:t>financiële</w:t>
      </w:r>
      <w:r w:rsidR="00020DB5">
        <w:t xml:space="preserve"> onafhankelijkheid van</w:t>
      </w:r>
      <w:r w:rsidRPr="006A35A8" w:rsidR="006A35A8">
        <w:t xml:space="preserve"> vrouwen. Ook vandaag </w:t>
      </w:r>
      <w:r w:rsidR="00020DB5">
        <w:t>zijn er</w:t>
      </w:r>
      <w:r w:rsidRPr="006A35A8" w:rsidR="006A35A8">
        <w:t xml:space="preserve"> </w:t>
      </w:r>
      <w:r w:rsidR="00041D75">
        <w:t>gebieden</w:t>
      </w:r>
      <w:r w:rsidR="00020DB5">
        <w:t xml:space="preserve"> waarop </w:t>
      </w:r>
      <w:r w:rsidR="009222C8">
        <w:t>het steeds beter gaat</w:t>
      </w:r>
      <w:r w:rsidR="003F7C57">
        <w:t xml:space="preserve">, </w:t>
      </w:r>
      <w:r w:rsidR="009222C8">
        <w:t xml:space="preserve">zoals de gestage toename van het aantal vrouwen aan de top </w:t>
      </w:r>
      <w:r w:rsidR="00EE28E4">
        <w:t xml:space="preserve">en de verbeterde </w:t>
      </w:r>
      <w:r w:rsidR="006A35A8">
        <w:t xml:space="preserve">aanpak </w:t>
      </w:r>
      <w:r w:rsidR="00484E82">
        <w:t>t</w:t>
      </w:r>
      <w:r w:rsidRPr="0008667B" w:rsidR="0008667B">
        <w:t>egen seksueel grensoverschrijdend gedrag en</w:t>
      </w:r>
      <w:r w:rsidR="006A35A8">
        <w:t xml:space="preserve"> seksueel geweld</w:t>
      </w:r>
      <w:r w:rsidRPr="006A35A8" w:rsidR="006A35A8">
        <w:t>.</w:t>
      </w:r>
      <w:r w:rsidRPr="003E1C2F" w:rsidR="00EB0981">
        <w:rPr>
          <w:rStyle w:val="Voetnootmarkering"/>
        </w:rPr>
        <w:footnoteReference w:id="1"/>
      </w:r>
      <w:r w:rsidRPr="003E1C2F" w:rsidR="003E1C2F">
        <w:rPr>
          <w:vertAlign w:val="superscript"/>
        </w:rPr>
        <w:t>,</w:t>
      </w:r>
      <w:r w:rsidRPr="003E1C2F" w:rsidR="00A338E0">
        <w:rPr>
          <w:rStyle w:val="Voetnootmarkering"/>
        </w:rPr>
        <w:footnoteReference w:id="2"/>
      </w:r>
    </w:p>
    <w:p w:rsidR="006A35A8" w:rsidP="00C122BE" w:rsidRDefault="006A35A8" w14:paraId="5354F2FF" w14:textId="72E72567">
      <w:r>
        <w:br/>
      </w:r>
      <w:r w:rsidRPr="006A35A8">
        <w:t xml:space="preserve">Als staatssecretaris voor Onderwijs en Emancipatie </w:t>
      </w:r>
      <w:r w:rsidR="00213E07">
        <w:t xml:space="preserve">zet ik mij met energie in </w:t>
      </w:r>
      <w:r w:rsidRPr="006A35A8">
        <w:t xml:space="preserve">voor de positie en rechten van vrouwen, zowel in Nederland als daarbuiten. Het is een verantwoordelijkheid die ik met overtuiging draag, juist omdat </w:t>
      </w:r>
      <w:r w:rsidR="00EE28E4">
        <w:t xml:space="preserve">er nog veel werk aan de winkel is als het gaat om </w:t>
      </w:r>
      <w:r w:rsidR="00602742">
        <w:t xml:space="preserve">het realiseren en beschermen van </w:t>
      </w:r>
      <w:r w:rsidR="00EE28E4">
        <w:t xml:space="preserve">de </w:t>
      </w:r>
      <w:r w:rsidR="00304F97">
        <w:t>veiligheid</w:t>
      </w:r>
      <w:r w:rsidR="000B5D0C">
        <w:t>, gezondheid en vrijheid</w:t>
      </w:r>
      <w:r w:rsidR="00EE28E4">
        <w:t xml:space="preserve"> van vrouwen</w:t>
      </w:r>
      <w:r>
        <w:t xml:space="preserve">. Maar ik draag die verantwoordelijkheid niet alleen. Het is een </w:t>
      </w:r>
      <w:r w:rsidR="003E56C7">
        <w:t xml:space="preserve">opdracht </w:t>
      </w:r>
      <w:r>
        <w:t xml:space="preserve">aan ons allen om </w:t>
      </w:r>
      <w:r w:rsidRPr="006A35A8">
        <w:t xml:space="preserve">voortdurend aandacht </w:t>
      </w:r>
      <w:r>
        <w:t xml:space="preserve">te </w:t>
      </w:r>
      <w:r w:rsidR="00020DB5">
        <w:t>besteden aan</w:t>
      </w:r>
      <w:r w:rsidRPr="006A35A8">
        <w:t xml:space="preserve"> </w:t>
      </w:r>
      <w:r w:rsidR="00A06E58">
        <w:t>wat</w:t>
      </w:r>
      <w:r w:rsidRPr="006A35A8">
        <w:t xml:space="preserve"> beter kan én beter moet.</w:t>
      </w:r>
    </w:p>
    <w:p w:rsidRPr="006A35A8" w:rsidR="006A35A8" w:rsidP="00C122BE" w:rsidRDefault="006A35A8" w14:paraId="0037F4A3" w14:textId="77777777"/>
    <w:p w:rsidR="00C65E8C" w:rsidP="00C122BE" w:rsidRDefault="00A06E58" w14:paraId="21062F8D" w14:textId="09721512">
      <w:r>
        <w:t xml:space="preserve">In het licht van die </w:t>
      </w:r>
      <w:r w:rsidR="003E56C7">
        <w:t>opdracht</w:t>
      </w:r>
      <w:r w:rsidRPr="006A35A8" w:rsidR="003E56C7">
        <w:t xml:space="preserve"> </w:t>
      </w:r>
      <w:r w:rsidR="001D5815">
        <w:t xml:space="preserve">is de </w:t>
      </w:r>
      <w:proofErr w:type="spellStart"/>
      <w:r w:rsidR="001D5815">
        <w:rPr>
          <w:i/>
          <w:iCs/>
        </w:rPr>
        <w:t>Constructive</w:t>
      </w:r>
      <w:proofErr w:type="spellEnd"/>
      <w:r w:rsidR="001D5815">
        <w:rPr>
          <w:i/>
          <w:iCs/>
        </w:rPr>
        <w:t xml:space="preserve"> </w:t>
      </w:r>
      <w:proofErr w:type="spellStart"/>
      <w:r w:rsidR="001D5815">
        <w:rPr>
          <w:i/>
          <w:iCs/>
        </w:rPr>
        <w:t>Dialogue</w:t>
      </w:r>
      <w:proofErr w:type="spellEnd"/>
      <w:r w:rsidR="001D5815">
        <w:rPr>
          <w:i/>
          <w:iCs/>
        </w:rPr>
        <w:t xml:space="preserve"> </w:t>
      </w:r>
      <w:r w:rsidRPr="006A35A8" w:rsidR="006A35A8">
        <w:t xml:space="preserve">van het </w:t>
      </w:r>
      <w:r w:rsidR="00D17616">
        <w:t xml:space="preserve">Comité voor het VN-Verdrag </w:t>
      </w:r>
      <w:proofErr w:type="gramStart"/>
      <w:r w:rsidR="00D17616">
        <w:t>inzake</w:t>
      </w:r>
      <w:proofErr w:type="gramEnd"/>
      <w:r w:rsidR="00D17616">
        <w:t xml:space="preserve"> de uitbanning van alle vormen van discriminatie tegen vrouwen (</w:t>
      </w:r>
      <w:r w:rsidR="00F70A4B">
        <w:t>in het Engels</w:t>
      </w:r>
      <w:r w:rsidR="000B5D0C">
        <w:t xml:space="preserve"> CEDAW</w:t>
      </w:r>
      <w:r w:rsidR="00F70A4B">
        <w:t xml:space="preserve">: </w:t>
      </w:r>
      <w:proofErr w:type="spellStart"/>
      <w:r w:rsidRPr="00C122BE" w:rsidR="00F70A4B">
        <w:rPr>
          <w:i/>
          <w:iCs/>
        </w:rPr>
        <w:t>Convention</w:t>
      </w:r>
      <w:proofErr w:type="spellEnd"/>
      <w:r w:rsidRPr="00C122BE" w:rsidR="00F70A4B">
        <w:rPr>
          <w:i/>
          <w:iCs/>
        </w:rPr>
        <w:t xml:space="preserve"> on </w:t>
      </w:r>
      <w:proofErr w:type="spellStart"/>
      <w:r w:rsidRPr="00C122BE" w:rsidR="00F70A4B">
        <w:rPr>
          <w:i/>
          <w:iCs/>
        </w:rPr>
        <w:t>the</w:t>
      </w:r>
      <w:proofErr w:type="spellEnd"/>
      <w:r w:rsidRPr="00C122BE" w:rsidR="00F70A4B">
        <w:rPr>
          <w:i/>
          <w:iCs/>
        </w:rPr>
        <w:t xml:space="preserve"> </w:t>
      </w:r>
      <w:proofErr w:type="spellStart"/>
      <w:r w:rsidRPr="00C122BE" w:rsidR="00F70A4B">
        <w:rPr>
          <w:i/>
          <w:iCs/>
        </w:rPr>
        <w:t>Elimination</w:t>
      </w:r>
      <w:proofErr w:type="spellEnd"/>
      <w:r w:rsidRPr="00C122BE" w:rsidR="00F70A4B">
        <w:rPr>
          <w:i/>
          <w:iCs/>
        </w:rPr>
        <w:t xml:space="preserve"> of </w:t>
      </w:r>
      <w:proofErr w:type="spellStart"/>
      <w:r w:rsidRPr="00C122BE" w:rsidR="00F70A4B">
        <w:rPr>
          <w:i/>
          <w:iCs/>
        </w:rPr>
        <w:t>Discrimination</w:t>
      </w:r>
      <w:proofErr w:type="spellEnd"/>
      <w:r w:rsidRPr="00C122BE" w:rsidR="00F70A4B">
        <w:rPr>
          <w:i/>
          <w:iCs/>
        </w:rPr>
        <w:t xml:space="preserve"> </w:t>
      </w:r>
      <w:proofErr w:type="spellStart"/>
      <w:r w:rsidRPr="00C122BE" w:rsidR="00F70A4B">
        <w:rPr>
          <w:i/>
          <w:iCs/>
        </w:rPr>
        <w:t>against</w:t>
      </w:r>
      <w:proofErr w:type="spellEnd"/>
      <w:r w:rsidRPr="00C122BE" w:rsidR="00F70A4B">
        <w:rPr>
          <w:i/>
          <w:iCs/>
        </w:rPr>
        <w:t xml:space="preserve"> </w:t>
      </w:r>
      <w:proofErr w:type="spellStart"/>
      <w:r w:rsidRPr="00C122BE" w:rsidR="00F70A4B">
        <w:rPr>
          <w:i/>
          <w:iCs/>
        </w:rPr>
        <w:t>Women</w:t>
      </w:r>
      <w:proofErr w:type="spellEnd"/>
      <w:r w:rsidR="000B5D0C">
        <w:rPr>
          <w:i/>
          <w:iCs/>
        </w:rPr>
        <w:t>, oftewel het VN-Vrouwenverdrag</w:t>
      </w:r>
      <w:r w:rsidR="00D17616">
        <w:t>)</w:t>
      </w:r>
      <w:r w:rsidRPr="006A35A8" w:rsidR="006A35A8">
        <w:t xml:space="preserve"> van grote waarde.</w:t>
      </w:r>
      <w:r w:rsidR="00EB0981">
        <w:rPr>
          <w:rStyle w:val="Voetnootmarkering"/>
        </w:rPr>
        <w:footnoteReference w:id="3"/>
      </w:r>
      <w:r w:rsidR="00EB0981">
        <w:t xml:space="preserve"> </w:t>
      </w:r>
      <w:r w:rsidRPr="008960AD" w:rsidR="00397493">
        <w:t xml:space="preserve">Internationale afspraken zoals het </w:t>
      </w:r>
      <w:r w:rsidRPr="002610E0" w:rsidR="00397493">
        <w:t>VN-Vrouwenverdra</w:t>
      </w:r>
      <w:r w:rsidR="00397493">
        <w:t>g</w:t>
      </w:r>
      <w:r w:rsidRPr="008960AD" w:rsidR="00397493">
        <w:t xml:space="preserve"> vormen een essentieel fundament onder de</w:t>
      </w:r>
      <w:r w:rsidR="00397493">
        <w:t xml:space="preserve"> bevordering en bescherming van de vrijheid, veiligheid en rechten van vrouwen</w:t>
      </w:r>
      <w:r w:rsidRPr="008960AD" w:rsidR="00397493">
        <w:t xml:space="preserve"> wereldwijd</w:t>
      </w:r>
      <w:r w:rsidR="00397493">
        <w:t>.</w:t>
      </w:r>
      <w:r w:rsidR="001D5815">
        <w:t xml:space="preserve"> </w:t>
      </w:r>
      <w:r w:rsidR="0004490C">
        <w:t xml:space="preserve">Op 6 februari </w:t>
      </w:r>
      <w:r w:rsidR="006832D2">
        <w:t>2026</w:t>
      </w:r>
      <w:r w:rsidR="0004490C">
        <w:t xml:space="preserve"> </w:t>
      </w:r>
      <w:r w:rsidR="00041D75">
        <w:t xml:space="preserve">gingen vertegenwoordigers </w:t>
      </w:r>
      <w:r w:rsidR="00C65E8C">
        <w:t>uit alle</w:t>
      </w:r>
      <w:r w:rsidR="00213E07">
        <w:t xml:space="preserve"> vier</w:t>
      </w:r>
      <w:r w:rsidR="00C65E8C">
        <w:t xml:space="preserve"> landen van </w:t>
      </w:r>
      <w:r w:rsidR="00041D75">
        <w:t xml:space="preserve">het </w:t>
      </w:r>
      <w:r w:rsidR="001D5815">
        <w:t>Koninkrijk der Nederlanden</w:t>
      </w:r>
      <w:r w:rsidR="00C65E8C">
        <w:t xml:space="preserve"> </w:t>
      </w:r>
      <w:r w:rsidR="001D5815">
        <w:t xml:space="preserve">in </w:t>
      </w:r>
      <w:r w:rsidR="00041D75">
        <w:t xml:space="preserve">gesprek </w:t>
      </w:r>
      <w:r w:rsidR="001D5815">
        <w:t xml:space="preserve">met het </w:t>
      </w:r>
      <w:r w:rsidR="002610E0">
        <w:lastRenderedPageBreak/>
        <w:t>CEDAW-</w:t>
      </w:r>
      <w:r w:rsidR="006832D2">
        <w:t>Comité</w:t>
      </w:r>
      <w:r w:rsidRPr="006A35A8" w:rsidR="001D5815">
        <w:t xml:space="preserve"> </w:t>
      </w:r>
      <w:r w:rsidR="001D5815">
        <w:t>over de naleving van het</w:t>
      </w:r>
      <w:r w:rsidR="00EB0981">
        <w:t xml:space="preserve"> </w:t>
      </w:r>
      <w:r w:rsidR="00A61DD9">
        <w:t>VN-V</w:t>
      </w:r>
      <w:r w:rsidR="001D5815">
        <w:t>rouwenverdrag</w:t>
      </w:r>
      <w:r w:rsidR="00A704AF">
        <w:t>. Deze brede vertegenwoordiging</w:t>
      </w:r>
      <w:r w:rsidR="00C65E8C">
        <w:t xml:space="preserve"> </w:t>
      </w:r>
      <w:proofErr w:type="gramStart"/>
      <w:r w:rsidRPr="0008667B" w:rsidR="0008667B">
        <w:t>onderstreept</w:t>
      </w:r>
      <w:proofErr w:type="gramEnd"/>
      <w:r w:rsidR="00C65E8C">
        <w:t xml:space="preserve"> de </w:t>
      </w:r>
      <w:r w:rsidRPr="0008667B" w:rsidR="0008667B">
        <w:t>toewijding</w:t>
      </w:r>
      <w:r w:rsidR="00C65E8C">
        <w:t xml:space="preserve"> van </w:t>
      </w:r>
      <w:r w:rsidR="00041D75">
        <w:t>ons</w:t>
      </w:r>
      <w:r w:rsidR="00C65E8C">
        <w:t xml:space="preserve"> Koninkrijk aan het verdrag.</w:t>
      </w:r>
    </w:p>
    <w:p w:rsidR="005463ED" w:rsidP="00C122BE" w:rsidRDefault="001D5815" w14:paraId="3A4DD86A" w14:textId="6648C0B5">
      <w:r>
        <w:t xml:space="preserve"> </w:t>
      </w:r>
    </w:p>
    <w:p w:rsidR="00BD1769" w:rsidP="00C122BE" w:rsidRDefault="00C65E8C" w14:paraId="227E074B" w14:textId="4D27E46D">
      <w:pPr>
        <w:rPr>
          <w:lang w:eastAsia="en-US"/>
        </w:rPr>
      </w:pPr>
      <w:r>
        <w:t xml:space="preserve">Na de </w:t>
      </w:r>
      <w:proofErr w:type="spellStart"/>
      <w:r w:rsidR="000115C8">
        <w:t>C</w:t>
      </w:r>
      <w:r w:rsidRPr="0004490C">
        <w:rPr>
          <w:i/>
          <w:iCs/>
        </w:rPr>
        <w:t>onstructive</w:t>
      </w:r>
      <w:proofErr w:type="spellEnd"/>
      <w:r w:rsidRPr="0004490C">
        <w:rPr>
          <w:i/>
          <w:iCs/>
        </w:rPr>
        <w:t xml:space="preserve"> </w:t>
      </w:r>
      <w:proofErr w:type="spellStart"/>
      <w:r w:rsidR="000115C8">
        <w:rPr>
          <w:i/>
          <w:iCs/>
        </w:rPr>
        <w:t>D</w:t>
      </w:r>
      <w:r w:rsidRPr="0004490C">
        <w:rPr>
          <w:i/>
          <w:iCs/>
        </w:rPr>
        <w:t>ialogue</w:t>
      </w:r>
      <w:proofErr w:type="spellEnd"/>
      <w:r>
        <w:t xml:space="preserve"> heeft</w:t>
      </w:r>
      <w:r w:rsidR="001D5815">
        <w:t xml:space="preserve"> het </w:t>
      </w:r>
      <w:r w:rsidR="006832D2">
        <w:t>Comité</w:t>
      </w:r>
      <w:r w:rsidR="001D5815">
        <w:t xml:space="preserve"> </w:t>
      </w:r>
      <w:r w:rsidR="000A5EF3">
        <w:t xml:space="preserve">in </w:t>
      </w:r>
      <w:r w:rsidR="006832D2">
        <w:t>haar aanbevelingen</w:t>
      </w:r>
      <w:r w:rsidR="000A5EF3">
        <w:t xml:space="preserve"> </w:t>
      </w:r>
      <w:r w:rsidR="006832D2">
        <w:t xml:space="preserve">– de zogeheten </w:t>
      </w:r>
      <w:proofErr w:type="spellStart"/>
      <w:r w:rsidRPr="006832D2" w:rsidR="000A5EF3">
        <w:rPr>
          <w:i/>
          <w:iCs/>
        </w:rPr>
        <w:t>Concluding</w:t>
      </w:r>
      <w:proofErr w:type="spellEnd"/>
      <w:r w:rsidRPr="006832D2" w:rsidR="000A5EF3">
        <w:rPr>
          <w:i/>
          <w:iCs/>
        </w:rPr>
        <w:t xml:space="preserve"> </w:t>
      </w:r>
      <w:proofErr w:type="spellStart"/>
      <w:r w:rsidRPr="006832D2" w:rsidR="000A5EF3">
        <w:rPr>
          <w:i/>
          <w:iCs/>
        </w:rPr>
        <w:t>Observations</w:t>
      </w:r>
      <w:proofErr w:type="spellEnd"/>
      <w:r w:rsidR="006832D2">
        <w:t xml:space="preserve"> -</w:t>
      </w:r>
      <w:r w:rsidR="000A5EF3">
        <w:t xml:space="preserve"> de balans opgemaakt over</w:t>
      </w:r>
      <w:r w:rsidR="006832D2">
        <w:t xml:space="preserve"> de</w:t>
      </w:r>
      <w:r w:rsidR="000A5EF3">
        <w:t xml:space="preserve"> implementatie van het </w:t>
      </w:r>
      <w:r w:rsidR="004E0AB2">
        <w:t>VN-Vrouwenverdrag</w:t>
      </w:r>
      <w:r w:rsidR="00C47383">
        <w:t xml:space="preserve"> </w:t>
      </w:r>
      <w:r w:rsidR="000A5EF3">
        <w:t xml:space="preserve">in </w:t>
      </w:r>
      <w:r w:rsidRPr="00484E82" w:rsidR="00484E82">
        <w:t xml:space="preserve">Curaçao, Aruba, </w:t>
      </w:r>
      <w:proofErr w:type="gramStart"/>
      <w:r w:rsidRPr="00484E82" w:rsidR="00484E82">
        <w:t>Sint</w:t>
      </w:r>
      <w:r w:rsidR="000A5EF3">
        <w:t xml:space="preserve"> </w:t>
      </w:r>
      <w:r w:rsidRPr="00484E82" w:rsidR="00484E82">
        <w:t>Maarten</w:t>
      </w:r>
      <w:proofErr w:type="gramEnd"/>
      <w:r w:rsidRPr="00484E82" w:rsidR="00484E82">
        <w:t xml:space="preserve"> en Nederland</w:t>
      </w:r>
      <w:r w:rsidR="001D5815">
        <w:t>.</w:t>
      </w:r>
      <w:r>
        <w:t xml:space="preserve"> </w:t>
      </w:r>
      <w:r w:rsidRPr="008960AD" w:rsidR="00A338E0">
        <w:t xml:space="preserve">Op 23 maart heb ik de aanbevelingen </w:t>
      </w:r>
      <w:r w:rsidR="00A338E0">
        <w:t xml:space="preserve">van het CEDAW-Comité </w:t>
      </w:r>
      <w:r w:rsidRPr="008960AD" w:rsidR="00A338E0">
        <w:t>met uw Kamer gedeeld.</w:t>
      </w:r>
      <w:r w:rsidR="00D04F2B">
        <w:t xml:space="preserve"> </w:t>
      </w:r>
      <w:r w:rsidR="00930037">
        <w:t xml:space="preserve">Met het oog op het wetgevingsoverleg Emancipatie op 25 juni </w:t>
      </w:r>
      <w:r w:rsidR="00C47383">
        <w:t>aanstaande</w:t>
      </w:r>
      <w:r w:rsidR="00930037">
        <w:t xml:space="preserve">, </w:t>
      </w:r>
      <w:r w:rsidR="00D04F2B">
        <w:t xml:space="preserve">zend </w:t>
      </w:r>
      <w:r w:rsidR="00CE2EAF">
        <w:t xml:space="preserve">ik </w:t>
      </w:r>
      <w:r w:rsidR="00D04F2B">
        <w:t xml:space="preserve">u mede namens de minister </w:t>
      </w:r>
      <w:r w:rsidR="007F5151">
        <w:t xml:space="preserve">van Buitenlandse Zaken, de minister </w:t>
      </w:r>
      <w:r w:rsidR="00D04F2B">
        <w:t>van Buitenlandse Handel en Ontwikkelingssamenwerking, de minister van Justitie en Veiligheid,</w:t>
      </w:r>
      <w:r w:rsidR="00C47383">
        <w:t xml:space="preserve"> </w:t>
      </w:r>
      <w:r w:rsidR="00D04F2B">
        <w:t>de minister van Asiel en Migratie, de minister van Volksgezondheid, Welzijn en Sport, de minister van Langdurige Zorg, Jeugd en Sport, de minister van Onderwijs, Cultuur en Wetenschap, de minister van Sociale Zaken en Werkgelegenheid,</w:t>
      </w:r>
      <w:r w:rsidR="00EB0981">
        <w:t xml:space="preserve"> </w:t>
      </w:r>
      <w:r w:rsidR="00D04F2B">
        <w:t>de minister van Werk en Participatie</w:t>
      </w:r>
      <w:r w:rsidR="00C47383">
        <w:t xml:space="preserve"> </w:t>
      </w:r>
      <w:r w:rsidR="00D04F2B">
        <w:t xml:space="preserve">en de staatssecretaris van Justitie en Veiligheid, </w:t>
      </w:r>
      <w:r w:rsidR="00930037">
        <w:t>de</w:t>
      </w:r>
      <w:r w:rsidR="00D04F2B">
        <w:t xml:space="preserve"> kabinetsreactie op de aanbevelingen</w:t>
      </w:r>
      <w:r w:rsidR="00304F97">
        <w:t xml:space="preserve"> voor Nederland,</w:t>
      </w:r>
      <w:r w:rsidR="004C7296">
        <w:t xml:space="preserve"> wa</w:t>
      </w:r>
      <w:r w:rsidR="00EB0981">
        <w:t>a</w:t>
      </w:r>
      <w:r w:rsidR="004C7296">
        <w:t>r uw Kamer om verzocht</w:t>
      </w:r>
      <w:r w:rsidR="00D04F2B">
        <w:t>.</w:t>
      </w:r>
      <w:r w:rsidR="00EB0981">
        <w:t xml:space="preserve"> </w:t>
      </w:r>
      <w:r w:rsidR="00930037">
        <w:t>Deze bestaat uit</w:t>
      </w:r>
      <w:r w:rsidRPr="006A35A8" w:rsidR="00930037">
        <w:t xml:space="preserve"> </w:t>
      </w:r>
      <w:r w:rsidRPr="008960AD" w:rsidR="00930037">
        <w:t>een</w:t>
      </w:r>
      <w:r w:rsidR="00930037">
        <w:t xml:space="preserve"> Nederlandse vertaling van de aanbevelingen </w:t>
      </w:r>
      <w:r w:rsidR="004C7296">
        <w:t>(bijlage</w:t>
      </w:r>
      <w:r w:rsidR="00EB0981">
        <w:t xml:space="preserve"> </w:t>
      </w:r>
      <w:r w:rsidR="004C7296">
        <w:t xml:space="preserve">1) </w:t>
      </w:r>
      <w:r w:rsidR="00930037">
        <w:t>en</w:t>
      </w:r>
      <w:r w:rsidRPr="008960AD" w:rsidR="00930037">
        <w:t xml:space="preserve"> </w:t>
      </w:r>
      <w:r w:rsidR="00930037">
        <w:t xml:space="preserve">een overzicht waarin per aanbeveling wordt aangegeven welke maatregelen en beleidsplannen </w:t>
      </w:r>
      <w:r w:rsidR="00C47383">
        <w:t xml:space="preserve">van het kabinet </w:t>
      </w:r>
      <w:r w:rsidR="00930037">
        <w:t>hierbij aansluiten</w:t>
      </w:r>
      <w:r w:rsidR="004C7296">
        <w:t xml:space="preserve"> (bijlage 2)</w:t>
      </w:r>
      <w:r w:rsidR="00930037">
        <w:t xml:space="preserve">. </w:t>
      </w:r>
      <w:r w:rsidR="00213E07">
        <w:t xml:space="preserve">In de Emancipatienota die ik in september met u deel, </w:t>
      </w:r>
      <w:r w:rsidR="00624E62">
        <w:t>vullen we deze verder aan</w:t>
      </w:r>
      <w:r w:rsidR="00213E07">
        <w:t xml:space="preserve">. </w:t>
      </w:r>
      <w:r w:rsidR="005F34BD">
        <w:t>H</w:t>
      </w:r>
      <w:r w:rsidR="00BD1769">
        <w:t>et CEDAW-Comité</w:t>
      </w:r>
      <w:r w:rsidRPr="0002170D" w:rsidR="00BD1769">
        <w:rPr>
          <w:lang w:eastAsia="en-US"/>
        </w:rPr>
        <w:t xml:space="preserve"> </w:t>
      </w:r>
      <w:r w:rsidR="005F34BD">
        <w:rPr>
          <w:lang w:eastAsia="en-US"/>
        </w:rPr>
        <w:t xml:space="preserve">heeft </w:t>
      </w:r>
      <w:r w:rsidR="00BD1769">
        <w:rPr>
          <w:lang w:eastAsia="en-US"/>
        </w:rPr>
        <w:t xml:space="preserve">verzocht binnen twee jaar een tussenrapportage te ontvangen over de opvolgingen van </w:t>
      </w:r>
      <w:r w:rsidR="000B5D0C">
        <w:rPr>
          <w:lang w:eastAsia="en-US"/>
        </w:rPr>
        <w:t xml:space="preserve">zijn </w:t>
      </w:r>
      <w:r w:rsidR="00BD1769">
        <w:rPr>
          <w:lang w:eastAsia="en-US"/>
        </w:rPr>
        <w:t>aanbevelingen. Deze rapportage</w:t>
      </w:r>
      <w:r w:rsidRPr="0002170D" w:rsidR="00BD1769">
        <w:rPr>
          <w:lang w:eastAsia="en-US"/>
        </w:rPr>
        <w:t xml:space="preserve"> zal </w:t>
      </w:r>
      <w:r w:rsidR="00BD1769">
        <w:rPr>
          <w:lang w:eastAsia="en-US"/>
        </w:rPr>
        <w:t>te zijner tijd met uw Kamer gedeeld worden</w:t>
      </w:r>
      <w:r w:rsidRPr="0002170D" w:rsidR="00BD1769">
        <w:rPr>
          <w:lang w:eastAsia="en-US"/>
        </w:rPr>
        <w:t>.</w:t>
      </w:r>
    </w:p>
    <w:p w:rsidR="00041D75" w:rsidP="00C122BE" w:rsidRDefault="00041D75" w14:paraId="0027DAD0" w14:textId="77777777"/>
    <w:p w:rsidR="00D04F2B" w:rsidP="00C122BE" w:rsidRDefault="00041D75" w14:paraId="3AB457CA" w14:textId="6695490D">
      <w:r>
        <w:t>H</w:t>
      </w:r>
      <w:r w:rsidR="000A5EF3">
        <w:t xml:space="preserve">et </w:t>
      </w:r>
      <w:r w:rsidR="006832D2">
        <w:t>Comité</w:t>
      </w:r>
      <w:r w:rsidR="000A5EF3">
        <w:t xml:space="preserve"> </w:t>
      </w:r>
      <w:r>
        <w:t>identificeert</w:t>
      </w:r>
      <w:r w:rsidR="00BD1769">
        <w:t xml:space="preserve"> in haar aanbevelingen</w:t>
      </w:r>
      <w:r>
        <w:t xml:space="preserve"> </w:t>
      </w:r>
      <w:r w:rsidR="000A5EF3">
        <w:t>zowel geboekte vooruitgang als verbeterpunten</w:t>
      </w:r>
      <w:r w:rsidR="00C47383">
        <w:t xml:space="preserve"> t</w:t>
      </w:r>
      <w:r w:rsidR="00C65E8C">
        <w:t xml:space="preserve">en aanzien van </w:t>
      </w:r>
      <w:r w:rsidR="00C47383">
        <w:t xml:space="preserve">de </w:t>
      </w:r>
      <w:r w:rsidR="004E0AB2">
        <w:t xml:space="preserve">implementatie en </w:t>
      </w:r>
      <w:r w:rsidR="00B855C3">
        <w:t xml:space="preserve">naleving van het </w:t>
      </w:r>
      <w:r w:rsidR="004E0AB2">
        <w:t>VN-Vrouwenverdrag</w:t>
      </w:r>
      <w:r w:rsidR="00C47383">
        <w:t xml:space="preserve"> in Nederland</w:t>
      </w:r>
      <w:r w:rsidR="00B855C3">
        <w:t xml:space="preserve">. </w:t>
      </w:r>
      <w:r w:rsidR="00C47383">
        <w:t xml:space="preserve">Vooruitgang ziet </w:t>
      </w:r>
      <w:r w:rsidRPr="00D04F2B" w:rsidR="00D04F2B">
        <w:t xml:space="preserve">het Comité </w:t>
      </w:r>
      <w:r w:rsidR="00C47383">
        <w:t>in</w:t>
      </w:r>
      <w:r w:rsidRPr="00D04F2B" w:rsidR="00D04F2B">
        <w:t xml:space="preserve"> de Topvrouwenwet, de introductie van gelijke behandelingswetgeving in Caribisch Nederland en de aanpassing van Art</w:t>
      </w:r>
      <w:r w:rsidR="00CB7072">
        <w:t>ikel</w:t>
      </w:r>
      <w:r w:rsidRPr="00D04F2B" w:rsidR="00D04F2B">
        <w:t xml:space="preserve"> 1 van de Grondwet die nu ook aan seksuele gerichtheid refereert. Ook is er waardering voor beleidsinitiatieven zoals het actieplan Stop </w:t>
      </w:r>
      <w:proofErr w:type="spellStart"/>
      <w:proofErr w:type="gramStart"/>
      <w:r w:rsidRPr="00D04F2B" w:rsidR="00D04F2B">
        <w:t>Femicide</w:t>
      </w:r>
      <w:proofErr w:type="spellEnd"/>
      <w:r w:rsidRPr="00D04F2B" w:rsidR="00D04F2B">
        <w:t>!,</w:t>
      </w:r>
      <w:proofErr w:type="gramEnd"/>
      <w:r w:rsidRPr="00D04F2B" w:rsidR="00D04F2B">
        <w:t xml:space="preserve"> het Nationaal Actieprogramma Aanpak seksueel en grensoverschrijdend gedrag en seksueel geweld</w:t>
      </w:r>
      <w:r w:rsidR="00CC1AC4">
        <w:t xml:space="preserve"> </w:t>
      </w:r>
      <w:r w:rsidRPr="00D04F2B" w:rsidR="00D04F2B">
        <w:t>en het Nationaal Actieplan</w:t>
      </w:r>
      <w:r w:rsidR="007F5151">
        <w:t xml:space="preserve"> over vrouwen, vrede en veiligheid</w:t>
      </w:r>
      <w:r w:rsidR="0029150C">
        <w:t>.</w:t>
      </w:r>
      <w:r w:rsidRPr="003E1C2F" w:rsidR="003E1C2F">
        <w:t xml:space="preserve"> </w:t>
      </w:r>
      <w:r w:rsidRPr="003E1C2F" w:rsidR="003E1C2F">
        <w:rPr>
          <w:rStyle w:val="Voetnootmarkering"/>
        </w:rPr>
        <w:footnoteReference w:id="4"/>
      </w:r>
      <w:r w:rsidRPr="003E1C2F" w:rsidR="003E1C2F">
        <w:rPr>
          <w:vertAlign w:val="superscript"/>
        </w:rPr>
        <w:t>,</w:t>
      </w:r>
      <w:r w:rsidRPr="003E1C2F" w:rsidR="003E1C2F">
        <w:rPr>
          <w:rStyle w:val="Voetnootmarkering"/>
        </w:rPr>
        <w:footnoteReference w:id="5"/>
      </w:r>
      <w:r w:rsidRPr="003E1C2F" w:rsidR="003E1C2F">
        <w:rPr>
          <w:vertAlign w:val="superscript"/>
        </w:rPr>
        <w:t>,</w:t>
      </w:r>
      <w:r w:rsidRPr="003E1C2F" w:rsidR="003E1C2F">
        <w:rPr>
          <w:rStyle w:val="Voetnootmarkering"/>
        </w:rPr>
        <w:footnoteReference w:id="6"/>
      </w:r>
      <w:r w:rsidRPr="003E1C2F" w:rsidR="003E1C2F">
        <w:rPr>
          <w:vertAlign w:val="superscript"/>
        </w:rPr>
        <w:t>,</w:t>
      </w:r>
      <w:r w:rsidRPr="003E1C2F" w:rsidR="003E1C2F">
        <w:rPr>
          <w:rStyle w:val="Voetnootmarkering"/>
        </w:rPr>
        <w:footnoteReference w:id="7"/>
      </w:r>
      <w:r w:rsidRPr="003E1C2F" w:rsidR="003E1C2F">
        <w:rPr>
          <w:vertAlign w:val="superscript"/>
        </w:rPr>
        <w:t>,</w:t>
      </w:r>
      <w:r w:rsidRPr="003E1C2F" w:rsidR="003E1C2F">
        <w:rPr>
          <w:rStyle w:val="Voetnootmarkering"/>
        </w:rPr>
        <w:footnoteReference w:id="8"/>
      </w:r>
      <w:r w:rsidRPr="003E1C2F" w:rsidR="003E1C2F">
        <w:rPr>
          <w:vertAlign w:val="superscript"/>
        </w:rPr>
        <w:t>,</w:t>
      </w:r>
      <w:r w:rsidRPr="003E1C2F" w:rsidR="004E0AB2">
        <w:rPr>
          <w:rStyle w:val="Voetnootmarkering"/>
        </w:rPr>
        <w:footnoteReference w:id="9"/>
      </w:r>
    </w:p>
    <w:p w:rsidR="00D04F2B" w:rsidP="00C122BE" w:rsidRDefault="00D04F2B" w14:paraId="19044E82" w14:textId="77777777"/>
    <w:p w:rsidR="006A35A8" w:rsidP="00C122BE" w:rsidRDefault="006A35A8" w14:paraId="2A37CC97" w14:textId="53DA8175">
      <w:r w:rsidRPr="006A35A8">
        <w:t xml:space="preserve">Tegelijkertijd wijst het </w:t>
      </w:r>
      <w:r w:rsidR="006832D2">
        <w:t>Comité</w:t>
      </w:r>
      <w:r w:rsidRPr="006A35A8">
        <w:t xml:space="preserve"> op punten waar verdere versterking noodzakelijk is</w:t>
      </w:r>
      <w:r w:rsidR="002E2BB4">
        <w:t>, met betrekking tot de veiligheid, gezondheid</w:t>
      </w:r>
      <w:r w:rsidR="00624E62">
        <w:t xml:space="preserve"> en</w:t>
      </w:r>
      <w:r w:rsidR="002E2BB4">
        <w:t xml:space="preserve"> vrijheid van vrouwen</w:t>
      </w:r>
      <w:r w:rsidR="00C47383">
        <w:t xml:space="preserve">. </w:t>
      </w:r>
      <w:r w:rsidRPr="00B41E97" w:rsidR="002E2BB4">
        <w:t xml:space="preserve">Op het gebied van </w:t>
      </w:r>
      <w:r w:rsidRPr="0018522B" w:rsidR="002E2BB4">
        <w:t xml:space="preserve">veiligheid en </w:t>
      </w:r>
      <w:r w:rsidR="00C122BE">
        <w:t>geweld tegen vrouwen</w:t>
      </w:r>
      <w:r w:rsidRPr="00B41E97" w:rsidR="002E2BB4">
        <w:t xml:space="preserve"> </w:t>
      </w:r>
      <w:r w:rsidR="002E2BB4">
        <w:t>dringt het Comité aan</w:t>
      </w:r>
      <w:r w:rsidRPr="00B41E97" w:rsidR="002E2BB4">
        <w:t xml:space="preserve"> </w:t>
      </w:r>
      <w:r w:rsidRPr="0018522B" w:rsidR="002E2BB4">
        <w:t xml:space="preserve">op een </w:t>
      </w:r>
      <w:proofErr w:type="spellStart"/>
      <w:r w:rsidR="00624E62">
        <w:t>genderresponsief</w:t>
      </w:r>
      <w:proofErr w:type="spellEnd"/>
      <w:r w:rsidR="00624E62">
        <w:t xml:space="preserve"> </w:t>
      </w:r>
      <w:r w:rsidRPr="0018522B" w:rsidR="002E2BB4">
        <w:t>wetgevingskade</w:t>
      </w:r>
      <w:r w:rsidR="002E2BB4">
        <w:t xml:space="preserve">r, </w:t>
      </w:r>
      <w:r w:rsidRPr="0018522B" w:rsidR="002E2BB4">
        <w:t>verdergaande coördinatie van strategieën en maatregelen</w:t>
      </w:r>
      <w:r w:rsidR="002E2BB4">
        <w:t xml:space="preserve"> </w:t>
      </w:r>
      <w:r w:rsidR="00624E62">
        <w:t>en</w:t>
      </w:r>
      <w:r w:rsidR="002E2BB4">
        <w:t xml:space="preserve"> de</w:t>
      </w:r>
      <w:r w:rsidRPr="0018522B" w:rsidR="002E2BB4">
        <w:t xml:space="preserve"> versterking van de capaciteit van de wetshandhaving</w:t>
      </w:r>
      <w:r w:rsidRPr="00B41E97" w:rsidR="002E2BB4">
        <w:t xml:space="preserve">, waarbij </w:t>
      </w:r>
      <w:r w:rsidRPr="00B41E97" w:rsidR="002E2BB4">
        <w:lastRenderedPageBreak/>
        <w:t>het Verdrag van Istanbul</w:t>
      </w:r>
      <w:r w:rsidR="00F70A4B">
        <w:rPr>
          <w:rStyle w:val="Voetnootmarkering"/>
        </w:rPr>
        <w:footnoteReference w:id="10"/>
      </w:r>
      <w:r w:rsidRPr="00B41E97" w:rsidR="002E2BB4">
        <w:t xml:space="preserve"> leidend moet zijn. Daarnaast vraagt het </w:t>
      </w:r>
      <w:r w:rsidR="002E2BB4">
        <w:t>C</w:t>
      </w:r>
      <w:r w:rsidRPr="00B41E97" w:rsidR="002E2BB4">
        <w:t xml:space="preserve">omité aandacht </w:t>
      </w:r>
      <w:r w:rsidR="002E2BB4">
        <w:t xml:space="preserve">voor </w:t>
      </w:r>
      <w:r w:rsidRPr="00B41E97" w:rsidR="002E2BB4">
        <w:t xml:space="preserve">de noodzaak </w:t>
      </w:r>
      <w:r w:rsidR="002E2BB4">
        <w:t>van</w:t>
      </w:r>
      <w:r w:rsidRPr="00B41E97" w:rsidR="002E2BB4">
        <w:t xml:space="preserve"> </w:t>
      </w:r>
      <w:r w:rsidR="002E2BB4">
        <w:t xml:space="preserve">het tegengaan van </w:t>
      </w:r>
      <w:r w:rsidR="00624E62">
        <w:t>grote verschillen in opleidingskeuzes tussen jongens en meiden</w:t>
      </w:r>
      <w:r w:rsidRPr="00B41E97" w:rsidR="002E2BB4">
        <w:t xml:space="preserve"> in het </w:t>
      </w:r>
      <w:r w:rsidRPr="0018522B" w:rsidR="002E2BB4">
        <w:t>onderwijs</w:t>
      </w:r>
      <w:r w:rsidR="00624E62">
        <w:t xml:space="preserve">. </w:t>
      </w:r>
      <w:r w:rsidRPr="00B41E97" w:rsidR="002E2BB4">
        <w:t xml:space="preserve"> </w:t>
      </w:r>
      <w:r w:rsidR="00C122BE">
        <w:t xml:space="preserve">CEDAW pleit </w:t>
      </w:r>
      <w:r w:rsidR="000B5D0C">
        <w:t>verder</w:t>
      </w:r>
      <w:r w:rsidRPr="00B41E97" w:rsidR="002E2BB4">
        <w:t xml:space="preserve"> voor een </w:t>
      </w:r>
      <w:proofErr w:type="spellStart"/>
      <w:r w:rsidRPr="00B41E97" w:rsidR="002E2BB4">
        <w:t>gender</w:t>
      </w:r>
      <w:r w:rsidR="0089780B">
        <w:t>sensitieve</w:t>
      </w:r>
      <w:proofErr w:type="spellEnd"/>
      <w:r w:rsidR="0089780B">
        <w:t xml:space="preserve"> en -</w:t>
      </w:r>
      <w:r w:rsidR="002E2BB4">
        <w:t>specifieke</w:t>
      </w:r>
      <w:r w:rsidRPr="00B41E97" w:rsidR="002E2BB4">
        <w:t xml:space="preserve"> benadering in de gezondheidszorg en in medisch onderzoek.</w:t>
      </w:r>
      <w:r w:rsidR="002E2BB4">
        <w:t xml:space="preserve"> Met betrekking tot (economische) vrijheid, roept het Comité </w:t>
      </w:r>
      <w:r w:rsidR="00B41E97">
        <w:t xml:space="preserve">onder andere </w:t>
      </w:r>
      <w:r w:rsidRPr="000011FE" w:rsidR="000011FE">
        <w:t xml:space="preserve">op </w:t>
      </w:r>
      <w:r w:rsidR="00930037">
        <w:t>tot het dichten van</w:t>
      </w:r>
      <w:r w:rsidRPr="000011FE" w:rsidR="000011FE">
        <w:t xml:space="preserve"> de hardnekkige </w:t>
      </w:r>
      <w:r w:rsidRPr="0018522B" w:rsidR="000011FE">
        <w:t>loonkloof</w:t>
      </w:r>
      <w:r w:rsidRPr="00B41E97" w:rsidR="000011FE">
        <w:t xml:space="preserve"> en </w:t>
      </w:r>
      <w:r w:rsidR="00930037">
        <w:t>het uitbannen van</w:t>
      </w:r>
      <w:r w:rsidRPr="00B41E97" w:rsidR="000011FE">
        <w:t xml:space="preserve"> g</w:t>
      </w:r>
      <w:r w:rsidR="00C122BE">
        <w:t xml:space="preserve">rote verschillen tussen vrouwen in beroepskeuze </w:t>
      </w:r>
      <w:r w:rsidRPr="00B41E97" w:rsidR="000011FE">
        <w:t>op de arbeidsmarkt</w:t>
      </w:r>
      <w:r w:rsidR="00C47383">
        <w:t>,</w:t>
      </w:r>
      <w:r w:rsidRPr="00B41E97" w:rsidR="00B41E97">
        <w:t xml:space="preserve"> </w:t>
      </w:r>
      <w:r w:rsidR="00930037">
        <w:t xml:space="preserve">het verder tegengaan van </w:t>
      </w:r>
      <w:r w:rsidRPr="00B41E97" w:rsidR="00B41E97">
        <w:t>zwangerschapsdiscriminatie</w:t>
      </w:r>
      <w:r w:rsidR="00C47383">
        <w:t xml:space="preserve"> </w:t>
      </w:r>
      <w:r w:rsidR="00624E62">
        <w:t>en</w:t>
      </w:r>
      <w:r w:rsidRPr="00B41E97" w:rsidR="00624E62">
        <w:t xml:space="preserve"> </w:t>
      </w:r>
      <w:r w:rsidRPr="00B41E97" w:rsidR="000011FE">
        <w:t xml:space="preserve">de </w:t>
      </w:r>
      <w:r w:rsidRPr="0018522B" w:rsidR="000011FE">
        <w:t>economische zelfstandigheid</w:t>
      </w:r>
      <w:r w:rsidRPr="00B41E97" w:rsidR="000011FE">
        <w:t xml:space="preserve"> van vrouwen te vergroten door de herverdeling van onbetaalde zorgtaken en de toegankelijkheid van kinderopvang te verbeteren</w:t>
      </w:r>
      <w:r w:rsidR="00624E62">
        <w:t xml:space="preserve">. </w:t>
      </w:r>
      <w:r w:rsidR="004C7296">
        <w:t>Tot slot</w:t>
      </w:r>
      <w:r w:rsidR="00B41E97">
        <w:t xml:space="preserve"> roept het Comité op tot het </w:t>
      </w:r>
      <w:proofErr w:type="spellStart"/>
      <w:r w:rsidR="00B41E97">
        <w:t>mainstreamen</w:t>
      </w:r>
      <w:proofErr w:type="spellEnd"/>
      <w:r w:rsidR="00B41E97">
        <w:t xml:space="preserve"> van een </w:t>
      </w:r>
      <w:r w:rsidR="004C7296">
        <w:t>(</w:t>
      </w:r>
      <w:proofErr w:type="spellStart"/>
      <w:r w:rsidR="00B41E97">
        <w:t>intersectionele</w:t>
      </w:r>
      <w:proofErr w:type="spellEnd"/>
      <w:r w:rsidR="004C7296">
        <w:t>)</w:t>
      </w:r>
      <w:r w:rsidR="00B41E97">
        <w:t xml:space="preserve"> </w:t>
      </w:r>
      <w:proofErr w:type="spellStart"/>
      <w:r w:rsidR="00B41E97">
        <w:t>gender</w:t>
      </w:r>
      <w:r w:rsidR="00EB0981">
        <w:t>sensitieve</w:t>
      </w:r>
      <w:proofErr w:type="spellEnd"/>
      <w:r w:rsidR="00EB0981">
        <w:t xml:space="preserve"> </w:t>
      </w:r>
      <w:r w:rsidR="00B41E97">
        <w:t>benadering voor al het overheidsbeleid.</w:t>
      </w:r>
      <w:r w:rsidR="00EB0981">
        <w:t xml:space="preserve"> Dit vraagt om </w:t>
      </w:r>
      <w:r w:rsidR="00DC5A99">
        <w:t>effectieve</w:t>
      </w:r>
      <w:r w:rsidR="00EB0981">
        <w:t xml:space="preserve"> centrale coördinatie van het emancipatiebeleid en bruikbare, representatieve data op alle relevante terreinen.  </w:t>
      </w:r>
    </w:p>
    <w:p w:rsidRPr="008960AD" w:rsidR="008960AD" w:rsidP="00C122BE" w:rsidRDefault="008960AD" w14:paraId="6EBD5FC1" w14:textId="46C1B779"/>
    <w:p w:rsidR="00624E62" w:rsidP="00C122BE" w:rsidRDefault="008960AD" w14:paraId="1F3E9611" w14:textId="7ECC9A3A">
      <w:r w:rsidRPr="008960AD">
        <w:t xml:space="preserve">De </w:t>
      </w:r>
      <w:r w:rsidR="00C47383">
        <w:t>aanbevelingen</w:t>
      </w:r>
      <w:r w:rsidRPr="008960AD" w:rsidR="00C47383">
        <w:t xml:space="preserve"> </w:t>
      </w:r>
      <w:r w:rsidRPr="008960AD">
        <w:t xml:space="preserve">van </w:t>
      </w:r>
      <w:r w:rsidR="00E43E38">
        <w:t xml:space="preserve">het </w:t>
      </w:r>
      <w:r w:rsidR="000115C8">
        <w:t>CEDAW-</w:t>
      </w:r>
      <w:r w:rsidR="006832D2">
        <w:t>Comité</w:t>
      </w:r>
      <w:r w:rsidRPr="006A35A8" w:rsidR="00A06E58">
        <w:t xml:space="preserve"> </w:t>
      </w:r>
      <w:r w:rsidR="002E2BB4">
        <w:t>zijn</w:t>
      </w:r>
      <w:r w:rsidRPr="008960AD">
        <w:t xml:space="preserve"> een belangrijke aansporing bij de verdere ontwikkeling van </w:t>
      </w:r>
      <w:r w:rsidR="0029416B">
        <w:t xml:space="preserve">het </w:t>
      </w:r>
      <w:r w:rsidR="00EB0981">
        <w:t>emancipatiebeleid</w:t>
      </w:r>
      <w:r w:rsidRPr="008960AD">
        <w:t xml:space="preserve">. </w:t>
      </w:r>
      <w:r w:rsidR="00DD0A0A">
        <w:t>Ze</w:t>
      </w:r>
      <w:r w:rsidR="0049599A">
        <w:t xml:space="preserve"> helpen</w:t>
      </w:r>
      <w:r>
        <w:t xml:space="preserve"> ons om</w:t>
      </w:r>
      <w:r w:rsidR="005849DC">
        <w:t xml:space="preserve"> </w:t>
      </w:r>
      <w:r w:rsidR="004C7296">
        <w:t>verbeterpunten</w:t>
      </w:r>
      <w:r>
        <w:t xml:space="preserve"> in wetgeving en beleid </w:t>
      </w:r>
      <w:r w:rsidR="0029416B">
        <w:t>te prioriteren en</w:t>
      </w:r>
      <w:r>
        <w:t xml:space="preserve"> </w:t>
      </w:r>
      <w:r w:rsidR="005849DC">
        <w:t xml:space="preserve">effectief </w:t>
      </w:r>
      <w:r w:rsidR="00EB0981">
        <w:t>op</w:t>
      </w:r>
      <w:r>
        <w:t xml:space="preserve"> te pakken</w:t>
      </w:r>
      <w:r w:rsidRPr="008960AD">
        <w:t>.</w:t>
      </w:r>
      <w:r w:rsidR="005849DC">
        <w:t xml:space="preserve"> Het </w:t>
      </w:r>
      <w:r w:rsidR="0029416B">
        <w:t xml:space="preserve">coalitieakkoord </w:t>
      </w:r>
      <w:r w:rsidR="005849DC">
        <w:t>toont de ambitie waarmee dit kabinet dat doet</w:t>
      </w:r>
      <w:r w:rsidR="0029416B">
        <w:t>, op het gebied van veiligheid, gezondheid en vrijheid</w:t>
      </w:r>
      <w:r w:rsidR="005849DC">
        <w:t>.</w:t>
      </w:r>
      <w:r w:rsidR="003E1C2F">
        <w:rPr>
          <w:rStyle w:val="Voetnootmarkering"/>
        </w:rPr>
        <w:footnoteReference w:id="11"/>
      </w:r>
      <w:r w:rsidR="005849DC">
        <w:t xml:space="preserve"> </w:t>
      </w:r>
    </w:p>
    <w:p w:rsidR="00624E62" w:rsidP="00C122BE" w:rsidRDefault="00624E62" w14:paraId="4DC02903" w14:textId="77777777"/>
    <w:p w:rsidR="007D74C2" w:rsidP="00C122BE" w:rsidRDefault="00624E62" w14:paraId="5C52FF44" w14:textId="22B5F715">
      <w:r>
        <w:t xml:space="preserve">Voor het verbeteren van de veiligheid van vrouwen heeft het </w:t>
      </w:r>
      <w:proofErr w:type="gramStart"/>
      <w:r>
        <w:t xml:space="preserve">kabinet </w:t>
      </w:r>
      <w:r w:rsidR="007D74C2">
        <w:t xml:space="preserve"> </w:t>
      </w:r>
      <w:r w:rsidRPr="007D74C2" w:rsidR="007D74C2">
        <w:t>een</w:t>
      </w:r>
      <w:proofErr w:type="gramEnd"/>
      <w:r w:rsidRPr="007D74C2" w:rsidR="007D74C2">
        <w:t xml:space="preserve"> brede aanpak van huiselijk en </w:t>
      </w:r>
      <w:proofErr w:type="spellStart"/>
      <w:r w:rsidRPr="007D74C2" w:rsidR="007D74C2">
        <w:t>gendergerelateerd</w:t>
      </w:r>
      <w:proofErr w:type="spellEnd"/>
      <w:r w:rsidRPr="007D74C2" w:rsidR="007D74C2">
        <w:t xml:space="preserve"> geweld, waaronder maatregelen tegen </w:t>
      </w:r>
      <w:proofErr w:type="spellStart"/>
      <w:r w:rsidRPr="007D74C2" w:rsidR="007D74C2">
        <w:t>femicide</w:t>
      </w:r>
      <w:proofErr w:type="spellEnd"/>
      <w:r w:rsidRPr="007D74C2" w:rsidR="007D74C2">
        <w:t xml:space="preserve">, online vrouwenhaat en seksueel grensoverschrijdend gedrag. Het Nationaal </w:t>
      </w:r>
      <w:r w:rsidRPr="002C107D" w:rsidR="007D74C2">
        <w:t>Actieplan Stop Geweld tegen Vrouwen wordt uitgevoerd onder regie van een Nationaal Coördinator</w:t>
      </w:r>
      <w:r w:rsidRPr="002C107D" w:rsidR="002C107D">
        <w:t>.</w:t>
      </w:r>
      <w:r w:rsidRPr="002C107D" w:rsidR="007D74C2">
        <w:t xml:space="preserve"> </w:t>
      </w:r>
      <w:r w:rsidRPr="002C107D" w:rsidR="002C107D">
        <w:t xml:space="preserve">Daarnaast investeert dit kabinet in de </w:t>
      </w:r>
      <w:r w:rsidR="002C107D">
        <w:t>politie</w:t>
      </w:r>
      <w:r w:rsidRPr="002C107D" w:rsidR="002C107D">
        <w:t xml:space="preserve">aanpak van (online) seksueel misbruik en </w:t>
      </w:r>
      <w:r w:rsidR="002C107D">
        <w:t>verdere</w:t>
      </w:r>
      <w:r w:rsidRPr="002C107D" w:rsidR="002C107D">
        <w:t xml:space="preserve"> professionalisering van de keten. </w:t>
      </w:r>
      <w:proofErr w:type="gramStart"/>
      <w:r w:rsidR="002C107D">
        <w:t>Tevens</w:t>
      </w:r>
      <w:proofErr w:type="gramEnd"/>
      <w:r w:rsidRPr="002C107D" w:rsidR="007D74C2">
        <w:t xml:space="preserve"> wordt de bescherming tegen discriminatie verbeterd door wettelijke verankering</w:t>
      </w:r>
      <w:r w:rsidRPr="007D74C2" w:rsidR="007D74C2">
        <w:t xml:space="preserve"> van de </w:t>
      </w:r>
      <w:r w:rsidR="00207307">
        <w:t>Nationaal Coördinator tegen Discriminatie en Racisme (</w:t>
      </w:r>
      <w:r w:rsidRPr="007D74C2" w:rsidR="007D74C2">
        <w:t>NCDR</w:t>
      </w:r>
      <w:r w:rsidR="00207307">
        <w:t>)</w:t>
      </w:r>
      <w:r w:rsidRPr="007D74C2" w:rsidR="007D74C2">
        <w:t xml:space="preserve">, landelijke </w:t>
      </w:r>
      <w:proofErr w:type="spellStart"/>
      <w:r w:rsidRPr="007D74C2" w:rsidR="007D74C2">
        <w:t>antidiscriminatievoorzieningen</w:t>
      </w:r>
      <w:proofErr w:type="spellEnd"/>
      <w:r w:rsidRPr="007D74C2" w:rsidR="007D74C2">
        <w:t xml:space="preserve"> en steviger</w:t>
      </w:r>
      <w:r w:rsidR="00DB592C">
        <w:t>e</w:t>
      </w:r>
      <w:r w:rsidRPr="007D74C2" w:rsidR="007D74C2">
        <w:t xml:space="preserve"> handhaving. Ook in het onderwijs en de digitale omgeving worden maatregelen genomen om sociale veiligheid te vergroten, pesten en intimidatie tegen te gaan en vrouwen beter te beschermen tegen </w:t>
      </w:r>
      <w:proofErr w:type="spellStart"/>
      <w:r w:rsidRPr="007D74C2" w:rsidR="007D74C2">
        <w:t>deepfakes</w:t>
      </w:r>
      <w:proofErr w:type="spellEnd"/>
      <w:r w:rsidRPr="007D74C2" w:rsidR="007D74C2">
        <w:t xml:space="preserve"> en schadelijke algoritmes.</w:t>
      </w:r>
    </w:p>
    <w:p w:rsidR="0089780B" w:rsidP="00C122BE" w:rsidRDefault="0089780B" w14:paraId="679C020A" w14:textId="77777777"/>
    <w:p w:rsidR="0089780B" w:rsidP="0089780B" w:rsidRDefault="0089780B" w14:paraId="2B3A1A61" w14:textId="77777777">
      <w:r w:rsidRPr="007D74C2">
        <w:t xml:space="preserve">In de zorg wordt gewerkt aan </w:t>
      </w:r>
      <w:proofErr w:type="spellStart"/>
      <w:r w:rsidRPr="007D74C2">
        <w:t>vrouwsensitieve</w:t>
      </w:r>
      <w:proofErr w:type="spellEnd"/>
      <w:r w:rsidRPr="007D74C2">
        <w:t xml:space="preserve"> en -specifieke zorg en het verkleinen van gezondheidsverschillen. Voor kwetsbare groepen, waaronder vrouwen in de opvang en vrouwelijke statushouders, worden aanvullende beschermings- en participatiemaatregelen getroffen. </w:t>
      </w:r>
    </w:p>
    <w:p w:rsidR="0029416B" w:rsidP="00C122BE" w:rsidRDefault="007D74C2" w14:paraId="6D00B361" w14:textId="3944D47B">
      <w:r>
        <w:br/>
      </w:r>
      <w:r w:rsidR="0029416B">
        <w:t>Met betrekking tot vrijheid en economische zelfstandigheid, zet h</w:t>
      </w:r>
      <w:r w:rsidRPr="007D74C2">
        <w:t>et kabinet in op het vergroten van de economische en maatschappelijke zelfstandigheid van vrouwen, onder meer via de Wet loontransparantie, stimulering van vrouwelijk ondernemerschap en betere mogelijkheden om werk en zorg te combineren</w:t>
      </w:r>
      <w:r w:rsidR="00624E62">
        <w:t xml:space="preserve">. Hiervoor vereenvoudigen we het verlofstelsel, en maken we kinderopvang </w:t>
      </w:r>
      <w:r w:rsidR="00BB5D65">
        <w:t>bijna gratis voor werkende ouders</w:t>
      </w:r>
      <w:r w:rsidRPr="007D74C2">
        <w:t xml:space="preserve">. </w:t>
      </w:r>
    </w:p>
    <w:p w:rsidR="0029416B" w:rsidP="00C122BE" w:rsidRDefault="0029416B" w14:paraId="1BE4EAA0" w14:textId="77777777"/>
    <w:p w:rsidR="0029416B" w:rsidP="00C122BE" w:rsidRDefault="0029416B" w14:paraId="6DC61FAF" w14:textId="77777777"/>
    <w:p w:rsidRPr="007D74C2" w:rsidR="007D74C2" w:rsidP="00C122BE" w:rsidRDefault="0081760C" w14:paraId="7717B555" w14:textId="2C299E23">
      <w:r>
        <w:t xml:space="preserve">Tot slot komen we </w:t>
      </w:r>
      <w:r w:rsidR="00771420">
        <w:t>i</w:t>
      </w:r>
      <w:r w:rsidRPr="007D74C2" w:rsidR="007D74C2">
        <w:t xml:space="preserve">nternationaal </w:t>
      </w:r>
      <w:r w:rsidR="00771420">
        <w:t>actief op voor de bescherming van</w:t>
      </w:r>
      <w:r w:rsidRPr="007D74C2" w:rsidR="007D74C2">
        <w:t xml:space="preserve"> vrouwenrechten</w:t>
      </w:r>
      <w:r w:rsidR="00771420">
        <w:t xml:space="preserve"> en gendergelijkheid en investeren we hierin</w:t>
      </w:r>
      <w:r w:rsidRPr="007D74C2" w:rsidR="007D74C2">
        <w:t xml:space="preserve"> via ontwikkelingssamenwerking en mensenrechtenbeleid. </w:t>
      </w:r>
    </w:p>
    <w:p w:rsidR="005849DC" w:rsidP="00C122BE" w:rsidRDefault="005849DC" w14:paraId="15BCBE63" w14:textId="639471B7"/>
    <w:p w:rsidR="00B52EB0" w:rsidP="00C122BE" w:rsidRDefault="00A72B33" w14:paraId="34CB4AAA" w14:textId="009E419F">
      <w:r>
        <w:t>M</w:t>
      </w:r>
      <w:r w:rsidRPr="00B52EB0">
        <w:t>et deze inzet</w:t>
      </w:r>
      <w:r>
        <w:t xml:space="preserve"> </w:t>
      </w:r>
      <w:r w:rsidRPr="00B52EB0">
        <w:t>geeft het kabinet</w:t>
      </w:r>
      <w:r>
        <w:t xml:space="preserve"> -</w:t>
      </w:r>
      <w:r w:rsidRPr="00B52EB0">
        <w:t xml:space="preserve"> </w:t>
      </w:r>
      <w:r>
        <w:t>i</w:t>
      </w:r>
      <w:r w:rsidRPr="00B52EB0">
        <w:t>n samenwerking met het maatschappelijk middenveld en andere relevante partners</w:t>
      </w:r>
      <w:r>
        <w:t xml:space="preserve"> -</w:t>
      </w:r>
      <w:r w:rsidRPr="00B52EB0">
        <w:t xml:space="preserve"> opvolging aan de aanbevelingen van het CEDAW</w:t>
      </w:r>
      <w:r w:rsidRPr="00B52EB0">
        <w:noBreakHyphen/>
        <w:t>Comité</w:t>
      </w:r>
      <w:r w:rsidRPr="00B52EB0" w:rsidR="00B52EB0">
        <w:t xml:space="preserve">. Dit is </w:t>
      </w:r>
      <w:r w:rsidR="004C7296">
        <w:t xml:space="preserve">niet alleen belangrijk voor alle vrouwen in Nederland, maar </w:t>
      </w:r>
      <w:r w:rsidR="00B52EB0">
        <w:t xml:space="preserve">ook </w:t>
      </w:r>
      <w:r w:rsidRPr="00B52EB0" w:rsidR="00B52EB0">
        <w:t xml:space="preserve">essentieel om een effectief buitenlandbeleid te kunnen voeren voor vrouwen wereldwijd. Nederland kan andere landen </w:t>
      </w:r>
      <w:r w:rsidR="00CC6AA6">
        <w:t>met andere landen in gesprek over</w:t>
      </w:r>
      <w:r w:rsidRPr="00B52EB0" w:rsidR="00B52EB0">
        <w:t xml:space="preserve"> het </w:t>
      </w:r>
      <w:r w:rsidR="0089780B">
        <w:t xml:space="preserve">beter </w:t>
      </w:r>
      <w:r w:rsidRPr="00B52EB0" w:rsidR="00B52EB0">
        <w:t xml:space="preserve">beschermen, bevorderen en naleven van internationale afspraken wanneer </w:t>
      </w:r>
      <w:r w:rsidR="002E2BB4">
        <w:t xml:space="preserve">het </w:t>
      </w:r>
      <w:r w:rsidRPr="00B52EB0" w:rsidR="00B52EB0">
        <w:t>dat zelf ook zichtbaar en consequent doe</w:t>
      </w:r>
      <w:r w:rsidR="002E2BB4">
        <w:t>t</w:t>
      </w:r>
      <w:r w:rsidRPr="00B52EB0" w:rsidR="00B52EB0">
        <w:t xml:space="preserve">. </w:t>
      </w:r>
    </w:p>
    <w:p w:rsidR="00B52EB0" w:rsidP="00C122BE" w:rsidRDefault="00B52EB0" w14:paraId="7E965576" w14:textId="77777777"/>
    <w:p w:rsidR="008C4C67" w:rsidP="00C122BE" w:rsidRDefault="00A72B33" w14:paraId="7B9F6AEF" w14:textId="0CDD1E27">
      <w:r>
        <w:t>In lijn met</w:t>
      </w:r>
      <w:r w:rsidRPr="00B52EB0" w:rsidR="00B52EB0">
        <w:t xml:space="preserve"> de </w:t>
      </w:r>
      <w:r w:rsidR="002E2BB4">
        <w:t xml:space="preserve">nog immer actuele </w:t>
      </w:r>
      <w:r w:rsidRPr="00B52EB0" w:rsidR="00B52EB0">
        <w:t xml:space="preserve">les van Simone de </w:t>
      </w:r>
      <w:proofErr w:type="spellStart"/>
      <w:r w:rsidRPr="00B52EB0" w:rsidR="00B52EB0">
        <w:t>Beauvoir</w:t>
      </w:r>
      <w:proofErr w:type="spellEnd"/>
      <w:r w:rsidRPr="00B52EB0" w:rsidR="00B52EB0">
        <w:t xml:space="preserve"> dat de rechten van vrouwen nooit vanzelfsprekend zijn, blijft dit kabinet zich</w:t>
      </w:r>
      <w:r w:rsidR="00DC5A99">
        <w:t xml:space="preserve"> in Nederland, Europa en daarbuiten</w:t>
      </w:r>
      <w:r w:rsidRPr="00B52EB0" w:rsidR="00B52EB0">
        <w:t xml:space="preserve"> onverminderd inzetten voor de vrijheid en gelijkwaardigheid van vrouwen</w:t>
      </w:r>
      <w:r w:rsidR="00DC5A99">
        <w:t>.</w:t>
      </w:r>
      <w:r w:rsidRPr="00B52EB0" w:rsidR="00B52EB0">
        <w:t xml:space="preserve"> </w:t>
      </w:r>
      <w:r w:rsidR="00DC5A99">
        <w:t>Onze grondwet én Europese en i</w:t>
      </w:r>
      <w:r w:rsidRPr="00B52EB0" w:rsidR="00B52EB0">
        <w:t>nternationale verplichtingen</w:t>
      </w:r>
      <w:r w:rsidR="00B52EB0">
        <w:t xml:space="preserve"> zoals het VN-</w:t>
      </w:r>
      <w:r w:rsidR="009B02EA">
        <w:t xml:space="preserve">Vrouwenverdrag </w:t>
      </w:r>
      <w:r w:rsidR="00DC5A99">
        <w:t xml:space="preserve">vormen </w:t>
      </w:r>
      <w:r>
        <w:t>s</w:t>
      </w:r>
      <w:r w:rsidR="00DC5A99">
        <w:t>amen de fundamentele basis voor deze inzet</w:t>
      </w:r>
      <w:r w:rsidRPr="00B52EB0" w:rsidR="00B52EB0">
        <w:t>.</w:t>
      </w:r>
    </w:p>
    <w:p w:rsidR="00870163" w:rsidP="00C122BE" w:rsidRDefault="00870163" w14:paraId="1934ADF3" w14:textId="77777777">
      <w:pPr>
        <w:pStyle w:val="Lijstalinea"/>
      </w:pPr>
    </w:p>
    <w:p w:rsidR="00C60922" w:rsidP="00C122BE" w:rsidRDefault="00C60922" w14:paraId="4F7E9C88" w14:textId="77777777"/>
    <w:p w:rsidR="00292330" w:rsidP="00C122BE" w:rsidRDefault="00292330" w14:paraId="3751B400" w14:textId="77777777"/>
    <w:p w:rsidR="007851C4" w:rsidP="00C122BE" w:rsidRDefault="007851C4" w14:paraId="1AAEA80C" w14:textId="5A7BCAF3">
      <w:pPr>
        <w:spacing w:line="240" w:lineRule="auto"/>
      </w:pPr>
    </w:p>
    <w:p w:rsidR="007C6389" w:rsidP="00C122BE" w:rsidRDefault="007C6389" w14:paraId="6676DD66" w14:textId="7073847D">
      <w:r>
        <w:t>Hoogachtend,</w:t>
      </w:r>
    </w:p>
    <w:p w:rsidR="007C6389" w:rsidP="00C122BE" w:rsidRDefault="007C6389" w14:paraId="63192113" w14:textId="77777777"/>
    <w:p w:rsidR="00820DDA" w:rsidP="00C122BE" w:rsidRDefault="00F91216" w14:paraId="2D874DE2" w14:textId="77777777">
      <w:proofErr w:type="gramStart"/>
      <w:r>
        <w:t>d</w:t>
      </w:r>
      <w:r w:rsidR="00745AE0">
        <w:t>e</w:t>
      </w:r>
      <w:proofErr w:type="gramEnd"/>
      <w:r w:rsidR="00745AE0">
        <w:t xml:space="preserve"> staatssecretaris </w:t>
      </w:r>
      <w:r w:rsidR="00535573">
        <w:t>van Onderwijs</w:t>
      </w:r>
      <w:r>
        <w:t xml:space="preserve"> en Emancipatie</w:t>
      </w:r>
      <w:r w:rsidR="00745AE0">
        <w:t>,</w:t>
      </w:r>
    </w:p>
    <w:p w:rsidR="00745AE0" w:rsidP="00C122BE" w:rsidRDefault="00745AE0" w14:paraId="3AC39C30" w14:textId="77777777"/>
    <w:p w:rsidR="00745AE0" w:rsidP="00C122BE" w:rsidRDefault="00745AE0" w14:paraId="7D4BA30B" w14:textId="77777777"/>
    <w:p w:rsidR="00745AE0" w:rsidP="00C122BE" w:rsidRDefault="00745AE0" w14:paraId="59BAD362" w14:textId="77777777"/>
    <w:p w:rsidR="00745AE0" w:rsidP="00C122BE" w:rsidRDefault="00745AE0" w14:paraId="6F4C3023" w14:textId="77777777"/>
    <w:p w:rsidR="00745AE0" w:rsidP="00C122BE" w:rsidRDefault="00745AE0" w14:paraId="58DFB13D" w14:textId="77777777"/>
    <w:p w:rsidR="00E93891" w:rsidP="00C122BE" w:rsidRDefault="00E93891" w14:paraId="189F5B30" w14:textId="77777777"/>
    <w:p w:rsidRPr="00820DDA" w:rsidR="00820DDA" w:rsidP="00C122BE" w:rsidRDefault="00F91216" w14:paraId="465038D7" w14:textId="35BCBD29">
      <w:r w:rsidRPr="000E04A1">
        <w:t xml:space="preserve">Judith </w:t>
      </w:r>
      <w:proofErr w:type="spellStart"/>
      <w:r w:rsidRPr="000E04A1">
        <w:t>Zs.C.M</w:t>
      </w:r>
      <w:proofErr w:type="spellEnd"/>
      <w:r w:rsidRPr="000E04A1">
        <w:t>. Tielen</w:t>
      </w:r>
    </w:p>
    <w:sectPr w:rsidRPr="00820DDA" w:rsidR="00820DDA" w:rsidSect="002F493B">
      <w:headerReference w:type="default" r:id="rId11"/>
      <w:footerReference w:type="default" r:id="rId12"/>
      <w:headerReference w:type="first" r:id="rId13"/>
      <w:footerReference w:type="first" r:id="rId14"/>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E91F8" w14:textId="77777777" w:rsidR="008A0F39" w:rsidRDefault="008A0F39">
      <w:r>
        <w:separator/>
      </w:r>
    </w:p>
    <w:p w14:paraId="3602D174" w14:textId="77777777" w:rsidR="008A0F39" w:rsidRDefault="008A0F39"/>
  </w:endnote>
  <w:endnote w:type="continuationSeparator" w:id="0">
    <w:p w14:paraId="5B427013" w14:textId="77777777" w:rsidR="008A0F39" w:rsidRDefault="008A0F39">
      <w:r>
        <w:continuationSeparator/>
      </w:r>
    </w:p>
    <w:p w14:paraId="1ED26045" w14:textId="77777777" w:rsidR="008A0F39" w:rsidRDefault="008A0F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CF1B0"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4F351A" w14:paraId="1511AD31" w14:textId="77777777" w:rsidTr="004C7E1D">
      <w:trPr>
        <w:trHeight w:hRule="exact" w:val="357"/>
      </w:trPr>
      <w:tc>
        <w:tcPr>
          <w:tcW w:w="7603" w:type="dxa"/>
        </w:tcPr>
        <w:p w14:paraId="07B09614" w14:textId="77777777" w:rsidR="002F71BB" w:rsidRPr="004C7E1D" w:rsidRDefault="002F71BB" w:rsidP="004C7E1D">
          <w:pPr>
            <w:spacing w:line="180" w:lineRule="exact"/>
            <w:rPr>
              <w:sz w:val="13"/>
              <w:szCs w:val="13"/>
            </w:rPr>
          </w:pPr>
        </w:p>
      </w:tc>
      <w:tc>
        <w:tcPr>
          <w:tcW w:w="2172" w:type="dxa"/>
        </w:tcPr>
        <w:p w14:paraId="1C7A2607" w14:textId="28D38A2B" w:rsidR="002F71BB" w:rsidRPr="004C7E1D" w:rsidRDefault="00F91216"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237D47">
            <w:rPr>
              <w:szCs w:val="13"/>
            </w:rPr>
            <w:t>4</w:t>
          </w:r>
          <w:r w:rsidRPr="004C7E1D">
            <w:rPr>
              <w:szCs w:val="13"/>
            </w:rPr>
            <w:fldChar w:fldCharType="end"/>
          </w:r>
        </w:p>
      </w:tc>
    </w:tr>
  </w:tbl>
  <w:p w14:paraId="622DF1B0"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4F351A" w14:paraId="65CA7E42" w14:textId="77777777" w:rsidTr="004C7E1D">
      <w:trPr>
        <w:trHeight w:hRule="exact" w:val="357"/>
      </w:trPr>
      <w:tc>
        <w:tcPr>
          <w:tcW w:w="7709" w:type="dxa"/>
        </w:tcPr>
        <w:p w14:paraId="067F93E4" w14:textId="77777777" w:rsidR="00D17084" w:rsidRPr="004C7E1D" w:rsidRDefault="00D17084" w:rsidP="004C7E1D">
          <w:pPr>
            <w:spacing w:line="180" w:lineRule="exact"/>
            <w:rPr>
              <w:sz w:val="13"/>
              <w:szCs w:val="13"/>
            </w:rPr>
          </w:pPr>
        </w:p>
      </w:tc>
      <w:tc>
        <w:tcPr>
          <w:tcW w:w="2060" w:type="dxa"/>
        </w:tcPr>
        <w:p w14:paraId="67593EC8" w14:textId="6E35F191" w:rsidR="00D17084" w:rsidRPr="004C7E1D" w:rsidRDefault="00F91216"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237D47">
            <w:rPr>
              <w:szCs w:val="13"/>
            </w:rPr>
            <w:t>4</w:t>
          </w:r>
          <w:r w:rsidRPr="004C7E1D">
            <w:rPr>
              <w:szCs w:val="13"/>
            </w:rPr>
            <w:fldChar w:fldCharType="end"/>
          </w:r>
        </w:p>
      </w:tc>
    </w:tr>
  </w:tbl>
  <w:p w14:paraId="245A90A1"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4E6E0" w14:textId="77777777" w:rsidR="008A0F39" w:rsidRDefault="008A0F39">
      <w:r>
        <w:separator/>
      </w:r>
    </w:p>
    <w:p w14:paraId="5749DB8B" w14:textId="77777777" w:rsidR="008A0F39" w:rsidRDefault="008A0F39"/>
  </w:footnote>
  <w:footnote w:type="continuationSeparator" w:id="0">
    <w:p w14:paraId="6A04075A" w14:textId="77777777" w:rsidR="008A0F39" w:rsidRDefault="008A0F39">
      <w:r>
        <w:continuationSeparator/>
      </w:r>
    </w:p>
    <w:p w14:paraId="379B0161" w14:textId="77777777" w:rsidR="008A0F39" w:rsidRDefault="008A0F39"/>
  </w:footnote>
  <w:footnote w:id="1">
    <w:p w14:paraId="3E5081D5" w14:textId="63F215DB" w:rsidR="00EB0981" w:rsidRPr="00A338E0" w:rsidRDefault="00EB0981" w:rsidP="00EB0981">
      <w:pPr>
        <w:pStyle w:val="Voetnoottekst"/>
      </w:pPr>
      <w:r>
        <w:rPr>
          <w:rStyle w:val="Voetnootmarkering"/>
        </w:rPr>
        <w:footnoteRef/>
      </w:r>
      <w:r w:rsidR="003E1C2F">
        <w:t xml:space="preserve"> </w:t>
      </w:r>
      <w:r w:rsidRPr="00A338E0">
        <w:t>Monitor Scorecard 2025: Monitor genderbalans i</w:t>
      </w:r>
      <w:r w:rsidRPr="0018522B">
        <w:t>n het Neder</w:t>
      </w:r>
      <w:r>
        <w:t>landse bedrijfsleven, Den Haag: SER 2025.</w:t>
      </w:r>
    </w:p>
  </w:footnote>
  <w:footnote w:id="2">
    <w:p w14:paraId="341C91BE" w14:textId="73B4948E" w:rsidR="00A338E0" w:rsidRDefault="00A338E0">
      <w:pPr>
        <w:pStyle w:val="Voetnoottekst"/>
      </w:pPr>
      <w:r>
        <w:rPr>
          <w:rStyle w:val="Voetnootmarkering"/>
        </w:rPr>
        <w:footnoteRef/>
      </w:r>
      <w:r>
        <w:t xml:space="preserve"> Zie bijvoorbeeld: </w:t>
      </w:r>
      <w:hyperlink r:id="rId1" w:history="1">
        <w:r w:rsidRPr="00A338E0">
          <w:rPr>
            <w:rStyle w:val="Hyperlink"/>
          </w:rPr>
          <w:t>Nieuwe wet aanpak seksuele misdrijven gaat in per 1 juli 2024 | Rijksoverheid.nl</w:t>
        </w:r>
      </w:hyperlink>
    </w:p>
  </w:footnote>
  <w:footnote w:id="3">
    <w:p w14:paraId="7E8D0259" w14:textId="77777777" w:rsidR="00EB0981" w:rsidRPr="0097574C" w:rsidRDefault="00EB0981" w:rsidP="00EB0981">
      <w:pPr>
        <w:pStyle w:val="Voetnoottekst"/>
      </w:pPr>
      <w:r>
        <w:rPr>
          <w:rStyle w:val="Voetnootmarkering"/>
        </w:rPr>
        <w:footnoteRef/>
      </w:r>
      <w:r>
        <w:t xml:space="preserve"> 1979, VN-</w:t>
      </w:r>
      <w:r w:rsidRPr="00020DB5">
        <w:t xml:space="preserve">Verdrag </w:t>
      </w:r>
      <w:proofErr w:type="gramStart"/>
      <w:r w:rsidRPr="00020DB5">
        <w:t>inzake</w:t>
      </w:r>
      <w:proofErr w:type="gramEnd"/>
      <w:r w:rsidRPr="00020DB5">
        <w:t xml:space="preserve"> de uitbanning van alle vormen van discriminatie van vrouwen</w:t>
      </w:r>
      <w:r>
        <w:t xml:space="preserve"> en het CEDAW Comité: </w:t>
      </w:r>
      <w:hyperlink r:id="rId2" w:history="1">
        <w:proofErr w:type="spellStart"/>
        <w:r w:rsidRPr="0097574C">
          <w:rPr>
            <w:rStyle w:val="Hyperlink"/>
          </w:rPr>
          <w:t>Co</w:t>
        </w:r>
        <w:r>
          <w:rPr>
            <w:rStyle w:val="Hyperlink"/>
          </w:rPr>
          <w:t>nvention</w:t>
        </w:r>
        <w:proofErr w:type="spellEnd"/>
        <w:r>
          <w:rPr>
            <w:rStyle w:val="Hyperlink"/>
          </w:rPr>
          <w:t xml:space="preserve"> </w:t>
        </w:r>
        <w:r w:rsidRPr="0097574C">
          <w:rPr>
            <w:rStyle w:val="Hyperlink"/>
          </w:rPr>
          <w:t xml:space="preserve">on </w:t>
        </w:r>
        <w:proofErr w:type="spellStart"/>
        <w:r w:rsidRPr="0097574C">
          <w:rPr>
            <w:rStyle w:val="Hyperlink"/>
          </w:rPr>
          <w:t>the</w:t>
        </w:r>
        <w:proofErr w:type="spellEnd"/>
        <w:r w:rsidRPr="0097574C">
          <w:rPr>
            <w:rStyle w:val="Hyperlink"/>
          </w:rPr>
          <w:t xml:space="preserve"> </w:t>
        </w:r>
        <w:proofErr w:type="spellStart"/>
        <w:r w:rsidRPr="0097574C">
          <w:rPr>
            <w:rStyle w:val="Hyperlink"/>
          </w:rPr>
          <w:t>Elimination</w:t>
        </w:r>
        <w:proofErr w:type="spellEnd"/>
        <w:r w:rsidRPr="0097574C">
          <w:rPr>
            <w:rStyle w:val="Hyperlink"/>
          </w:rPr>
          <w:t xml:space="preserve"> of </w:t>
        </w:r>
        <w:proofErr w:type="spellStart"/>
        <w:r w:rsidRPr="0097574C">
          <w:rPr>
            <w:rStyle w:val="Hyperlink"/>
          </w:rPr>
          <w:t>Discrimination</w:t>
        </w:r>
        <w:proofErr w:type="spellEnd"/>
        <w:r w:rsidRPr="0097574C">
          <w:rPr>
            <w:rStyle w:val="Hyperlink"/>
          </w:rPr>
          <w:t xml:space="preserve"> </w:t>
        </w:r>
        <w:proofErr w:type="spellStart"/>
        <w:r w:rsidRPr="0097574C">
          <w:rPr>
            <w:rStyle w:val="Hyperlink"/>
          </w:rPr>
          <w:t>against</w:t>
        </w:r>
        <w:proofErr w:type="spellEnd"/>
        <w:r w:rsidRPr="0097574C">
          <w:rPr>
            <w:rStyle w:val="Hyperlink"/>
          </w:rPr>
          <w:t xml:space="preserve"> </w:t>
        </w:r>
        <w:proofErr w:type="spellStart"/>
        <w:r w:rsidRPr="0097574C">
          <w:rPr>
            <w:rStyle w:val="Hyperlink"/>
          </w:rPr>
          <w:t>Women</w:t>
        </w:r>
        <w:proofErr w:type="spellEnd"/>
        <w:r w:rsidRPr="0097574C">
          <w:rPr>
            <w:rStyle w:val="Hyperlink"/>
          </w:rPr>
          <w:t xml:space="preserve"> | OHCHR</w:t>
        </w:r>
      </w:hyperlink>
    </w:p>
    <w:p w14:paraId="02A00E24" w14:textId="77777777" w:rsidR="00EB0981" w:rsidRDefault="00EB0981" w:rsidP="00EB0981">
      <w:pPr>
        <w:pStyle w:val="Voetnoottekst"/>
      </w:pPr>
    </w:p>
  </w:footnote>
  <w:footnote w:id="4">
    <w:p w14:paraId="430DD46D" w14:textId="77777777" w:rsidR="003E1C2F" w:rsidRDefault="003E1C2F" w:rsidP="003E1C2F">
      <w:pPr>
        <w:pStyle w:val="Voetnoottekst"/>
      </w:pPr>
      <w:r>
        <w:rPr>
          <w:rStyle w:val="Voetnootmarkering"/>
        </w:rPr>
        <w:footnoteRef/>
      </w:r>
      <w:r>
        <w:t xml:space="preserve"> </w:t>
      </w:r>
      <w:hyperlink r:id="rId3" w:history="1">
        <w:r w:rsidRPr="00B855C3">
          <w:rPr>
            <w:rStyle w:val="Hyperlink"/>
          </w:rPr>
          <w:t>Kamerstuk 30420, nr. 378 | Overheid.nl &gt; Officiële bekendmakingen</w:t>
        </w:r>
      </w:hyperlink>
    </w:p>
  </w:footnote>
  <w:footnote w:id="5">
    <w:p w14:paraId="3A311EE2" w14:textId="77777777" w:rsidR="003E1C2F" w:rsidRDefault="003E1C2F" w:rsidP="003E1C2F">
      <w:pPr>
        <w:pStyle w:val="Voetnoottekst"/>
      </w:pPr>
      <w:r>
        <w:rPr>
          <w:rStyle w:val="Voetnootmarkering"/>
        </w:rPr>
        <w:footnoteRef/>
      </w:r>
      <w:r>
        <w:t xml:space="preserve"> </w:t>
      </w:r>
      <w:hyperlink r:id="rId4" w:history="1">
        <w:r w:rsidRPr="00B855C3">
          <w:rPr>
            <w:rStyle w:val="Hyperlink"/>
          </w:rPr>
          <w:t>Inwoners BES-eilanden beter beschermd tegen discriminatie | Nieuwsbericht | Rijksoverheid.nl</w:t>
        </w:r>
      </w:hyperlink>
    </w:p>
  </w:footnote>
  <w:footnote w:id="6">
    <w:p w14:paraId="37CD321D" w14:textId="77777777" w:rsidR="003E1C2F" w:rsidRDefault="003E1C2F" w:rsidP="003E1C2F">
      <w:pPr>
        <w:pStyle w:val="Voetnoottekst"/>
      </w:pPr>
      <w:r>
        <w:rPr>
          <w:rStyle w:val="Voetnootmarkering"/>
        </w:rPr>
        <w:footnoteRef/>
      </w:r>
      <w:r>
        <w:t xml:space="preserve"> </w:t>
      </w:r>
      <w:hyperlink r:id="rId5" w:history="1">
        <w:r w:rsidRPr="00B855C3">
          <w:rPr>
            <w:rStyle w:val="Hyperlink"/>
          </w:rPr>
          <w:t>Non-discriminatiegronden Grondwet uitgebreid met handicap en seksuele gerichtheid | Nieuwsbericht | Rijksoverheid.nl</w:t>
        </w:r>
      </w:hyperlink>
    </w:p>
  </w:footnote>
  <w:footnote w:id="7">
    <w:p w14:paraId="7DD25590" w14:textId="77777777" w:rsidR="003E1C2F" w:rsidRDefault="003E1C2F" w:rsidP="003E1C2F">
      <w:pPr>
        <w:pStyle w:val="Voetnoottekst"/>
      </w:pPr>
      <w:r>
        <w:rPr>
          <w:rStyle w:val="Voetnootmarkering"/>
        </w:rPr>
        <w:footnoteRef/>
      </w:r>
      <w:r>
        <w:t xml:space="preserve"> </w:t>
      </w:r>
      <w:hyperlink r:id="rId6" w:history="1">
        <w:r w:rsidRPr="004E0AB2">
          <w:rPr>
            <w:rStyle w:val="Hyperlink"/>
          </w:rPr>
          <w:t xml:space="preserve">Plan van aanpak Stop </w:t>
        </w:r>
        <w:proofErr w:type="spellStart"/>
        <w:r w:rsidRPr="004E0AB2">
          <w:rPr>
            <w:rStyle w:val="Hyperlink"/>
          </w:rPr>
          <w:t>Femicide</w:t>
        </w:r>
        <w:proofErr w:type="spellEnd"/>
        <w:r w:rsidRPr="004E0AB2">
          <w:rPr>
            <w:rStyle w:val="Hyperlink"/>
          </w:rPr>
          <w:t xml:space="preserve">! </w:t>
        </w:r>
        <w:proofErr w:type="gramStart"/>
        <w:r w:rsidRPr="004E0AB2">
          <w:rPr>
            <w:rStyle w:val="Hyperlink"/>
          </w:rPr>
          <w:t>gepresenteerd</w:t>
        </w:r>
        <w:proofErr w:type="gramEnd"/>
        <w:r w:rsidRPr="004E0AB2">
          <w:rPr>
            <w:rStyle w:val="Hyperlink"/>
          </w:rPr>
          <w:t xml:space="preserve"> | Nieuwsbericht | Rijksoverheid.nl</w:t>
        </w:r>
      </w:hyperlink>
    </w:p>
  </w:footnote>
  <w:footnote w:id="8">
    <w:p w14:paraId="5ABD1210" w14:textId="77777777" w:rsidR="003E1C2F" w:rsidRDefault="003E1C2F" w:rsidP="003E1C2F">
      <w:pPr>
        <w:pStyle w:val="Voetnoottekst"/>
      </w:pPr>
      <w:r>
        <w:rPr>
          <w:rStyle w:val="Voetnootmarkering"/>
        </w:rPr>
        <w:footnoteRef/>
      </w:r>
      <w:r>
        <w:t xml:space="preserve"> </w:t>
      </w:r>
      <w:hyperlink r:id="rId7" w:history="1">
        <w:r w:rsidRPr="004E0AB2">
          <w:rPr>
            <w:rStyle w:val="Hyperlink"/>
          </w:rPr>
          <w:t>Nationaal Actieprogramma Aanpak seksueel grensoverschrijdend gedrag en seksueel geweld | Aanpak seksueel grensoverschrijdend gedrag en seksueel geweld | Rijksoverheid.nl</w:t>
        </w:r>
      </w:hyperlink>
    </w:p>
  </w:footnote>
  <w:footnote w:id="9">
    <w:p w14:paraId="235C8134" w14:textId="2A7CF62F" w:rsidR="004E0AB2" w:rsidRDefault="004E0AB2">
      <w:pPr>
        <w:pStyle w:val="Voetnoottekst"/>
      </w:pPr>
      <w:r>
        <w:rPr>
          <w:rStyle w:val="Voetnootmarkering"/>
        </w:rPr>
        <w:footnoteRef/>
      </w:r>
      <w:r>
        <w:t xml:space="preserve"> </w:t>
      </w:r>
      <w:hyperlink r:id="rId8" w:history="1">
        <w:r w:rsidRPr="004E0AB2">
          <w:rPr>
            <w:rStyle w:val="Hyperlink"/>
          </w:rPr>
          <w:t>Vierde Nationaal Actieplan over vrouwen, vrede en veiligheid (NAP 1325-IV) | Beleidsnota | Rijksoverheid.nl</w:t>
        </w:r>
      </w:hyperlink>
    </w:p>
  </w:footnote>
  <w:footnote w:id="10">
    <w:p w14:paraId="389499B5" w14:textId="65947A69" w:rsidR="00F70A4B" w:rsidRDefault="00F70A4B">
      <w:pPr>
        <w:pStyle w:val="Voetnoottekst"/>
      </w:pPr>
      <w:r>
        <w:rPr>
          <w:rStyle w:val="Voetnootmarkering"/>
        </w:rPr>
        <w:footnoteRef/>
      </w:r>
      <w:r>
        <w:t xml:space="preserve"> </w:t>
      </w:r>
      <w:r w:rsidR="00C122BE">
        <w:t>Verdrag van Istanbul</w:t>
      </w:r>
      <w:r>
        <w:t xml:space="preserve">, voluit: het Verdrag van de Raad van Europa </w:t>
      </w:r>
      <w:proofErr w:type="gramStart"/>
      <w:r>
        <w:t>inzake</w:t>
      </w:r>
      <w:proofErr w:type="gramEnd"/>
      <w:r>
        <w:t xml:space="preserve"> het voorkomen en bestrijden van geweld tegen vrouwen en huiselijk geweld.</w:t>
      </w:r>
    </w:p>
  </w:footnote>
  <w:footnote w:id="11">
    <w:p w14:paraId="462347C3" w14:textId="77777777" w:rsidR="003E1C2F" w:rsidRDefault="003E1C2F" w:rsidP="003E1C2F">
      <w:pPr>
        <w:pStyle w:val="Voetnoottekst"/>
      </w:pPr>
      <w:r>
        <w:rPr>
          <w:rStyle w:val="Voetnootmarkering"/>
        </w:rPr>
        <w:footnoteRef/>
      </w:r>
      <w:r>
        <w:t xml:space="preserve"> </w:t>
      </w:r>
      <w:hyperlink r:id="rId9" w:history="1">
        <w:r w:rsidRPr="005849DC">
          <w:rPr>
            <w:rStyle w:val="Hyperlink"/>
          </w:rPr>
          <w:t>Regeerakkoord ‘Aan de slag. Bouwen aan een beter Nederland’ | Regering | Rijksoverheid.nl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4F351A" w14:paraId="0EBD74ED" w14:textId="77777777" w:rsidTr="006D2D53">
      <w:trPr>
        <w:trHeight w:hRule="exact" w:val="400"/>
      </w:trPr>
      <w:tc>
        <w:tcPr>
          <w:tcW w:w="7518" w:type="dxa"/>
        </w:tcPr>
        <w:p w14:paraId="7FDE5059" w14:textId="77777777" w:rsidR="00527BD4" w:rsidRPr="00275984" w:rsidRDefault="00527BD4" w:rsidP="00BF4427">
          <w:pPr>
            <w:pStyle w:val="Huisstijl-Rubricering"/>
          </w:pPr>
        </w:p>
      </w:tc>
    </w:tr>
  </w:tbl>
  <w:p w14:paraId="153B4EB0"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4F351A" w14:paraId="6E68D518" w14:textId="77777777" w:rsidTr="003B528D">
      <w:tc>
        <w:tcPr>
          <w:tcW w:w="2160" w:type="dxa"/>
        </w:tcPr>
        <w:p w14:paraId="1F467E52" w14:textId="77777777" w:rsidR="002F71BB" w:rsidRPr="000407BB" w:rsidRDefault="00F91216" w:rsidP="005D283A">
          <w:pPr>
            <w:pStyle w:val="Colofonkop"/>
            <w:framePr w:hSpace="0" w:wrap="auto" w:vAnchor="margin" w:hAnchor="text" w:xAlign="left" w:yAlign="inline"/>
          </w:pPr>
          <w:r>
            <w:t>Onze referentie</w:t>
          </w:r>
        </w:p>
      </w:tc>
    </w:tr>
    <w:tr w:rsidR="004F351A" w14:paraId="6771833D" w14:textId="77777777" w:rsidTr="002F71BB">
      <w:trPr>
        <w:trHeight w:val="259"/>
      </w:trPr>
      <w:tc>
        <w:tcPr>
          <w:tcW w:w="2160" w:type="dxa"/>
        </w:tcPr>
        <w:p w14:paraId="46C3FA98" w14:textId="384D5A91" w:rsidR="00E35CF4" w:rsidRPr="005D283A" w:rsidRDefault="00237D47" w:rsidP="0049501A">
          <w:pPr>
            <w:spacing w:line="180" w:lineRule="exact"/>
            <w:rPr>
              <w:sz w:val="13"/>
              <w:szCs w:val="13"/>
            </w:rPr>
          </w:pPr>
          <w:r>
            <w:rPr>
              <w:sz w:val="13"/>
              <w:szCs w:val="13"/>
            </w:rPr>
            <w:t>64331545</w:t>
          </w:r>
        </w:p>
      </w:tc>
    </w:tr>
  </w:tbl>
  <w:p w14:paraId="08C4BC31"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4F351A" w14:paraId="443F36FD" w14:textId="77777777" w:rsidTr="001377D4">
      <w:trPr>
        <w:trHeight w:val="2636"/>
      </w:trPr>
      <w:tc>
        <w:tcPr>
          <w:tcW w:w="737" w:type="dxa"/>
        </w:tcPr>
        <w:p w14:paraId="1C9A3E0D" w14:textId="77777777" w:rsidR="00704845" w:rsidRDefault="00704845" w:rsidP="0047126E">
          <w:pPr>
            <w:framePr w:w="6339" w:h="2750" w:hRule="exact" w:hSpace="181" w:wrap="around" w:vAnchor="page" w:hAnchor="page" w:x="5586" w:y="1"/>
            <w:spacing w:line="240" w:lineRule="auto"/>
          </w:pPr>
        </w:p>
      </w:tc>
      <w:tc>
        <w:tcPr>
          <w:tcW w:w="5156" w:type="dxa"/>
        </w:tcPr>
        <w:p w14:paraId="644B3D48" w14:textId="77777777" w:rsidR="00704845" w:rsidRDefault="00F91216" w:rsidP="0047126E">
          <w:pPr>
            <w:framePr w:w="3873" w:h="2625" w:hRule="exact" w:wrap="around" w:vAnchor="page" w:hAnchor="page" w:x="6323" w:y="1"/>
          </w:pPr>
          <w:r>
            <w:rPr>
              <w:noProof/>
              <w:lang w:val="en-US" w:eastAsia="en-US"/>
            </w:rPr>
            <w:drawing>
              <wp:inline distT="0" distB="0" distL="0" distR="0" wp14:anchorId="6829A95A" wp14:editId="2152DF6D">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357AD4B7" w14:textId="77777777" w:rsidR="00483ECA" w:rsidRDefault="00483ECA" w:rsidP="00D037A9"/>
      </w:tc>
    </w:tr>
  </w:tbl>
  <w:p w14:paraId="482D5ED4"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4F351A" w14:paraId="6426EAE3" w14:textId="77777777" w:rsidTr="0008539E">
      <w:trPr>
        <w:trHeight w:hRule="exact" w:val="572"/>
      </w:trPr>
      <w:tc>
        <w:tcPr>
          <w:tcW w:w="7520" w:type="dxa"/>
        </w:tcPr>
        <w:p w14:paraId="0F9BB978" w14:textId="77777777" w:rsidR="00527BD4" w:rsidRPr="00963440" w:rsidRDefault="00F91216" w:rsidP="00210BA3">
          <w:pPr>
            <w:pStyle w:val="Huisstijl-Adres"/>
            <w:spacing w:after="0"/>
          </w:pPr>
          <w:r w:rsidRPr="009E3B07">
            <w:t>&gt;Retouradres </w:t>
          </w:r>
          <w:r>
            <w:t>Postbus 16375 2500 BJ Den Haag</w:t>
          </w:r>
          <w:r w:rsidRPr="009E3B07">
            <w:t xml:space="preserve"> </w:t>
          </w:r>
        </w:p>
      </w:tc>
    </w:tr>
    <w:tr w:rsidR="004F351A" w14:paraId="65348D0E" w14:textId="77777777" w:rsidTr="00E776C6">
      <w:trPr>
        <w:cantSplit/>
        <w:trHeight w:hRule="exact" w:val="238"/>
      </w:trPr>
      <w:tc>
        <w:tcPr>
          <w:tcW w:w="7520" w:type="dxa"/>
        </w:tcPr>
        <w:p w14:paraId="440DEC71" w14:textId="77777777" w:rsidR="00093ABC" w:rsidRPr="00963440" w:rsidRDefault="00093ABC" w:rsidP="00963440"/>
      </w:tc>
    </w:tr>
    <w:tr w:rsidR="004F351A" w14:paraId="20444DF9" w14:textId="77777777" w:rsidTr="00E776C6">
      <w:trPr>
        <w:cantSplit/>
        <w:trHeight w:hRule="exact" w:val="1520"/>
      </w:trPr>
      <w:tc>
        <w:tcPr>
          <w:tcW w:w="7520" w:type="dxa"/>
        </w:tcPr>
        <w:p w14:paraId="2C144268" w14:textId="77777777" w:rsidR="00A604D3" w:rsidRPr="00963440" w:rsidRDefault="00A604D3" w:rsidP="00963440"/>
      </w:tc>
    </w:tr>
    <w:tr w:rsidR="004F351A" w14:paraId="22A83C10" w14:textId="77777777" w:rsidTr="00E776C6">
      <w:trPr>
        <w:trHeight w:hRule="exact" w:val="1077"/>
      </w:trPr>
      <w:tc>
        <w:tcPr>
          <w:tcW w:w="7520" w:type="dxa"/>
        </w:tcPr>
        <w:p w14:paraId="77701A27" w14:textId="77777777" w:rsidR="00892BA5" w:rsidRPr="00035E67" w:rsidRDefault="00892BA5" w:rsidP="00892BA5">
          <w:pPr>
            <w:tabs>
              <w:tab w:val="left" w:pos="740"/>
            </w:tabs>
            <w:autoSpaceDE w:val="0"/>
            <w:autoSpaceDN w:val="0"/>
            <w:adjustRightInd w:val="0"/>
            <w:rPr>
              <w:rFonts w:cs="Verdana"/>
              <w:szCs w:val="18"/>
            </w:rPr>
          </w:pPr>
        </w:p>
      </w:tc>
    </w:tr>
  </w:tbl>
  <w:p w14:paraId="2B14E8E3" w14:textId="77777777" w:rsidR="006F273B" w:rsidRDefault="006F273B" w:rsidP="00BC4AE3">
    <w:pPr>
      <w:pStyle w:val="Koptekst"/>
    </w:pPr>
  </w:p>
  <w:p w14:paraId="13048FC8" w14:textId="77777777" w:rsidR="0044605E" w:rsidRDefault="0044605E" w:rsidP="00BC4AE3">
    <w:pPr>
      <w:pStyle w:val="Koptekst"/>
    </w:pPr>
  </w:p>
  <w:p w14:paraId="310CA7D3"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608C76FA">
      <w:start w:val="1"/>
      <w:numFmt w:val="bullet"/>
      <w:pStyle w:val="Lijstopsomteken"/>
      <w:lvlText w:val="•"/>
      <w:lvlJc w:val="left"/>
      <w:pPr>
        <w:tabs>
          <w:tab w:val="num" w:pos="227"/>
        </w:tabs>
        <w:ind w:left="227" w:hanging="227"/>
      </w:pPr>
      <w:rPr>
        <w:rFonts w:ascii="Verdana" w:hAnsi="Verdana" w:hint="default"/>
        <w:sz w:val="18"/>
        <w:szCs w:val="18"/>
      </w:rPr>
    </w:lvl>
    <w:lvl w:ilvl="1" w:tplc="E7C28828" w:tentative="1">
      <w:start w:val="1"/>
      <w:numFmt w:val="bullet"/>
      <w:lvlText w:val="o"/>
      <w:lvlJc w:val="left"/>
      <w:pPr>
        <w:tabs>
          <w:tab w:val="num" w:pos="1440"/>
        </w:tabs>
        <w:ind w:left="1440" w:hanging="360"/>
      </w:pPr>
      <w:rPr>
        <w:rFonts w:ascii="Courier New" w:hAnsi="Courier New" w:cs="Courier New" w:hint="default"/>
      </w:rPr>
    </w:lvl>
    <w:lvl w:ilvl="2" w:tplc="0C78CEA6" w:tentative="1">
      <w:start w:val="1"/>
      <w:numFmt w:val="bullet"/>
      <w:lvlText w:val=""/>
      <w:lvlJc w:val="left"/>
      <w:pPr>
        <w:tabs>
          <w:tab w:val="num" w:pos="2160"/>
        </w:tabs>
        <w:ind w:left="2160" w:hanging="360"/>
      </w:pPr>
      <w:rPr>
        <w:rFonts w:ascii="Wingdings" w:hAnsi="Wingdings" w:hint="default"/>
      </w:rPr>
    </w:lvl>
    <w:lvl w:ilvl="3" w:tplc="3B523E7C" w:tentative="1">
      <w:start w:val="1"/>
      <w:numFmt w:val="bullet"/>
      <w:lvlText w:val=""/>
      <w:lvlJc w:val="left"/>
      <w:pPr>
        <w:tabs>
          <w:tab w:val="num" w:pos="2880"/>
        </w:tabs>
        <w:ind w:left="2880" w:hanging="360"/>
      </w:pPr>
      <w:rPr>
        <w:rFonts w:ascii="Symbol" w:hAnsi="Symbol" w:hint="default"/>
      </w:rPr>
    </w:lvl>
    <w:lvl w:ilvl="4" w:tplc="8E083304" w:tentative="1">
      <w:start w:val="1"/>
      <w:numFmt w:val="bullet"/>
      <w:lvlText w:val="o"/>
      <w:lvlJc w:val="left"/>
      <w:pPr>
        <w:tabs>
          <w:tab w:val="num" w:pos="3600"/>
        </w:tabs>
        <w:ind w:left="3600" w:hanging="360"/>
      </w:pPr>
      <w:rPr>
        <w:rFonts w:ascii="Courier New" w:hAnsi="Courier New" w:cs="Courier New" w:hint="default"/>
      </w:rPr>
    </w:lvl>
    <w:lvl w:ilvl="5" w:tplc="90F6AE1E" w:tentative="1">
      <w:start w:val="1"/>
      <w:numFmt w:val="bullet"/>
      <w:lvlText w:val=""/>
      <w:lvlJc w:val="left"/>
      <w:pPr>
        <w:tabs>
          <w:tab w:val="num" w:pos="4320"/>
        </w:tabs>
        <w:ind w:left="4320" w:hanging="360"/>
      </w:pPr>
      <w:rPr>
        <w:rFonts w:ascii="Wingdings" w:hAnsi="Wingdings" w:hint="default"/>
      </w:rPr>
    </w:lvl>
    <w:lvl w:ilvl="6" w:tplc="42A66728" w:tentative="1">
      <w:start w:val="1"/>
      <w:numFmt w:val="bullet"/>
      <w:lvlText w:val=""/>
      <w:lvlJc w:val="left"/>
      <w:pPr>
        <w:tabs>
          <w:tab w:val="num" w:pos="5040"/>
        </w:tabs>
        <w:ind w:left="5040" w:hanging="360"/>
      </w:pPr>
      <w:rPr>
        <w:rFonts w:ascii="Symbol" w:hAnsi="Symbol" w:hint="default"/>
      </w:rPr>
    </w:lvl>
    <w:lvl w:ilvl="7" w:tplc="FD36914C" w:tentative="1">
      <w:start w:val="1"/>
      <w:numFmt w:val="bullet"/>
      <w:lvlText w:val="o"/>
      <w:lvlJc w:val="left"/>
      <w:pPr>
        <w:tabs>
          <w:tab w:val="num" w:pos="5760"/>
        </w:tabs>
        <w:ind w:left="5760" w:hanging="360"/>
      </w:pPr>
      <w:rPr>
        <w:rFonts w:ascii="Courier New" w:hAnsi="Courier New" w:cs="Courier New" w:hint="default"/>
      </w:rPr>
    </w:lvl>
    <w:lvl w:ilvl="8" w:tplc="882C756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81E0DC2A">
      <w:start w:val="1"/>
      <w:numFmt w:val="bullet"/>
      <w:pStyle w:val="Lijstopsomteken2"/>
      <w:lvlText w:val="–"/>
      <w:lvlJc w:val="left"/>
      <w:pPr>
        <w:tabs>
          <w:tab w:val="num" w:pos="227"/>
        </w:tabs>
        <w:ind w:left="227" w:firstLine="0"/>
      </w:pPr>
      <w:rPr>
        <w:rFonts w:ascii="Verdana" w:hAnsi="Verdana" w:hint="default"/>
      </w:rPr>
    </w:lvl>
    <w:lvl w:ilvl="1" w:tplc="E56AA140" w:tentative="1">
      <w:start w:val="1"/>
      <w:numFmt w:val="bullet"/>
      <w:lvlText w:val="o"/>
      <w:lvlJc w:val="left"/>
      <w:pPr>
        <w:tabs>
          <w:tab w:val="num" w:pos="1440"/>
        </w:tabs>
        <w:ind w:left="1440" w:hanging="360"/>
      </w:pPr>
      <w:rPr>
        <w:rFonts w:ascii="Courier New" w:hAnsi="Courier New" w:cs="Courier New" w:hint="default"/>
      </w:rPr>
    </w:lvl>
    <w:lvl w:ilvl="2" w:tplc="BF12C066" w:tentative="1">
      <w:start w:val="1"/>
      <w:numFmt w:val="bullet"/>
      <w:lvlText w:val=""/>
      <w:lvlJc w:val="left"/>
      <w:pPr>
        <w:tabs>
          <w:tab w:val="num" w:pos="2160"/>
        </w:tabs>
        <w:ind w:left="2160" w:hanging="360"/>
      </w:pPr>
      <w:rPr>
        <w:rFonts w:ascii="Wingdings" w:hAnsi="Wingdings" w:hint="default"/>
      </w:rPr>
    </w:lvl>
    <w:lvl w:ilvl="3" w:tplc="819CBFF0" w:tentative="1">
      <w:start w:val="1"/>
      <w:numFmt w:val="bullet"/>
      <w:lvlText w:val=""/>
      <w:lvlJc w:val="left"/>
      <w:pPr>
        <w:tabs>
          <w:tab w:val="num" w:pos="2880"/>
        </w:tabs>
        <w:ind w:left="2880" w:hanging="360"/>
      </w:pPr>
      <w:rPr>
        <w:rFonts w:ascii="Symbol" w:hAnsi="Symbol" w:hint="default"/>
      </w:rPr>
    </w:lvl>
    <w:lvl w:ilvl="4" w:tplc="09C07C78" w:tentative="1">
      <w:start w:val="1"/>
      <w:numFmt w:val="bullet"/>
      <w:lvlText w:val="o"/>
      <w:lvlJc w:val="left"/>
      <w:pPr>
        <w:tabs>
          <w:tab w:val="num" w:pos="3600"/>
        </w:tabs>
        <w:ind w:left="3600" w:hanging="360"/>
      </w:pPr>
      <w:rPr>
        <w:rFonts w:ascii="Courier New" w:hAnsi="Courier New" w:cs="Courier New" w:hint="default"/>
      </w:rPr>
    </w:lvl>
    <w:lvl w:ilvl="5" w:tplc="884C60CA" w:tentative="1">
      <w:start w:val="1"/>
      <w:numFmt w:val="bullet"/>
      <w:lvlText w:val=""/>
      <w:lvlJc w:val="left"/>
      <w:pPr>
        <w:tabs>
          <w:tab w:val="num" w:pos="4320"/>
        </w:tabs>
        <w:ind w:left="4320" w:hanging="360"/>
      </w:pPr>
      <w:rPr>
        <w:rFonts w:ascii="Wingdings" w:hAnsi="Wingdings" w:hint="default"/>
      </w:rPr>
    </w:lvl>
    <w:lvl w:ilvl="6" w:tplc="7D9AE1A2" w:tentative="1">
      <w:start w:val="1"/>
      <w:numFmt w:val="bullet"/>
      <w:lvlText w:val=""/>
      <w:lvlJc w:val="left"/>
      <w:pPr>
        <w:tabs>
          <w:tab w:val="num" w:pos="5040"/>
        </w:tabs>
        <w:ind w:left="5040" w:hanging="360"/>
      </w:pPr>
      <w:rPr>
        <w:rFonts w:ascii="Symbol" w:hAnsi="Symbol" w:hint="default"/>
      </w:rPr>
    </w:lvl>
    <w:lvl w:ilvl="7" w:tplc="A4D62684" w:tentative="1">
      <w:start w:val="1"/>
      <w:numFmt w:val="bullet"/>
      <w:lvlText w:val="o"/>
      <w:lvlJc w:val="left"/>
      <w:pPr>
        <w:tabs>
          <w:tab w:val="num" w:pos="5760"/>
        </w:tabs>
        <w:ind w:left="5760" w:hanging="360"/>
      </w:pPr>
      <w:rPr>
        <w:rFonts w:ascii="Courier New" w:hAnsi="Courier New" w:cs="Courier New" w:hint="default"/>
      </w:rPr>
    </w:lvl>
    <w:lvl w:ilvl="8" w:tplc="F96C294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785675"/>
    <w:multiLevelType w:val="hybridMultilevel"/>
    <w:tmpl w:val="0E1C966C"/>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4" w15:restartNumberingAfterBreak="0">
    <w:nsid w:val="39FE177B"/>
    <w:multiLevelType w:val="hybridMultilevel"/>
    <w:tmpl w:val="AD30AF8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77F3CDB"/>
    <w:multiLevelType w:val="hybridMultilevel"/>
    <w:tmpl w:val="9BDCF4E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2155699"/>
    <w:multiLevelType w:val="hybridMultilevel"/>
    <w:tmpl w:val="D346D1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16654209">
    <w:abstractNumId w:val="10"/>
  </w:num>
  <w:num w:numId="2" w16cid:durableId="2023896607">
    <w:abstractNumId w:val="7"/>
  </w:num>
  <w:num w:numId="3" w16cid:durableId="2075352471">
    <w:abstractNumId w:val="6"/>
  </w:num>
  <w:num w:numId="4" w16cid:durableId="492137493">
    <w:abstractNumId w:val="5"/>
  </w:num>
  <w:num w:numId="5" w16cid:durableId="1634172330">
    <w:abstractNumId w:val="4"/>
  </w:num>
  <w:num w:numId="6" w16cid:durableId="1574900015">
    <w:abstractNumId w:val="8"/>
  </w:num>
  <w:num w:numId="7" w16cid:durableId="1330257924">
    <w:abstractNumId w:val="3"/>
  </w:num>
  <w:num w:numId="8" w16cid:durableId="1709918126">
    <w:abstractNumId w:val="2"/>
  </w:num>
  <w:num w:numId="9" w16cid:durableId="1283683986">
    <w:abstractNumId w:val="1"/>
  </w:num>
  <w:num w:numId="10" w16cid:durableId="1235701910">
    <w:abstractNumId w:val="0"/>
  </w:num>
  <w:num w:numId="11" w16cid:durableId="629743834">
    <w:abstractNumId w:val="9"/>
  </w:num>
  <w:num w:numId="12" w16cid:durableId="2039501683">
    <w:abstractNumId w:val="11"/>
  </w:num>
  <w:num w:numId="13" w16cid:durableId="983240163">
    <w:abstractNumId w:val="15"/>
  </w:num>
  <w:num w:numId="14" w16cid:durableId="866142275">
    <w:abstractNumId w:val="12"/>
  </w:num>
  <w:num w:numId="15" w16cid:durableId="1856386635">
    <w:abstractNumId w:val="13"/>
  </w:num>
  <w:num w:numId="16" w16cid:durableId="1263875911">
    <w:abstractNumId w:val="16"/>
  </w:num>
  <w:num w:numId="17" w16cid:durableId="1288315421">
    <w:abstractNumId w:val="17"/>
  </w:num>
  <w:num w:numId="18" w16cid:durableId="153836755">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11FE"/>
    <w:rsid w:val="00003185"/>
    <w:rsid w:val="00006C55"/>
    <w:rsid w:val="000115C8"/>
    <w:rsid w:val="00013862"/>
    <w:rsid w:val="00014599"/>
    <w:rsid w:val="00016012"/>
    <w:rsid w:val="0001645B"/>
    <w:rsid w:val="00020189"/>
    <w:rsid w:val="00020DB5"/>
    <w:rsid w:val="00020EE4"/>
    <w:rsid w:val="00020FCB"/>
    <w:rsid w:val="0002170D"/>
    <w:rsid w:val="000217E8"/>
    <w:rsid w:val="00023E9A"/>
    <w:rsid w:val="00025A42"/>
    <w:rsid w:val="00033CDD"/>
    <w:rsid w:val="00034A84"/>
    <w:rsid w:val="00034D28"/>
    <w:rsid w:val="00035E67"/>
    <w:rsid w:val="000366F3"/>
    <w:rsid w:val="000407BB"/>
    <w:rsid w:val="00041D75"/>
    <w:rsid w:val="0004490C"/>
    <w:rsid w:val="0005404B"/>
    <w:rsid w:val="0005447D"/>
    <w:rsid w:val="000546DE"/>
    <w:rsid w:val="0006024D"/>
    <w:rsid w:val="00062055"/>
    <w:rsid w:val="00065462"/>
    <w:rsid w:val="00071F28"/>
    <w:rsid w:val="00074079"/>
    <w:rsid w:val="000765B6"/>
    <w:rsid w:val="0008289C"/>
    <w:rsid w:val="000839F6"/>
    <w:rsid w:val="0008539E"/>
    <w:rsid w:val="0008667B"/>
    <w:rsid w:val="00092799"/>
    <w:rsid w:val="00092A99"/>
    <w:rsid w:val="00092C5F"/>
    <w:rsid w:val="00093407"/>
    <w:rsid w:val="00093ABC"/>
    <w:rsid w:val="00095FFA"/>
    <w:rsid w:val="00096680"/>
    <w:rsid w:val="000A0F36"/>
    <w:rsid w:val="000A174A"/>
    <w:rsid w:val="000A3E0A"/>
    <w:rsid w:val="000A5EF3"/>
    <w:rsid w:val="000A65AC"/>
    <w:rsid w:val="000B12AC"/>
    <w:rsid w:val="000B5D0C"/>
    <w:rsid w:val="000B7281"/>
    <w:rsid w:val="000B7FAB"/>
    <w:rsid w:val="000C1559"/>
    <w:rsid w:val="000C1BA1"/>
    <w:rsid w:val="000C3EA9"/>
    <w:rsid w:val="000C4A32"/>
    <w:rsid w:val="000C5CAF"/>
    <w:rsid w:val="000C65BB"/>
    <w:rsid w:val="000C7119"/>
    <w:rsid w:val="000D0225"/>
    <w:rsid w:val="000D249E"/>
    <w:rsid w:val="000D6399"/>
    <w:rsid w:val="000E04A1"/>
    <w:rsid w:val="000E5886"/>
    <w:rsid w:val="000E6621"/>
    <w:rsid w:val="000E7895"/>
    <w:rsid w:val="000F161D"/>
    <w:rsid w:val="000F1B4E"/>
    <w:rsid w:val="000F1FFF"/>
    <w:rsid w:val="000F4884"/>
    <w:rsid w:val="00100203"/>
    <w:rsid w:val="00103CDE"/>
    <w:rsid w:val="00104B4D"/>
    <w:rsid w:val="00105677"/>
    <w:rsid w:val="001177B4"/>
    <w:rsid w:val="00122CF9"/>
    <w:rsid w:val="00123704"/>
    <w:rsid w:val="001270C7"/>
    <w:rsid w:val="0012720B"/>
    <w:rsid w:val="001324F5"/>
    <w:rsid w:val="00132540"/>
    <w:rsid w:val="001377D4"/>
    <w:rsid w:val="00142E41"/>
    <w:rsid w:val="001444BD"/>
    <w:rsid w:val="00144F53"/>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32BA"/>
    <w:rsid w:val="0018496F"/>
    <w:rsid w:val="0018522B"/>
    <w:rsid w:val="00185576"/>
    <w:rsid w:val="00185951"/>
    <w:rsid w:val="001921FE"/>
    <w:rsid w:val="00194A00"/>
    <w:rsid w:val="00196B8B"/>
    <w:rsid w:val="001A0BFA"/>
    <w:rsid w:val="001A1608"/>
    <w:rsid w:val="001A22E1"/>
    <w:rsid w:val="001A2BEA"/>
    <w:rsid w:val="001A325F"/>
    <w:rsid w:val="001A4161"/>
    <w:rsid w:val="001A6D93"/>
    <w:rsid w:val="001B2BBA"/>
    <w:rsid w:val="001B35FA"/>
    <w:rsid w:val="001B6125"/>
    <w:rsid w:val="001B749E"/>
    <w:rsid w:val="001C006F"/>
    <w:rsid w:val="001C2C36"/>
    <w:rsid w:val="001C32EC"/>
    <w:rsid w:val="001C38BD"/>
    <w:rsid w:val="001C4D5A"/>
    <w:rsid w:val="001C6F4A"/>
    <w:rsid w:val="001D24DA"/>
    <w:rsid w:val="001D5815"/>
    <w:rsid w:val="001E0256"/>
    <w:rsid w:val="001E34C6"/>
    <w:rsid w:val="001E5581"/>
    <w:rsid w:val="001F120D"/>
    <w:rsid w:val="001F3C70"/>
    <w:rsid w:val="00200D88"/>
    <w:rsid w:val="00201C09"/>
    <w:rsid w:val="00201F68"/>
    <w:rsid w:val="00207307"/>
    <w:rsid w:val="00210BA3"/>
    <w:rsid w:val="00212F2A"/>
    <w:rsid w:val="00213E07"/>
    <w:rsid w:val="00214F2B"/>
    <w:rsid w:val="00215356"/>
    <w:rsid w:val="00215964"/>
    <w:rsid w:val="00215D8B"/>
    <w:rsid w:val="00217880"/>
    <w:rsid w:val="00217896"/>
    <w:rsid w:val="00222D66"/>
    <w:rsid w:val="0022441A"/>
    <w:rsid w:val="00224A8A"/>
    <w:rsid w:val="002309A8"/>
    <w:rsid w:val="00236CFE"/>
    <w:rsid w:val="00237D47"/>
    <w:rsid w:val="002428E3"/>
    <w:rsid w:val="0024430A"/>
    <w:rsid w:val="0024582A"/>
    <w:rsid w:val="00245FF7"/>
    <w:rsid w:val="00250D1B"/>
    <w:rsid w:val="00253B65"/>
    <w:rsid w:val="0026060B"/>
    <w:rsid w:val="00260BAF"/>
    <w:rsid w:val="002610A6"/>
    <w:rsid w:val="002610E0"/>
    <w:rsid w:val="00263FD6"/>
    <w:rsid w:val="002650F7"/>
    <w:rsid w:val="00265649"/>
    <w:rsid w:val="0026686B"/>
    <w:rsid w:val="002730AE"/>
    <w:rsid w:val="00273F3B"/>
    <w:rsid w:val="00274DB7"/>
    <w:rsid w:val="00275984"/>
    <w:rsid w:val="00276199"/>
    <w:rsid w:val="002768F3"/>
    <w:rsid w:val="00276DA4"/>
    <w:rsid w:val="00280F74"/>
    <w:rsid w:val="00286998"/>
    <w:rsid w:val="00291335"/>
    <w:rsid w:val="0029150C"/>
    <w:rsid w:val="00291AB7"/>
    <w:rsid w:val="00292330"/>
    <w:rsid w:val="0029416B"/>
    <w:rsid w:val="0029422B"/>
    <w:rsid w:val="00294DCB"/>
    <w:rsid w:val="002A06CE"/>
    <w:rsid w:val="002A37B5"/>
    <w:rsid w:val="002A6722"/>
    <w:rsid w:val="002B153C"/>
    <w:rsid w:val="002B52FC"/>
    <w:rsid w:val="002C107D"/>
    <w:rsid w:val="002C26D0"/>
    <w:rsid w:val="002C2830"/>
    <w:rsid w:val="002C3CE0"/>
    <w:rsid w:val="002C40AF"/>
    <w:rsid w:val="002D001A"/>
    <w:rsid w:val="002D28E2"/>
    <w:rsid w:val="002D317B"/>
    <w:rsid w:val="002D3587"/>
    <w:rsid w:val="002D3F4E"/>
    <w:rsid w:val="002D502D"/>
    <w:rsid w:val="002D5AAD"/>
    <w:rsid w:val="002D66A2"/>
    <w:rsid w:val="002D6C72"/>
    <w:rsid w:val="002E0F69"/>
    <w:rsid w:val="002E1456"/>
    <w:rsid w:val="002E1572"/>
    <w:rsid w:val="002E2142"/>
    <w:rsid w:val="002E2BB4"/>
    <w:rsid w:val="002E2DA3"/>
    <w:rsid w:val="002E4CF2"/>
    <w:rsid w:val="002E6ED3"/>
    <w:rsid w:val="002E6FC0"/>
    <w:rsid w:val="002F258D"/>
    <w:rsid w:val="002F3F37"/>
    <w:rsid w:val="002F493B"/>
    <w:rsid w:val="002F4ED5"/>
    <w:rsid w:val="002F5147"/>
    <w:rsid w:val="002F5A0B"/>
    <w:rsid w:val="002F6237"/>
    <w:rsid w:val="002F71BB"/>
    <w:rsid w:val="002F7ABD"/>
    <w:rsid w:val="00304F97"/>
    <w:rsid w:val="00307B3C"/>
    <w:rsid w:val="00310EF2"/>
    <w:rsid w:val="003115A6"/>
    <w:rsid w:val="00312597"/>
    <w:rsid w:val="00322836"/>
    <w:rsid w:val="00334154"/>
    <w:rsid w:val="003341D0"/>
    <w:rsid w:val="0033635E"/>
    <w:rsid w:val="003372C4"/>
    <w:rsid w:val="00341FA0"/>
    <w:rsid w:val="00342374"/>
    <w:rsid w:val="003440F8"/>
    <w:rsid w:val="00344F3D"/>
    <w:rsid w:val="00345299"/>
    <w:rsid w:val="00347221"/>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6D"/>
    <w:rsid w:val="00383DA1"/>
    <w:rsid w:val="00385F30"/>
    <w:rsid w:val="00387600"/>
    <w:rsid w:val="00393696"/>
    <w:rsid w:val="00393963"/>
    <w:rsid w:val="003939BA"/>
    <w:rsid w:val="00395575"/>
    <w:rsid w:val="00395672"/>
    <w:rsid w:val="00397493"/>
    <w:rsid w:val="003A06C8"/>
    <w:rsid w:val="003A0D7C"/>
    <w:rsid w:val="003A7160"/>
    <w:rsid w:val="003B0155"/>
    <w:rsid w:val="003B09DB"/>
    <w:rsid w:val="003B0C92"/>
    <w:rsid w:val="003B4551"/>
    <w:rsid w:val="003B528D"/>
    <w:rsid w:val="003B7EE7"/>
    <w:rsid w:val="003C2CCB"/>
    <w:rsid w:val="003C4A1C"/>
    <w:rsid w:val="003C5BCB"/>
    <w:rsid w:val="003D2DFD"/>
    <w:rsid w:val="003D39EC"/>
    <w:rsid w:val="003D40EA"/>
    <w:rsid w:val="003E1C2F"/>
    <w:rsid w:val="003E3DD5"/>
    <w:rsid w:val="003E56C7"/>
    <w:rsid w:val="003F07C6"/>
    <w:rsid w:val="003F1F6B"/>
    <w:rsid w:val="003F3757"/>
    <w:rsid w:val="003F4107"/>
    <w:rsid w:val="003F44B7"/>
    <w:rsid w:val="003F7C57"/>
    <w:rsid w:val="004008E9"/>
    <w:rsid w:val="00407991"/>
    <w:rsid w:val="0041019E"/>
    <w:rsid w:val="00413D48"/>
    <w:rsid w:val="004161CB"/>
    <w:rsid w:val="0042090C"/>
    <w:rsid w:val="00423607"/>
    <w:rsid w:val="00424A60"/>
    <w:rsid w:val="00431756"/>
    <w:rsid w:val="00434042"/>
    <w:rsid w:val="00434500"/>
    <w:rsid w:val="00441AC2"/>
    <w:rsid w:val="0044249B"/>
    <w:rsid w:val="004425A7"/>
    <w:rsid w:val="0044605E"/>
    <w:rsid w:val="0045023C"/>
    <w:rsid w:val="004502B3"/>
    <w:rsid w:val="00451A5B"/>
    <w:rsid w:val="00452BCD"/>
    <w:rsid w:val="00452CEA"/>
    <w:rsid w:val="00463A63"/>
    <w:rsid w:val="00465B52"/>
    <w:rsid w:val="0046708E"/>
    <w:rsid w:val="00467D61"/>
    <w:rsid w:val="0047126E"/>
    <w:rsid w:val="004722BE"/>
    <w:rsid w:val="00472A65"/>
    <w:rsid w:val="00474463"/>
    <w:rsid w:val="00474B75"/>
    <w:rsid w:val="00483ECA"/>
    <w:rsid w:val="00483F0B"/>
    <w:rsid w:val="00484505"/>
    <w:rsid w:val="00484E82"/>
    <w:rsid w:val="0049395B"/>
    <w:rsid w:val="0049501A"/>
    <w:rsid w:val="0049599A"/>
    <w:rsid w:val="00496319"/>
    <w:rsid w:val="0049657E"/>
    <w:rsid w:val="004967B5"/>
    <w:rsid w:val="00497279"/>
    <w:rsid w:val="004A010B"/>
    <w:rsid w:val="004A3186"/>
    <w:rsid w:val="004A419C"/>
    <w:rsid w:val="004A670A"/>
    <w:rsid w:val="004A6D99"/>
    <w:rsid w:val="004B5465"/>
    <w:rsid w:val="004B6487"/>
    <w:rsid w:val="004B70F0"/>
    <w:rsid w:val="004C0035"/>
    <w:rsid w:val="004C1299"/>
    <w:rsid w:val="004C59CE"/>
    <w:rsid w:val="004C7296"/>
    <w:rsid w:val="004C79AF"/>
    <w:rsid w:val="004C7E1D"/>
    <w:rsid w:val="004D065C"/>
    <w:rsid w:val="004D33FE"/>
    <w:rsid w:val="004D39A8"/>
    <w:rsid w:val="004D4703"/>
    <w:rsid w:val="004D505E"/>
    <w:rsid w:val="004D67E8"/>
    <w:rsid w:val="004D72CA"/>
    <w:rsid w:val="004E0AB2"/>
    <w:rsid w:val="004E2242"/>
    <w:rsid w:val="004F0439"/>
    <w:rsid w:val="004F0F6D"/>
    <w:rsid w:val="004F2483"/>
    <w:rsid w:val="004F351A"/>
    <w:rsid w:val="004F42FF"/>
    <w:rsid w:val="004F44C2"/>
    <w:rsid w:val="00503642"/>
    <w:rsid w:val="00505262"/>
    <w:rsid w:val="005107B1"/>
    <w:rsid w:val="00516022"/>
    <w:rsid w:val="00517A83"/>
    <w:rsid w:val="00521CEE"/>
    <w:rsid w:val="00526D71"/>
    <w:rsid w:val="00527BD4"/>
    <w:rsid w:val="00533061"/>
    <w:rsid w:val="00533FA1"/>
    <w:rsid w:val="005345D3"/>
    <w:rsid w:val="00534C77"/>
    <w:rsid w:val="00535573"/>
    <w:rsid w:val="005403C8"/>
    <w:rsid w:val="00541AD9"/>
    <w:rsid w:val="005429DC"/>
    <w:rsid w:val="005463ED"/>
    <w:rsid w:val="005565F9"/>
    <w:rsid w:val="005639D2"/>
    <w:rsid w:val="00565739"/>
    <w:rsid w:val="005677A8"/>
    <w:rsid w:val="00573041"/>
    <w:rsid w:val="00575B80"/>
    <w:rsid w:val="00577559"/>
    <w:rsid w:val="005819CE"/>
    <w:rsid w:val="0058298D"/>
    <w:rsid w:val="005849DC"/>
    <w:rsid w:val="00590595"/>
    <w:rsid w:val="00593C2B"/>
    <w:rsid w:val="00595231"/>
    <w:rsid w:val="00595CBB"/>
    <w:rsid w:val="00596166"/>
    <w:rsid w:val="00597F64"/>
    <w:rsid w:val="005A1AF5"/>
    <w:rsid w:val="005A207F"/>
    <w:rsid w:val="005A28FB"/>
    <w:rsid w:val="005A2F35"/>
    <w:rsid w:val="005A7512"/>
    <w:rsid w:val="005A7D35"/>
    <w:rsid w:val="005B14C3"/>
    <w:rsid w:val="005B3441"/>
    <w:rsid w:val="005B463E"/>
    <w:rsid w:val="005B4FAC"/>
    <w:rsid w:val="005B5D8B"/>
    <w:rsid w:val="005C34E1"/>
    <w:rsid w:val="005C3FE0"/>
    <w:rsid w:val="005C4C82"/>
    <w:rsid w:val="005C59F9"/>
    <w:rsid w:val="005C740C"/>
    <w:rsid w:val="005D283A"/>
    <w:rsid w:val="005D625B"/>
    <w:rsid w:val="005E3322"/>
    <w:rsid w:val="005E436C"/>
    <w:rsid w:val="005E64E2"/>
    <w:rsid w:val="005F34BD"/>
    <w:rsid w:val="005F62D3"/>
    <w:rsid w:val="005F6D11"/>
    <w:rsid w:val="00600CF0"/>
    <w:rsid w:val="00602742"/>
    <w:rsid w:val="006048F4"/>
    <w:rsid w:val="0060660A"/>
    <w:rsid w:val="00610A24"/>
    <w:rsid w:val="00611FB1"/>
    <w:rsid w:val="006132BA"/>
    <w:rsid w:val="00613894"/>
    <w:rsid w:val="00613B1D"/>
    <w:rsid w:val="00617311"/>
    <w:rsid w:val="00617A44"/>
    <w:rsid w:val="006202B6"/>
    <w:rsid w:val="006205C0"/>
    <w:rsid w:val="00623CB2"/>
    <w:rsid w:val="00624E62"/>
    <w:rsid w:val="00625CD0"/>
    <w:rsid w:val="00625EEC"/>
    <w:rsid w:val="0062627D"/>
    <w:rsid w:val="00627432"/>
    <w:rsid w:val="00635031"/>
    <w:rsid w:val="0064192A"/>
    <w:rsid w:val="00642768"/>
    <w:rsid w:val="006448E4"/>
    <w:rsid w:val="00645414"/>
    <w:rsid w:val="0065244E"/>
    <w:rsid w:val="006534D0"/>
    <w:rsid w:val="00653606"/>
    <w:rsid w:val="00657B2D"/>
    <w:rsid w:val="006604AE"/>
    <w:rsid w:val="006610E9"/>
    <w:rsid w:val="00661591"/>
    <w:rsid w:val="00662A78"/>
    <w:rsid w:val="00663187"/>
    <w:rsid w:val="0066632F"/>
    <w:rsid w:val="00674A89"/>
    <w:rsid w:val="00674F3D"/>
    <w:rsid w:val="00682E02"/>
    <w:rsid w:val="006832D2"/>
    <w:rsid w:val="006850AB"/>
    <w:rsid w:val="00685545"/>
    <w:rsid w:val="006864B3"/>
    <w:rsid w:val="00686AED"/>
    <w:rsid w:val="00687511"/>
    <w:rsid w:val="00692BA9"/>
    <w:rsid w:val="00692C30"/>
    <w:rsid w:val="00692D64"/>
    <w:rsid w:val="00697943"/>
    <w:rsid w:val="006A10F8"/>
    <w:rsid w:val="006A2100"/>
    <w:rsid w:val="006A35A8"/>
    <w:rsid w:val="006B0BF3"/>
    <w:rsid w:val="006B1521"/>
    <w:rsid w:val="006B2A77"/>
    <w:rsid w:val="006B421D"/>
    <w:rsid w:val="006B50FB"/>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0531"/>
    <w:rsid w:val="006E3546"/>
    <w:rsid w:val="006E3FA9"/>
    <w:rsid w:val="006E7D82"/>
    <w:rsid w:val="006F038F"/>
    <w:rsid w:val="006F0F93"/>
    <w:rsid w:val="006F273B"/>
    <w:rsid w:val="006F31F2"/>
    <w:rsid w:val="00704845"/>
    <w:rsid w:val="00706AB3"/>
    <w:rsid w:val="00706C24"/>
    <w:rsid w:val="0071456B"/>
    <w:rsid w:val="00714DC5"/>
    <w:rsid w:val="00715237"/>
    <w:rsid w:val="007174F4"/>
    <w:rsid w:val="00721D2E"/>
    <w:rsid w:val="007242CC"/>
    <w:rsid w:val="00724A8B"/>
    <w:rsid w:val="007254A5"/>
    <w:rsid w:val="00725748"/>
    <w:rsid w:val="00727158"/>
    <w:rsid w:val="00727AAC"/>
    <w:rsid w:val="0073208D"/>
    <w:rsid w:val="00735D88"/>
    <w:rsid w:val="0073720D"/>
    <w:rsid w:val="00737507"/>
    <w:rsid w:val="00737A0A"/>
    <w:rsid w:val="00740712"/>
    <w:rsid w:val="00741309"/>
    <w:rsid w:val="00742AB9"/>
    <w:rsid w:val="00743CC6"/>
    <w:rsid w:val="00745AE0"/>
    <w:rsid w:val="0074777C"/>
    <w:rsid w:val="00751A6A"/>
    <w:rsid w:val="00754AD6"/>
    <w:rsid w:val="00754FBF"/>
    <w:rsid w:val="007606C6"/>
    <w:rsid w:val="007615AC"/>
    <w:rsid w:val="00764585"/>
    <w:rsid w:val="00767FEF"/>
    <w:rsid w:val="007709EF"/>
    <w:rsid w:val="00771420"/>
    <w:rsid w:val="0077209C"/>
    <w:rsid w:val="00775232"/>
    <w:rsid w:val="00783559"/>
    <w:rsid w:val="007846ED"/>
    <w:rsid w:val="007851C4"/>
    <w:rsid w:val="00785C3B"/>
    <w:rsid w:val="00797AA5"/>
    <w:rsid w:val="007A092A"/>
    <w:rsid w:val="007A19FA"/>
    <w:rsid w:val="007A26BD"/>
    <w:rsid w:val="007A4105"/>
    <w:rsid w:val="007A4F0E"/>
    <w:rsid w:val="007A514C"/>
    <w:rsid w:val="007B0D8E"/>
    <w:rsid w:val="007B36AF"/>
    <w:rsid w:val="007B4503"/>
    <w:rsid w:val="007C03C9"/>
    <w:rsid w:val="007C16D8"/>
    <w:rsid w:val="007C406E"/>
    <w:rsid w:val="007C5183"/>
    <w:rsid w:val="007C6389"/>
    <w:rsid w:val="007C7573"/>
    <w:rsid w:val="007C790E"/>
    <w:rsid w:val="007D0BB9"/>
    <w:rsid w:val="007D74C2"/>
    <w:rsid w:val="007E14E4"/>
    <w:rsid w:val="007E2B20"/>
    <w:rsid w:val="007F5151"/>
    <w:rsid w:val="007F5331"/>
    <w:rsid w:val="00800CCA"/>
    <w:rsid w:val="008020F2"/>
    <w:rsid w:val="00806120"/>
    <w:rsid w:val="00810C93"/>
    <w:rsid w:val="00812028"/>
    <w:rsid w:val="00812DD8"/>
    <w:rsid w:val="00813082"/>
    <w:rsid w:val="00813527"/>
    <w:rsid w:val="00814120"/>
    <w:rsid w:val="00814D03"/>
    <w:rsid w:val="00815C7E"/>
    <w:rsid w:val="0081760C"/>
    <w:rsid w:val="00820DDA"/>
    <w:rsid w:val="00821114"/>
    <w:rsid w:val="008211EF"/>
    <w:rsid w:val="00821FC1"/>
    <w:rsid w:val="008267CC"/>
    <w:rsid w:val="0083178B"/>
    <w:rsid w:val="00833695"/>
    <w:rsid w:val="008336B7"/>
    <w:rsid w:val="00833A8E"/>
    <w:rsid w:val="00836B5B"/>
    <w:rsid w:val="0084255A"/>
    <w:rsid w:val="00842CD8"/>
    <w:rsid w:val="008431FA"/>
    <w:rsid w:val="00843A05"/>
    <w:rsid w:val="008547BA"/>
    <w:rsid w:val="008553C7"/>
    <w:rsid w:val="00857FEB"/>
    <w:rsid w:val="008601AF"/>
    <w:rsid w:val="00870163"/>
    <w:rsid w:val="00872271"/>
    <w:rsid w:val="008724DD"/>
    <w:rsid w:val="008731F6"/>
    <w:rsid w:val="00874982"/>
    <w:rsid w:val="008762B6"/>
    <w:rsid w:val="00883137"/>
    <w:rsid w:val="00886E53"/>
    <w:rsid w:val="00891C6B"/>
    <w:rsid w:val="00892BA5"/>
    <w:rsid w:val="008960AD"/>
    <w:rsid w:val="0089780B"/>
    <w:rsid w:val="008A08AC"/>
    <w:rsid w:val="008A0F39"/>
    <w:rsid w:val="008A1F5D"/>
    <w:rsid w:val="008A28F5"/>
    <w:rsid w:val="008B0E6F"/>
    <w:rsid w:val="008B1198"/>
    <w:rsid w:val="008B2349"/>
    <w:rsid w:val="008B3471"/>
    <w:rsid w:val="008B3929"/>
    <w:rsid w:val="008B3BAB"/>
    <w:rsid w:val="008B4125"/>
    <w:rsid w:val="008B4CB3"/>
    <w:rsid w:val="008B567B"/>
    <w:rsid w:val="008B7B24"/>
    <w:rsid w:val="008C356D"/>
    <w:rsid w:val="008C4C67"/>
    <w:rsid w:val="008D1583"/>
    <w:rsid w:val="008E0B3F"/>
    <w:rsid w:val="008E1341"/>
    <w:rsid w:val="008E3932"/>
    <w:rsid w:val="008E49AD"/>
    <w:rsid w:val="008E698E"/>
    <w:rsid w:val="008F123F"/>
    <w:rsid w:val="008F2584"/>
    <w:rsid w:val="008F3246"/>
    <w:rsid w:val="008F3C1B"/>
    <w:rsid w:val="008F508C"/>
    <w:rsid w:val="0090271B"/>
    <w:rsid w:val="00910642"/>
    <w:rsid w:val="00910DDF"/>
    <w:rsid w:val="00921861"/>
    <w:rsid w:val="009222C8"/>
    <w:rsid w:val="00924639"/>
    <w:rsid w:val="0092611E"/>
    <w:rsid w:val="00926F1F"/>
    <w:rsid w:val="00926F4B"/>
    <w:rsid w:val="00930037"/>
    <w:rsid w:val="00930B13"/>
    <w:rsid w:val="009311C8"/>
    <w:rsid w:val="0093199F"/>
    <w:rsid w:val="00933376"/>
    <w:rsid w:val="00933A2F"/>
    <w:rsid w:val="00935E87"/>
    <w:rsid w:val="0094000D"/>
    <w:rsid w:val="00940206"/>
    <w:rsid w:val="00941B16"/>
    <w:rsid w:val="00943BB3"/>
    <w:rsid w:val="00946703"/>
    <w:rsid w:val="0095116D"/>
    <w:rsid w:val="009528B2"/>
    <w:rsid w:val="009607C4"/>
    <w:rsid w:val="00962F2A"/>
    <w:rsid w:val="00963440"/>
    <w:rsid w:val="009716D8"/>
    <w:rsid w:val="009718F9"/>
    <w:rsid w:val="009724E4"/>
    <w:rsid w:val="00972FB9"/>
    <w:rsid w:val="00975112"/>
    <w:rsid w:val="0097574C"/>
    <w:rsid w:val="00976D2B"/>
    <w:rsid w:val="009812EB"/>
    <w:rsid w:val="00981768"/>
    <w:rsid w:val="009838BB"/>
    <w:rsid w:val="00983E8F"/>
    <w:rsid w:val="00992338"/>
    <w:rsid w:val="00994FDA"/>
    <w:rsid w:val="00997D15"/>
    <w:rsid w:val="009A31BF"/>
    <w:rsid w:val="009A3B71"/>
    <w:rsid w:val="009A5914"/>
    <w:rsid w:val="009A61BC"/>
    <w:rsid w:val="009B0138"/>
    <w:rsid w:val="009B02EA"/>
    <w:rsid w:val="009B0FE9"/>
    <w:rsid w:val="009B173A"/>
    <w:rsid w:val="009B5846"/>
    <w:rsid w:val="009B601B"/>
    <w:rsid w:val="009C3F20"/>
    <w:rsid w:val="009C64FB"/>
    <w:rsid w:val="009C7CA1"/>
    <w:rsid w:val="009D043D"/>
    <w:rsid w:val="009D1269"/>
    <w:rsid w:val="009D716F"/>
    <w:rsid w:val="009E3B07"/>
    <w:rsid w:val="009F3259"/>
    <w:rsid w:val="009F541F"/>
    <w:rsid w:val="00A056DE"/>
    <w:rsid w:val="00A0678A"/>
    <w:rsid w:val="00A06E58"/>
    <w:rsid w:val="00A1289E"/>
    <w:rsid w:val="00A128AD"/>
    <w:rsid w:val="00A20730"/>
    <w:rsid w:val="00A21E76"/>
    <w:rsid w:val="00A23BC8"/>
    <w:rsid w:val="00A2531F"/>
    <w:rsid w:val="00A30E68"/>
    <w:rsid w:val="00A31933"/>
    <w:rsid w:val="00A32073"/>
    <w:rsid w:val="00A338E0"/>
    <w:rsid w:val="00A34AA0"/>
    <w:rsid w:val="00A41FE2"/>
    <w:rsid w:val="00A421A1"/>
    <w:rsid w:val="00A46FEF"/>
    <w:rsid w:val="00A47948"/>
    <w:rsid w:val="00A50CF6"/>
    <w:rsid w:val="00A51C81"/>
    <w:rsid w:val="00A56850"/>
    <w:rsid w:val="00A56946"/>
    <w:rsid w:val="00A5704F"/>
    <w:rsid w:val="00A600C5"/>
    <w:rsid w:val="00A604D3"/>
    <w:rsid w:val="00A6170E"/>
    <w:rsid w:val="00A61DD9"/>
    <w:rsid w:val="00A63B8C"/>
    <w:rsid w:val="00A67AC7"/>
    <w:rsid w:val="00A704AF"/>
    <w:rsid w:val="00A715F8"/>
    <w:rsid w:val="00A72B33"/>
    <w:rsid w:val="00A741BA"/>
    <w:rsid w:val="00A773CC"/>
    <w:rsid w:val="00A77F6F"/>
    <w:rsid w:val="00A831FD"/>
    <w:rsid w:val="00A83352"/>
    <w:rsid w:val="00A83B2F"/>
    <w:rsid w:val="00A850A2"/>
    <w:rsid w:val="00A91FA3"/>
    <w:rsid w:val="00A927D3"/>
    <w:rsid w:val="00A9429A"/>
    <w:rsid w:val="00AA0949"/>
    <w:rsid w:val="00AA70B0"/>
    <w:rsid w:val="00AA7FC9"/>
    <w:rsid w:val="00AB237D"/>
    <w:rsid w:val="00AB50E6"/>
    <w:rsid w:val="00AB5933"/>
    <w:rsid w:val="00AD34B3"/>
    <w:rsid w:val="00AD5876"/>
    <w:rsid w:val="00AD5B44"/>
    <w:rsid w:val="00AD7608"/>
    <w:rsid w:val="00AE013D"/>
    <w:rsid w:val="00AE11B7"/>
    <w:rsid w:val="00AE18BA"/>
    <w:rsid w:val="00AE7130"/>
    <w:rsid w:val="00AE7F68"/>
    <w:rsid w:val="00AF2321"/>
    <w:rsid w:val="00AF52F6"/>
    <w:rsid w:val="00AF7237"/>
    <w:rsid w:val="00AF73B0"/>
    <w:rsid w:val="00B0043A"/>
    <w:rsid w:val="00B00D75"/>
    <w:rsid w:val="00B0690C"/>
    <w:rsid w:val="00B070CB"/>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41E97"/>
    <w:rsid w:val="00B425F0"/>
    <w:rsid w:val="00B42DFA"/>
    <w:rsid w:val="00B50571"/>
    <w:rsid w:val="00B52B7F"/>
    <w:rsid w:val="00B52EB0"/>
    <w:rsid w:val="00B531DD"/>
    <w:rsid w:val="00B55014"/>
    <w:rsid w:val="00B569EF"/>
    <w:rsid w:val="00B607DB"/>
    <w:rsid w:val="00B62232"/>
    <w:rsid w:val="00B626DD"/>
    <w:rsid w:val="00B70BF3"/>
    <w:rsid w:val="00B70D24"/>
    <w:rsid w:val="00B70E51"/>
    <w:rsid w:val="00B71DC2"/>
    <w:rsid w:val="00B80DB6"/>
    <w:rsid w:val="00B81AD2"/>
    <w:rsid w:val="00B81AEC"/>
    <w:rsid w:val="00B83B61"/>
    <w:rsid w:val="00B855C3"/>
    <w:rsid w:val="00B85A66"/>
    <w:rsid w:val="00B85ED4"/>
    <w:rsid w:val="00B85F07"/>
    <w:rsid w:val="00B91CFC"/>
    <w:rsid w:val="00B922C0"/>
    <w:rsid w:val="00B93893"/>
    <w:rsid w:val="00BA32F5"/>
    <w:rsid w:val="00BA439D"/>
    <w:rsid w:val="00BA7E0A"/>
    <w:rsid w:val="00BB2E67"/>
    <w:rsid w:val="00BB5D65"/>
    <w:rsid w:val="00BB61B0"/>
    <w:rsid w:val="00BC0D9E"/>
    <w:rsid w:val="00BC214E"/>
    <w:rsid w:val="00BC3B53"/>
    <w:rsid w:val="00BC3B96"/>
    <w:rsid w:val="00BC4AE3"/>
    <w:rsid w:val="00BC5B28"/>
    <w:rsid w:val="00BC6B6F"/>
    <w:rsid w:val="00BC7264"/>
    <w:rsid w:val="00BD1769"/>
    <w:rsid w:val="00BE17D4"/>
    <w:rsid w:val="00BE2863"/>
    <w:rsid w:val="00BE3F88"/>
    <w:rsid w:val="00BE4756"/>
    <w:rsid w:val="00BE5ED9"/>
    <w:rsid w:val="00BE7B41"/>
    <w:rsid w:val="00BF4427"/>
    <w:rsid w:val="00BF46B6"/>
    <w:rsid w:val="00BF5675"/>
    <w:rsid w:val="00C122BE"/>
    <w:rsid w:val="00C143D6"/>
    <w:rsid w:val="00C15A91"/>
    <w:rsid w:val="00C206F1"/>
    <w:rsid w:val="00C2159D"/>
    <w:rsid w:val="00C217E1"/>
    <w:rsid w:val="00C219B1"/>
    <w:rsid w:val="00C231E2"/>
    <w:rsid w:val="00C2703D"/>
    <w:rsid w:val="00C352B6"/>
    <w:rsid w:val="00C4015B"/>
    <w:rsid w:val="00C4044E"/>
    <w:rsid w:val="00C40C60"/>
    <w:rsid w:val="00C44487"/>
    <w:rsid w:val="00C47383"/>
    <w:rsid w:val="00C47F04"/>
    <w:rsid w:val="00C50E87"/>
    <w:rsid w:val="00C5258E"/>
    <w:rsid w:val="00C5333A"/>
    <w:rsid w:val="00C53BD7"/>
    <w:rsid w:val="00C55923"/>
    <w:rsid w:val="00C60922"/>
    <w:rsid w:val="00C619A7"/>
    <w:rsid w:val="00C624FA"/>
    <w:rsid w:val="00C64E34"/>
    <w:rsid w:val="00C6545E"/>
    <w:rsid w:val="00C65E8C"/>
    <w:rsid w:val="00C7013F"/>
    <w:rsid w:val="00C7097A"/>
    <w:rsid w:val="00C736E8"/>
    <w:rsid w:val="00C73D5F"/>
    <w:rsid w:val="00C965EF"/>
    <w:rsid w:val="00C97C80"/>
    <w:rsid w:val="00CA1D00"/>
    <w:rsid w:val="00CA35E4"/>
    <w:rsid w:val="00CA47D3"/>
    <w:rsid w:val="00CA6533"/>
    <w:rsid w:val="00CA6A25"/>
    <w:rsid w:val="00CA6A3F"/>
    <w:rsid w:val="00CA7C99"/>
    <w:rsid w:val="00CB7072"/>
    <w:rsid w:val="00CC073E"/>
    <w:rsid w:val="00CC15DE"/>
    <w:rsid w:val="00CC1AC4"/>
    <w:rsid w:val="00CC6290"/>
    <w:rsid w:val="00CC6AA6"/>
    <w:rsid w:val="00CD233D"/>
    <w:rsid w:val="00CD362D"/>
    <w:rsid w:val="00CE101D"/>
    <w:rsid w:val="00CE1C84"/>
    <w:rsid w:val="00CE2EAF"/>
    <w:rsid w:val="00CE32AB"/>
    <w:rsid w:val="00CE4E63"/>
    <w:rsid w:val="00CE5055"/>
    <w:rsid w:val="00CE6426"/>
    <w:rsid w:val="00CF053F"/>
    <w:rsid w:val="00CF1A17"/>
    <w:rsid w:val="00D0140D"/>
    <w:rsid w:val="00D01C92"/>
    <w:rsid w:val="00D030AB"/>
    <w:rsid w:val="00D037A9"/>
    <w:rsid w:val="00D04F2B"/>
    <w:rsid w:val="00D05A2F"/>
    <w:rsid w:val="00D0609E"/>
    <w:rsid w:val="00D078E1"/>
    <w:rsid w:val="00D100E9"/>
    <w:rsid w:val="00D111D2"/>
    <w:rsid w:val="00D158E2"/>
    <w:rsid w:val="00D17084"/>
    <w:rsid w:val="00D17616"/>
    <w:rsid w:val="00D1791D"/>
    <w:rsid w:val="00D21E4B"/>
    <w:rsid w:val="00D22588"/>
    <w:rsid w:val="00D22689"/>
    <w:rsid w:val="00D23522"/>
    <w:rsid w:val="00D264D6"/>
    <w:rsid w:val="00D33144"/>
    <w:rsid w:val="00D33BF0"/>
    <w:rsid w:val="00D33F30"/>
    <w:rsid w:val="00D34892"/>
    <w:rsid w:val="00D36088"/>
    <w:rsid w:val="00D36447"/>
    <w:rsid w:val="00D41CE8"/>
    <w:rsid w:val="00D44B73"/>
    <w:rsid w:val="00D516BE"/>
    <w:rsid w:val="00D5423B"/>
    <w:rsid w:val="00D54F4E"/>
    <w:rsid w:val="00D604B3"/>
    <w:rsid w:val="00D60BA4"/>
    <w:rsid w:val="00D62419"/>
    <w:rsid w:val="00D62AD8"/>
    <w:rsid w:val="00D65336"/>
    <w:rsid w:val="00D66074"/>
    <w:rsid w:val="00D67F4D"/>
    <w:rsid w:val="00D74F66"/>
    <w:rsid w:val="00D75B3F"/>
    <w:rsid w:val="00D7668C"/>
    <w:rsid w:val="00D77870"/>
    <w:rsid w:val="00D80977"/>
    <w:rsid w:val="00D80CCE"/>
    <w:rsid w:val="00D83389"/>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592C"/>
    <w:rsid w:val="00DB6307"/>
    <w:rsid w:val="00DC18F3"/>
    <w:rsid w:val="00DC2443"/>
    <w:rsid w:val="00DC5A99"/>
    <w:rsid w:val="00DC691C"/>
    <w:rsid w:val="00DD0A0A"/>
    <w:rsid w:val="00DD1DCD"/>
    <w:rsid w:val="00DD338F"/>
    <w:rsid w:val="00DD3404"/>
    <w:rsid w:val="00DD66F2"/>
    <w:rsid w:val="00DE1EB5"/>
    <w:rsid w:val="00DE3FE0"/>
    <w:rsid w:val="00DE578A"/>
    <w:rsid w:val="00DF2583"/>
    <w:rsid w:val="00DF3E62"/>
    <w:rsid w:val="00DF4D7F"/>
    <w:rsid w:val="00DF4E80"/>
    <w:rsid w:val="00DF54D9"/>
    <w:rsid w:val="00DF5A3E"/>
    <w:rsid w:val="00DF63F3"/>
    <w:rsid w:val="00DF7283"/>
    <w:rsid w:val="00E01A59"/>
    <w:rsid w:val="00E0622C"/>
    <w:rsid w:val="00E0675E"/>
    <w:rsid w:val="00E10DC6"/>
    <w:rsid w:val="00E11F8E"/>
    <w:rsid w:val="00E13D95"/>
    <w:rsid w:val="00E14AA3"/>
    <w:rsid w:val="00E15881"/>
    <w:rsid w:val="00E16A8F"/>
    <w:rsid w:val="00E17CA2"/>
    <w:rsid w:val="00E20C25"/>
    <w:rsid w:val="00E21DE3"/>
    <w:rsid w:val="00E230BD"/>
    <w:rsid w:val="00E233D5"/>
    <w:rsid w:val="00E307D1"/>
    <w:rsid w:val="00E35710"/>
    <w:rsid w:val="00E35CF4"/>
    <w:rsid w:val="00E3731D"/>
    <w:rsid w:val="00E37811"/>
    <w:rsid w:val="00E43E38"/>
    <w:rsid w:val="00E468E4"/>
    <w:rsid w:val="00E51469"/>
    <w:rsid w:val="00E54114"/>
    <w:rsid w:val="00E62709"/>
    <w:rsid w:val="00E634E3"/>
    <w:rsid w:val="00E717C4"/>
    <w:rsid w:val="00E74D10"/>
    <w:rsid w:val="00E776C6"/>
    <w:rsid w:val="00E77F89"/>
    <w:rsid w:val="00E80E71"/>
    <w:rsid w:val="00E81589"/>
    <w:rsid w:val="00E850D3"/>
    <w:rsid w:val="00E853D6"/>
    <w:rsid w:val="00E8544F"/>
    <w:rsid w:val="00E876B9"/>
    <w:rsid w:val="00E91B40"/>
    <w:rsid w:val="00E91F7C"/>
    <w:rsid w:val="00E93891"/>
    <w:rsid w:val="00E94D82"/>
    <w:rsid w:val="00E96E39"/>
    <w:rsid w:val="00E972A2"/>
    <w:rsid w:val="00EA5BA2"/>
    <w:rsid w:val="00EB0981"/>
    <w:rsid w:val="00EB73E0"/>
    <w:rsid w:val="00EC0DFF"/>
    <w:rsid w:val="00EC237D"/>
    <w:rsid w:val="00EC25AB"/>
    <w:rsid w:val="00EC25B9"/>
    <w:rsid w:val="00EC2927"/>
    <w:rsid w:val="00EC2DA2"/>
    <w:rsid w:val="00EC4D0E"/>
    <w:rsid w:val="00EC4E2B"/>
    <w:rsid w:val="00ED072A"/>
    <w:rsid w:val="00ED2F32"/>
    <w:rsid w:val="00ED539E"/>
    <w:rsid w:val="00ED576F"/>
    <w:rsid w:val="00ED5E4D"/>
    <w:rsid w:val="00EE28E4"/>
    <w:rsid w:val="00EE4A1F"/>
    <w:rsid w:val="00EE4C2D"/>
    <w:rsid w:val="00EF0CCB"/>
    <w:rsid w:val="00EF1B5A"/>
    <w:rsid w:val="00EF24FB"/>
    <w:rsid w:val="00EF2CCA"/>
    <w:rsid w:val="00EF4D48"/>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2611A"/>
    <w:rsid w:val="00F31111"/>
    <w:rsid w:val="00F357EA"/>
    <w:rsid w:val="00F40F11"/>
    <w:rsid w:val="00F41A6F"/>
    <w:rsid w:val="00F45A25"/>
    <w:rsid w:val="00F47BC6"/>
    <w:rsid w:val="00F50F86"/>
    <w:rsid w:val="00F51A76"/>
    <w:rsid w:val="00F53862"/>
    <w:rsid w:val="00F53C9D"/>
    <w:rsid w:val="00F53F91"/>
    <w:rsid w:val="00F54B9F"/>
    <w:rsid w:val="00F61569"/>
    <w:rsid w:val="00F61A72"/>
    <w:rsid w:val="00F62B67"/>
    <w:rsid w:val="00F66F13"/>
    <w:rsid w:val="00F70A4B"/>
    <w:rsid w:val="00F7145D"/>
    <w:rsid w:val="00F71B5E"/>
    <w:rsid w:val="00F74073"/>
    <w:rsid w:val="00F75603"/>
    <w:rsid w:val="00F77BE5"/>
    <w:rsid w:val="00F8291B"/>
    <w:rsid w:val="00F845B4"/>
    <w:rsid w:val="00F8713B"/>
    <w:rsid w:val="00F904FB"/>
    <w:rsid w:val="00F91216"/>
    <w:rsid w:val="00F9221B"/>
    <w:rsid w:val="00F93F9E"/>
    <w:rsid w:val="00F950BC"/>
    <w:rsid w:val="00FA2CD7"/>
    <w:rsid w:val="00FA5AD5"/>
    <w:rsid w:val="00FA7882"/>
    <w:rsid w:val="00FB06ED"/>
    <w:rsid w:val="00FC08A4"/>
    <w:rsid w:val="00FC202F"/>
    <w:rsid w:val="00FC3038"/>
    <w:rsid w:val="00FC3165"/>
    <w:rsid w:val="00FC36AB"/>
    <w:rsid w:val="00FC4300"/>
    <w:rsid w:val="00FC4464"/>
    <w:rsid w:val="00FC7F66"/>
    <w:rsid w:val="00FD2221"/>
    <w:rsid w:val="00FD53D6"/>
    <w:rsid w:val="00FD5776"/>
    <w:rsid w:val="00FD63B5"/>
    <w:rsid w:val="00FD6A55"/>
    <w:rsid w:val="00FD6CF9"/>
    <w:rsid w:val="00FE03F1"/>
    <w:rsid w:val="00FE1CB6"/>
    <w:rsid w:val="00FE20C8"/>
    <w:rsid w:val="00FE486B"/>
    <w:rsid w:val="00FE4F08"/>
    <w:rsid w:val="00FF192E"/>
    <w:rsid w:val="00FF34FC"/>
    <w:rsid w:val="00FF3C8D"/>
    <w:rsid w:val="00FF66F9"/>
    <w:rsid w:val="00FF7D29"/>
    <w:rsid w:val="19CF91B8"/>
    <w:rsid w:val="1B73E717"/>
    <w:rsid w:val="34F3710D"/>
    <w:rsid w:val="474A5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351212"/>
  <w15:docId w15:val="{05A5507D-AA5D-44D8-A513-A528EE8F4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paragraph" w:customStyle="1" w:styleId="TableParagraph">
    <w:name w:val="Table Paragraph"/>
    <w:basedOn w:val="Standaard"/>
    <w:uiPriority w:val="1"/>
    <w:qFormat/>
    <w:rsid w:val="00687511"/>
    <w:pPr>
      <w:widowControl w:val="0"/>
      <w:autoSpaceDE w:val="0"/>
      <w:autoSpaceDN w:val="0"/>
      <w:spacing w:line="240" w:lineRule="auto"/>
    </w:pPr>
    <w:rPr>
      <w:rFonts w:eastAsia="Verdana" w:cs="Verdana"/>
      <w:sz w:val="22"/>
      <w:szCs w:val="22"/>
      <w:lang w:eastAsia="en-US"/>
    </w:rPr>
  </w:style>
  <w:style w:type="table" w:customStyle="1" w:styleId="TableNormal0">
    <w:name w:val="Table Normal_0"/>
    <w:uiPriority w:val="2"/>
    <w:semiHidden/>
    <w:qFormat/>
    <w:rsid w:val="00687511"/>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ui-provider">
    <w:name w:val="ui-provider"/>
    <w:basedOn w:val="Standaardalinea-lettertype"/>
    <w:rsid w:val="00BF518F"/>
  </w:style>
  <w:style w:type="paragraph" w:styleId="Normaalweb">
    <w:name w:val="Normal (Web)"/>
    <w:basedOn w:val="Standaard"/>
    <w:rsid w:val="006A35A8"/>
    <w:rPr>
      <w:rFonts w:ascii="Times New Roman" w:hAnsi="Times New Roman"/>
      <w:sz w:val="24"/>
    </w:rPr>
  </w:style>
  <w:style w:type="character" w:styleId="Voetnootmarkering">
    <w:name w:val="footnote reference"/>
    <w:basedOn w:val="Standaardalinea-lettertype"/>
    <w:rsid w:val="00020DB5"/>
    <w:rPr>
      <w:vertAlign w:val="superscript"/>
    </w:rPr>
  </w:style>
  <w:style w:type="paragraph" w:styleId="Revisie">
    <w:name w:val="Revision"/>
    <w:hidden/>
    <w:uiPriority w:val="99"/>
    <w:semiHidden/>
    <w:rsid w:val="00CC073E"/>
    <w:rPr>
      <w:rFonts w:ascii="Verdana" w:hAnsi="Verdana"/>
      <w:sz w:val="18"/>
      <w:szCs w:val="24"/>
      <w:lang w:val="nl-NL" w:eastAsia="nl-NL"/>
    </w:rPr>
  </w:style>
  <w:style w:type="character" w:styleId="Verwijzingopmerking">
    <w:name w:val="annotation reference"/>
    <w:basedOn w:val="Standaardalinea-lettertype"/>
    <w:rsid w:val="001D5815"/>
    <w:rPr>
      <w:sz w:val="16"/>
      <w:szCs w:val="16"/>
    </w:rPr>
  </w:style>
  <w:style w:type="paragraph" w:styleId="Tekstopmerking">
    <w:name w:val="annotation text"/>
    <w:basedOn w:val="Standaard"/>
    <w:link w:val="TekstopmerkingChar"/>
    <w:rsid w:val="001D5815"/>
    <w:pPr>
      <w:spacing w:line="240" w:lineRule="auto"/>
    </w:pPr>
    <w:rPr>
      <w:sz w:val="20"/>
      <w:szCs w:val="20"/>
    </w:rPr>
  </w:style>
  <w:style w:type="character" w:customStyle="1" w:styleId="TekstopmerkingChar">
    <w:name w:val="Tekst opmerking Char"/>
    <w:basedOn w:val="Standaardalinea-lettertype"/>
    <w:link w:val="Tekstopmerking"/>
    <w:rsid w:val="001D5815"/>
    <w:rPr>
      <w:rFonts w:ascii="Verdana" w:hAnsi="Verdana"/>
      <w:lang w:val="nl-NL" w:eastAsia="nl-NL"/>
    </w:rPr>
  </w:style>
  <w:style w:type="paragraph" w:styleId="Onderwerpvanopmerking">
    <w:name w:val="annotation subject"/>
    <w:basedOn w:val="Tekstopmerking"/>
    <w:next w:val="Tekstopmerking"/>
    <w:link w:val="OnderwerpvanopmerkingChar"/>
    <w:rsid w:val="001D5815"/>
    <w:rPr>
      <w:b/>
      <w:bCs/>
    </w:rPr>
  </w:style>
  <w:style w:type="character" w:customStyle="1" w:styleId="OnderwerpvanopmerkingChar">
    <w:name w:val="Onderwerp van opmerking Char"/>
    <w:basedOn w:val="TekstopmerkingChar"/>
    <w:link w:val="Onderwerpvanopmerking"/>
    <w:rsid w:val="001D5815"/>
    <w:rPr>
      <w:rFonts w:ascii="Verdana" w:hAnsi="Verdana"/>
      <w:b/>
      <w:bCs/>
      <w:lang w:val="nl-NL" w:eastAsia="nl-NL"/>
    </w:rPr>
  </w:style>
  <w:style w:type="character" w:styleId="Onopgelostemelding">
    <w:name w:val="Unresolved Mention"/>
    <w:basedOn w:val="Standaardalinea-lettertype"/>
    <w:uiPriority w:val="99"/>
    <w:semiHidden/>
    <w:unhideWhenUsed/>
    <w:rsid w:val="001A22E1"/>
    <w:rPr>
      <w:color w:val="605E5C"/>
      <w:shd w:val="clear" w:color="auto" w:fill="E1DFDD"/>
    </w:rPr>
  </w:style>
  <w:style w:type="paragraph" w:styleId="Lijstalinea">
    <w:name w:val="List Paragraph"/>
    <w:basedOn w:val="Standaard"/>
    <w:uiPriority w:val="34"/>
    <w:qFormat/>
    <w:rsid w:val="001A22E1"/>
    <w:pPr>
      <w:ind w:left="720"/>
      <w:contextualSpacing/>
    </w:pPr>
  </w:style>
  <w:style w:type="character" w:customStyle="1" w:styleId="VoetnoottekstChar">
    <w:name w:val="Voetnoottekst Char"/>
    <w:basedOn w:val="Standaardalinea-lettertype"/>
    <w:link w:val="Voetnoottekst"/>
    <w:semiHidden/>
    <w:rsid w:val="000B12AC"/>
    <w:rPr>
      <w:rFonts w:ascii="Verdana" w:hAnsi="Verdana"/>
      <w:sz w:val="13"/>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theme" Target="theme/theme1.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rijksoverheid.nl/documenten/publicaties/2020/12/15/vierde-nationaal-actieplan-1325-vrouwen-vrede-en-veiligheid" TargetMode="External"/><Relationship Id="rId3" Type="http://schemas.openxmlformats.org/officeDocument/2006/relationships/hyperlink" Target="https://zoek.officielebekendmakingen.nl/kst-30420-378.html" TargetMode="External"/><Relationship Id="rId7" Type="http://schemas.openxmlformats.org/officeDocument/2006/relationships/hyperlink" Target="https://www.rijksoverheid.nl/onderwerpen/aanpak-seksueel-grensoverschrijdend-gedrag-en-seksueel-geweld/nationaal-actieprogramma-aanpak-seksueel-grensoverschrijdend-gedrag-en-seksueel-geweld" TargetMode="External"/><Relationship Id="rId2" Type="http://schemas.openxmlformats.org/officeDocument/2006/relationships/hyperlink" Target="https://www.ohchr.org/en/treaty-bodies/cedaw" TargetMode="External"/><Relationship Id="rId1" Type="http://schemas.openxmlformats.org/officeDocument/2006/relationships/hyperlink" Target="https://www.rijksoverheid.nl/actueel/nieuws/2024/03/20/nieuwe-wet-aanpak-seksuele-misdrijven-gaat-in-per-1-juli-2024" TargetMode="External"/><Relationship Id="rId6" Type="http://schemas.openxmlformats.org/officeDocument/2006/relationships/hyperlink" Target="https://www.rijksoverheid.nl/actueel/nieuws/2024/06/07/plan-van-aanpak-stop-femicide-gepresenteerd" TargetMode="External"/><Relationship Id="rId5" Type="http://schemas.openxmlformats.org/officeDocument/2006/relationships/hyperlink" Target="https://www.rijksoverheid.nl/actueel/nieuws/2023/01/17/non-discriminatiegronden-grondwet-uitgebreid-met-handicap-en-seksuele-gerichtheid" TargetMode="External"/><Relationship Id="rId4" Type="http://schemas.openxmlformats.org/officeDocument/2006/relationships/hyperlink" Target="https://www.rijksoverheid.nl/actueel/nieuws/2024/04/26/inwoners-bes-eilanden-beter-beschermd-tegen-discriminatie" TargetMode="External"/><Relationship Id="rId9" Type="http://schemas.openxmlformats.org/officeDocument/2006/relationships/hyperlink" Target="https://www.rijksoverheid.nl/regering/regeerakkoord"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1373</ap:Words>
  <ap:Characters>7552</ap:Characters>
  <ap:DocSecurity>0</ap:DocSecurity>
  <ap:Lines>62</ap:Lines>
  <ap:Paragraphs>17</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8908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keywords/>
  <lastModifiedBy/>
  <revision/>
  <lastPrinted>2009-07-01T14:30:00.0000000Z</lastPrinted>
  <dcterms:created xsi:type="dcterms:W3CDTF">2026-06-09T14:17:00.0000000Z</dcterms:created>
  <dcterms:modified xsi:type="dcterms:W3CDTF">2026-06-09T14:17:00.0000000Z</dcterms:modified>
  <dc:description>------------------------</dc:description>
  <dc:subject/>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o209doo</vt:lpwstr>
  </property>
  <property fmtid="{D5CDD505-2E9C-101B-9397-08002B2CF9AE}" pid="3" name="Author">
    <vt:lpwstr>o209doo</vt:lpwstr>
  </property>
  <property fmtid="{D5CDD505-2E9C-101B-9397-08002B2CF9AE}" pid="4" name="cs_objectid">
    <vt:lpwstr>64331545</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Kabinetsreactie aanbevelingen CEDAW</vt:lpwstr>
  </property>
  <property fmtid="{D5CDD505-2E9C-101B-9397-08002B2CF9AE}" pid="9" name="ocw_directie">
    <vt:lpwstr>DE/1</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Kamerbrief beleidsvoorstellen</vt:lpwstr>
  </property>
  <property fmtid="{D5CDD505-2E9C-101B-9397-08002B2CF9AE}" pid="17" name="TemplateId">
    <vt:lpwstr>55F8DBA49E764B97AAC43363DC9C7797</vt:lpwstr>
  </property>
  <property fmtid="{D5CDD505-2E9C-101B-9397-08002B2CF9AE}" pid="18" name="Typist">
    <vt:lpwstr>o209doo</vt:lpwstr>
  </property>
  <property fmtid="{D5CDD505-2E9C-101B-9397-08002B2CF9AE}" pid="19" name="ContentTypeId">
    <vt:lpwstr>0x01010081C374DD448BD446828168FAE1FD0CEC</vt:lpwstr>
  </property>
</Properties>
</file>