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138E9576">
      <w:r>
        <w:t xml:space="preserve">Geachte </w:t>
      </w:r>
      <w:r w:rsidR="00490BF8">
        <w:t xml:space="preserve">heer </w:t>
      </w:r>
      <w:r w:rsidR="00796902">
        <w:t>Van Camp</w:t>
      </w:r>
      <w:r w:rsidR="007C1A63">
        <w:t>en</w:t>
      </w:r>
      <w:r>
        <w:t>,</w:t>
      </w:r>
    </w:p>
    <w:p w:rsidR="00C26D93" w:rsidRDefault="00C26D93" w14:paraId="028FF656" w14:textId="77777777"/>
    <w:p w:rsidR="00C26D93" w:rsidP="00C26D93" w:rsidRDefault="00C26D93" w14:paraId="4DE41143" w14:textId="7833574A">
      <w:r>
        <w:t xml:space="preserve">Hierbij bieden wij u onze antwoorden aan op de door de Vaste Kamercommissie van </w:t>
      </w:r>
      <w:r w:rsidR="0047230C">
        <w:t xml:space="preserve">LVVN </w:t>
      </w:r>
      <w:r>
        <w:t xml:space="preserve">gestelde vragen over het </w:t>
      </w:r>
      <w:r w:rsidRPr="00C26D93">
        <w:rPr>
          <w:i/>
        </w:rPr>
        <w:t xml:space="preserve">Verantwoordingsonderzoek </w:t>
      </w:r>
      <w:r w:rsidR="007D7D0D">
        <w:rPr>
          <w:i/>
        </w:rPr>
        <w:t>M</w:t>
      </w:r>
      <w:r w:rsidRPr="00C26D93">
        <w:rPr>
          <w:i/>
        </w:rPr>
        <w:t>inisterie van  Landbouw, Visserij, Voedselzekerheid en Natuur (XIV), Rapport bij het Jaarverslag 2025.</w:t>
      </w:r>
    </w:p>
    <w:p w:rsidR="00C26D93" w:rsidRDefault="00C26D93" w14:paraId="136CBEE5" w14:textId="77777777"/>
    <w:p w:rsidR="006A1EE0" w:rsidRDefault="006A1EE0" w14:paraId="5C04F506"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07D2B5F8">
      <w:r>
        <w:t>Pieter Duisenberg</w:t>
      </w:r>
      <w:r w:rsidRPr="00490BF8" w:rsidR="00461D43">
        <w:t xml:space="preserve">, </w:t>
      </w:r>
    </w:p>
    <w:p w:rsidRPr="00490BF8" w:rsidR="00461D43" w:rsidP="00461D43" w:rsidRDefault="00461D43" w14:paraId="284E79C0" w14:textId="69BC5660">
      <w:r w:rsidRPr="00490BF8">
        <w:t xml:space="preserve">president </w:t>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796902" w14:paraId="52B9519A" w14:textId="7BD14656">
      <w:r>
        <w:t>Mark Smolenaars</w:t>
      </w:r>
      <w:r w:rsidR="00461D43">
        <w:t>,</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36B45667">
      <w:pPr>
        <w:rPr>
          <w:b/>
        </w:rPr>
      </w:pPr>
      <w:r w:rsidRPr="00913911">
        <w:rPr>
          <w:b/>
        </w:rPr>
        <w:lastRenderedPageBreak/>
        <w:t xml:space="preserve">Antwoorden Algemene Rekenkamer bij vragen van de Tweede Kamer over </w:t>
      </w:r>
      <w:r w:rsidR="009E2D42">
        <w:rPr>
          <w:b/>
        </w:rPr>
        <w:t xml:space="preserve">het </w:t>
      </w:r>
      <w:r w:rsidR="00D20F0F">
        <w:rPr>
          <w:b/>
          <w:i/>
        </w:rPr>
        <w:t>Verantwoordingsonderzoek m</w:t>
      </w:r>
      <w:r w:rsidRPr="007F6F70" w:rsidR="007F6F70">
        <w:rPr>
          <w:b/>
          <w:i/>
        </w:rPr>
        <w:t xml:space="preserve">inisterie van  Landbouw, Visserij, Voedselzekerheid en Natuur (XIV), </w:t>
      </w:r>
      <w:r w:rsidRPr="009E2D42" w:rsidR="009E2D42">
        <w:rPr>
          <w:b/>
          <w:i/>
        </w:rPr>
        <w:t>Rapport bij het Jaarverslag 202</w:t>
      </w:r>
      <w:r w:rsidR="00032C34">
        <w:rPr>
          <w:b/>
          <w:i/>
        </w:rPr>
        <w:t>5</w:t>
      </w:r>
      <w:r w:rsidRPr="00913911">
        <w:rPr>
          <w:b/>
        </w:rPr>
        <w:t xml:space="preserve"> </w:t>
      </w:r>
    </w:p>
    <w:p w:rsidR="00913911" w:rsidP="00913911" w:rsidRDefault="00913911" w14:paraId="1CF8A1DD" w14:textId="77777777"/>
    <w:p w:rsidRPr="008C5EEA" w:rsidR="00913911" w:rsidP="00913911" w:rsidRDefault="00913911" w14:paraId="09664B8B" w14:textId="77777777">
      <w:pPr>
        <w:rPr>
          <w:i/>
        </w:rPr>
      </w:pPr>
      <w:r w:rsidRPr="008C5EEA">
        <w:rPr>
          <w:i/>
        </w:rPr>
        <w:t>Vraag 1</w:t>
      </w:r>
    </w:p>
    <w:p w:rsidRPr="008C5EEA" w:rsidR="00913911" w:rsidP="00913911" w:rsidRDefault="00ED7086" w14:paraId="4BF791AE" w14:textId="2C9C4562">
      <w:pPr>
        <w:rPr>
          <w:i/>
          <w:iCs/>
        </w:rPr>
      </w:pPr>
      <w:r w:rsidRPr="008C5EEA">
        <w:rPr>
          <w:i/>
          <w:iCs/>
        </w:rPr>
        <w:t>In hoeverre zijn eerder door de Algemene Rekenkamer (ARK) geconstateerde tekortkomingen bij het ministerie van Landbouw, Visserij, Voedselzekerheid en Natuur (LVVN) inmiddels aantoonbaar opgelost?</w:t>
      </w:r>
    </w:p>
    <w:p w:rsidR="00ED7086" w:rsidP="00913911" w:rsidRDefault="00ED7086" w14:paraId="6B5F8F7D" w14:textId="77777777"/>
    <w:p w:rsidR="00FB1E26" w:rsidP="00913911" w:rsidRDefault="00FB1E26" w14:paraId="55153AC7" w14:textId="4C899A55">
      <w:r>
        <w:t>De tekortkomingen in het inkoopbeheer van het ministerie van  LVVN (destijds LNV) zijn aantoonbaar opgelost.</w:t>
      </w:r>
    </w:p>
    <w:p w:rsidRPr="008C5EEA" w:rsidR="00FB1E26" w:rsidP="00913911" w:rsidRDefault="00FB1E26" w14:paraId="5262E450" w14:textId="77777777"/>
    <w:p w:rsidR="00DA4D9A" w:rsidP="00913911" w:rsidRDefault="00DA4D9A" w14:paraId="163A86F2" w14:textId="612219CD">
      <w:r>
        <w:t>E</w:t>
      </w:r>
      <w:r w:rsidRPr="00DA4D9A">
        <w:t>en verbeterpunt is het decentrale autorisatiebeheer.</w:t>
      </w:r>
      <w:r w:rsidRPr="004717BD" w:rsidR="004717BD">
        <w:t xml:space="preserve"> </w:t>
      </w:r>
      <w:r w:rsidR="004717BD">
        <w:t>Wij constateren dat</w:t>
      </w:r>
      <w:r w:rsidRPr="004717BD" w:rsidR="004717BD">
        <w:t xml:space="preserve"> weliswaar vooruitgang </w:t>
      </w:r>
      <w:r w:rsidR="00F85990">
        <w:t>is</w:t>
      </w:r>
      <w:r w:rsidRPr="004717BD" w:rsidR="004717BD">
        <w:t xml:space="preserve"> geboekt, maar dat </w:t>
      </w:r>
      <w:r w:rsidR="004717BD">
        <w:t>nog niet alle</w:t>
      </w:r>
      <w:r w:rsidRPr="004717BD" w:rsidR="004717BD">
        <w:t xml:space="preserve"> specifieke verbeterpunten volledig zijn opgelost.</w:t>
      </w:r>
    </w:p>
    <w:p w:rsidR="00DA4D9A" w:rsidP="00913911" w:rsidRDefault="00DA4D9A" w14:paraId="62684AE5" w14:textId="77777777"/>
    <w:p w:rsidR="00A83853" w:rsidP="00913911" w:rsidRDefault="004A7319" w14:paraId="44BD8432" w14:textId="27129BF3">
      <w:r>
        <w:t>Voor wat betreft beleid</w:t>
      </w:r>
      <w:r w:rsidR="008C1685">
        <w:t>,</w:t>
      </w:r>
      <w:r>
        <w:t xml:space="preserve"> constateert o</w:t>
      </w:r>
      <w:r w:rsidR="00A83853">
        <w:t>ns</w:t>
      </w:r>
      <w:r w:rsidRPr="00A83853" w:rsidR="00A83853">
        <w:t xml:space="preserve"> onderzoek van 2025</w:t>
      </w:r>
      <w:r w:rsidR="00A83853">
        <w:t xml:space="preserve"> dat</w:t>
      </w:r>
      <w:r w:rsidRPr="00A83853" w:rsidR="00A83853">
        <w:t xml:space="preserve"> structurele </w:t>
      </w:r>
      <w:proofErr w:type="spellStart"/>
      <w:r w:rsidRPr="00A83853" w:rsidR="00A83853">
        <w:t>langetermijndoelen</w:t>
      </w:r>
      <w:proofErr w:type="spellEnd"/>
      <w:r w:rsidRPr="00A83853" w:rsidR="00A83853">
        <w:t xml:space="preserve"> voor natuur en stikstof steeds verder uit het zicht raken</w:t>
      </w:r>
      <w:r w:rsidR="00F6145F">
        <w:t>.</w:t>
      </w:r>
      <w:r w:rsidR="000C1ED5">
        <w:t xml:space="preserve"> </w:t>
      </w:r>
      <w:r w:rsidR="000E1862">
        <w:t>O</w:t>
      </w:r>
      <w:r w:rsidR="000C1ED5">
        <w:t>ok de problematiek van de PAS-melders die buiten hun schuld in een illegale situatie zijn beland</w:t>
      </w:r>
      <w:r>
        <w:t>,</w:t>
      </w:r>
      <w:r w:rsidR="000C1ED5">
        <w:t xml:space="preserve"> </w:t>
      </w:r>
      <w:r w:rsidR="000E1862">
        <w:t xml:space="preserve">is </w:t>
      </w:r>
      <w:r w:rsidR="000C1ED5">
        <w:t>nog niet opgelost.</w:t>
      </w:r>
    </w:p>
    <w:p w:rsidR="004C32B2" w:rsidP="00913911" w:rsidRDefault="004C32B2" w14:paraId="166C87ED" w14:textId="77777777"/>
    <w:p w:rsidRPr="00913911" w:rsidR="00913911" w:rsidP="00913911" w:rsidRDefault="00913911" w14:paraId="1546D68F" w14:textId="77777777">
      <w:pPr>
        <w:rPr>
          <w:i/>
        </w:rPr>
      </w:pPr>
      <w:r w:rsidRPr="00913911">
        <w:rPr>
          <w:i/>
        </w:rPr>
        <w:t>Vraag 2</w:t>
      </w:r>
    </w:p>
    <w:p w:rsidRPr="00ED7086" w:rsidR="00913911" w:rsidP="00913911" w:rsidRDefault="00ED7086" w14:paraId="3280C4B6" w14:textId="21247AC2">
      <w:pPr>
        <w:rPr>
          <w:i/>
          <w:iCs/>
        </w:rPr>
      </w:pPr>
      <w:r w:rsidRPr="00ED7086">
        <w:rPr>
          <w:i/>
          <w:iCs/>
        </w:rPr>
        <w:t xml:space="preserve">Zijn onderdelen van het ministerie van LVVN opgenomen op de </w:t>
      </w:r>
      <w:proofErr w:type="spellStart"/>
      <w:r w:rsidRPr="00ED7086">
        <w:rPr>
          <w:i/>
          <w:iCs/>
        </w:rPr>
        <w:t>Rijksbrede</w:t>
      </w:r>
      <w:proofErr w:type="spellEnd"/>
      <w:r w:rsidRPr="00ED7086">
        <w:rPr>
          <w:i/>
          <w:iCs/>
        </w:rPr>
        <w:t xml:space="preserve"> </w:t>
      </w:r>
      <w:proofErr w:type="spellStart"/>
      <w:r w:rsidRPr="00ED7086">
        <w:rPr>
          <w:i/>
          <w:iCs/>
        </w:rPr>
        <w:t>hoogrisicolijst</w:t>
      </w:r>
      <w:proofErr w:type="spellEnd"/>
      <w:r w:rsidRPr="00ED7086">
        <w:rPr>
          <w:i/>
          <w:iCs/>
        </w:rPr>
        <w:t>? Zo ja, welke?</w:t>
      </w:r>
    </w:p>
    <w:p w:rsidR="00ED7086" w:rsidP="00913911" w:rsidRDefault="00ED7086" w14:paraId="28938352" w14:textId="77777777"/>
    <w:p w:rsidR="00ED7086" w:rsidP="00E77E30" w:rsidRDefault="00F6145F" w14:paraId="2B894C20" w14:textId="749D44B5">
      <w:r>
        <w:t xml:space="preserve">Ja. </w:t>
      </w:r>
      <w:r w:rsidR="00E77E30">
        <w:t>Nederland ligt niet op koers om het wettelijke stikstofdoel voor 2030 te halen</w:t>
      </w:r>
      <w:r w:rsidR="000E1862">
        <w:t>.</w:t>
      </w:r>
      <w:r w:rsidR="000809DF">
        <w:t xml:space="preserve"> Dit behoort tot het beleidsterrein van de minister van LVVN.</w:t>
      </w:r>
    </w:p>
    <w:p w:rsidR="00913911" w:rsidP="00913911" w:rsidRDefault="00913911" w14:paraId="5D8C3972" w14:textId="77777777"/>
    <w:p w:rsidR="00ED7086" w:rsidP="00913911" w:rsidRDefault="00913911" w14:paraId="0BCC53C7" w14:textId="77777777">
      <w:pPr>
        <w:rPr>
          <w:i/>
        </w:rPr>
      </w:pPr>
      <w:r w:rsidRPr="000D53EB">
        <w:rPr>
          <w:i/>
        </w:rPr>
        <w:t>Vraag 3</w:t>
      </w:r>
    </w:p>
    <w:p w:rsidRPr="000D53EB" w:rsidR="00913911" w:rsidP="00913911" w:rsidRDefault="00ED7086" w14:paraId="6A8F15E4" w14:textId="1BADBA76">
      <w:pPr>
        <w:rPr>
          <w:i/>
        </w:rPr>
      </w:pPr>
      <w:r w:rsidRPr="000D53EB">
        <w:rPr>
          <w:i/>
        </w:rPr>
        <w:t>Hoe verhouden de bevindingen uit het verantwoordingsonderzoek 2025 zich tot de uitkomsten van eerdere verantwoordingsonderzoeken bij het ministerie van LVVN?</w:t>
      </w:r>
    </w:p>
    <w:p w:rsidR="000C1ED5" w:rsidP="00913911" w:rsidRDefault="000C1ED5" w14:paraId="55837F09" w14:textId="77777777">
      <w:pPr>
        <w:rPr>
          <w:highlight w:val="yellow"/>
        </w:rPr>
      </w:pPr>
    </w:p>
    <w:p w:rsidR="00ED7086" w:rsidP="00913911" w:rsidRDefault="0057718A" w14:paraId="4F31E288" w14:textId="0DFF6092">
      <w:r>
        <w:t>Voor het antwoord op de door de Algemene Rekenkamer geconstateerde onvolkomenheden en het onderzoek van de financiële verantwoording verwijs ik u naar het rapport Resultaten verantwoordingsonderzoek 2025 ministerie van Landbouw, Visserij, Voedselzekerheid en Natuur en Diergezondheidsfonds van 20 mei 2026.</w:t>
      </w:r>
    </w:p>
    <w:p w:rsidR="00DA4D9A" w:rsidP="00913911" w:rsidRDefault="00DA4D9A" w14:paraId="563114E4" w14:textId="77777777"/>
    <w:p w:rsidRPr="000D53EB" w:rsidR="00ED7086" w:rsidP="00913911" w:rsidRDefault="00ED7086" w14:paraId="04C9C53E" w14:textId="0B417E28">
      <w:pPr>
        <w:rPr>
          <w:i/>
          <w:iCs/>
        </w:rPr>
      </w:pPr>
      <w:r w:rsidRPr="000D53EB">
        <w:rPr>
          <w:i/>
          <w:iCs/>
        </w:rPr>
        <w:lastRenderedPageBreak/>
        <w:t>Vraag 4</w:t>
      </w:r>
    </w:p>
    <w:p w:rsidRPr="00ED7086" w:rsidR="00C26D93" w:rsidP="00C26D93" w:rsidRDefault="00C26D93" w14:paraId="6BC88D03" w14:textId="1623D773">
      <w:pPr>
        <w:rPr>
          <w:i/>
          <w:iCs/>
        </w:rPr>
      </w:pPr>
      <w:r w:rsidRPr="00ED7086">
        <w:rPr>
          <w:i/>
          <w:iCs/>
        </w:rPr>
        <w:t>Kunt u toelichten welke concrete gevolgen het heeft dat de regels voor het gebruik van gewasbeschermingsmiddelen “niet op orde” zijn, voor waterkwaliteit, biodiversiteit en volksgezondheid?</w:t>
      </w:r>
    </w:p>
    <w:p w:rsidR="00ED7086" w:rsidP="00C26D93" w:rsidRDefault="00ED7086" w14:paraId="2B2EE4AB" w14:textId="77777777"/>
    <w:p w:rsidR="00012DBD" w:rsidP="00012DBD" w:rsidRDefault="00012DBD" w14:paraId="1839B8D7" w14:textId="439FB45F">
      <w:r>
        <w:t xml:space="preserve">Het onderzoek van de Algemene Rekenkamer betreft de handhaafbaarheid van regels voor het gebruik van gewasbeschermingsmiddelen. </w:t>
      </w:r>
      <w:r w:rsidR="00C52533">
        <w:t xml:space="preserve">De concrete gevolgen van een slechte handhaafbaarheid zijn niet onderzocht. </w:t>
      </w:r>
      <w:r>
        <w:t>Onderzoek van NIVEL, RIVM, e.a. la</w:t>
      </w:r>
      <w:r w:rsidR="00AB41DC">
        <w:t>a</w:t>
      </w:r>
      <w:r>
        <w:t xml:space="preserve">t zien dat gewasbeschermingsmiddelen in de landbouw </w:t>
      </w:r>
      <w:r w:rsidR="002D6E62">
        <w:t>een risico</w:t>
      </w:r>
      <w:r>
        <w:t xml:space="preserve"> kunnen zijn </w:t>
      </w:r>
      <w:r w:rsidR="002D6E62">
        <w:t>voor</w:t>
      </w:r>
      <w:r>
        <w:t xml:space="preserve"> de gezondheid van gebruikers en de gezondheid van omwonenden.</w:t>
      </w:r>
      <w:r w:rsidR="00B72D5A">
        <w:t xml:space="preserve"> Ook kunnen g</w:t>
      </w:r>
      <w:r w:rsidRPr="00B72D5A" w:rsidR="00B72D5A">
        <w:t>ewasbeschermingsmiddelen van invloed zijn op de waterkwaliteit</w:t>
      </w:r>
      <w:r w:rsidR="00B72D5A">
        <w:t>.</w:t>
      </w:r>
    </w:p>
    <w:p w:rsidR="00137AB7" w:rsidP="00C26D93" w:rsidRDefault="00137AB7" w14:paraId="49624B20" w14:textId="77777777"/>
    <w:p w:rsidRPr="000D53EB" w:rsidR="00ED7086" w:rsidP="00C26D93" w:rsidRDefault="00137AB7" w14:paraId="4FDF2CB2" w14:textId="6307EA14">
      <w:pPr>
        <w:rPr>
          <w:i/>
          <w:iCs/>
        </w:rPr>
      </w:pPr>
      <w:r w:rsidRPr="000D53EB">
        <w:rPr>
          <w:i/>
          <w:iCs/>
        </w:rPr>
        <w:t>Vraag 5</w:t>
      </w:r>
    </w:p>
    <w:p w:rsidRPr="00137AB7" w:rsidR="00137AB7" w:rsidP="00C26D93" w:rsidRDefault="00C26D93" w14:paraId="5CA6A95C" w14:textId="77777777">
      <w:pPr>
        <w:rPr>
          <w:i/>
          <w:iCs/>
        </w:rPr>
      </w:pPr>
      <w:r w:rsidRPr="00137AB7">
        <w:rPr>
          <w:i/>
          <w:iCs/>
        </w:rPr>
        <w:t>Heeft u zicht op de mate waarin stoppende bedrijven daadwerkelijk bijdragen aan structurele natuurverbetering rond Natura 2000-gebieden?</w:t>
      </w:r>
    </w:p>
    <w:p w:rsidR="00137AB7" w:rsidP="00C26D93" w:rsidRDefault="00137AB7" w14:paraId="4B812263" w14:textId="77777777"/>
    <w:p w:rsidR="00137AB7" w:rsidP="00D37441" w:rsidRDefault="00C0484E" w14:paraId="3554C699" w14:textId="18721D5C">
      <w:r>
        <w:t xml:space="preserve">Dit hebben we niet onderzocht. </w:t>
      </w:r>
      <w:r w:rsidR="00D06491">
        <w:t xml:space="preserve">We </w:t>
      </w:r>
      <w:r w:rsidR="00D37441">
        <w:t xml:space="preserve">attenderen </w:t>
      </w:r>
      <w:r w:rsidR="00D06491">
        <w:t>de Tweede Kamer</w:t>
      </w:r>
      <w:r w:rsidR="002D6E62">
        <w:t xml:space="preserve"> erop</w:t>
      </w:r>
      <w:r w:rsidR="00D06491">
        <w:t xml:space="preserve"> dat we </w:t>
      </w:r>
      <w:r w:rsidR="00D37441">
        <w:t>23 juni</w:t>
      </w:r>
      <w:r w:rsidR="00212F5C">
        <w:t xml:space="preserve"> </w:t>
      </w:r>
      <w:r w:rsidR="00761BF9">
        <w:t>het</w:t>
      </w:r>
      <w:r w:rsidR="00D06491">
        <w:t xml:space="preserve"> onderzoek</w:t>
      </w:r>
      <w:r w:rsidRPr="00761BF9" w:rsidR="00761BF9">
        <w:t xml:space="preserve"> ‘Focus op stikstof van veehouderijen’ </w:t>
      </w:r>
      <w:r w:rsidR="00D06491">
        <w:t>publiceren</w:t>
      </w:r>
      <w:r w:rsidR="00D37441">
        <w:t>.</w:t>
      </w:r>
    </w:p>
    <w:p w:rsidR="00137AB7" w:rsidP="00C26D93" w:rsidRDefault="00137AB7" w14:paraId="62A48943" w14:textId="77777777"/>
    <w:p w:rsidRPr="000D53EB" w:rsidR="00C26D93" w:rsidP="00C26D93" w:rsidRDefault="00137AB7" w14:paraId="07D6A5C7" w14:textId="2199A8A2">
      <w:pPr>
        <w:rPr>
          <w:i/>
          <w:iCs/>
        </w:rPr>
      </w:pPr>
      <w:r w:rsidRPr="000D53EB">
        <w:rPr>
          <w:i/>
          <w:iCs/>
        </w:rPr>
        <w:t>Vraag 6</w:t>
      </w:r>
    </w:p>
    <w:p w:rsidRPr="003217E3" w:rsidR="00137AB7" w:rsidP="00C26D93" w:rsidRDefault="00C26D93" w14:paraId="0ED2EE9C" w14:textId="0930A289">
      <w:pPr>
        <w:rPr>
          <w:i/>
          <w:iCs/>
        </w:rPr>
      </w:pPr>
      <w:r w:rsidRPr="003217E3">
        <w:rPr>
          <w:i/>
          <w:iCs/>
        </w:rPr>
        <w:t>Kunt u toelichten waarom eind 2025 slechts 1,03 procent en dus 14 van de 1.364 Programma Aanpak Stikstof (PAS)-melders die aan de criteria voor een oplossing voldoen daadwerkelijk een onherroepelijke vergunning hebben gekregen?</w:t>
      </w:r>
    </w:p>
    <w:p w:rsidRPr="003217E3" w:rsidR="00137AB7" w:rsidP="00C26D93" w:rsidRDefault="00137AB7" w14:paraId="404AD30E" w14:textId="77777777"/>
    <w:p w:rsidR="00137AB7" w:rsidP="00C26D93" w:rsidRDefault="003453AB" w14:paraId="5F669E12" w14:textId="31C1A58F">
      <w:r>
        <w:t>W</w:t>
      </w:r>
      <w:r w:rsidRPr="003453AB">
        <w:t xml:space="preserve">ij hebben de voortgang van de behandeling van PAS-melders gevolgd, maar niet onderzocht wat de oorzaak was van het feit dat slechts 1,03% van de PAS-melders een definitieve vergunning kreeg. </w:t>
      </w:r>
      <w:r w:rsidRPr="00982160">
        <w:t xml:space="preserve">Het is aan de minister van </w:t>
      </w:r>
      <w:r>
        <w:t>LVVN</w:t>
      </w:r>
      <w:r w:rsidRPr="00982160">
        <w:t xml:space="preserve"> om deze vraag te beantwoorden</w:t>
      </w:r>
      <w:r>
        <w:t>.</w:t>
      </w:r>
    </w:p>
    <w:p w:rsidR="003453AB" w:rsidP="00C26D93" w:rsidRDefault="003453AB" w14:paraId="1B493A28" w14:textId="77777777"/>
    <w:p w:rsidRPr="000D53EB" w:rsidR="00C26D93" w:rsidP="00C26D93" w:rsidRDefault="00137AB7" w14:paraId="50A2762B" w14:textId="5FCD4892">
      <w:pPr>
        <w:rPr>
          <w:i/>
          <w:iCs/>
        </w:rPr>
      </w:pPr>
      <w:r w:rsidRPr="000D53EB">
        <w:rPr>
          <w:i/>
          <w:iCs/>
        </w:rPr>
        <w:t>Vraag 7</w:t>
      </w:r>
    </w:p>
    <w:p w:rsidRPr="00137AB7" w:rsidR="00137AB7" w:rsidP="00C26D93" w:rsidRDefault="00C26D93" w14:paraId="4652AC40" w14:textId="66451061">
      <w:pPr>
        <w:rPr>
          <w:i/>
          <w:iCs/>
        </w:rPr>
      </w:pPr>
      <w:r w:rsidRPr="00137AB7">
        <w:rPr>
          <w:i/>
          <w:iCs/>
        </w:rPr>
        <w:t>Hoeveel bouw- en infrastructuurprojecten zijn concreet vertraagd of stilgelegd als gevolg van het stikstofslot en wat is de geschatte economische schade hiervan?</w:t>
      </w:r>
    </w:p>
    <w:p w:rsidR="00137AB7" w:rsidP="00C26D93" w:rsidRDefault="00137AB7" w14:paraId="58A09705" w14:textId="77777777"/>
    <w:p w:rsidR="00137AB7" w:rsidP="00C26D93" w:rsidRDefault="00036C4F" w14:paraId="2B349AAE" w14:textId="677ACC2A">
      <w:r>
        <w:t>Dit hebben we niet onderzocht</w:t>
      </w:r>
      <w:r w:rsidR="005047AA">
        <w:t>.</w:t>
      </w:r>
    </w:p>
    <w:p w:rsidR="00C26D93" w:rsidP="00C26D93" w:rsidRDefault="00C26D93" w14:paraId="039C3647" w14:textId="3E6AD02E"/>
    <w:p w:rsidRPr="000D53EB" w:rsidR="00137AB7" w:rsidP="00C26D93" w:rsidRDefault="00137AB7" w14:paraId="7314BF8F" w14:textId="77777777">
      <w:pPr>
        <w:rPr>
          <w:i/>
          <w:iCs/>
        </w:rPr>
      </w:pPr>
      <w:r w:rsidRPr="000D53EB">
        <w:rPr>
          <w:i/>
          <w:iCs/>
        </w:rPr>
        <w:t xml:space="preserve">Vraag </w:t>
      </w:r>
      <w:r w:rsidRPr="000D53EB" w:rsidR="00C26D93">
        <w:rPr>
          <w:i/>
          <w:iCs/>
        </w:rPr>
        <w:t>8</w:t>
      </w:r>
    </w:p>
    <w:p w:rsidRPr="001A742A" w:rsidR="00C26D93" w:rsidP="00C26D93" w:rsidRDefault="00C26D93" w14:paraId="1ADAEF6D" w14:textId="50CC6242">
      <w:pPr>
        <w:rPr>
          <w:i/>
          <w:iCs/>
        </w:rPr>
      </w:pPr>
      <w:r w:rsidRPr="001A742A">
        <w:rPr>
          <w:i/>
          <w:iCs/>
        </w:rPr>
        <w:lastRenderedPageBreak/>
        <w:t>Hoe onderbouwt u de maatschappelijke schade van 12 tot 15 miljard euro per jaar door de stikstofproblematiek?</w:t>
      </w:r>
    </w:p>
    <w:p w:rsidRPr="001A742A" w:rsidR="00137AB7" w:rsidP="00C26D93" w:rsidRDefault="00137AB7" w14:paraId="7FCB2B6A" w14:textId="77777777"/>
    <w:p w:rsidR="00C62A1E" w:rsidP="00C26D93" w:rsidRDefault="00625A99" w14:paraId="25C712A6" w14:textId="6628E92C">
      <w:r>
        <w:t>Hiervoor verwijs ik u naar</w:t>
      </w:r>
      <w:r w:rsidR="003217E3">
        <w:t xml:space="preserve"> het </w:t>
      </w:r>
      <w:r w:rsidR="001A742A">
        <w:t>rapport</w:t>
      </w:r>
      <w:r w:rsidR="003217E3">
        <w:t xml:space="preserve"> ‘</w:t>
      </w:r>
      <w:r w:rsidRPr="00C62A1E" w:rsidR="00C62A1E">
        <w:t>Stikstofuitstoot en stikstofbeperkingen. Wat is de schade?</w:t>
      </w:r>
      <w:r w:rsidR="003217E3">
        <w:t>’ van de</w:t>
      </w:r>
      <w:r w:rsidRPr="00C62A1E" w:rsidR="00C62A1E">
        <w:t xml:space="preserve"> Stichting Economisch Onderzoek (SEO), 2025.</w:t>
      </w:r>
      <w:r w:rsidR="00036C4F">
        <w:t xml:space="preserve"> </w:t>
      </w:r>
    </w:p>
    <w:p w:rsidR="00C62A1E" w:rsidP="00C26D93" w:rsidRDefault="00C62A1E" w14:paraId="1C2BC878" w14:textId="77777777"/>
    <w:p w:rsidRPr="000D53EB" w:rsidR="00137AB7" w:rsidP="00C26D93" w:rsidRDefault="00137AB7" w14:paraId="4C8C31C0" w14:textId="77777777">
      <w:pPr>
        <w:rPr>
          <w:i/>
          <w:iCs/>
        </w:rPr>
      </w:pPr>
      <w:r w:rsidRPr="000D53EB">
        <w:rPr>
          <w:i/>
          <w:iCs/>
        </w:rPr>
        <w:t xml:space="preserve">Vraag </w:t>
      </w:r>
      <w:r w:rsidRPr="000D53EB" w:rsidR="00C26D93">
        <w:rPr>
          <w:i/>
          <w:iCs/>
        </w:rPr>
        <w:t>9</w:t>
      </w:r>
    </w:p>
    <w:p w:rsidRPr="00CF6A53" w:rsidR="00C26D93" w:rsidP="00C26D93" w:rsidRDefault="00C26D93" w14:paraId="5C1FF3D3" w14:textId="086B9950">
      <w:pPr>
        <w:rPr>
          <w:i/>
          <w:iCs/>
        </w:rPr>
      </w:pPr>
      <w:r w:rsidRPr="00CF6A53">
        <w:rPr>
          <w:i/>
          <w:iCs/>
        </w:rPr>
        <w:t>Kunt u toelichten voor welke specifieke nieuwe taken de resterende groei van circa 175 fulltime-equivalent (fte) bij de Nederlandse Voedsel- en Warenautoriteit (NVWA), bovenop de 300 fte die voortkomen uit de aansluiting van de Kwaliteitskeuring Dierlijke Sector (KDS), in 2025 is aangewend?</w:t>
      </w:r>
    </w:p>
    <w:p w:rsidR="00137AB7" w:rsidP="00C26D93" w:rsidRDefault="00137AB7" w14:paraId="267B0402" w14:textId="77777777"/>
    <w:p w:rsidR="00CF6A53" w:rsidP="00E435B8" w:rsidRDefault="00625A99" w14:paraId="38D47296" w14:textId="274221BB">
      <w:r>
        <w:t>Voor de vraag welke specifieke taken dit betreft, verwijzen wij u naar de minister van LVVN</w:t>
      </w:r>
      <w:r w:rsidR="00CC1A37">
        <w:t>.</w:t>
      </w:r>
    </w:p>
    <w:p w:rsidR="00CF6A53" w:rsidP="00C26D93" w:rsidRDefault="00CF6A53" w14:paraId="59C7DA01" w14:textId="77777777"/>
    <w:p w:rsidRPr="000D53EB" w:rsidR="00137AB7" w:rsidP="00C26D93" w:rsidRDefault="00137AB7" w14:paraId="7A44483F" w14:textId="77777777">
      <w:pPr>
        <w:rPr>
          <w:i/>
          <w:iCs/>
        </w:rPr>
      </w:pPr>
      <w:r w:rsidRPr="000D53EB">
        <w:rPr>
          <w:i/>
          <w:iCs/>
        </w:rPr>
        <w:t xml:space="preserve">Vraag </w:t>
      </w:r>
      <w:r w:rsidRPr="000D53EB" w:rsidR="00C26D93">
        <w:rPr>
          <w:i/>
          <w:iCs/>
        </w:rPr>
        <w:t>10</w:t>
      </w:r>
    </w:p>
    <w:p w:rsidRPr="00115BD8" w:rsidR="00C26D93" w:rsidP="00C26D93" w:rsidRDefault="00C26D93" w14:paraId="50D9CD94" w14:textId="0CB5B865">
      <w:pPr>
        <w:rPr>
          <w:i/>
          <w:iCs/>
        </w:rPr>
      </w:pPr>
      <w:r w:rsidRPr="00115BD8">
        <w:rPr>
          <w:i/>
          <w:iCs/>
        </w:rPr>
        <w:t>Kunt u toelichten welke specifieke factoren de grootste rol hebben gespeeld in de factor 2,2 stijging van de uitgaven van het ministerie van LVVN tussen de Miljoenennota 2023 en de uiteindelijke realisatie over 2025?</w:t>
      </w:r>
    </w:p>
    <w:p w:rsidRPr="00115BD8" w:rsidR="00137AB7" w:rsidP="00C26D93" w:rsidRDefault="00137AB7" w14:paraId="47BED587" w14:textId="77777777"/>
    <w:p w:rsidR="00115BD8" w:rsidP="00C26D93" w:rsidRDefault="00115BD8" w14:paraId="32AD2B0E" w14:textId="412AAA33">
      <w:r w:rsidRPr="00115BD8">
        <w:t>De stijging van de uitgaven van het ministerie van LVVN tussen de Miljoenennota 2023 en de uiteindelijke realisatie over 2025 komt m</w:t>
      </w:r>
      <w:r w:rsidR="008F5DAA">
        <w:t>et name</w:t>
      </w:r>
      <w:r w:rsidRPr="00115BD8">
        <w:t xml:space="preserve"> door de toename van de uitgaven in 2024. Het heeft betrekking op de subsidieregelingen voor de duurzame veehouderij, zoals de </w:t>
      </w:r>
      <w:proofErr w:type="spellStart"/>
      <w:r w:rsidRPr="00115BD8">
        <w:t>Lbv</w:t>
      </w:r>
      <w:proofErr w:type="spellEnd"/>
      <w:r w:rsidRPr="00115BD8">
        <w:t xml:space="preserve"> en de </w:t>
      </w:r>
      <w:proofErr w:type="spellStart"/>
      <w:r w:rsidRPr="00115BD8">
        <w:t>Lbv</w:t>
      </w:r>
      <w:proofErr w:type="spellEnd"/>
      <w:r w:rsidRPr="00115BD8">
        <w:t>-plus</w:t>
      </w:r>
      <w:r w:rsidR="00065C1D">
        <w:t>, omdat het aantal inschrijvingen hoger was dan gedacht</w:t>
      </w:r>
      <w:r w:rsidRPr="00115BD8">
        <w:t xml:space="preserve">. Daarnaast komt het door de specifieke uitkeringen, zoals voor Programma natuur en </w:t>
      </w:r>
      <w:r w:rsidR="008F5DAA">
        <w:t xml:space="preserve">koploperprojecten die door provincies zijn ingediend voor de </w:t>
      </w:r>
      <w:r w:rsidRPr="00115BD8">
        <w:t>Regeling provinciale maatregelen landelijk gebied</w:t>
      </w:r>
      <w:r w:rsidR="008F5DAA">
        <w:t>, zie tabel</w:t>
      </w:r>
      <w:r w:rsidRPr="00115BD8">
        <w:t>.</w:t>
      </w:r>
      <w:r w:rsidR="007F75DF">
        <w:t xml:space="preserve"> Voor de </w:t>
      </w:r>
      <w:proofErr w:type="spellStart"/>
      <w:r w:rsidR="007F75DF">
        <w:t>Lbv</w:t>
      </w:r>
      <w:proofErr w:type="spellEnd"/>
      <w:r w:rsidR="007F75DF">
        <w:t xml:space="preserve"> en </w:t>
      </w:r>
      <w:proofErr w:type="spellStart"/>
      <w:r w:rsidR="007F75DF">
        <w:t>Lbv</w:t>
      </w:r>
      <w:proofErr w:type="spellEnd"/>
      <w:r w:rsidR="007F75DF">
        <w:t xml:space="preserve">-plus geldt overigens dat het om aanvragen gaat, aanvragen kunnen nog ingetrokken worden dus het aantal deelnemers </w:t>
      </w:r>
      <w:r w:rsidR="003C6D10">
        <w:t>zal</w:t>
      </w:r>
      <w:r w:rsidR="007F75DF">
        <w:t xml:space="preserve"> uiteindelijk lager zijn.</w:t>
      </w:r>
    </w:p>
    <w:p w:rsidR="006A6CDA" w:rsidP="00C26D93" w:rsidRDefault="006A6CDA" w14:paraId="43C01CCB" w14:textId="77777777"/>
    <w:tbl>
      <w:tblPr>
        <w:tblStyle w:val="Tabelraster"/>
        <w:tblW w:w="0" w:type="auto"/>
        <w:tblLook w:val="04A0" w:firstRow="1" w:lastRow="0" w:firstColumn="1" w:lastColumn="0" w:noHBand="0" w:noVBand="1"/>
      </w:tblPr>
      <w:tblGrid>
        <w:gridCol w:w="1980"/>
        <w:gridCol w:w="5103"/>
        <w:gridCol w:w="845"/>
      </w:tblGrid>
      <w:tr w:rsidR="00065C1D" w:rsidTr="00057781" w14:paraId="304C7EB6" w14:textId="77777777">
        <w:tc>
          <w:tcPr>
            <w:tcW w:w="7928" w:type="dxa"/>
            <w:gridSpan w:val="3"/>
          </w:tcPr>
          <w:p w:rsidR="00065C1D" w:rsidP="00065C1D" w:rsidRDefault="00065C1D" w14:paraId="4C6A97C0" w14:textId="2688F97E">
            <w:pPr>
              <w:spacing w:line="360" w:lineRule="auto"/>
            </w:pPr>
            <w:r>
              <w:t>De grootste wijzigingen in de geraamde uitgaven van het ministerie van LVVN in de afgelopen 3 jaar (bedragen in miljoenen €)</w:t>
            </w:r>
          </w:p>
        </w:tc>
      </w:tr>
      <w:tr w:rsidR="006617B8" w:rsidTr="006617B8" w14:paraId="337BF5A7" w14:textId="77777777">
        <w:tc>
          <w:tcPr>
            <w:tcW w:w="1980" w:type="dxa"/>
          </w:tcPr>
          <w:p w:rsidR="006617B8" w:rsidP="00C26D93" w:rsidRDefault="006617B8" w14:paraId="09224354" w14:textId="6E7A3D2E">
            <w:r>
              <w:t>Begroting</w:t>
            </w:r>
          </w:p>
        </w:tc>
        <w:tc>
          <w:tcPr>
            <w:tcW w:w="5103" w:type="dxa"/>
          </w:tcPr>
          <w:p w:rsidR="006617B8" w:rsidP="00C26D93" w:rsidRDefault="006617B8" w14:paraId="027DA172" w14:textId="0DE999E8">
            <w:r>
              <w:t>Mutatie</w:t>
            </w:r>
          </w:p>
        </w:tc>
        <w:tc>
          <w:tcPr>
            <w:tcW w:w="845" w:type="dxa"/>
          </w:tcPr>
          <w:p w:rsidR="006617B8" w:rsidP="00C26D93" w:rsidRDefault="006617B8" w14:paraId="28A7412C" w14:textId="48B2647F">
            <w:r>
              <w:t>2025</w:t>
            </w:r>
          </w:p>
        </w:tc>
      </w:tr>
      <w:tr w:rsidR="006617B8" w:rsidTr="006617B8" w14:paraId="5FDCD03A" w14:textId="77777777">
        <w:tc>
          <w:tcPr>
            <w:tcW w:w="1980" w:type="dxa"/>
          </w:tcPr>
          <w:p w:rsidR="006617B8" w:rsidP="00C26D93" w:rsidRDefault="006617B8" w14:paraId="358BC8C8" w14:textId="53D3E48B">
            <w:r>
              <w:t>Voorjaarsnota 2023</w:t>
            </w:r>
          </w:p>
        </w:tc>
        <w:tc>
          <w:tcPr>
            <w:tcW w:w="5103" w:type="dxa"/>
          </w:tcPr>
          <w:p w:rsidR="006617B8" w:rsidP="00C26D93" w:rsidRDefault="006617B8" w14:paraId="4EA27493" w14:textId="7F8D569A">
            <w:r>
              <w:t>Overboeking van de Aanvullende Post naar LNV t.b.v. transitiefonds</w:t>
            </w:r>
          </w:p>
        </w:tc>
        <w:tc>
          <w:tcPr>
            <w:tcW w:w="845" w:type="dxa"/>
          </w:tcPr>
          <w:p w:rsidR="006617B8" w:rsidP="00C26D93" w:rsidRDefault="006617B8" w14:paraId="495F1606" w14:textId="162C61F1">
            <w:r>
              <w:t>708</w:t>
            </w:r>
          </w:p>
        </w:tc>
      </w:tr>
      <w:tr w:rsidR="006617B8" w:rsidTr="006617B8" w14:paraId="39CBE272" w14:textId="77777777">
        <w:tc>
          <w:tcPr>
            <w:tcW w:w="1980" w:type="dxa"/>
          </w:tcPr>
          <w:p w:rsidR="006617B8" w:rsidP="00C26D93" w:rsidRDefault="006617B8" w14:paraId="352D1810" w14:textId="646E94D4">
            <w:r>
              <w:t>Voorjaarsnota 2024</w:t>
            </w:r>
          </w:p>
        </w:tc>
        <w:tc>
          <w:tcPr>
            <w:tcW w:w="5103" w:type="dxa"/>
          </w:tcPr>
          <w:p w:rsidR="006617B8" w:rsidP="00C26D93" w:rsidRDefault="006617B8" w14:paraId="1E00F33C" w14:textId="42A964CE">
            <w:r>
              <w:t xml:space="preserve">Aanvullend budget </w:t>
            </w:r>
            <w:proofErr w:type="spellStart"/>
            <w:r>
              <w:t>Lbv</w:t>
            </w:r>
            <w:proofErr w:type="spellEnd"/>
            <w:r>
              <w:t>-plus</w:t>
            </w:r>
          </w:p>
        </w:tc>
        <w:tc>
          <w:tcPr>
            <w:tcW w:w="845" w:type="dxa"/>
          </w:tcPr>
          <w:p w:rsidR="006617B8" w:rsidP="00C26D93" w:rsidRDefault="006617B8" w14:paraId="257FFAF9" w14:textId="5216973D">
            <w:r>
              <w:t>450</w:t>
            </w:r>
          </w:p>
        </w:tc>
      </w:tr>
      <w:tr w:rsidR="006617B8" w:rsidTr="006617B8" w14:paraId="431D9E84" w14:textId="77777777">
        <w:tc>
          <w:tcPr>
            <w:tcW w:w="1980" w:type="dxa"/>
          </w:tcPr>
          <w:p w:rsidR="006617B8" w:rsidP="00C26D93" w:rsidRDefault="006617B8" w14:paraId="5DBB0DE6" w14:textId="6513CDCD">
            <w:r>
              <w:t>Voorjaarsnota 2024</w:t>
            </w:r>
          </w:p>
        </w:tc>
        <w:tc>
          <w:tcPr>
            <w:tcW w:w="5103" w:type="dxa"/>
          </w:tcPr>
          <w:p w:rsidR="006617B8" w:rsidP="00C26D93" w:rsidRDefault="006617B8" w14:paraId="6C110C44" w14:textId="33A4420E">
            <w:proofErr w:type="spellStart"/>
            <w:r>
              <w:t>Koplopersprojecten</w:t>
            </w:r>
            <w:proofErr w:type="spellEnd"/>
            <w:r>
              <w:t xml:space="preserve"> </w:t>
            </w:r>
            <w:proofErr w:type="spellStart"/>
            <w:r>
              <w:t>PPLG’s</w:t>
            </w:r>
            <w:proofErr w:type="spellEnd"/>
          </w:p>
        </w:tc>
        <w:tc>
          <w:tcPr>
            <w:tcW w:w="845" w:type="dxa"/>
          </w:tcPr>
          <w:p w:rsidR="006617B8" w:rsidP="00C26D93" w:rsidRDefault="006617B8" w14:paraId="65107321" w14:textId="726E8C1F">
            <w:r>
              <w:t>426</w:t>
            </w:r>
          </w:p>
        </w:tc>
      </w:tr>
    </w:tbl>
    <w:p w:rsidR="006617B8" w:rsidP="00C26D93" w:rsidRDefault="006617B8" w14:paraId="2A7BF430" w14:textId="77777777"/>
    <w:p w:rsidRPr="000D53EB" w:rsidR="00137AB7" w:rsidP="00C26D93" w:rsidRDefault="00137AB7" w14:paraId="5BE6684F" w14:textId="450F7005">
      <w:pPr>
        <w:rPr>
          <w:i/>
          <w:iCs/>
        </w:rPr>
      </w:pPr>
      <w:r w:rsidRPr="000D53EB">
        <w:rPr>
          <w:i/>
          <w:iCs/>
        </w:rPr>
        <w:t xml:space="preserve">Vraag </w:t>
      </w:r>
      <w:r w:rsidRPr="000D53EB" w:rsidR="00C26D93">
        <w:rPr>
          <w:i/>
          <w:iCs/>
        </w:rPr>
        <w:t>11</w:t>
      </w:r>
    </w:p>
    <w:p w:rsidRPr="00712B8B" w:rsidR="00C26D93" w:rsidP="00C26D93" w:rsidRDefault="00C26D93" w14:paraId="4EB07E22" w14:textId="37019D8F">
      <w:pPr>
        <w:rPr>
          <w:i/>
          <w:iCs/>
        </w:rPr>
      </w:pPr>
      <w:r w:rsidRPr="00712B8B">
        <w:rPr>
          <w:i/>
          <w:iCs/>
        </w:rPr>
        <w:t>Waarom bestaan er volgens u nog steeds geen duidelijke Rijksregels voor spuitvrije zones rond kwetsbare gebieden?</w:t>
      </w:r>
    </w:p>
    <w:p w:rsidR="00CF6A53" w:rsidP="00C26D93" w:rsidRDefault="00CF6A53" w14:paraId="6B3FD0C6" w14:textId="77777777"/>
    <w:p w:rsidR="00712B8B" w:rsidP="00351224" w:rsidRDefault="00351224" w14:paraId="03918553" w14:textId="1D865989">
      <w:r>
        <w:t>Er zijn momenteel geen Rijksregels voor het gebruik van gewasbeschermingsmiddelen die concreet maken wat kwetsbare gebieden zijn en welke afstand tot deze gebieden moet worden aangehouden. Voor de vraag waarom deze regels er nog niet zijn verwijzen wij u naar de minister van LVVN.</w:t>
      </w:r>
    </w:p>
    <w:p w:rsidR="00712B8B" w:rsidP="00C26D93" w:rsidRDefault="00712B8B" w14:paraId="51195754" w14:textId="77777777"/>
    <w:p w:rsidRPr="000D53EB" w:rsidR="00CF6A53" w:rsidP="00C26D93" w:rsidRDefault="00CF6A53" w14:paraId="1C283DB1" w14:textId="77777777">
      <w:pPr>
        <w:rPr>
          <w:i/>
          <w:iCs/>
        </w:rPr>
      </w:pPr>
      <w:r w:rsidRPr="000D53EB">
        <w:rPr>
          <w:i/>
          <w:iCs/>
        </w:rPr>
        <w:t xml:space="preserve">Vraag </w:t>
      </w:r>
      <w:r w:rsidRPr="000D53EB" w:rsidR="00C26D93">
        <w:rPr>
          <w:i/>
          <w:iCs/>
        </w:rPr>
        <w:t>12</w:t>
      </w:r>
    </w:p>
    <w:p w:rsidRPr="00712B8B" w:rsidR="00C26D93" w:rsidP="00C26D93" w:rsidRDefault="00C26D93" w14:paraId="63E3B03F" w14:textId="31D03525">
      <w:pPr>
        <w:rPr>
          <w:i/>
          <w:iCs/>
        </w:rPr>
      </w:pPr>
      <w:r w:rsidRPr="00712B8B">
        <w:rPr>
          <w:i/>
          <w:iCs/>
        </w:rPr>
        <w:t>Kunt u toelichten waarom de helft van de 14 door de ARK onderzochte belangrijke regels voor het gebruik van gewasbeschermingsmiddelen door inspecteurs als niet of moeilijk handhaafbaar wordt ervaren?</w:t>
      </w:r>
    </w:p>
    <w:p w:rsidR="00712B8B" w:rsidP="00C26D93" w:rsidRDefault="00712B8B" w14:paraId="07C9C794" w14:textId="77777777"/>
    <w:p w:rsidR="00CF6A53" w:rsidP="00C26D93" w:rsidRDefault="00161838" w14:paraId="051E7438" w14:textId="70A4C825">
      <w:r>
        <w:t xml:space="preserve">Er </w:t>
      </w:r>
      <w:r w:rsidR="008D2FDF">
        <w:t>zijn</w:t>
      </w:r>
      <w:r>
        <w:t xml:space="preserve"> twee </w:t>
      </w:r>
      <w:r w:rsidR="00FB1E26">
        <w:t>oorzaken</w:t>
      </w:r>
      <w:r>
        <w:t xml:space="preserve"> waarom de regels niet of moeilijk handhaafbaar zijn. </w:t>
      </w:r>
      <w:r w:rsidR="00FB1E26">
        <w:t xml:space="preserve">Ten eerste </w:t>
      </w:r>
      <w:r>
        <w:t>is er sprake is van ‘open norm</w:t>
      </w:r>
      <w:r w:rsidR="00746B98">
        <w:t>en</w:t>
      </w:r>
      <w:r>
        <w:t xml:space="preserve">’. Bij een open norm </w:t>
      </w:r>
      <w:r w:rsidRPr="00161838">
        <w:t xml:space="preserve">is het niet duidelijk hoe en wanneer </w:t>
      </w:r>
      <w:r>
        <w:t>er wordt voldaan aan een norm.</w:t>
      </w:r>
      <w:r w:rsidRPr="00966FDE" w:rsidR="00966FDE">
        <w:t xml:space="preserve"> </w:t>
      </w:r>
      <w:r w:rsidR="00966FDE">
        <w:t xml:space="preserve">Een voorbeeld is dat </w:t>
      </w:r>
      <w:r w:rsidRPr="00966FDE" w:rsidR="00966FDE">
        <w:t xml:space="preserve">de spuit </w:t>
      </w:r>
      <w:r w:rsidR="00966FDE">
        <w:t xml:space="preserve">moet worden gevuld </w:t>
      </w:r>
      <w:r w:rsidRPr="00966FDE" w:rsidR="00966FDE">
        <w:t xml:space="preserve">op </w:t>
      </w:r>
      <w:r w:rsidR="00966FDE">
        <w:t>‘voldoende’</w:t>
      </w:r>
      <w:r w:rsidRPr="00966FDE" w:rsidR="00966FDE">
        <w:t xml:space="preserve"> afstand van de sloot</w:t>
      </w:r>
      <w:r w:rsidR="00966FDE">
        <w:t xml:space="preserve">. </w:t>
      </w:r>
      <w:r w:rsidR="009332C9">
        <w:t>Ten tweede kan</w:t>
      </w:r>
      <w:r w:rsidR="00966FDE">
        <w:t xml:space="preserve"> dat een inspecteur niet kan waarnemen of er wordt voldaan aan de norm. Dit geldt voor diverse spuittechnieken</w:t>
      </w:r>
      <w:r w:rsidR="009332C9">
        <w:t>. Z</w:t>
      </w:r>
      <w:r w:rsidR="00966FDE">
        <w:t xml:space="preserve">o kan </w:t>
      </w:r>
      <w:r w:rsidR="009332C9">
        <w:t xml:space="preserve">bijvoorbeeld </w:t>
      </w:r>
      <w:r w:rsidR="00966FDE">
        <w:t xml:space="preserve">een inspecteur niet of moeilijk waarnemen of </w:t>
      </w:r>
      <w:r w:rsidR="008822A4">
        <w:t xml:space="preserve">de teler tijdens het spuiten gebruik maakt van een </w:t>
      </w:r>
      <w:proofErr w:type="spellStart"/>
      <w:r w:rsidR="008822A4">
        <w:t>kantdop</w:t>
      </w:r>
      <w:proofErr w:type="spellEnd"/>
      <w:r w:rsidR="008822A4">
        <w:t xml:space="preserve"> (dat is</w:t>
      </w:r>
      <w:r w:rsidRPr="008822A4" w:rsidR="008822A4">
        <w:t xml:space="preserve"> een spuitdop op een landbouwspuit</w:t>
      </w:r>
      <w:r w:rsidR="008822A4">
        <w:t xml:space="preserve"> </w:t>
      </w:r>
      <w:r w:rsidRPr="008822A4" w:rsidR="008822A4">
        <w:t>die</w:t>
      </w:r>
      <w:r w:rsidR="008822A4">
        <w:t xml:space="preserve"> er voor zorgt</w:t>
      </w:r>
      <w:r w:rsidRPr="008822A4" w:rsidR="008822A4">
        <w:t xml:space="preserve"> dat de spuitvloeistof strak langs de rand van het gewas of perceel naar beneden wordt gericht, zodat er niets naast het land of in omliggende sloten waait.</w:t>
      </w:r>
    </w:p>
    <w:p w:rsidR="00161838" w:rsidP="00C26D93" w:rsidRDefault="00161838" w14:paraId="37EAF27C" w14:textId="77777777"/>
    <w:p w:rsidRPr="000D53EB" w:rsidR="00CF6A53" w:rsidP="00C26D93" w:rsidRDefault="00CF6A53" w14:paraId="324A432B" w14:textId="77777777">
      <w:pPr>
        <w:rPr>
          <w:i/>
          <w:iCs/>
        </w:rPr>
      </w:pPr>
      <w:r w:rsidRPr="000D53EB">
        <w:rPr>
          <w:i/>
          <w:iCs/>
        </w:rPr>
        <w:t xml:space="preserve">Vraag </w:t>
      </w:r>
      <w:r w:rsidRPr="000D53EB" w:rsidR="00C26D93">
        <w:rPr>
          <w:i/>
          <w:iCs/>
        </w:rPr>
        <w:t>13</w:t>
      </w:r>
    </w:p>
    <w:p w:rsidRPr="00712B8B" w:rsidR="00C26D93" w:rsidP="00C26D93" w:rsidRDefault="00C26D93" w14:paraId="30ED4F2F" w14:textId="4D8F8CF4">
      <w:pPr>
        <w:rPr>
          <w:i/>
          <w:iCs/>
        </w:rPr>
      </w:pPr>
      <w:r w:rsidRPr="00712B8B">
        <w:rPr>
          <w:i/>
          <w:iCs/>
        </w:rPr>
        <w:t>Hoe beoordeelt u de risico's van normen zoals “voldoende afstand tot water” voor effectieve handhaving?</w:t>
      </w:r>
    </w:p>
    <w:p w:rsidR="00712B8B" w:rsidP="00C26D93" w:rsidRDefault="00712B8B" w14:paraId="2957E665" w14:textId="7E3C32D7"/>
    <w:p w:rsidR="007F1C75" w:rsidP="00C26D93" w:rsidRDefault="00742942" w14:paraId="0CB5A5DE" w14:textId="77865DC1">
      <w:r>
        <w:t>Deze regel kan niet of</w:t>
      </w:r>
      <w:r w:rsidR="007F1C75">
        <w:t xml:space="preserve"> moeilijk gehandhaafd worden</w:t>
      </w:r>
      <w:r w:rsidR="00C65D66">
        <w:t xml:space="preserve"> omdat dit een open norm is</w:t>
      </w:r>
      <w:r w:rsidR="007F1C75">
        <w:t>. Dit brengt vooral risico’s met zich mee voor de waterkwaliteit. Wij hebben niet onderzocht hoe groot de kans is dat dit risico optreedt.</w:t>
      </w:r>
    </w:p>
    <w:p w:rsidR="00712B8B" w:rsidP="00C26D93" w:rsidRDefault="00712B8B" w14:paraId="2A123F4F" w14:textId="77777777"/>
    <w:p w:rsidRPr="000D53EB" w:rsidR="00884AC1" w:rsidP="00C26D93" w:rsidRDefault="00884AC1" w14:paraId="299098ED" w14:textId="77777777">
      <w:pPr>
        <w:rPr>
          <w:i/>
          <w:iCs/>
        </w:rPr>
      </w:pPr>
      <w:r w:rsidRPr="000D53EB">
        <w:rPr>
          <w:i/>
          <w:iCs/>
        </w:rPr>
        <w:t xml:space="preserve">Vraag </w:t>
      </w:r>
      <w:r w:rsidRPr="000D53EB" w:rsidR="00C26D93">
        <w:rPr>
          <w:i/>
          <w:iCs/>
        </w:rPr>
        <w:t>14</w:t>
      </w:r>
    </w:p>
    <w:p w:rsidRPr="00712B8B" w:rsidR="00C26D93" w:rsidP="00C26D93" w:rsidRDefault="00C26D93" w14:paraId="1B037FF0" w14:textId="2144DD04">
      <w:pPr>
        <w:rPr>
          <w:i/>
          <w:iCs/>
        </w:rPr>
      </w:pPr>
      <w:r w:rsidRPr="00712B8B">
        <w:rPr>
          <w:i/>
          <w:iCs/>
        </w:rPr>
        <w:t>Hoe verschilt de naleving van de gewasbeschermingsregels per sector en wat is de verklaring daarvoor?</w:t>
      </w:r>
    </w:p>
    <w:p w:rsidR="00884AC1" w:rsidP="00C26D93" w:rsidRDefault="00884AC1" w14:paraId="1AC68418" w14:textId="77777777"/>
    <w:p w:rsidR="00712B8B" w:rsidP="00C26D93" w:rsidRDefault="00B417DC" w14:paraId="129C16AC" w14:textId="78C7A6ED">
      <w:r>
        <w:lastRenderedPageBreak/>
        <w:t>Het onderzoek van de Algemene Rekenkamer beperkt zich tot het gebruik van gewasbeschermingsmiddelen bij open teelten. Wij kunnen de resultaten niet vergelijken met bijvoorbeeld de risico’s in de glastuinbouw.</w:t>
      </w:r>
      <w:r w:rsidR="00DD10A1">
        <w:t xml:space="preserve"> </w:t>
      </w:r>
      <w:r w:rsidR="00CD3926">
        <w:t>Informatie van de NVWA laat zien dat er b</w:t>
      </w:r>
      <w:r w:rsidR="00DD10A1">
        <w:t>innen de open teelten verschillen</w:t>
      </w:r>
      <w:r w:rsidR="00CD3926">
        <w:t xml:space="preserve"> zijn in de naleving van de regels</w:t>
      </w:r>
      <w:r w:rsidR="00742942">
        <w:t>. O</w:t>
      </w:r>
      <w:r w:rsidR="0012012D">
        <w:t>ns onderzoek had geen betrekking op (het verklaren van) deze verschillen.</w:t>
      </w:r>
    </w:p>
    <w:p w:rsidR="00712B8B" w:rsidP="00C26D93" w:rsidRDefault="00712B8B" w14:paraId="73D288AC" w14:textId="77777777"/>
    <w:p w:rsidRPr="000D53EB" w:rsidR="00884AC1" w:rsidP="00C26D93" w:rsidRDefault="00884AC1" w14:paraId="29A5C91F" w14:textId="77777777">
      <w:pPr>
        <w:rPr>
          <w:i/>
          <w:iCs/>
        </w:rPr>
      </w:pPr>
      <w:r w:rsidRPr="000D53EB">
        <w:rPr>
          <w:i/>
          <w:iCs/>
        </w:rPr>
        <w:t xml:space="preserve">Vraag </w:t>
      </w:r>
      <w:r w:rsidRPr="000D53EB" w:rsidR="00C26D93">
        <w:rPr>
          <w:i/>
          <w:iCs/>
        </w:rPr>
        <w:t>15</w:t>
      </w:r>
    </w:p>
    <w:p w:rsidRPr="00454F3F" w:rsidR="00C26D93" w:rsidP="00C26D93" w:rsidRDefault="00C26D93" w14:paraId="704FE710" w14:textId="398D63B1">
      <w:pPr>
        <w:rPr>
          <w:i/>
          <w:iCs/>
        </w:rPr>
      </w:pPr>
      <w:r w:rsidRPr="00454F3F">
        <w:rPr>
          <w:i/>
          <w:iCs/>
        </w:rPr>
        <w:t>Kunt u toelichten op basis van welke gegevens is geconcludeerd dat het aandeel natuur onder de kritische depositiewaarde (KDW) in 2035 naar schatting op ongeveer 40 tot 45 procent blijft steken, zelfs als de emissiereductiedoelen voor de landbouw, industrie en mobiliteit volledig worden behaald?</w:t>
      </w:r>
    </w:p>
    <w:p w:rsidR="00454F3F" w:rsidP="00C62A1E" w:rsidRDefault="00454F3F" w14:paraId="104F2D8E" w14:textId="77777777"/>
    <w:p w:rsidR="00C62A1E" w:rsidP="00C62A1E" w:rsidRDefault="00F44A5B" w14:paraId="16C11CCF" w14:textId="5043B777">
      <w:bookmarkStart w:name="_Hlk231486716" w:id="0"/>
      <w:r>
        <w:t>We hebben een analyse uitgevoerd naar de s</w:t>
      </w:r>
      <w:r w:rsidRPr="00F44A5B">
        <w:t xml:space="preserve">tikstofaanpak </w:t>
      </w:r>
      <w:r>
        <w:t xml:space="preserve">van het </w:t>
      </w:r>
      <w:r w:rsidRPr="00F44A5B">
        <w:t>kabinet-Schoof</w:t>
      </w:r>
      <w:r>
        <w:t xml:space="preserve">. </w:t>
      </w:r>
      <w:r w:rsidR="001B4EE4">
        <w:t>De schatting van het aandeel natuur onder de kritische depositiewaarde is gebaseerd op de analyse</w:t>
      </w:r>
      <w:r w:rsidR="00C62A1E">
        <w:t xml:space="preserve"> van het kennisconsortium bestaande uit het PBL, RIVM, </w:t>
      </w:r>
      <w:proofErr w:type="spellStart"/>
      <w:r w:rsidR="00C62A1E">
        <w:t>Deltares</w:t>
      </w:r>
      <w:proofErr w:type="spellEnd"/>
      <w:r w:rsidR="00C62A1E">
        <w:t xml:space="preserve"> en de WUR. </w:t>
      </w:r>
      <w:bookmarkEnd w:id="0"/>
      <w:r w:rsidRPr="00C62A1E" w:rsidR="005A6222">
        <w:t>PBL (2025)</w:t>
      </w:r>
      <w:r w:rsidR="005A6222">
        <w:t>,</w:t>
      </w:r>
      <w:r w:rsidRPr="00C62A1E" w:rsidR="005A6222">
        <w:t xml:space="preserve"> Reflectie op MCEN-maatregelenpakket spoor 2</w:t>
      </w:r>
      <w:r w:rsidR="005A6222">
        <w:t xml:space="preserve">, publicatienummer 5923. </w:t>
      </w:r>
      <w:r w:rsidR="000157CF">
        <w:t>Voor meer informatie verwijzen wij u naar ons rapport.</w:t>
      </w:r>
    </w:p>
    <w:p w:rsidR="00C62A1E" w:rsidP="00C26D93" w:rsidRDefault="00C62A1E" w14:paraId="4BE2A42A" w14:textId="77777777"/>
    <w:p w:rsidRPr="000D53EB" w:rsidR="00884AC1" w:rsidP="00C26D93" w:rsidRDefault="00884AC1" w14:paraId="2E7CEA52" w14:textId="77777777">
      <w:pPr>
        <w:rPr>
          <w:i/>
          <w:iCs/>
        </w:rPr>
      </w:pPr>
      <w:r w:rsidRPr="000D53EB">
        <w:rPr>
          <w:i/>
          <w:iCs/>
        </w:rPr>
        <w:t xml:space="preserve">Vraag </w:t>
      </w:r>
      <w:r w:rsidRPr="000D53EB" w:rsidR="00C26D93">
        <w:rPr>
          <w:i/>
          <w:iCs/>
        </w:rPr>
        <w:t>16</w:t>
      </w:r>
    </w:p>
    <w:p w:rsidRPr="00454F3F" w:rsidR="00C26D93" w:rsidP="00C26D93" w:rsidRDefault="00C26D93" w14:paraId="44603897" w14:textId="792D83A4">
      <w:pPr>
        <w:rPr>
          <w:i/>
          <w:iCs/>
        </w:rPr>
      </w:pPr>
      <w:r w:rsidRPr="00454F3F">
        <w:rPr>
          <w:i/>
          <w:iCs/>
        </w:rPr>
        <w:t>In welke mate is zonering meegenomen in de beoordeling van de stikstofaanpak?</w:t>
      </w:r>
    </w:p>
    <w:p w:rsidRPr="00454F3F" w:rsidR="00884AC1" w:rsidP="00C26D93" w:rsidRDefault="00884AC1" w14:paraId="7755BA02" w14:textId="77777777"/>
    <w:p w:rsidR="00884AC1" w:rsidP="00C26D93" w:rsidRDefault="00C62A1E" w14:paraId="551EA599" w14:textId="52C062C1">
      <w:r w:rsidRPr="00C62A1E">
        <w:t>Voor de beantwoording van deze vraag verwijzen we graag naar de analyse van het kennisconsortium</w:t>
      </w:r>
      <w:r w:rsidR="004B7083">
        <w:t>:</w:t>
      </w:r>
      <w:r w:rsidRPr="00C62A1E">
        <w:t xml:space="preserve"> PBL (2025)</w:t>
      </w:r>
      <w:r w:rsidR="004B7083">
        <w:t>,</w:t>
      </w:r>
      <w:r w:rsidRPr="00C62A1E">
        <w:t xml:space="preserve"> Reflectie op MCEN-maatregelenpakket spoor 2</w:t>
      </w:r>
      <w:r w:rsidR="00312035">
        <w:t>, publicatienummer 5923.</w:t>
      </w:r>
      <w:r w:rsidRPr="00C62A1E">
        <w:t xml:space="preserve">. </w:t>
      </w:r>
    </w:p>
    <w:p w:rsidR="00C62A1E" w:rsidP="00C26D93" w:rsidRDefault="00C62A1E" w14:paraId="2842287F" w14:textId="77777777"/>
    <w:p w:rsidRPr="000D53EB" w:rsidR="00884AC1" w:rsidP="00C26D93" w:rsidRDefault="00884AC1" w14:paraId="6C465414" w14:textId="77777777">
      <w:pPr>
        <w:rPr>
          <w:i/>
          <w:iCs/>
        </w:rPr>
      </w:pPr>
      <w:r w:rsidRPr="000D53EB">
        <w:rPr>
          <w:i/>
          <w:iCs/>
        </w:rPr>
        <w:t xml:space="preserve">Vraag </w:t>
      </w:r>
      <w:r w:rsidRPr="000D53EB" w:rsidR="00C26D93">
        <w:rPr>
          <w:i/>
          <w:iCs/>
        </w:rPr>
        <w:t>17</w:t>
      </w:r>
    </w:p>
    <w:p w:rsidRPr="00884AC1" w:rsidR="00C26D93" w:rsidP="00913911" w:rsidRDefault="00C26D93" w14:paraId="0FB21435" w14:textId="1625ACC2">
      <w:pPr>
        <w:rPr>
          <w:i/>
          <w:iCs/>
        </w:rPr>
      </w:pPr>
      <w:r w:rsidRPr="00884AC1">
        <w:rPr>
          <w:i/>
          <w:iCs/>
        </w:rPr>
        <w:t>Hoe wordt de effectiviteit van de verplichte spuitlicentie (bewijs van vakbekwaamheid) gemeten en in hoeverre draagt deze aantoonbaar bij aan betere naleving van de regels?</w:t>
      </w:r>
    </w:p>
    <w:p w:rsidR="00884AC1" w:rsidP="00913911" w:rsidRDefault="00884AC1" w14:paraId="34BBB8D9" w14:textId="77777777"/>
    <w:p w:rsidR="007F6F70" w:rsidP="00AC08DB" w:rsidRDefault="00A370A3" w14:paraId="13BE2B14" w14:textId="679BF49D">
      <w:r>
        <w:t>Het is aannemelijk</w:t>
      </w:r>
      <w:r w:rsidR="00AC08DB">
        <w:t xml:space="preserve"> dat </w:t>
      </w:r>
      <w:r w:rsidRPr="00AC08DB" w:rsidR="00AC08DB">
        <w:t>de risico’s van gewasbeschermingsmiddelen kunnen worden beperkt door goede regelgeving voor h</w:t>
      </w:r>
      <w:r w:rsidR="00A746BD">
        <w:t>un</w:t>
      </w:r>
      <w:r w:rsidRPr="00AC08DB" w:rsidR="00AC08DB">
        <w:t xml:space="preserve"> gebruik</w:t>
      </w:r>
      <w:r w:rsidR="00A746BD">
        <w:t xml:space="preserve"> </w:t>
      </w:r>
      <w:r w:rsidRPr="00AC08DB" w:rsidR="00AC08DB">
        <w:t>en door het naleven van die regels.</w:t>
      </w:r>
      <w:r w:rsidR="00AC08DB">
        <w:t xml:space="preserve"> In dit onderzoek hebben wij niet gekeken naar de </w:t>
      </w:r>
      <w:r>
        <w:t>doeltreffendheid</w:t>
      </w:r>
      <w:r w:rsidR="00AC08DB">
        <w:t xml:space="preserve"> van het bewijs van vakbekwaamheid</w:t>
      </w:r>
      <w:r w:rsidR="00C15896">
        <w:t>, v</w:t>
      </w:r>
      <w:r w:rsidRPr="004B7083" w:rsidR="004B7083">
        <w:t xml:space="preserve">oor de vraag </w:t>
      </w:r>
      <w:r w:rsidR="00C15896">
        <w:t xml:space="preserve">over de effectiviteit ervan </w:t>
      </w:r>
      <w:r w:rsidRPr="004B7083" w:rsidR="004B7083">
        <w:t>verwijzen wij u naar de minister van LVVN.</w:t>
      </w:r>
    </w:p>
    <w:p w:rsidR="00F10639" w:rsidP="00AC08DB" w:rsidRDefault="00F10639" w14:paraId="67F27EE3" w14:textId="77777777"/>
    <w:sectPr w:rsidR="00F10639">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398F1" w14:textId="77777777" w:rsidR="007D489B" w:rsidRDefault="007D489B">
      <w:pPr>
        <w:spacing w:line="240" w:lineRule="auto"/>
      </w:pPr>
      <w:r>
        <w:separator/>
      </w:r>
    </w:p>
  </w:endnote>
  <w:endnote w:type="continuationSeparator" w:id="0">
    <w:p w14:paraId="39D6B043" w14:textId="77777777" w:rsidR="007D489B" w:rsidRDefault="007D48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D8423" w14:textId="77777777" w:rsidR="00D65F53" w:rsidRDefault="00D65F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3031D" w14:textId="77777777" w:rsidR="00D65F53" w:rsidRDefault="00D65F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33588" w14:textId="77777777" w:rsidR="007D489B" w:rsidRDefault="007D489B">
      <w:pPr>
        <w:spacing w:line="240" w:lineRule="auto"/>
      </w:pPr>
      <w:r>
        <w:separator/>
      </w:r>
    </w:p>
  </w:footnote>
  <w:footnote w:type="continuationSeparator" w:id="0">
    <w:p w14:paraId="5A09D21F" w14:textId="77777777" w:rsidR="007D489B" w:rsidRDefault="007D48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513C1" w14:textId="77777777" w:rsidR="00D65F53" w:rsidRDefault="00D65F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" filled="f" stroked="f">
              <v:textbox inset="0,0,0,0">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39032FEB"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4AA1928F" w14:textId="39032FEB"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proofErr w:type="gramStart"/>
                    <w:r>
                      <w:t>voorlichting@rekenkamer.nl</w:t>
                    </w:r>
                    <w:proofErr w:type="gramEnd"/>
                  </w:p>
                  <w:p w14:paraId="666148F8" w14:textId="77777777" w:rsidR="00FA0AAB" w:rsidRDefault="00461D43">
                    <w:pPr>
                      <w:pStyle w:val="Afzendergegevensurl"/>
                    </w:pPr>
                    <w:proofErr w:type="gramStart"/>
                    <w:r>
                      <w:t>www.rekenkamer.nl</w:t>
                    </w:r>
                    <w:proofErr w:type="gram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01C14648" w:rsidR="00FA0AAB" w:rsidRDefault="00461D43" w:rsidP="006A1EE0">
                                <w:bookmarkStart w:id="1" w:name="_Hlk231895219"/>
                                <w:r>
                                  <w:t xml:space="preserve">Beantwoording vragen Tweede Kamer over </w:t>
                                </w:r>
                                <w:r w:rsidR="00213600">
                                  <w:t>het V</w:t>
                                </w:r>
                                <w:r>
                                  <w:t>erantwoordingsonderzoek 202</w:t>
                                </w:r>
                                <w:r w:rsidR="00A373E4">
                                  <w:t>5</w:t>
                                </w:r>
                                <w:r w:rsidR="0074798C">
                                  <w:t xml:space="preserve"> bij het </w:t>
                                </w:r>
                                <w:r w:rsidR="007F6F70">
                                  <w:t>m</w:t>
                                </w:r>
                                <w:r>
                                  <w:t xml:space="preserve">inisterie van </w:t>
                                </w:r>
                                <w:r w:rsidR="00AC6D9B" w:rsidRPr="00AC6D9B">
                                  <w:t xml:space="preserve"> Landbouw, Visserij, Voedselzekerheid en Natuur</w:t>
                                </w:r>
                                <w:bookmarkEnd w:id="1"/>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01C14648" w:rsidR="00FA0AAB" w:rsidRDefault="00461D43" w:rsidP="006A1EE0">
                          <w:bookmarkStart w:id="2" w:name="_Hlk231895219"/>
                          <w:r>
                            <w:t xml:space="preserve">Beantwoording vragen Tweede Kamer over </w:t>
                          </w:r>
                          <w:r w:rsidR="00213600">
                            <w:t>het V</w:t>
                          </w:r>
                          <w:r>
                            <w:t>erantwoordingsonderzoek 202</w:t>
                          </w:r>
                          <w:r w:rsidR="00A373E4">
                            <w:t>5</w:t>
                          </w:r>
                          <w:r w:rsidR="0074798C">
                            <w:t xml:space="preserve"> bij het </w:t>
                          </w:r>
                          <w:r w:rsidR="007F6F70">
                            <w:t>m</w:t>
                          </w:r>
                          <w:r>
                            <w:t xml:space="preserve">inisterie van </w:t>
                          </w:r>
                          <w:r w:rsidR="00AC6D9B" w:rsidRPr="00AC6D9B">
                            <w:t xml:space="preserve"> Landbouw, Visserij, Voedselzekerheid en Natuur</w:t>
                          </w:r>
                          <w:bookmarkEnd w:id="2"/>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" filled="f" stroked="f">
              <v:textbox inset="0,0,0,0">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409897C5" w:rsidR="00FA0AAB" w:rsidRDefault="00D65F53">
                                <w:r w:rsidRPr="00D65F53">
                                  <w:t>166278</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35186C91"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409897C5" w:rsidR="00FA0AAB" w:rsidRDefault="00D65F53">
                          <w:r w:rsidRPr="00D65F53">
                            <w:t>166278</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35186C91"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proofErr w:type="gramStart"/>
                    <w:r w:rsidRPr="003D13F3">
                      <w:t>der</w:t>
                    </w:r>
                    <w:proofErr w:type="gramEnd"/>
                    <w:r w:rsidRPr="003D13F3">
                      <w:t xml:space="preserve">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CKXoTWlAEAABUD&#10;AAAOAAAAAAAAAAAAAAAAAC4CAABkcnMvZTJvRG9jLnhtbFBLAQItABQABgAIAAAAIQBauNAO4gAA&#10;AA8BAAAPAAAAAAAAAAAAAAAAAO4DAABkcnMvZG93bnJldi54bWxQSwUGAAAAAAQABADzAAAA/QQA&#10;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64522087">
    <w:abstractNumId w:val="4"/>
  </w:num>
  <w:num w:numId="2" w16cid:durableId="8023122">
    <w:abstractNumId w:val="3"/>
  </w:num>
  <w:num w:numId="3" w16cid:durableId="804658274">
    <w:abstractNumId w:val="1"/>
  </w:num>
  <w:num w:numId="4" w16cid:durableId="1376469884">
    <w:abstractNumId w:val="0"/>
  </w:num>
  <w:num w:numId="5" w16cid:durableId="192533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12DBD"/>
    <w:rsid w:val="000157CF"/>
    <w:rsid w:val="00026284"/>
    <w:rsid w:val="00032C34"/>
    <w:rsid w:val="000369B0"/>
    <w:rsid w:val="00036C4F"/>
    <w:rsid w:val="000402A1"/>
    <w:rsid w:val="00042840"/>
    <w:rsid w:val="000621B9"/>
    <w:rsid w:val="00065C1D"/>
    <w:rsid w:val="00072A19"/>
    <w:rsid w:val="000809DF"/>
    <w:rsid w:val="000862A7"/>
    <w:rsid w:val="000A34E2"/>
    <w:rsid w:val="000C1ED5"/>
    <w:rsid w:val="000D53EB"/>
    <w:rsid w:val="000E1862"/>
    <w:rsid w:val="000F73F0"/>
    <w:rsid w:val="00115BD8"/>
    <w:rsid w:val="001164DB"/>
    <w:rsid w:val="0012012D"/>
    <w:rsid w:val="001270EF"/>
    <w:rsid w:val="00137AB7"/>
    <w:rsid w:val="00141E62"/>
    <w:rsid w:val="00144E79"/>
    <w:rsid w:val="00161838"/>
    <w:rsid w:val="00174401"/>
    <w:rsid w:val="001A742A"/>
    <w:rsid w:val="001B4EE4"/>
    <w:rsid w:val="00212F5C"/>
    <w:rsid w:val="00213600"/>
    <w:rsid w:val="002275F3"/>
    <w:rsid w:val="00266052"/>
    <w:rsid w:val="00295FEB"/>
    <w:rsid w:val="002A056E"/>
    <w:rsid w:val="002A56A7"/>
    <w:rsid w:val="002B09B7"/>
    <w:rsid w:val="002C439F"/>
    <w:rsid w:val="002D6E62"/>
    <w:rsid w:val="0030146E"/>
    <w:rsid w:val="003049B3"/>
    <w:rsid w:val="00312035"/>
    <w:rsid w:val="003217E3"/>
    <w:rsid w:val="003453AB"/>
    <w:rsid w:val="00351224"/>
    <w:rsid w:val="003720AA"/>
    <w:rsid w:val="003C3288"/>
    <w:rsid w:val="003C6D10"/>
    <w:rsid w:val="003D13F3"/>
    <w:rsid w:val="003D4180"/>
    <w:rsid w:val="00411E71"/>
    <w:rsid w:val="00444A29"/>
    <w:rsid w:val="0045258E"/>
    <w:rsid w:val="00454F3F"/>
    <w:rsid w:val="00461415"/>
    <w:rsid w:val="00461D43"/>
    <w:rsid w:val="004717BD"/>
    <w:rsid w:val="0047230C"/>
    <w:rsid w:val="00490BF8"/>
    <w:rsid w:val="00493A3C"/>
    <w:rsid w:val="004A7319"/>
    <w:rsid w:val="004B7083"/>
    <w:rsid w:val="004C32B2"/>
    <w:rsid w:val="004E5657"/>
    <w:rsid w:val="005047AA"/>
    <w:rsid w:val="00564A0F"/>
    <w:rsid w:val="0057718A"/>
    <w:rsid w:val="005A235D"/>
    <w:rsid w:val="005A6222"/>
    <w:rsid w:val="005A7C81"/>
    <w:rsid w:val="005D0A0B"/>
    <w:rsid w:val="005D7FF5"/>
    <w:rsid w:val="005F598B"/>
    <w:rsid w:val="0062114F"/>
    <w:rsid w:val="00621581"/>
    <w:rsid w:val="00625A99"/>
    <w:rsid w:val="00655711"/>
    <w:rsid w:val="006617B8"/>
    <w:rsid w:val="006A1EE0"/>
    <w:rsid w:val="006A6CDA"/>
    <w:rsid w:val="006C26E6"/>
    <w:rsid w:val="006E6486"/>
    <w:rsid w:val="00712B8B"/>
    <w:rsid w:val="00721271"/>
    <w:rsid w:val="00723092"/>
    <w:rsid w:val="00742942"/>
    <w:rsid w:val="00746B98"/>
    <w:rsid w:val="0074798C"/>
    <w:rsid w:val="0075337A"/>
    <w:rsid w:val="00761BF9"/>
    <w:rsid w:val="00796902"/>
    <w:rsid w:val="007C0E04"/>
    <w:rsid w:val="007C1A63"/>
    <w:rsid w:val="007D489B"/>
    <w:rsid w:val="007D7D0D"/>
    <w:rsid w:val="007F1C75"/>
    <w:rsid w:val="007F6F70"/>
    <w:rsid w:val="007F75DF"/>
    <w:rsid w:val="008226D0"/>
    <w:rsid w:val="00823D98"/>
    <w:rsid w:val="008420B0"/>
    <w:rsid w:val="0085448C"/>
    <w:rsid w:val="008737FB"/>
    <w:rsid w:val="00877AB2"/>
    <w:rsid w:val="008822A4"/>
    <w:rsid w:val="00884AC1"/>
    <w:rsid w:val="008B080B"/>
    <w:rsid w:val="008B253C"/>
    <w:rsid w:val="008C109B"/>
    <w:rsid w:val="008C1685"/>
    <w:rsid w:val="008C5EEA"/>
    <w:rsid w:val="008D2FDF"/>
    <w:rsid w:val="008D32D7"/>
    <w:rsid w:val="008D3A38"/>
    <w:rsid w:val="008F5DAA"/>
    <w:rsid w:val="00906A5E"/>
    <w:rsid w:val="009104A3"/>
    <w:rsid w:val="00913911"/>
    <w:rsid w:val="00916077"/>
    <w:rsid w:val="00921F62"/>
    <w:rsid w:val="009332C9"/>
    <w:rsid w:val="0094466B"/>
    <w:rsid w:val="009467BA"/>
    <w:rsid w:val="00966FDE"/>
    <w:rsid w:val="00982160"/>
    <w:rsid w:val="009E2D42"/>
    <w:rsid w:val="009E4FF3"/>
    <w:rsid w:val="00A04AB1"/>
    <w:rsid w:val="00A16450"/>
    <w:rsid w:val="00A20C49"/>
    <w:rsid w:val="00A26B8C"/>
    <w:rsid w:val="00A319FA"/>
    <w:rsid w:val="00A35DC7"/>
    <w:rsid w:val="00A370A3"/>
    <w:rsid w:val="00A373E4"/>
    <w:rsid w:val="00A4514E"/>
    <w:rsid w:val="00A74072"/>
    <w:rsid w:val="00A746BD"/>
    <w:rsid w:val="00A83853"/>
    <w:rsid w:val="00A85803"/>
    <w:rsid w:val="00AB005D"/>
    <w:rsid w:val="00AB41DC"/>
    <w:rsid w:val="00AB4D93"/>
    <w:rsid w:val="00AC08DB"/>
    <w:rsid w:val="00AC6D9B"/>
    <w:rsid w:val="00B111EB"/>
    <w:rsid w:val="00B417DC"/>
    <w:rsid w:val="00B47673"/>
    <w:rsid w:val="00B72D5A"/>
    <w:rsid w:val="00B951A5"/>
    <w:rsid w:val="00BC24CD"/>
    <w:rsid w:val="00C0484E"/>
    <w:rsid w:val="00C15896"/>
    <w:rsid w:val="00C26D93"/>
    <w:rsid w:val="00C33921"/>
    <w:rsid w:val="00C52533"/>
    <w:rsid w:val="00C62A1E"/>
    <w:rsid w:val="00C65D66"/>
    <w:rsid w:val="00CB363A"/>
    <w:rsid w:val="00CB6CCD"/>
    <w:rsid w:val="00CC1A37"/>
    <w:rsid w:val="00CC23B8"/>
    <w:rsid w:val="00CD3926"/>
    <w:rsid w:val="00CE67BF"/>
    <w:rsid w:val="00CF6A53"/>
    <w:rsid w:val="00D06491"/>
    <w:rsid w:val="00D07FBC"/>
    <w:rsid w:val="00D20F0F"/>
    <w:rsid w:val="00D37441"/>
    <w:rsid w:val="00D63E07"/>
    <w:rsid w:val="00D65F53"/>
    <w:rsid w:val="00D866A2"/>
    <w:rsid w:val="00DA4D9A"/>
    <w:rsid w:val="00DC2FEB"/>
    <w:rsid w:val="00DC77DA"/>
    <w:rsid w:val="00DD10A1"/>
    <w:rsid w:val="00DD14CF"/>
    <w:rsid w:val="00DD7B70"/>
    <w:rsid w:val="00E435B8"/>
    <w:rsid w:val="00E64073"/>
    <w:rsid w:val="00E77E30"/>
    <w:rsid w:val="00EB0FF4"/>
    <w:rsid w:val="00ED194B"/>
    <w:rsid w:val="00ED55CC"/>
    <w:rsid w:val="00ED7086"/>
    <w:rsid w:val="00EE52AA"/>
    <w:rsid w:val="00F10639"/>
    <w:rsid w:val="00F25CC0"/>
    <w:rsid w:val="00F429C2"/>
    <w:rsid w:val="00F44A5B"/>
    <w:rsid w:val="00F6145F"/>
    <w:rsid w:val="00F85990"/>
    <w:rsid w:val="00FA0AAB"/>
    <w:rsid w:val="00FB1E26"/>
    <w:rsid w:val="00FC1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94A3"/>
  <w15:docId w15:val="{0E0E4260-3B8B-4B7D-94B6-627D2B50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Revisie">
    <w:name w:val="Revision"/>
    <w:hidden/>
    <w:uiPriority w:val="99"/>
    <w:semiHidden/>
    <w:rsid w:val="006C26E6"/>
    <w:pPr>
      <w:autoSpaceDN/>
      <w:textAlignment w:val="auto"/>
    </w:pPr>
    <w:rPr>
      <w:rFonts w:ascii="Roboto" w:hAnsi="Roboto"/>
      <w:color w:val="000000"/>
    </w:rPr>
  </w:style>
  <w:style w:type="paragraph" w:styleId="Voetnoottekst">
    <w:name w:val="footnote text"/>
    <w:basedOn w:val="Standaard"/>
    <w:link w:val="VoetnoottekstChar"/>
    <w:uiPriority w:val="99"/>
    <w:unhideWhenUsed/>
    <w:rsid w:val="00012DBD"/>
    <w:pPr>
      <w:spacing w:line="240" w:lineRule="auto"/>
    </w:pPr>
    <w:rPr>
      <w:rFonts w:ascii="Calibri" w:hAnsi="Calibri"/>
    </w:rPr>
  </w:style>
  <w:style w:type="character" w:customStyle="1" w:styleId="VoetnoottekstChar">
    <w:name w:val="Voetnoottekst Char"/>
    <w:basedOn w:val="Standaardalinea-lettertype"/>
    <w:link w:val="Voetnoottekst"/>
    <w:uiPriority w:val="99"/>
    <w:rsid w:val="00012DBD"/>
    <w:rPr>
      <w:rFonts w:ascii="Calibri" w:hAnsi="Calibri"/>
      <w:color w:val="000000"/>
    </w:rPr>
  </w:style>
  <w:style w:type="character" w:styleId="Voetnootmarkering">
    <w:name w:val="footnote reference"/>
    <w:basedOn w:val="Standaardalinea-lettertype"/>
    <w:uiPriority w:val="99"/>
    <w:unhideWhenUsed/>
    <w:rsid w:val="00012DBD"/>
    <w:rPr>
      <w:vertAlign w:val="superscript"/>
    </w:rPr>
  </w:style>
  <w:style w:type="table" w:styleId="Tabelraster">
    <w:name w:val="Table Grid"/>
    <w:basedOn w:val="Standaardtabel"/>
    <w:uiPriority w:val="39"/>
    <w:rsid w:val="0066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38564">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 w:id="2115594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1441</ap:Words>
  <ap:Characters>7926</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de Tweede Kamer, dd 9 juni 2026, kenmerk 166278</vt:lpstr>
    </vt:vector>
  </ap:TitlesOfParts>
  <ap:LinksUpToDate>false</ap:LinksUpToDate>
  <ap:CharactersWithSpaces>9349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2026-06-09T08:59:00.0000000Z</lastPrinted>
  <dcterms:created xsi:type="dcterms:W3CDTF">2026-06-09T08:59:00.0000000Z</dcterms:created>
  <dcterms:modified xsi:type="dcterms:W3CDTF">2026-06-09T09:20:00.0000000Z</dcterms:modified>
  <dc:description>------------------------</dc:description>
  <dc:subject/>
  <keywords/>
  <version/>
  <category/>
</coreProperties>
</file>