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443" w:rsidP="5BBBC5D1" w:rsidRDefault="001856D0" w14:paraId="00006E9D" w14:textId="77777777">
      <w:pPr>
        <w:autoSpaceDE w:val="0"/>
        <w:autoSpaceDN w:val="0"/>
        <w:adjustRightInd w:val="0"/>
        <w:spacing w:before="0" w:after="0"/>
        <w:ind w:left="1416" w:hanging="1371"/>
        <w:rPr>
          <w:b/>
          <w:bCs/>
          <w:sz w:val="23"/>
          <w:szCs w:val="23"/>
        </w:rPr>
      </w:pPr>
      <w:r>
        <w:rPr>
          <w:b/>
          <w:bCs/>
          <w:sz w:val="23"/>
          <w:szCs w:val="23"/>
        </w:rPr>
        <w:t>36945-V-2</w:t>
      </w:r>
      <w:r>
        <w:rPr>
          <w:b/>
          <w:bCs/>
          <w:sz w:val="23"/>
          <w:szCs w:val="23"/>
        </w:rPr>
        <w:tab/>
        <w:t>Rapport van de Algemene Rekenkamer: Resultaten verantwoordingsonderzoek 2025 bij het Ministerie van Buitenlandse Zaken (vragen aan de minister)</w:t>
      </w:r>
    </w:p>
    <w:p w:rsidR="00955443" w:rsidRDefault="00955443" w14:paraId="2BA04066" w14:textId="77777777">
      <w:pPr>
        <w:autoSpaceDE w:val="0"/>
        <w:autoSpaceDN w:val="0"/>
        <w:adjustRightInd w:val="0"/>
        <w:spacing w:before="0" w:after="0"/>
        <w:ind w:left="1416" w:hanging="1371"/>
        <w:rPr>
          <w:b/>
        </w:rPr>
      </w:pPr>
    </w:p>
    <w:p w:rsidR="00955443" w:rsidP="5BBBC5D1" w:rsidRDefault="001856D0" w14:paraId="3DD347D9" w14:textId="77777777">
      <w:pPr>
        <w:rPr>
          <w:b/>
          <w:bCs/>
        </w:rPr>
      </w:pPr>
      <w:r w:rsidRPr="5BBBC5D1">
        <w:rPr>
          <w:b/>
          <w:bCs/>
        </w:rPr>
        <w:t xml:space="preserve">nr. </w:t>
      </w:r>
      <w:r>
        <w:rPr>
          <w:b/>
        </w:rPr>
        <w:tab/>
      </w:r>
      <w:r>
        <w:rPr>
          <w:b/>
        </w:rPr>
        <w:tab/>
      </w:r>
      <w:r w:rsidRPr="5BBBC5D1">
        <w:rPr>
          <w:b/>
          <w:bCs/>
        </w:rPr>
        <w:t>Lijst van vragen en antwoorden</w:t>
      </w:r>
    </w:p>
    <w:p w:rsidR="00955443" w:rsidRDefault="001856D0" w14:paraId="6D781956" w14:textId="77777777">
      <w:r>
        <w:tab/>
      </w:r>
      <w:r>
        <w:tab/>
      </w:r>
    </w:p>
    <w:p w:rsidR="00955443" w:rsidP="5BBBC5D1" w:rsidRDefault="5BBBC5D1" w14:paraId="3370D95A" w14:textId="77777777">
      <w:pPr>
        <w:ind w:left="702" w:firstLine="708"/>
        <w:rPr>
          <w:i/>
          <w:iCs/>
        </w:rPr>
      </w:pPr>
      <w:r>
        <w:t xml:space="preserve">Vastgesteld </w:t>
      </w:r>
      <w:r w:rsidRPr="5BBBC5D1">
        <w:rPr>
          <w:i/>
          <w:iCs/>
        </w:rPr>
        <w:t>(wordt door griffie ingevuld als antwoorden er zijn)</w:t>
      </w:r>
    </w:p>
    <w:p w:rsidR="00955443" w:rsidRDefault="5BBBC5D1" w14:paraId="0B4F14C2" w14:textId="739B5F84">
      <w:pPr>
        <w:ind w:left="1410"/>
      </w:pPr>
      <w:r>
        <w:t xml:space="preserve">De vaste commissie voor Buitenlandse Zaken heeft een aantal vragen voorgelegd aan de minister van Buitenlandse Zaken over het </w:t>
      </w:r>
      <w:r w:rsidRPr="5BBBC5D1">
        <w:rPr>
          <w:b/>
          <w:bCs/>
        </w:rPr>
        <w:t>Rapport van de Algemene Rekenkamer: Resultaten verantwoordingsonderzoek 2025 bij het Ministerie van Buitenlandse Zaken (vragen aan de minister)</w:t>
      </w:r>
      <w:r>
        <w:t xml:space="preserve"> (</w:t>
      </w:r>
      <w:r w:rsidRPr="5BBBC5D1">
        <w:rPr>
          <w:b/>
          <w:bCs/>
        </w:rPr>
        <w:t>36945-V-2</w:t>
      </w:r>
      <w:r>
        <w:t xml:space="preserve">, nr. </w:t>
      </w:r>
      <w:r w:rsidRPr="5BBBC5D1">
        <w:rPr>
          <w:b/>
          <w:bCs/>
        </w:rPr>
        <w:t>2</w:t>
      </w:r>
      <w:r>
        <w:t>).</w:t>
      </w:r>
    </w:p>
    <w:p w:rsidR="00955443" w:rsidRDefault="5BBBC5D1" w14:paraId="73DC1FC1" w14:textId="28FCC842">
      <w:pPr>
        <w:ind w:left="1410"/>
      </w:pPr>
      <w:r>
        <w:t>De daarop door de minister gegeven antwoorden zijn hierbij afgedrukt.</w:t>
      </w:r>
    </w:p>
    <w:p w:rsidR="00955443" w:rsidRDefault="00955443" w14:paraId="5EBB21AD" w14:textId="77777777">
      <w:pPr>
        <w:spacing w:before="0" w:after="0"/>
      </w:pPr>
    </w:p>
    <w:p w:rsidR="00955443" w:rsidRDefault="5BBBC5D1" w14:paraId="4C07DFB6" w14:textId="77777777">
      <w:pPr>
        <w:spacing w:before="0" w:after="0"/>
        <w:ind w:left="703" w:firstLine="709"/>
      </w:pPr>
      <w:r>
        <w:t xml:space="preserve">Voorzitter van de commissie, </w:t>
      </w:r>
    </w:p>
    <w:p w:rsidR="00955443" w:rsidRDefault="001856D0" w14:paraId="651E183D" w14:textId="03BEAC01">
      <w:pPr>
        <w:spacing w:before="0" w:after="0"/>
      </w:pPr>
      <w:r>
        <w:tab/>
      </w:r>
      <w:r>
        <w:tab/>
      </w:r>
      <w:r w:rsidR="00EA1831">
        <w:t>Klaver</w:t>
      </w:r>
    </w:p>
    <w:p w:rsidR="00955443" w:rsidRDefault="001856D0" w14:paraId="4E94D52B" w14:textId="77777777">
      <w:pPr>
        <w:spacing w:before="0" w:after="0"/>
      </w:pPr>
      <w:r>
        <w:tab/>
      </w:r>
      <w:r>
        <w:tab/>
      </w:r>
    </w:p>
    <w:p w:rsidR="00955443" w:rsidRDefault="001856D0" w14:paraId="3EC2B9DF" w14:textId="77777777">
      <w:pPr>
        <w:spacing w:before="0" w:after="0"/>
      </w:pPr>
      <w:r>
        <w:tab/>
      </w:r>
      <w:r>
        <w:tab/>
        <w:t>Griffier van de commissie,</w:t>
      </w:r>
    </w:p>
    <w:p w:rsidR="00955443" w:rsidRDefault="001856D0" w14:paraId="4F618564" w14:textId="7C8325F9">
      <w:pPr>
        <w:spacing w:before="0" w:after="0"/>
      </w:pPr>
      <w:r>
        <w:tab/>
      </w:r>
      <w:r>
        <w:tab/>
      </w:r>
      <w:proofErr w:type="spellStart"/>
      <w:r w:rsidR="00EA1831">
        <w:t>Westerhoff</w:t>
      </w:r>
      <w:proofErr w:type="spellEnd"/>
    </w:p>
    <w:p w:rsidR="00D25B89" w:rsidRDefault="00D25B89" w14:paraId="2360FA38" w14:textId="77777777">
      <w:pPr>
        <w:spacing w:before="0" w:after="0"/>
      </w:pPr>
    </w:p>
    <w:p w:rsidR="00D25B89" w:rsidRDefault="00D25B89" w14:paraId="7B433472" w14:textId="77777777">
      <w:pPr>
        <w:spacing w:before="0" w:after="0"/>
      </w:pPr>
    </w:p>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00D25B89" w:rsidTr="00D25B89" w14:paraId="76984FD0" w14:textId="77777777">
        <w:trPr>
          <w:cantSplit/>
        </w:trPr>
        <w:tc>
          <w:tcPr>
            <w:tcW w:w="567" w:type="dxa"/>
          </w:tcPr>
          <w:p w:rsidR="00D25B89" w:rsidP="00D25B89" w:rsidRDefault="00D25B89" w14:paraId="76C4B26F" w14:textId="77777777">
            <w:bookmarkStart w:name="bmkStartTabel" w:id="0"/>
            <w:bookmarkEnd w:id="0"/>
          </w:p>
          <w:p w:rsidR="00D25B89" w:rsidRDefault="00D25B89" w14:paraId="2254DE34" w14:textId="77777777">
            <w:proofErr w:type="spellStart"/>
            <w:r>
              <w:t>Nr</w:t>
            </w:r>
            <w:proofErr w:type="spellEnd"/>
          </w:p>
        </w:tc>
        <w:tc>
          <w:tcPr>
            <w:tcW w:w="6521" w:type="dxa"/>
          </w:tcPr>
          <w:p w:rsidR="00D25B89" w:rsidRDefault="00D25B89" w14:paraId="2CDD2C29" w14:textId="77777777">
            <w:r>
              <w:t>Vraag</w:t>
            </w:r>
          </w:p>
        </w:tc>
        <w:tc>
          <w:tcPr>
            <w:tcW w:w="992" w:type="dxa"/>
          </w:tcPr>
          <w:p w:rsidR="00D25B89" w:rsidP="00E7153D" w:rsidRDefault="00D25B89" w14:paraId="180C854F" w14:textId="77777777">
            <w:pPr>
              <w:jc w:val="right"/>
            </w:pPr>
            <w:r>
              <w:t>Blz. (van)</w:t>
            </w:r>
          </w:p>
        </w:tc>
        <w:tc>
          <w:tcPr>
            <w:tcW w:w="567" w:type="dxa"/>
          </w:tcPr>
          <w:p w:rsidR="00D25B89" w:rsidP="00E7153D" w:rsidRDefault="00D25B89" w14:paraId="3362F686" w14:textId="77777777">
            <w:pPr>
              <w:jc w:val="center"/>
            </w:pPr>
            <w:r>
              <w:t>t/m</w:t>
            </w:r>
          </w:p>
        </w:tc>
      </w:tr>
      <w:tr w:rsidR="00D25B89" w:rsidTr="00D25B89" w14:paraId="70CA5DC2" w14:textId="77777777">
        <w:tc>
          <w:tcPr>
            <w:tcW w:w="567" w:type="dxa"/>
          </w:tcPr>
          <w:p w:rsidR="00D25B89" w:rsidRDefault="00D25B89" w14:paraId="4C3AD64C" w14:textId="77777777">
            <w:r>
              <w:t>1</w:t>
            </w:r>
          </w:p>
        </w:tc>
        <w:tc>
          <w:tcPr>
            <w:tcW w:w="6521" w:type="dxa"/>
          </w:tcPr>
          <w:p w:rsidR="00D25B89" w:rsidRDefault="00D25B89" w14:paraId="325CAD79" w14:textId="77777777">
            <w:r>
              <w:t>Welke specifieke maatregelen neemt u om de financiële administratie dit jaar op orde te krijgen?</w:t>
            </w:r>
          </w:p>
          <w:p w:rsidR="00D25B89" w:rsidRDefault="00D25B89" w14:paraId="15C1079D" w14:textId="77777777"/>
          <w:p w:rsidRPr="00D25B89" w:rsidR="00D25B89" w:rsidP="00664F05" w:rsidRDefault="00D25B89" w14:paraId="1B1FE457" w14:textId="64D2139F">
            <w:pPr>
              <w:rPr>
                <w:b/>
                <w:bCs/>
              </w:rPr>
            </w:pPr>
            <w:r w:rsidRPr="00D25B89">
              <w:rPr>
                <w:b/>
                <w:bCs/>
              </w:rPr>
              <w:t>Antwoord</w:t>
            </w:r>
          </w:p>
          <w:p w:rsidRPr="00D25B89" w:rsidR="00D25B89" w:rsidP="00664F05" w:rsidRDefault="00D25B89" w14:paraId="3EA10D93" w14:textId="4793653C">
            <w:pPr>
              <w:rPr>
                <w:b/>
                <w:bCs/>
              </w:rPr>
            </w:pPr>
            <w:r w:rsidRPr="00AC7156">
              <w:rPr>
                <w:b/>
                <w:bCs/>
              </w:rPr>
              <w:t>De Algemene Rekenkamer constateert dat er in 2025 voortgang is geboekt bij het oplossen van de ernstige onvolkomenheid rond de inrichting van de financiële administratie. De gewijzigde structuur in het financiële administratiesysteem is in 2025 afgerond. De migratie van de verplichtingen naar de nieuwe inrichting is in 2025 deels afgerond. In 2026 worden ook de verplichtingen voor de programmamiddelen gemigreerd.</w:t>
            </w:r>
          </w:p>
          <w:p w:rsidR="00D25B89" w:rsidRDefault="00D25B89" w14:paraId="083C05A4" w14:textId="77777777"/>
        </w:tc>
        <w:tc>
          <w:tcPr>
            <w:tcW w:w="992" w:type="dxa"/>
          </w:tcPr>
          <w:p w:rsidR="00D25B89" w:rsidRDefault="00D25B89" w14:paraId="04C6224D" w14:textId="77777777">
            <w:pPr>
              <w:jc w:val="right"/>
            </w:pPr>
          </w:p>
        </w:tc>
        <w:tc>
          <w:tcPr>
            <w:tcW w:w="567" w:type="dxa"/>
          </w:tcPr>
          <w:p w:rsidR="00D25B89" w:rsidRDefault="00D25B89" w14:paraId="401E986D" w14:textId="77777777">
            <w:pPr>
              <w:jc w:val="right"/>
            </w:pPr>
            <w:r>
              <w:t xml:space="preserve"> </w:t>
            </w:r>
          </w:p>
        </w:tc>
      </w:tr>
      <w:tr w:rsidR="00D25B89" w:rsidTr="00D25B89" w14:paraId="57753484" w14:textId="77777777">
        <w:tc>
          <w:tcPr>
            <w:tcW w:w="567" w:type="dxa"/>
          </w:tcPr>
          <w:p w:rsidR="00D25B89" w:rsidRDefault="00D25B89" w14:paraId="1E7BDA08" w14:textId="77777777">
            <w:r>
              <w:t>2</w:t>
            </w:r>
          </w:p>
        </w:tc>
        <w:tc>
          <w:tcPr>
            <w:tcW w:w="6521" w:type="dxa"/>
          </w:tcPr>
          <w:p w:rsidR="00D25B89" w:rsidRDefault="00D25B89" w14:paraId="3EAA9D47" w14:textId="77777777">
            <w:r>
              <w:t>In hoeverre is het in 2025 opgestelde verbeterplan al uitgevoerd?</w:t>
            </w:r>
          </w:p>
          <w:p w:rsidR="00D25B89" w:rsidRDefault="00D25B89" w14:paraId="3942873E" w14:textId="77777777"/>
          <w:p w:rsidRPr="00D25B89" w:rsidR="00D25B89" w:rsidP="00664F05" w:rsidRDefault="00D25B89" w14:paraId="45EBEE0D" w14:textId="5C3FF857">
            <w:pPr>
              <w:rPr>
                <w:b/>
                <w:bCs/>
              </w:rPr>
            </w:pPr>
            <w:r w:rsidRPr="00D25B89">
              <w:rPr>
                <w:b/>
                <w:bCs/>
              </w:rPr>
              <w:t>Antwoord</w:t>
            </w:r>
          </w:p>
          <w:p w:rsidRPr="00AC7156" w:rsidR="00D25B89" w:rsidP="00664F05" w:rsidRDefault="00D25B89" w14:paraId="7560FDDD" w14:textId="79A49DE1">
            <w:pPr>
              <w:rPr>
                <w:b/>
                <w:bCs/>
              </w:rPr>
            </w:pPr>
            <w:r w:rsidRPr="00AC7156">
              <w:rPr>
                <w:b/>
                <w:bCs/>
              </w:rPr>
              <w:t xml:space="preserve">Het meerjarige verbeterplan is in 2025 voor een aanzienlijk deel uitgevoerd. Het wordt in 2026 afgerond. </w:t>
            </w:r>
          </w:p>
          <w:p w:rsidRPr="00AC7156" w:rsidR="00D25B89" w:rsidP="00664F05" w:rsidRDefault="00D25B89" w14:paraId="77A5C96F" w14:textId="618099E6">
            <w:pPr>
              <w:rPr>
                <w:b/>
                <w:bCs/>
              </w:rPr>
            </w:pPr>
            <w:r w:rsidRPr="00AC7156">
              <w:rPr>
                <w:b/>
                <w:bCs/>
              </w:rPr>
              <w:t>Toezicht en monitoring zijn versterkt door het in gebruik nemen van een overkoepelende risicoanalyse van de processen. Op basis van een kwetsbaarheidsanalyse op de formatie en bezetting, is de financiële functie op sommige onderdelen versterkt en is gestart met werkzaamheden om de kennisbasis van de financiële functie te verbeteren.</w:t>
            </w:r>
          </w:p>
          <w:p w:rsidRPr="00254156" w:rsidR="00D25B89" w:rsidP="00A63024" w:rsidRDefault="00D25B89" w14:paraId="11DA3B35" w14:textId="26E6B9DA">
            <w:pPr>
              <w:rPr>
                <w:b/>
                <w:bCs/>
              </w:rPr>
            </w:pPr>
            <w:r w:rsidRPr="00AC7156">
              <w:rPr>
                <w:b/>
                <w:bCs/>
              </w:rPr>
              <w:t xml:space="preserve">De gewijzigde structuur in het financiële administratiesysteem is in 2025 afgerond. De migratie van de verplichtingen naar de nieuwe inrichting is in 2025 deels afgerond. </w:t>
            </w:r>
          </w:p>
          <w:p w:rsidRPr="00D25B89" w:rsidR="00D25B89" w:rsidP="00664F05" w:rsidRDefault="00D25B89" w14:paraId="37109A75" w14:textId="5F3B36DC">
            <w:pPr>
              <w:rPr>
                <w:b/>
                <w:bCs/>
              </w:rPr>
            </w:pPr>
            <w:r w:rsidRPr="00FB0066">
              <w:rPr>
                <w:b/>
                <w:bCs/>
              </w:rPr>
              <w:t xml:space="preserve">De onderdelen uit het verbeterplan met betrekking </w:t>
            </w:r>
            <w:r>
              <w:rPr>
                <w:b/>
                <w:bCs/>
              </w:rPr>
              <w:t>tot</w:t>
            </w:r>
            <w:r w:rsidRPr="00FB0066">
              <w:rPr>
                <w:b/>
                <w:bCs/>
              </w:rPr>
              <w:t xml:space="preserve"> het verplichtingenbeheer zijn nagenoeg volledig uitgevoerd. Gaandeweg 2025 bleek de problematiek rond het verplichtingenbeheer breder dan gedacht aan het begin van 2025. Door een snelle opruimingsactie is een substantieel deel van de foutief geregistreerde bedrijfsvoeringverplichtingen, gecorrigeerd. Dit was voor 2025 nog niet voldoende. </w:t>
            </w:r>
          </w:p>
          <w:p w:rsidR="00D25B89" w:rsidRDefault="00D25B89" w14:paraId="106836CE" w14:textId="77777777"/>
        </w:tc>
        <w:tc>
          <w:tcPr>
            <w:tcW w:w="992" w:type="dxa"/>
          </w:tcPr>
          <w:p w:rsidR="00D25B89" w:rsidRDefault="00D25B89" w14:paraId="1059FB6E" w14:textId="77777777">
            <w:pPr>
              <w:jc w:val="right"/>
            </w:pPr>
          </w:p>
        </w:tc>
        <w:tc>
          <w:tcPr>
            <w:tcW w:w="567" w:type="dxa"/>
          </w:tcPr>
          <w:p w:rsidR="00D25B89" w:rsidRDefault="00D25B89" w14:paraId="670F77D6" w14:textId="77777777">
            <w:pPr>
              <w:jc w:val="right"/>
            </w:pPr>
            <w:r>
              <w:t xml:space="preserve"> </w:t>
            </w:r>
          </w:p>
        </w:tc>
      </w:tr>
      <w:tr w:rsidR="00D25B89" w:rsidTr="00D25B89" w14:paraId="1A197987" w14:textId="77777777">
        <w:tc>
          <w:tcPr>
            <w:tcW w:w="567" w:type="dxa"/>
            <w:shd w:val="clear" w:color="auto" w:fill="auto"/>
          </w:tcPr>
          <w:p w:rsidR="00D25B89" w:rsidP="5BBBC5D1" w:rsidRDefault="00D25B89" w14:paraId="466C9BBF" w14:textId="77777777">
            <w:pPr>
              <w:rPr>
                <w:highlight w:val="yellow"/>
              </w:rPr>
            </w:pPr>
            <w:bookmarkStart w:name="_Hlk231214742" w:id="1"/>
            <w:r w:rsidRPr="00D25B89">
              <w:lastRenderedPageBreak/>
              <w:t>3</w:t>
            </w:r>
          </w:p>
        </w:tc>
        <w:tc>
          <w:tcPr>
            <w:tcW w:w="6521" w:type="dxa"/>
          </w:tcPr>
          <w:p w:rsidR="00D25B89" w:rsidRDefault="00D25B89" w14:paraId="10187F0B" w14:textId="77777777">
            <w:r>
              <w:t>Hoe groot is het risico dat de gelden uit het Herstel- en Veerkrachtplan niet worden uitbetaald door de Europese Commissie en wat zijn daarvan de oorzaken?</w:t>
            </w:r>
          </w:p>
          <w:p w:rsidR="00D25B89" w:rsidRDefault="00D25B89" w14:paraId="09874B46" w14:textId="77777777"/>
          <w:p w:rsidRPr="00C41332" w:rsidR="00D25B89" w:rsidP="00C41332" w:rsidRDefault="00D25B89" w14:paraId="4F9FC886" w14:textId="3A5987B0">
            <w:r w:rsidRPr="00D25B89">
              <w:rPr>
                <w:b/>
                <w:bCs/>
              </w:rPr>
              <w:t>Antwoord</w:t>
            </w:r>
            <w:r w:rsidRPr="00050525">
              <w:rPr>
                <w:rFonts w:ascii="Calibri" w:hAnsi="Calibri" w:cs="Calibri"/>
                <w:b/>
                <w:bCs/>
                <w:i/>
                <w:iCs/>
                <w:sz w:val="22"/>
                <w:szCs w:val="22"/>
                <w:lang w:eastAsia="en-US"/>
              </w:rPr>
              <w:br/>
            </w:r>
            <w:r w:rsidRPr="00050525">
              <w:rPr>
                <w:b/>
                <w:bCs/>
                <w:lang w:eastAsia="en-US"/>
              </w:rPr>
              <w:t>Het kabinet neemt de risico's rondom de uitbetaling van HVP-middelen serieus en heeft actief stappen ondernomen om een eventuele korting te voorkomen. Hierover is uw Kamer op 13 mei jl. door de minister van Financiën nader geïnformeerd (Kamerstuk 21501-07</w:t>
            </w:r>
            <w:r w:rsidR="00254156">
              <w:rPr>
                <w:b/>
                <w:bCs/>
                <w:lang w:eastAsia="en-US"/>
              </w:rPr>
              <w:t xml:space="preserve">, </w:t>
            </w:r>
            <w:r w:rsidRPr="00254156" w:rsidR="00254156">
              <w:rPr>
                <w:b/>
                <w:bCs/>
                <w:lang w:eastAsia="en-US"/>
              </w:rPr>
              <w:t xml:space="preserve">nr. </w:t>
            </w:r>
            <w:r w:rsidRPr="00254156">
              <w:rPr>
                <w:b/>
                <w:bCs/>
                <w:lang w:eastAsia="en-US"/>
              </w:rPr>
              <w:t>2187</w:t>
            </w:r>
            <w:r w:rsidRPr="00254156" w:rsidR="00254156">
              <w:rPr>
                <w:b/>
                <w:bCs/>
                <w:lang w:eastAsia="en-US"/>
              </w:rPr>
              <w:t>)</w:t>
            </w:r>
            <w:r w:rsidR="00254156">
              <w:rPr>
                <w:b/>
                <w:bCs/>
                <w:lang w:eastAsia="en-US"/>
              </w:rPr>
              <w:t xml:space="preserve">. </w:t>
            </w:r>
            <w:r w:rsidRPr="00050525">
              <w:rPr>
                <w:b/>
                <w:bCs/>
                <w:lang w:eastAsia="en-US"/>
              </w:rPr>
              <w:t xml:space="preserve">In deze brief wordt aangegeven dat het kabinet eind mei een formeel wijzigingsverzoek van het HVP heeft ingediend, waarmee het alsnog mogelijk blijft om alle hervormingen tijdig door te voeren en het HVP succesvol af te ronden. Het kabinet streeft ernaar de implementatie van het HVP tot een goed einde te brengen om zo het restant van de gealloceerde </w:t>
            </w:r>
            <w:r w:rsidR="00254156">
              <w:rPr>
                <w:b/>
                <w:bCs/>
                <w:lang w:eastAsia="en-US"/>
              </w:rPr>
              <w:t>EUR</w:t>
            </w:r>
            <w:r w:rsidRPr="00050525">
              <w:rPr>
                <w:b/>
                <w:bCs/>
                <w:lang w:eastAsia="en-US"/>
              </w:rPr>
              <w:t xml:space="preserve"> 5,4 miljard aan Europese middelen te ontvangen. Daarvoor moeten de resterende hervormingsmijlpalen, waaronder de Wet arbeidsovereenkomst rechtsvermoeden op basis van uurtarief, de Wet meer zekerheid flexwerkers en de Wet versterking regie volkshuisvesting, tijdig worden afgerond en uiterlijk 31 augustus 2026 zijn gepubliceerd. Daarbij vertrouwt het kabinet op een goede samenwerking met beide Kamers met het oog op een spoedige behandeling van de nog te behalen hervormingen</w:t>
            </w:r>
          </w:p>
        </w:tc>
        <w:tc>
          <w:tcPr>
            <w:tcW w:w="992" w:type="dxa"/>
          </w:tcPr>
          <w:p w:rsidR="00D25B89" w:rsidRDefault="00D25B89" w14:paraId="0F7B3BFB" w14:textId="77777777">
            <w:pPr>
              <w:jc w:val="right"/>
            </w:pPr>
            <w:r>
              <w:t>42</w:t>
            </w:r>
          </w:p>
        </w:tc>
        <w:tc>
          <w:tcPr>
            <w:tcW w:w="567" w:type="dxa"/>
          </w:tcPr>
          <w:p w:rsidR="00D25B89" w:rsidRDefault="00D25B89" w14:paraId="05B8B58C" w14:textId="77777777">
            <w:pPr>
              <w:jc w:val="right"/>
            </w:pPr>
            <w:r>
              <w:t xml:space="preserve"> </w:t>
            </w:r>
          </w:p>
        </w:tc>
      </w:tr>
      <w:bookmarkEnd w:id="1"/>
      <w:tr w:rsidR="00D25B89" w:rsidTr="00D25B89" w14:paraId="2578DCA7" w14:textId="77777777">
        <w:tc>
          <w:tcPr>
            <w:tcW w:w="567" w:type="dxa"/>
          </w:tcPr>
          <w:p w:rsidR="00D25B89" w:rsidRDefault="00D25B89" w14:paraId="5E57F653" w14:textId="77777777">
            <w:r>
              <w:t>4</w:t>
            </w:r>
          </w:p>
        </w:tc>
        <w:tc>
          <w:tcPr>
            <w:tcW w:w="6521" w:type="dxa"/>
          </w:tcPr>
          <w:p w:rsidR="00D25B89" w:rsidRDefault="00D25B89" w14:paraId="48AFF7D8" w14:textId="77777777">
            <w:r>
              <w:t>Waarom is het ambitieniveau voor de maatregel woningbouwimpuls verlaagd van 100.000 naar 60.400 woningen?</w:t>
            </w:r>
          </w:p>
          <w:p w:rsidR="00D25B89" w:rsidP="00664F05" w:rsidRDefault="00D25B89" w14:paraId="03D9288D" w14:textId="77777777"/>
          <w:p w:rsidRPr="00D25B89" w:rsidR="00D25B89" w:rsidP="00664F05" w:rsidRDefault="00D25B89" w14:paraId="07CCCD3E" w14:textId="16223357">
            <w:pPr>
              <w:rPr>
                <w:b/>
                <w:bCs/>
              </w:rPr>
            </w:pPr>
            <w:r w:rsidRPr="00D25B89">
              <w:rPr>
                <w:b/>
                <w:bCs/>
              </w:rPr>
              <w:t>Antwoord</w:t>
            </w:r>
          </w:p>
          <w:p w:rsidRPr="00010B83" w:rsidR="00D25B89" w:rsidP="00664F05" w:rsidRDefault="00D25B89" w14:paraId="69E1788C" w14:textId="13DF0D7E">
            <w:pPr>
              <w:rPr>
                <w:b/>
                <w:bCs/>
              </w:rPr>
            </w:pPr>
            <w:r w:rsidRPr="00010B83">
              <w:rPr>
                <w:b/>
                <w:bCs/>
              </w:rPr>
              <w:t xml:space="preserve">De doelstelling van de WBI is gewijzigd. Een wijziging van het HVP is uitsluitend mogelijk op basis van objectieve omstandigheden en onder de voorwaarde dat het ambitieniveau van het herstelplan als geheel behouden blijft. De wijziging is door de Europese Commissie positief beoordeeld en vervolgens goedgekeurd door de </w:t>
            </w:r>
            <w:proofErr w:type="spellStart"/>
            <w:r w:rsidRPr="00010B83">
              <w:rPr>
                <w:b/>
                <w:bCs/>
              </w:rPr>
              <w:t>Ecofinraad</w:t>
            </w:r>
            <w:proofErr w:type="spellEnd"/>
            <w:r w:rsidRPr="00010B83">
              <w:rPr>
                <w:b/>
                <w:bCs/>
              </w:rPr>
              <w:t>. Het kabinet deelt daarom niet de conclusie van de Algemene Rekenkamer dat sprake zou zijn van een ambitieverlaging, aangezien de aanpassing is gecompenseerd met andere maatregelen binnen het Herstelplan, waardoor het ambitieniveau van het plan als geheel behouden is gebleven.</w:t>
            </w:r>
          </w:p>
          <w:p w:rsidR="00D25B89" w:rsidP="00D25B89" w:rsidRDefault="00D25B89" w14:paraId="6F91B686" w14:textId="77777777"/>
        </w:tc>
        <w:tc>
          <w:tcPr>
            <w:tcW w:w="992" w:type="dxa"/>
          </w:tcPr>
          <w:p w:rsidR="00D25B89" w:rsidRDefault="00D25B89" w14:paraId="56163817" w14:textId="77777777">
            <w:pPr>
              <w:jc w:val="right"/>
            </w:pPr>
            <w:r>
              <w:t>44</w:t>
            </w:r>
          </w:p>
        </w:tc>
        <w:tc>
          <w:tcPr>
            <w:tcW w:w="567" w:type="dxa"/>
          </w:tcPr>
          <w:p w:rsidR="00D25B89" w:rsidRDefault="00D25B89" w14:paraId="2D72BAE6" w14:textId="77777777">
            <w:pPr>
              <w:jc w:val="right"/>
            </w:pPr>
            <w:r>
              <w:t xml:space="preserve"> </w:t>
            </w:r>
          </w:p>
        </w:tc>
      </w:tr>
    </w:tbl>
    <w:p w:rsidR="00955443" w:rsidRDefault="00955443" w14:paraId="28B5B701" w14:textId="77777777"/>
    <w:sectPr w:rsidR="00955443" w:rsidSect="00AF297B">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9F10" w14:textId="77777777" w:rsidR="00B31E25" w:rsidRDefault="00B31E25">
      <w:pPr>
        <w:spacing w:before="0" w:after="0"/>
      </w:pPr>
      <w:r>
        <w:separator/>
      </w:r>
    </w:p>
  </w:endnote>
  <w:endnote w:type="continuationSeparator" w:id="0">
    <w:p w14:paraId="63AC81AC" w14:textId="77777777" w:rsidR="00B31E25" w:rsidRDefault="00B31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92CA" w14:textId="77777777" w:rsidR="00955443" w:rsidRDefault="00955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2B89" w14:textId="77777777" w:rsidR="00955443" w:rsidRDefault="001856D0">
    <w:pPr>
      <w:pStyle w:val="Footer"/>
    </w:pPr>
    <w:r>
      <w:t xml:space="preserve">Totaallijst feitelijke vragen Rapport van de Algemene Rekenkamer: Resultaten verantwoordingsonderzoek 2025 bij het Ministerie van Buitenlandse Zaken (vragen aan de minister) (36945-V-2-2)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C747" w14:textId="77777777" w:rsidR="00955443" w:rsidRDefault="0095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2299" w14:textId="77777777" w:rsidR="00B31E25" w:rsidRDefault="00B31E25">
      <w:pPr>
        <w:spacing w:before="0" w:after="0"/>
      </w:pPr>
      <w:r>
        <w:separator/>
      </w:r>
    </w:p>
  </w:footnote>
  <w:footnote w:type="continuationSeparator" w:id="0">
    <w:p w14:paraId="651A403B" w14:textId="77777777" w:rsidR="00B31E25" w:rsidRDefault="00B31E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E58A" w14:textId="77777777" w:rsidR="00955443" w:rsidRDefault="00955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059F" w14:textId="77777777" w:rsidR="00955443" w:rsidRDefault="00955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F9D" w14:textId="77777777" w:rsidR="00955443" w:rsidRDefault="00955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B83"/>
    <w:rsid w:val="00050525"/>
    <w:rsid w:val="000F4FC8"/>
    <w:rsid w:val="001856D0"/>
    <w:rsid w:val="001A47AF"/>
    <w:rsid w:val="001A56AB"/>
    <w:rsid w:val="00244F34"/>
    <w:rsid w:val="00254156"/>
    <w:rsid w:val="00271ACE"/>
    <w:rsid w:val="00314637"/>
    <w:rsid w:val="003D44DD"/>
    <w:rsid w:val="00411655"/>
    <w:rsid w:val="00454CDD"/>
    <w:rsid w:val="004B4C43"/>
    <w:rsid w:val="004B66DB"/>
    <w:rsid w:val="004D2A02"/>
    <w:rsid w:val="004E3440"/>
    <w:rsid w:val="005543A7"/>
    <w:rsid w:val="005A0DEB"/>
    <w:rsid w:val="00625400"/>
    <w:rsid w:val="00664F05"/>
    <w:rsid w:val="006A3963"/>
    <w:rsid w:val="006A77FA"/>
    <w:rsid w:val="006D3D17"/>
    <w:rsid w:val="006D6AC2"/>
    <w:rsid w:val="00764E3F"/>
    <w:rsid w:val="007721F2"/>
    <w:rsid w:val="00776061"/>
    <w:rsid w:val="007B41B5"/>
    <w:rsid w:val="00803A2E"/>
    <w:rsid w:val="008415A9"/>
    <w:rsid w:val="00854D09"/>
    <w:rsid w:val="00894624"/>
    <w:rsid w:val="0090370F"/>
    <w:rsid w:val="00916EED"/>
    <w:rsid w:val="00940680"/>
    <w:rsid w:val="00944966"/>
    <w:rsid w:val="00955443"/>
    <w:rsid w:val="00966AA3"/>
    <w:rsid w:val="009A4815"/>
    <w:rsid w:val="009A53D0"/>
    <w:rsid w:val="009C6C37"/>
    <w:rsid w:val="009D6BAE"/>
    <w:rsid w:val="00A50536"/>
    <w:rsid w:val="00A63024"/>
    <w:rsid w:val="00A77C3E"/>
    <w:rsid w:val="00A828EC"/>
    <w:rsid w:val="00AB272B"/>
    <w:rsid w:val="00AC7156"/>
    <w:rsid w:val="00AF297B"/>
    <w:rsid w:val="00B31E25"/>
    <w:rsid w:val="00B83599"/>
    <w:rsid w:val="00B915EC"/>
    <w:rsid w:val="00BA6992"/>
    <w:rsid w:val="00BC66E7"/>
    <w:rsid w:val="00BD1EDE"/>
    <w:rsid w:val="00BD5B25"/>
    <w:rsid w:val="00C41332"/>
    <w:rsid w:val="00CF3A1F"/>
    <w:rsid w:val="00D25B89"/>
    <w:rsid w:val="00D675C9"/>
    <w:rsid w:val="00DC3DC7"/>
    <w:rsid w:val="00E15072"/>
    <w:rsid w:val="00E45EDF"/>
    <w:rsid w:val="00E7153D"/>
    <w:rsid w:val="00EA1831"/>
    <w:rsid w:val="00F53021"/>
    <w:rsid w:val="00FB0066"/>
    <w:rsid w:val="00FC6F22"/>
    <w:rsid w:val="00FD1421"/>
    <w:rsid w:val="00FD1DF5"/>
    <w:rsid w:val="00FF331A"/>
    <w:rsid w:val="5BBBC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0AA45"/>
  <w15:docId w15:val="{BAA71549-0661-4AB4-8446-1BE8E388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050525"/>
    <w:rPr>
      <w:color w:val="0000FF" w:themeColor="hyperlink"/>
      <w:u w:val="single"/>
    </w:rPr>
  </w:style>
  <w:style w:type="character" w:styleId="UnresolvedMention">
    <w:name w:val="Unresolved Mention"/>
    <w:basedOn w:val="DefaultParagraphFont"/>
    <w:uiPriority w:val="99"/>
    <w:semiHidden/>
    <w:unhideWhenUsed/>
    <w:rsid w:val="00050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63959">
      <w:bodyDiv w:val="1"/>
      <w:marLeft w:val="0"/>
      <w:marRight w:val="0"/>
      <w:marTop w:val="0"/>
      <w:marBottom w:val="0"/>
      <w:divBdr>
        <w:top w:val="none" w:sz="0" w:space="0" w:color="auto"/>
        <w:left w:val="none" w:sz="0" w:space="0" w:color="auto"/>
        <w:bottom w:val="none" w:sz="0" w:space="0" w:color="auto"/>
        <w:right w:val="none" w:sz="0" w:space="0" w:color="auto"/>
      </w:divBdr>
    </w:div>
    <w:div w:id="577641790">
      <w:bodyDiv w:val="1"/>
      <w:marLeft w:val="0"/>
      <w:marRight w:val="0"/>
      <w:marTop w:val="0"/>
      <w:marBottom w:val="0"/>
      <w:divBdr>
        <w:top w:val="none" w:sz="0" w:space="0" w:color="auto"/>
        <w:left w:val="none" w:sz="0" w:space="0" w:color="auto"/>
        <w:bottom w:val="none" w:sz="0" w:space="0" w:color="auto"/>
        <w:right w:val="none" w:sz="0" w:space="0" w:color="auto"/>
      </w:divBdr>
    </w:div>
    <w:div w:id="720250938">
      <w:bodyDiv w:val="1"/>
      <w:marLeft w:val="0"/>
      <w:marRight w:val="0"/>
      <w:marTop w:val="0"/>
      <w:marBottom w:val="0"/>
      <w:divBdr>
        <w:top w:val="none" w:sz="0" w:space="0" w:color="auto"/>
        <w:left w:val="none" w:sz="0" w:space="0" w:color="auto"/>
        <w:bottom w:val="none" w:sz="0" w:space="0" w:color="auto"/>
        <w:right w:val="none" w:sz="0" w:space="0" w:color="auto"/>
      </w:divBdr>
    </w:div>
    <w:div w:id="1161194284">
      <w:bodyDiv w:val="1"/>
      <w:marLeft w:val="0"/>
      <w:marRight w:val="0"/>
      <w:marTop w:val="0"/>
      <w:marBottom w:val="0"/>
      <w:divBdr>
        <w:top w:val="none" w:sz="0" w:space="0" w:color="auto"/>
        <w:left w:val="none" w:sz="0" w:space="0" w:color="auto"/>
        <w:bottom w:val="none" w:sz="0" w:space="0" w:color="auto"/>
        <w:right w:val="none" w:sz="0" w:space="0" w:color="auto"/>
      </w:divBdr>
    </w:div>
    <w:div w:id="1426919440">
      <w:bodyDiv w:val="1"/>
      <w:marLeft w:val="0"/>
      <w:marRight w:val="0"/>
      <w:marTop w:val="0"/>
      <w:marBottom w:val="0"/>
      <w:divBdr>
        <w:top w:val="none" w:sz="0" w:space="0" w:color="auto"/>
        <w:left w:val="none" w:sz="0" w:space="0" w:color="auto"/>
        <w:bottom w:val="none" w:sz="0" w:space="0" w:color="auto"/>
        <w:right w:val="none" w:sz="0" w:space="0" w:color="auto"/>
      </w:divBdr>
    </w:div>
    <w:div w:id="1679768439">
      <w:bodyDiv w:val="1"/>
      <w:marLeft w:val="0"/>
      <w:marRight w:val="0"/>
      <w:marTop w:val="0"/>
      <w:marBottom w:val="0"/>
      <w:divBdr>
        <w:top w:val="none" w:sz="0" w:space="0" w:color="auto"/>
        <w:left w:val="none" w:sz="0" w:space="0" w:color="auto"/>
        <w:bottom w:val="none" w:sz="0" w:space="0" w:color="auto"/>
        <w:right w:val="none" w:sz="0" w:space="0" w:color="auto"/>
      </w:divBdr>
    </w:div>
    <w:div w:id="1717124351">
      <w:bodyDiv w:val="1"/>
      <w:marLeft w:val="0"/>
      <w:marRight w:val="0"/>
      <w:marTop w:val="0"/>
      <w:marBottom w:val="0"/>
      <w:divBdr>
        <w:top w:val="none" w:sz="0" w:space="0" w:color="auto"/>
        <w:left w:val="none" w:sz="0" w:space="0" w:color="auto"/>
        <w:bottom w:val="none" w:sz="0" w:space="0" w:color="auto"/>
        <w:right w:val="none" w:sz="0" w:space="0" w:color="auto"/>
      </w:divBdr>
    </w:div>
    <w:div w:id="1746026505">
      <w:bodyDiv w:val="1"/>
      <w:marLeft w:val="0"/>
      <w:marRight w:val="0"/>
      <w:marTop w:val="0"/>
      <w:marBottom w:val="0"/>
      <w:divBdr>
        <w:top w:val="none" w:sz="0" w:space="0" w:color="auto"/>
        <w:left w:val="none" w:sz="0" w:space="0" w:color="auto"/>
        <w:bottom w:val="none" w:sz="0" w:space="0" w:color="auto"/>
        <w:right w:val="none" w:sz="0" w:space="0" w:color="auto"/>
      </w:divBdr>
    </w:div>
    <w:div w:id="1762989270">
      <w:bodyDiv w:val="1"/>
      <w:marLeft w:val="0"/>
      <w:marRight w:val="0"/>
      <w:marTop w:val="0"/>
      <w:marBottom w:val="0"/>
      <w:divBdr>
        <w:top w:val="none" w:sz="0" w:space="0" w:color="auto"/>
        <w:left w:val="none" w:sz="0" w:space="0" w:color="auto"/>
        <w:bottom w:val="none" w:sz="0" w:space="0" w:color="auto"/>
        <w:right w:val="none" w:sz="0" w:space="0" w:color="auto"/>
      </w:divBdr>
    </w:div>
    <w:div w:id="1797675884">
      <w:bodyDiv w:val="1"/>
      <w:marLeft w:val="0"/>
      <w:marRight w:val="0"/>
      <w:marTop w:val="0"/>
      <w:marBottom w:val="0"/>
      <w:divBdr>
        <w:top w:val="none" w:sz="0" w:space="0" w:color="auto"/>
        <w:left w:val="none" w:sz="0" w:space="0" w:color="auto"/>
        <w:bottom w:val="none" w:sz="0" w:space="0" w:color="auto"/>
        <w:right w:val="none" w:sz="0" w:space="0" w:color="auto"/>
      </w:divBdr>
    </w:div>
    <w:div w:id="1800100329">
      <w:bodyDiv w:val="1"/>
      <w:marLeft w:val="0"/>
      <w:marRight w:val="0"/>
      <w:marTop w:val="0"/>
      <w:marBottom w:val="0"/>
      <w:divBdr>
        <w:top w:val="none" w:sz="0" w:space="0" w:color="auto"/>
        <w:left w:val="none" w:sz="0" w:space="0" w:color="auto"/>
        <w:bottom w:val="none" w:sz="0" w:space="0" w:color="auto"/>
        <w:right w:val="none" w:sz="0" w:space="0" w:color="auto"/>
      </w:divBdr>
    </w:div>
    <w:div w:id="1991396470">
      <w:bodyDiv w:val="1"/>
      <w:marLeft w:val="0"/>
      <w:marRight w:val="0"/>
      <w:marTop w:val="0"/>
      <w:marBottom w:val="0"/>
      <w:divBdr>
        <w:top w:val="none" w:sz="0" w:space="0" w:color="auto"/>
        <w:left w:val="none" w:sz="0" w:space="0" w:color="auto"/>
        <w:bottom w:val="none" w:sz="0" w:space="0" w:color="auto"/>
        <w:right w:val="none" w:sz="0" w:space="0" w:color="auto"/>
      </w:divBdr>
    </w:div>
    <w:div w:id="2015063876">
      <w:bodyDiv w:val="1"/>
      <w:marLeft w:val="0"/>
      <w:marRight w:val="0"/>
      <w:marTop w:val="0"/>
      <w:marBottom w:val="0"/>
      <w:divBdr>
        <w:top w:val="none" w:sz="0" w:space="0" w:color="auto"/>
        <w:left w:val="none" w:sz="0" w:space="0" w:color="auto"/>
        <w:bottom w:val="none" w:sz="0" w:space="0" w:color="auto"/>
        <w:right w:val="none" w:sz="0" w:space="0" w:color="auto"/>
      </w:divBdr>
    </w:div>
    <w:div w:id="2091854663">
      <w:bodyDiv w:val="1"/>
      <w:marLeft w:val="0"/>
      <w:marRight w:val="0"/>
      <w:marTop w:val="0"/>
      <w:marBottom w:val="0"/>
      <w:divBdr>
        <w:top w:val="none" w:sz="0" w:space="0" w:color="auto"/>
        <w:left w:val="none" w:sz="0" w:space="0" w:color="auto"/>
        <w:bottom w:val="none" w:sz="0" w:space="0" w:color="auto"/>
        <w:right w:val="none" w:sz="0" w:space="0" w:color="auto"/>
      </w:divBdr>
    </w:div>
    <w:div w:id="2127238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671</ap:Words>
  <ap:Characters>3694</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2026-06-03T07:49:00.0000000Z</lastPrinted>
  <dcterms:created xsi:type="dcterms:W3CDTF">2026-06-09T07:40:00.0000000Z</dcterms:created>
  <dcterms:modified xsi:type="dcterms:W3CDTF">2026-06-09T07:40:00.0000000Z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e16dc180-1bdd-4756-b77b-5fc5844e1c12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https://247.plaza.buzaservices.nl/subject/PV-VZ2026022026/BZ2628624/GRT-Regering-BuZa-36945-V-2%20rapport%20ARK%20vragen%20aan%20minister.docx, </vt:lpwstr>
  </property>
  <property fmtid="{D5CDD505-2E9C-101B-9397-08002B2CF9AE}" pid="25" name="_docset_NoMedatataSyncRequired">
    <vt:lpwstr>False</vt:lpwstr>
  </property>
</Properties>
</file>