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794" w:rsidRDefault="001856D0" w14:paraId="6F37A295" w14:textId="77777777">
      <w:pPr>
        <w:autoSpaceDE w:val="0"/>
        <w:autoSpaceDN w:val="0"/>
        <w:adjustRightInd w:val="0"/>
        <w:spacing w:before="0" w:after="0"/>
        <w:ind w:left="1416" w:hanging="1371"/>
        <w:rPr>
          <w:b/>
          <w:bCs/>
          <w:sz w:val="23"/>
          <w:szCs w:val="23"/>
        </w:rPr>
      </w:pPr>
      <w:r>
        <w:rPr>
          <w:b/>
          <w:bCs/>
          <w:sz w:val="23"/>
          <w:szCs w:val="23"/>
        </w:rPr>
        <w:t>2026Z10340</w:t>
      </w:r>
      <w:r>
        <w:rPr>
          <w:b/>
          <w:bCs/>
          <w:sz w:val="23"/>
          <w:szCs w:val="23"/>
        </w:rPr>
        <w:tab/>
        <w:t>Jaarverslag 2025 Homogene Groep Internationale Samenwerking</w:t>
      </w:r>
    </w:p>
    <w:p w:rsidR="00A94794" w:rsidRDefault="00A94794" w14:paraId="44651ADA" w14:textId="77777777">
      <w:pPr>
        <w:autoSpaceDE w:val="0"/>
        <w:autoSpaceDN w:val="0"/>
        <w:adjustRightInd w:val="0"/>
        <w:spacing w:before="0" w:after="0"/>
        <w:ind w:left="1416" w:hanging="1371"/>
        <w:rPr>
          <w:b/>
        </w:rPr>
      </w:pPr>
    </w:p>
    <w:p w:rsidR="00A94794" w:rsidRDefault="001856D0" w14:paraId="75C3E63F" w14:textId="77777777">
      <w:pPr>
        <w:rPr>
          <w:b/>
        </w:rPr>
      </w:pPr>
      <w:r>
        <w:rPr>
          <w:b/>
        </w:rPr>
        <w:t xml:space="preserve">nr. </w:t>
      </w:r>
      <w:r>
        <w:rPr>
          <w:b/>
        </w:rPr>
        <w:tab/>
      </w:r>
      <w:r>
        <w:rPr>
          <w:b/>
        </w:rPr>
        <w:tab/>
        <w:t>Lijst van vragen en antwoorden</w:t>
      </w:r>
    </w:p>
    <w:p w:rsidR="00A94794" w:rsidRDefault="001856D0" w14:paraId="776502E8" w14:textId="77777777">
      <w:r>
        <w:tab/>
      </w:r>
      <w:r>
        <w:tab/>
      </w:r>
    </w:p>
    <w:p w:rsidR="00A94794" w:rsidRDefault="001856D0" w14:paraId="792D8094" w14:textId="77777777">
      <w:pPr>
        <w:ind w:left="702" w:firstLine="708"/>
        <w:rPr>
          <w:i/>
        </w:rPr>
      </w:pPr>
      <w:r>
        <w:t xml:space="preserve">Vastgesteld </w:t>
      </w:r>
      <w:r>
        <w:rPr>
          <w:i/>
        </w:rPr>
        <w:t>(wordt door griffie ingevuld als antwoorden er zijn)</w:t>
      </w:r>
    </w:p>
    <w:p w:rsidR="00A94794" w:rsidRDefault="001856D0" w14:paraId="61AAA92C" w14:textId="7FBC864F">
      <w:pPr>
        <w:ind w:left="1410"/>
      </w:pPr>
      <w:r>
        <w:t xml:space="preserve">De vaste commissie voor </w:t>
      </w:r>
      <w:r w:rsidR="00BE3350">
        <w:t>Buitenlandse Zaken</w:t>
      </w:r>
      <w:r>
        <w:t xml:space="preserve"> heeft een aantal vragen voorgelegd aan de </w:t>
      </w:r>
      <w:r w:rsidR="00BE3350">
        <w:t>minister van Buitenlandse Zaken</w:t>
      </w:r>
      <w:r>
        <w:t xml:space="preserve"> over de </w:t>
      </w:r>
      <w:r w:rsidR="00BE3350">
        <w:t>brief van de minister 20 mei 2026 i</w:t>
      </w:r>
      <w:r>
        <w:t xml:space="preserve">nzake </w:t>
      </w:r>
      <w:r w:rsidR="00BE3350">
        <w:t>het</w:t>
      </w:r>
      <w:r>
        <w:t xml:space="preserve"> </w:t>
      </w:r>
      <w:r>
        <w:rPr>
          <w:b/>
        </w:rPr>
        <w:t>Jaarverslag 2025 Homogene Groep Internationale Samenwerking</w:t>
      </w:r>
      <w:r>
        <w:t xml:space="preserve"> (</w:t>
      </w:r>
      <w:r>
        <w:rPr>
          <w:b/>
        </w:rPr>
        <w:t>2026Z10340</w:t>
      </w:r>
      <w:r>
        <w:t xml:space="preserve">, nr. </w:t>
      </w:r>
      <w:r>
        <w:rPr>
          <w:b/>
        </w:rPr>
        <w:t>1</w:t>
      </w:r>
      <w:r>
        <w:t>).</w:t>
      </w:r>
    </w:p>
    <w:p w:rsidR="00A94794" w:rsidRDefault="001856D0" w14:paraId="6B28DD1D" w14:textId="7BA2A481">
      <w:pPr>
        <w:ind w:left="1410"/>
      </w:pPr>
      <w:r>
        <w:t xml:space="preserve">De daarop door de </w:t>
      </w:r>
      <w:r w:rsidR="00BE3350">
        <w:t>minister</w:t>
      </w:r>
      <w:r>
        <w:t xml:space="preserve"> gegeven antwoorden zijn hierbij afgedrukt.</w:t>
      </w:r>
    </w:p>
    <w:p w:rsidR="00A94794" w:rsidRDefault="00A94794" w14:paraId="19B7A377" w14:textId="77777777">
      <w:pPr>
        <w:spacing w:before="0" w:after="0"/>
      </w:pPr>
    </w:p>
    <w:p w:rsidR="00A94794" w:rsidRDefault="001856D0" w14:paraId="3506BE82" w14:textId="77777777">
      <w:pPr>
        <w:spacing w:before="0" w:after="0"/>
        <w:ind w:left="703" w:firstLine="709"/>
      </w:pPr>
      <w:r>
        <w:t xml:space="preserve">Voorzitter van de commissie, </w:t>
      </w:r>
    </w:p>
    <w:p w:rsidR="00A94794" w:rsidRDefault="001856D0" w14:paraId="5EC7567E" w14:textId="2C31A51C">
      <w:pPr>
        <w:spacing w:before="0" w:after="0"/>
      </w:pPr>
      <w:r>
        <w:tab/>
      </w:r>
      <w:r>
        <w:tab/>
      </w:r>
      <w:r w:rsidR="00BE3350">
        <w:t>Klaver</w:t>
      </w:r>
    </w:p>
    <w:p w:rsidR="00A94794" w:rsidRDefault="001856D0" w14:paraId="204E14BD" w14:textId="77777777">
      <w:pPr>
        <w:spacing w:before="0" w:after="0"/>
      </w:pPr>
      <w:r>
        <w:tab/>
      </w:r>
      <w:r>
        <w:tab/>
      </w:r>
    </w:p>
    <w:p w:rsidR="00A94794" w:rsidRDefault="001856D0" w14:paraId="6E7E5EE3" w14:textId="77777777">
      <w:pPr>
        <w:spacing w:before="0" w:after="0"/>
      </w:pPr>
      <w:r>
        <w:tab/>
      </w:r>
      <w:r>
        <w:tab/>
        <w:t>Griffier van de commissie,</w:t>
      </w:r>
    </w:p>
    <w:p w:rsidR="00A94794" w:rsidRDefault="001856D0" w14:paraId="010B2E91" w14:textId="090C5875">
      <w:pPr>
        <w:spacing w:before="0" w:after="0"/>
      </w:pPr>
      <w:r>
        <w:tab/>
      </w:r>
      <w:r w:rsidR="00BE3350">
        <w:tab/>
      </w:r>
      <w:proofErr w:type="spellStart"/>
      <w:r w:rsidR="00BE3350">
        <w:t>Westerhoff</w:t>
      </w:r>
      <w:proofErr w:type="spellEnd"/>
    </w:p>
    <w:p w:rsidR="00A94794" w:rsidRDefault="00A94794" w14:paraId="25062D25"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00225485" w:rsidTr="2A287FE6" w14:paraId="132CEE09" w14:textId="77777777">
        <w:trPr>
          <w:cantSplit/>
        </w:trPr>
        <w:tc>
          <w:tcPr>
            <w:tcW w:w="567" w:type="dxa"/>
          </w:tcPr>
          <w:p w:rsidRPr="00225485" w:rsidR="00225485" w:rsidRDefault="00225485" w14:paraId="78FEAE52" w14:textId="77777777">
            <w:bookmarkStart w:name="bmkStartTabel" w:id="0"/>
            <w:bookmarkEnd w:id="0"/>
            <w:proofErr w:type="spellStart"/>
            <w:r w:rsidRPr="00225485">
              <w:t>Nr</w:t>
            </w:r>
            <w:proofErr w:type="spellEnd"/>
          </w:p>
        </w:tc>
        <w:tc>
          <w:tcPr>
            <w:tcW w:w="6521" w:type="dxa"/>
          </w:tcPr>
          <w:p w:rsidR="00225485" w:rsidRDefault="00225485" w14:paraId="5D7268E0" w14:textId="77777777">
            <w:r>
              <w:t>Vraag</w:t>
            </w:r>
          </w:p>
        </w:tc>
        <w:tc>
          <w:tcPr>
            <w:tcW w:w="992" w:type="dxa"/>
          </w:tcPr>
          <w:p w:rsidR="00225485" w:rsidP="00E7153D" w:rsidRDefault="00225485" w14:paraId="4DE545D7" w14:textId="77777777">
            <w:pPr>
              <w:jc w:val="right"/>
            </w:pPr>
            <w:r>
              <w:t>Blz. (van)</w:t>
            </w:r>
          </w:p>
        </w:tc>
        <w:tc>
          <w:tcPr>
            <w:tcW w:w="567" w:type="dxa"/>
          </w:tcPr>
          <w:p w:rsidR="00225485" w:rsidP="00E7153D" w:rsidRDefault="00225485" w14:paraId="6FB523D7" w14:textId="77777777">
            <w:pPr>
              <w:jc w:val="center"/>
            </w:pPr>
            <w:r>
              <w:t>t/m</w:t>
            </w:r>
          </w:p>
        </w:tc>
      </w:tr>
      <w:tr w:rsidR="00225485" w:rsidTr="2A287FE6" w14:paraId="3A1D5A39" w14:textId="77777777">
        <w:tc>
          <w:tcPr>
            <w:tcW w:w="567" w:type="dxa"/>
          </w:tcPr>
          <w:p w:rsidRPr="00225485" w:rsidR="00225485" w:rsidRDefault="00225485" w14:paraId="3DB49DB8" w14:textId="77777777">
            <w:r w:rsidRPr="00225485">
              <w:t>1</w:t>
            </w:r>
          </w:p>
        </w:tc>
        <w:tc>
          <w:tcPr>
            <w:tcW w:w="6521" w:type="dxa"/>
          </w:tcPr>
          <w:p w:rsidR="00225485" w:rsidRDefault="00225485" w14:paraId="77D2FF09" w14:textId="77777777">
            <w:r>
              <w:t xml:space="preserve">Op welke wijze gebruikt Nederland het staatsaandeelhouderschap in de Nederlandse </w:t>
            </w:r>
            <w:proofErr w:type="spellStart"/>
            <w:r>
              <w:t>Financierings-Maatschappij</w:t>
            </w:r>
            <w:proofErr w:type="spellEnd"/>
            <w:r>
              <w:t xml:space="preserve"> voor Ontwikkelingslanden (FMO) om invloed uit te oefenen op de vraag in welke landen en regio’s wel of niet geïnvesteerd wordt door de ontwikkelingsbank?</w:t>
            </w:r>
          </w:p>
          <w:p w:rsidR="00225485" w:rsidRDefault="00225485" w14:paraId="2DE86F27" w14:textId="77777777"/>
          <w:p w:rsidRPr="007D789E" w:rsidR="00225485" w:rsidP="00D90FD4" w:rsidRDefault="00225485" w14:paraId="76AE5F77" w14:textId="7D16934F">
            <w:pPr>
              <w:rPr>
                <w:b/>
                <w:bCs/>
              </w:rPr>
            </w:pPr>
            <w:r w:rsidRPr="007D789E">
              <w:rPr>
                <w:b/>
                <w:bCs/>
              </w:rPr>
              <w:t>Antwoord</w:t>
            </w:r>
          </w:p>
          <w:p w:rsidRPr="00F66E3A" w:rsidR="00225485" w:rsidP="008A295D" w:rsidRDefault="00225485" w14:paraId="6D078E43" w14:textId="03797308">
            <w:pPr>
              <w:rPr>
                <w:b/>
                <w:bCs/>
              </w:rPr>
            </w:pPr>
            <w:r w:rsidRPr="00F66E3A">
              <w:rPr>
                <w:b/>
                <w:bCs/>
              </w:rPr>
              <w:t xml:space="preserve">In de Criterianota, als onderdeel van de overeenkomst tussen FMO en de Staat, getekend door het </w:t>
            </w:r>
            <w:r>
              <w:rPr>
                <w:b/>
                <w:bCs/>
              </w:rPr>
              <w:t>m</w:t>
            </w:r>
            <w:r w:rsidRPr="00F66E3A">
              <w:rPr>
                <w:b/>
                <w:bCs/>
              </w:rPr>
              <w:t xml:space="preserve">inisterie van Financiën als aandeelhouder en het </w:t>
            </w:r>
            <w:r>
              <w:rPr>
                <w:b/>
                <w:bCs/>
              </w:rPr>
              <w:t>m</w:t>
            </w:r>
            <w:r w:rsidRPr="00F66E3A">
              <w:rPr>
                <w:b/>
                <w:bCs/>
              </w:rPr>
              <w:t>inisterie van Buitenlandse Zaken als beleidsverantwoordelijk ministerie, zijn diverse afspraken vastgelegd waarmee de Staat invloed uitoefent op de landenkeuze van FMO. De Criterianota legt onder andere vast dat FMO 70% van haar portfolio investeert in lage-inkomenslanden en lagere-middeninkomenslanden. Daarnaast is vastgelegd dat FMO niet mag investeren in landen die onderhevig zijn aan relevante sanctieregimes.</w:t>
            </w:r>
          </w:p>
          <w:p w:rsidR="00225485" w:rsidP="007D789E" w:rsidRDefault="00225485" w14:paraId="55137C80" w14:textId="77777777"/>
        </w:tc>
        <w:tc>
          <w:tcPr>
            <w:tcW w:w="992" w:type="dxa"/>
          </w:tcPr>
          <w:p w:rsidR="00225485" w:rsidRDefault="00225485" w14:paraId="6B96CA53" w14:textId="77777777">
            <w:pPr>
              <w:jc w:val="right"/>
            </w:pPr>
            <w:r>
              <w:t>0</w:t>
            </w:r>
          </w:p>
        </w:tc>
        <w:tc>
          <w:tcPr>
            <w:tcW w:w="567" w:type="dxa"/>
          </w:tcPr>
          <w:p w:rsidR="00225485" w:rsidRDefault="00225485" w14:paraId="12DCC279" w14:textId="77777777">
            <w:pPr>
              <w:jc w:val="right"/>
            </w:pPr>
            <w:r>
              <w:t xml:space="preserve"> </w:t>
            </w:r>
          </w:p>
        </w:tc>
      </w:tr>
      <w:tr w:rsidR="00225485" w:rsidTr="2A287FE6" w14:paraId="1D911054" w14:textId="77777777">
        <w:tc>
          <w:tcPr>
            <w:tcW w:w="567" w:type="dxa"/>
          </w:tcPr>
          <w:p w:rsidRPr="00225485" w:rsidR="00225485" w:rsidRDefault="00225485" w14:paraId="131B1460" w14:textId="77777777">
            <w:r w:rsidRPr="00225485">
              <w:t>2</w:t>
            </w:r>
          </w:p>
        </w:tc>
        <w:tc>
          <w:tcPr>
            <w:tcW w:w="6521" w:type="dxa"/>
          </w:tcPr>
          <w:p w:rsidR="00225485" w:rsidRDefault="00225485" w14:paraId="1B92C869" w14:textId="77777777">
            <w:r>
              <w:t>Wat is de verwachting voor het Europese Unie (EU)-gemiddelde voor Official Development Assistance (ODA), uitgedrukt in een percentage van het bruto binnenlands product (BBP) of het bruto nationaal inkomen (BNI) voor de komende jaren en hoe verhoudt de Nederlandse ODA-prestatie zich in die periode tot die van andere Europese lidstaten?</w:t>
            </w:r>
          </w:p>
          <w:p w:rsidR="00225485" w:rsidRDefault="00225485" w14:paraId="69D9EBED" w14:textId="77777777"/>
          <w:p w:rsidRPr="007D789E" w:rsidR="00225485" w:rsidP="00D90FD4" w:rsidRDefault="00225485" w14:paraId="41FAAA84" w14:textId="661E3DAD">
            <w:pPr>
              <w:rPr>
                <w:b/>
                <w:bCs/>
              </w:rPr>
            </w:pPr>
            <w:r w:rsidRPr="007D789E">
              <w:rPr>
                <w:b/>
                <w:bCs/>
              </w:rPr>
              <w:t>Antwoord</w:t>
            </w:r>
          </w:p>
          <w:p w:rsidRPr="00F66E3A" w:rsidR="00225485" w:rsidP="00B05251" w:rsidRDefault="00225485" w14:paraId="5645C6E5" w14:textId="7CB594F2">
            <w:pPr>
              <w:rPr>
                <w:b/>
              </w:rPr>
            </w:pPr>
            <w:r w:rsidRPr="00F66E3A">
              <w:rPr>
                <w:b/>
              </w:rPr>
              <w:t xml:space="preserve">Een </w:t>
            </w:r>
            <w:r w:rsidRPr="007F4B73" w:rsidR="007F4B73">
              <w:rPr>
                <w:b/>
              </w:rPr>
              <w:t xml:space="preserve">verwachting voor het Europese Unie (EU)-gemiddelde voor Official </w:t>
            </w:r>
            <w:r w:rsidRPr="00AE4D77" w:rsidR="007F4B73">
              <w:rPr>
                <w:b/>
              </w:rPr>
              <w:t>Development Assistance (ODA) als percentage van het bbp of bni voor de komende jaren is niet beschikbaar aangezien de meeste EU-landen geen geschat ODA-percentage bekendmaken.</w:t>
            </w:r>
            <w:r w:rsidRPr="007F4B73" w:rsidR="007F4B73">
              <w:rPr>
                <w:b/>
              </w:rPr>
              <w:t xml:space="preserve"> </w:t>
            </w:r>
          </w:p>
          <w:p w:rsidRPr="00F66E3A" w:rsidR="00225485" w:rsidP="00AF11AE" w:rsidRDefault="00225485" w14:paraId="1769B704" w14:textId="61011122">
            <w:pPr>
              <w:rPr>
                <w:b/>
              </w:rPr>
            </w:pPr>
            <w:r w:rsidRPr="00F66E3A">
              <w:rPr>
                <w:b/>
              </w:rPr>
              <w:t>In 2025 was Nederland met een ODA-prestatie van 0,58% de vierde grootste donor binnen de EU en bedroeg de gezamenlijke EU ODA-prestatie 0,44% van het EU bruto nationaal inkomen</w:t>
            </w:r>
            <w:r w:rsidRPr="00F66E3A">
              <w:rPr>
                <w:rStyle w:val="EndnoteReference"/>
                <w:b/>
              </w:rPr>
              <w:endnoteReference w:id="1"/>
            </w:r>
            <w:r w:rsidRPr="00F66E3A">
              <w:rPr>
                <w:b/>
              </w:rPr>
              <w:t xml:space="preserve">. </w:t>
            </w:r>
          </w:p>
          <w:p w:rsidR="00225485" w:rsidRDefault="00225485" w14:paraId="10E96E49" w14:textId="44A0F881"/>
        </w:tc>
        <w:tc>
          <w:tcPr>
            <w:tcW w:w="992" w:type="dxa"/>
          </w:tcPr>
          <w:p w:rsidR="00225485" w:rsidRDefault="00225485" w14:paraId="2510F675" w14:textId="77777777">
            <w:pPr>
              <w:jc w:val="right"/>
            </w:pPr>
          </w:p>
        </w:tc>
        <w:tc>
          <w:tcPr>
            <w:tcW w:w="567" w:type="dxa"/>
          </w:tcPr>
          <w:p w:rsidR="00225485" w:rsidRDefault="00225485" w14:paraId="16CBA54C" w14:textId="77777777">
            <w:pPr>
              <w:jc w:val="right"/>
            </w:pPr>
            <w:r>
              <w:t xml:space="preserve"> </w:t>
            </w:r>
          </w:p>
        </w:tc>
      </w:tr>
      <w:tr w:rsidR="00225485" w:rsidTr="2A287FE6" w14:paraId="6074172A" w14:textId="77777777">
        <w:tc>
          <w:tcPr>
            <w:tcW w:w="567" w:type="dxa"/>
          </w:tcPr>
          <w:p w:rsidRPr="00225485" w:rsidR="00225485" w:rsidRDefault="00225485" w14:paraId="612C3770" w14:textId="77777777">
            <w:r w:rsidRPr="00225485">
              <w:t>3</w:t>
            </w:r>
          </w:p>
        </w:tc>
        <w:tc>
          <w:tcPr>
            <w:tcW w:w="6521" w:type="dxa"/>
          </w:tcPr>
          <w:p w:rsidR="00225485" w:rsidRDefault="00225485" w14:paraId="2327B52F" w14:textId="77777777">
            <w:r>
              <w:t xml:space="preserve">Welke specifieke inspanningen en diplomatieke acties heeft Nederland in 2025 verricht om Amerikaanse sancties tegen het Internationaal Strafhof (ISH) te voorkomen of te beperken en welke kosten waren hiermee gemoeid? </w:t>
            </w:r>
          </w:p>
          <w:p w:rsidR="00225485" w:rsidRDefault="00225485" w14:paraId="5664097A" w14:textId="77777777">
            <w:pPr>
              <w:rPr>
                <w:b/>
                <w:bCs/>
              </w:rPr>
            </w:pPr>
          </w:p>
          <w:p w:rsidRPr="007D789E" w:rsidR="00AE4D77" w:rsidRDefault="00AE4D77" w14:paraId="6DA11778" w14:textId="77777777">
            <w:pPr>
              <w:rPr>
                <w:b/>
                <w:bCs/>
              </w:rPr>
            </w:pPr>
          </w:p>
          <w:p w:rsidRPr="007D789E" w:rsidR="00225485" w:rsidP="00D90FD4" w:rsidRDefault="00225485" w14:paraId="606A8B34" w14:textId="7A6BA352">
            <w:pPr>
              <w:rPr>
                <w:b/>
                <w:bCs/>
              </w:rPr>
            </w:pPr>
            <w:r w:rsidRPr="007D789E">
              <w:rPr>
                <w:b/>
                <w:bCs/>
              </w:rPr>
              <w:lastRenderedPageBreak/>
              <w:t>Antwoord</w:t>
            </w:r>
          </w:p>
          <w:p w:rsidR="00FD0FA2" w:rsidP="00FD0FA2" w:rsidRDefault="00FD0FA2" w14:paraId="69A573F3" w14:textId="77777777">
            <w:pPr>
              <w:rPr>
                <w:b/>
              </w:rPr>
            </w:pPr>
            <w:r w:rsidRPr="00F66E3A">
              <w:rPr>
                <w:b/>
              </w:rPr>
              <w:t xml:space="preserve">In 2025 heeft Nederland zich als gastland en verdragspartij </w:t>
            </w:r>
            <w:r>
              <w:rPr>
                <w:b/>
              </w:rPr>
              <w:t xml:space="preserve">actief </w:t>
            </w:r>
            <w:r w:rsidRPr="00F66E3A">
              <w:rPr>
                <w:b/>
              </w:rPr>
              <w:t xml:space="preserve">ingezet om het functioneren van het Internationaal Strafhof (ISH) te </w:t>
            </w:r>
            <w:r>
              <w:rPr>
                <w:b/>
              </w:rPr>
              <w:t>ondersteunen op verschillende manieren:</w:t>
            </w:r>
          </w:p>
          <w:p w:rsidR="00FD0FA2" w:rsidP="00FD0FA2" w:rsidRDefault="00FD0FA2" w14:paraId="0B5E2040" w14:textId="77777777">
            <w:pPr>
              <w:pStyle w:val="ListParagraph"/>
              <w:numPr>
                <w:ilvl w:val="0"/>
                <w:numId w:val="4"/>
              </w:numPr>
              <w:rPr>
                <w:b/>
              </w:rPr>
            </w:pPr>
            <w:r>
              <w:rPr>
                <w:b/>
              </w:rPr>
              <w:t xml:space="preserve">Het aankaarten van de impact van sancties in het reguliere overleg </w:t>
            </w:r>
            <w:r w:rsidRPr="0067504C">
              <w:rPr>
                <w:b/>
              </w:rPr>
              <w:t xml:space="preserve">en </w:t>
            </w:r>
            <w:r>
              <w:rPr>
                <w:b/>
              </w:rPr>
              <w:t xml:space="preserve">het bespreken van </w:t>
            </w:r>
            <w:r w:rsidRPr="0067504C">
              <w:rPr>
                <w:b/>
              </w:rPr>
              <w:t>mogelijke mitigatiemaatregelen</w:t>
            </w:r>
            <w:r>
              <w:rPr>
                <w:b/>
              </w:rPr>
              <w:t>;</w:t>
            </w:r>
          </w:p>
          <w:p w:rsidR="00FD0FA2" w:rsidP="00FD0FA2" w:rsidRDefault="00FD0FA2" w14:paraId="3507EB1A" w14:textId="77777777">
            <w:pPr>
              <w:pStyle w:val="ListParagraph"/>
              <w:numPr>
                <w:ilvl w:val="0"/>
                <w:numId w:val="4"/>
              </w:numPr>
              <w:rPr>
                <w:b/>
              </w:rPr>
            </w:pPr>
            <w:r>
              <w:rPr>
                <w:b/>
              </w:rPr>
              <w:t xml:space="preserve">Het organiseren van </w:t>
            </w:r>
            <w:r w:rsidRPr="0067504C">
              <w:rPr>
                <w:b/>
              </w:rPr>
              <w:t>informatiesessies voor medewerkers van het Strafhof over sancties en organiseerde bijeenkomsten met andere verdragspartijen om de diplomatieke acties ter ondersteuning van het Hof en de te nemen mitigatiemaatregelen te coördineren</w:t>
            </w:r>
            <w:r>
              <w:rPr>
                <w:b/>
              </w:rPr>
              <w:t>;</w:t>
            </w:r>
          </w:p>
          <w:p w:rsidR="00FD0FA2" w:rsidP="00FD0FA2" w:rsidRDefault="00FD0FA2" w14:paraId="0BD31299" w14:textId="77777777">
            <w:pPr>
              <w:pStyle w:val="ListParagraph"/>
              <w:numPr>
                <w:ilvl w:val="0"/>
                <w:numId w:val="4"/>
              </w:numPr>
              <w:rPr>
                <w:b/>
              </w:rPr>
            </w:pPr>
            <w:r>
              <w:rPr>
                <w:b/>
              </w:rPr>
              <w:t xml:space="preserve">Het organiseren van gesprekken met </w:t>
            </w:r>
            <w:r w:rsidRPr="0067504C">
              <w:rPr>
                <w:b/>
              </w:rPr>
              <w:t>Nederlandse (potentiële) dienstverleners aan het Hof</w:t>
            </w:r>
            <w:r>
              <w:rPr>
                <w:b/>
              </w:rPr>
              <w:t>;</w:t>
            </w:r>
            <w:r w:rsidRPr="0067504C">
              <w:rPr>
                <w:b/>
              </w:rPr>
              <w:t xml:space="preserve"> </w:t>
            </w:r>
            <w:bookmarkStart w:name="_Hlk230940563" w:id="1"/>
          </w:p>
          <w:p w:rsidR="00FD0FA2" w:rsidP="00FD0FA2" w:rsidRDefault="00FD0FA2" w14:paraId="3B7D3C5E" w14:textId="77777777">
            <w:pPr>
              <w:pStyle w:val="ListParagraph"/>
              <w:numPr>
                <w:ilvl w:val="0"/>
                <w:numId w:val="4"/>
              </w:numPr>
              <w:rPr>
                <w:b/>
              </w:rPr>
            </w:pPr>
            <w:r>
              <w:rPr>
                <w:b/>
              </w:rPr>
              <w:t xml:space="preserve">Het uitspreken van zorgen </w:t>
            </w:r>
            <w:r w:rsidRPr="0067504C">
              <w:rPr>
                <w:b/>
              </w:rPr>
              <w:t xml:space="preserve">bij vrijwel elke mogelijke gelegenheid over deze sancties besproken met de relevante Amerikaanse gesprekspartners, waaronder minister van Buitenlandse Zaken </w:t>
            </w:r>
            <w:proofErr w:type="spellStart"/>
            <w:r w:rsidRPr="0067504C">
              <w:rPr>
                <w:b/>
              </w:rPr>
              <w:t>Rubio</w:t>
            </w:r>
            <w:proofErr w:type="spellEnd"/>
            <w:r>
              <w:rPr>
                <w:b/>
              </w:rPr>
              <w:t>;</w:t>
            </w:r>
            <w:r w:rsidRPr="0067504C">
              <w:rPr>
                <w:b/>
              </w:rPr>
              <w:t xml:space="preserve"> </w:t>
            </w:r>
            <w:bookmarkEnd w:id="1"/>
          </w:p>
          <w:p w:rsidR="00FD0FA2" w:rsidP="00FD0FA2" w:rsidRDefault="00FD0FA2" w14:paraId="4E81B23F" w14:textId="77777777">
            <w:pPr>
              <w:pStyle w:val="ListParagraph"/>
              <w:numPr>
                <w:ilvl w:val="0"/>
                <w:numId w:val="4"/>
              </w:numPr>
              <w:rPr>
                <w:b/>
              </w:rPr>
            </w:pPr>
            <w:r>
              <w:rPr>
                <w:b/>
              </w:rPr>
              <w:t xml:space="preserve">Het aanjagen </w:t>
            </w:r>
            <w:r w:rsidRPr="0067504C">
              <w:rPr>
                <w:b/>
              </w:rPr>
              <w:t>van verschillende gesprekken en bijeenkomsten in EU- en ASP-verband over mogelijke maatregelen om de gevolgen van sancties te mitigeren</w:t>
            </w:r>
            <w:r>
              <w:rPr>
                <w:b/>
              </w:rPr>
              <w:t>;</w:t>
            </w:r>
          </w:p>
          <w:p w:rsidR="00FD0FA2" w:rsidP="00FD0FA2" w:rsidRDefault="00FD0FA2" w14:paraId="609FFB65" w14:textId="77777777">
            <w:pPr>
              <w:pStyle w:val="ListParagraph"/>
              <w:numPr>
                <w:ilvl w:val="0"/>
                <w:numId w:val="4"/>
              </w:numPr>
              <w:rPr>
                <w:b/>
              </w:rPr>
            </w:pPr>
            <w:r>
              <w:rPr>
                <w:b/>
              </w:rPr>
              <w:t xml:space="preserve">In de </w:t>
            </w:r>
            <w:r w:rsidRPr="0067504C">
              <w:rPr>
                <w:b/>
              </w:rPr>
              <w:t xml:space="preserve">RBZ en JBZ </w:t>
            </w:r>
            <w:r>
              <w:rPr>
                <w:b/>
              </w:rPr>
              <w:t xml:space="preserve">meermaals aandacht vragen </w:t>
            </w:r>
            <w:r w:rsidRPr="0067504C">
              <w:rPr>
                <w:b/>
              </w:rPr>
              <w:t xml:space="preserve">voor de VS sancties en </w:t>
            </w:r>
            <w:r>
              <w:rPr>
                <w:b/>
              </w:rPr>
              <w:t>wijzen</w:t>
            </w:r>
            <w:r w:rsidRPr="0067504C">
              <w:rPr>
                <w:b/>
              </w:rPr>
              <w:t xml:space="preserve"> op mogelijke mitigerende maatregelen op EU-niveau. </w:t>
            </w:r>
          </w:p>
          <w:p w:rsidRPr="0067504C" w:rsidR="00FD0FA2" w:rsidP="00FD0FA2" w:rsidRDefault="00FD0FA2" w14:paraId="747C29BB" w14:textId="77777777">
            <w:pPr>
              <w:rPr>
                <w:b/>
              </w:rPr>
            </w:pPr>
            <w:r w:rsidRPr="0067504C">
              <w:rPr>
                <w:b/>
              </w:rPr>
              <w:t xml:space="preserve">De kosten die gemoeid waren met deze inzet bestaan met name uit reiskosten en representatiekosten voor het organiseren van coördinatiebijeenkomsten. </w:t>
            </w:r>
          </w:p>
          <w:p w:rsidR="00225485" w:rsidRDefault="00225485" w14:paraId="7857A41E" w14:textId="7CD153D2"/>
        </w:tc>
        <w:tc>
          <w:tcPr>
            <w:tcW w:w="992" w:type="dxa"/>
          </w:tcPr>
          <w:p w:rsidR="00225485" w:rsidRDefault="00225485" w14:paraId="14D94D67" w14:textId="77777777">
            <w:pPr>
              <w:jc w:val="right"/>
            </w:pPr>
            <w:r>
              <w:lastRenderedPageBreak/>
              <w:t>6</w:t>
            </w:r>
          </w:p>
        </w:tc>
        <w:tc>
          <w:tcPr>
            <w:tcW w:w="567" w:type="dxa"/>
          </w:tcPr>
          <w:p w:rsidR="00225485" w:rsidRDefault="00225485" w14:paraId="6F7B18D2" w14:textId="77777777">
            <w:pPr>
              <w:jc w:val="right"/>
            </w:pPr>
            <w:r>
              <w:t xml:space="preserve"> </w:t>
            </w:r>
          </w:p>
        </w:tc>
      </w:tr>
      <w:tr w:rsidR="00225485" w:rsidTr="2A287FE6" w14:paraId="5F0E72FE" w14:textId="77777777">
        <w:tc>
          <w:tcPr>
            <w:tcW w:w="567" w:type="dxa"/>
          </w:tcPr>
          <w:p w:rsidRPr="00225485" w:rsidR="00225485" w:rsidRDefault="00225485" w14:paraId="60A98F3B" w14:textId="77777777">
            <w:r w:rsidRPr="00225485">
              <w:t>4</w:t>
            </w:r>
          </w:p>
        </w:tc>
        <w:tc>
          <w:tcPr>
            <w:tcW w:w="6521" w:type="dxa"/>
          </w:tcPr>
          <w:p w:rsidR="00225485" w:rsidRDefault="00225485" w14:paraId="4BEA2E21" w14:textId="77777777">
            <w:r>
              <w:t>Waarom is er zoveel minder dan begroot uitgegeven aan nationale veiligheid en terrorismebestrijding door het ministerie van Justitie en Veiligheid?</w:t>
            </w:r>
          </w:p>
          <w:p w:rsidR="00225485" w:rsidRDefault="00225485" w14:paraId="67F7F866" w14:textId="77777777"/>
          <w:p w:rsidRPr="007D789E" w:rsidR="00225485" w:rsidP="00D90FD4" w:rsidRDefault="00225485" w14:paraId="2D6B4EA4" w14:textId="7D210F43">
            <w:pPr>
              <w:rPr>
                <w:b/>
                <w:bCs/>
              </w:rPr>
            </w:pPr>
            <w:r w:rsidRPr="007D789E">
              <w:rPr>
                <w:b/>
                <w:bCs/>
              </w:rPr>
              <w:t>Antwoord</w:t>
            </w:r>
          </w:p>
          <w:p w:rsidR="00225485" w:rsidRDefault="00225485" w14:paraId="68E2F510" w14:textId="2EC5B113">
            <w:pPr>
              <w:rPr>
                <w:b/>
                <w:bCs/>
              </w:rPr>
            </w:pPr>
            <w:r w:rsidRPr="001C5B97">
              <w:rPr>
                <w:b/>
                <w:bCs/>
              </w:rPr>
              <w:t xml:space="preserve">De realisatie op het HGIS-budget voor de nationale veiligheid en terrorismebestrijding is </w:t>
            </w:r>
            <w:r>
              <w:rPr>
                <w:b/>
                <w:bCs/>
              </w:rPr>
              <w:t>EUR</w:t>
            </w:r>
            <w:r w:rsidRPr="001C5B97">
              <w:rPr>
                <w:b/>
                <w:bCs/>
              </w:rPr>
              <w:t xml:space="preserve"> 39,3 mln. lager uitgevallen dan begroot in 2025. Dit komt doordat geoormerkte bedragen voor de accountability Oekraïne (</w:t>
            </w:r>
            <w:r>
              <w:rPr>
                <w:b/>
                <w:bCs/>
              </w:rPr>
              <w:t>EUR</w:t>
            </w:r>
            <w:r w:rsidRPr="001C5B97" w:rsidR="7EEF9EA7">
              <w:rPr>
                <w:b/>
                <w:bCs/>
              </w:rPr>
              <w:t xml:space="preserve"> 13 mln.) en een deel van het budget voor de NAVO-top (</w:t>
            </w:r>
            <w:r w:rsidR="7EEF9EA7">
              <w:rPr>
                <w:b/>
                <w:bCs/>
              </w:rPr>
              <w:t>EUR</w:t>
            </w:r>
            <w:r w:rsidRPr="001C5B97" w:rsidR="7EEF9EA7">
              <w:rPr>
                <w:b/>
                <w:bCs/>
              </w:rPr>
              <w:t xml:space="preserve"> 5,7 mln.) niet tot besteding zijn gekomen. </w:t>
            </w:r>
            <w:bookmarkStart w:name="_Hlk231462342" w:id="2"/>
            <w:r w:rsidRPr="001C5B97" w:rsidR="7EEF9EA7">
              <w:rPr>
                <w:b/>
                <w:bCs/>
              </w:rPr>
              <w:t xml:space="preserve">De </w:t>
            </w:r>
            <w:r w:rsidR="00112B2F">
              <w:rPr>
                <w:b/>
                <w:bCs/>
              </w:rPr>
              <w:t xml:space="preserve">inzet ten behoeve van </w:t>
            </w:r>
            <w:r w:rsidRPr="001C5B97">
              <w:rPr>
                <w:b/>
                <w:bCs/>
              </w:rPr>
              <w:t>accountability Oekraïne was in 2025</w:t>
            </w:r>
            <w:r w:rsidR="00112B2F">
              <w:rPr>
                <w:b/>
                <w:bCs/>
              </w:rPr>
              <w:t xml:space="preserve"> in budgettaire zin</w:t>
            </w:r>
            <w:r w:rsidRPr="001C5B97">
              <w:rPr>
                <w:b/>
                <w:bCs/>
              </w:rPr>
              <w:t xml:space="preserve"> nog in de opbouwfase waardoor de middelen nog niet nodig waren</w:t>
            </w:r>
            <w:r w:rsidR="00112B2F">
              <w:rPr>
                <w:b/>
                <w:bCs/>
              </w:rPr>
              <w:t>.</w:t>
            </w:r>
            <w:r w:rsidRPr="001C5B97" w:rsidR="00112B2F">
              <w:rPr>
                <w:b/>
                <w:bCs/>
              </w:rPr>
              <w:t xml:space="preserve"> </w:t>
            </w:r>
            <w:r w:rsidR="00112B2F">
              <w:rPr>
                <w:b/>
                <w:bCs/>
              </w:rPr>
              <w:t>H</w:t>
            </w:r>
            <w:r w:rsidRPr="001C5B97">
              <w:rPr>
                <w:b/>
                <w:bCs/>
              </w:rPr>
              <w:t xml:space="preserve">et budget voor de NAVO-top betrof een reservering voor eventuele onvoorziene kosten die niet volledig uitgeput is. </w:t>
            </w:r>
            <w:bookmarkEnd w:id="2"/>
            <w:r w:rsidRPr="001C5B97">
              <w:rPr>
                <w:b/>
                <w:bCs/>
              </w:rPr>
              <w:t xml:space="preserve">Ook is er </w:t>
            </w:r>
            <w:r>
              <w:rPr>
                <w:b/>
                <w:bCs/>
              </w:rPr>
              <w:t>EUR</w:t>
            </w:r>
            <w:r w:rsidRPr="001C5B97">
              <w:rPr>
                <w:b/>
                <w:bCs/>
              </w:rPr>
              <w:t xml:space="preserve"> 20,5 mln. voor de NAVO-top technisch herschikt van artikel 36 (Nationale veiligheid en terrorismebestrijding) naar artikel 31 (Politie).</w:t>
            </w:r>
          </w:p>
          <w:p w:rsidRPr="007D789E" w:rsidR="00E55CF2" w:rsidRDefault="00E55CF2" w14:paraId="63E8B6A1" w14:textId="4F0D750B">
            <w:pPr>
              <w:rPr>
                <w:b/>
                <w:bCs/>
              </w:rPr>
            </w:pPr>
          </w:p>
        </w:tc>
        <w:tc>
          <w:tcPr>
            <w:tcW w:w="992" w:type="dxa"/>
          </w:tcPr>
          <w:p w:rsidR="00225485" w:rsidRDefault="00225485" w14:paraId="00628D0D" w14:textId="77777777">
            <w:pPr>
              <w:jc w:val="right"/>
            </w:pPr>
            <w:r>
              <w:t>9</w:t>
            </w:r>
          </w:p>
        </w:tc>
        <w:tc>
          <w:tcPr>
            <w:tcW w:w="567" w:type="dxa"/>
          </w:tcPr>
          <w:p w:rsidR="00225485" w:rsidRDefault="00225485" w14:paraId="5FC9E2CB" w14:textId="77777777">
            <w:pPr>
              <w:jc w:val="right"/>
            </w:pPr>
            <w:r>
              <w:t xml:space="preserve"> </w:t>
            </w:r>
          </w:p>
        </w:tc>
      </w:tr>
      <w:tr w:rsidR="00225485" w:rsidTr="2A287FE6" w14:paraId="2582D403" w14:textId="77777777">
        <w:tc>
          <w:tcPr>
            <w:tcW w:w="567" w:type="dxa"/>
          </w:tcPr>
          <w:p w:rsidRPr="00225485" w:rsidR="00225485" w:rsidRDefault="00225485" w14:paraId="485E5C0E" w14:textId="77777777">
            <w:r w:rsidRPr="00225485">
              <w:t>5</w:t>
            </w:r>
          </w:p>
        </w:tc>
        <w:tc>
          <w:tcPr>
            <w:tcW w:w="6521" w:type="dxa"/>
          </w:tcPr>
          <w:p w:rsidR="00225485" w:rsidRDefault="00225485" w14:paraId="28CB7A07" w14:textId="77777777">
            <w:r>
              <w:t>Wat is de achtergrond van de structurele verlaging van het budget voor crisisbeheersingsorganisaties?</w:t>
            </w:r>
          </w:p>
          <w:p w:rsidR="00225485" w:rsidRDefault="00225485" w14:paraId="4440CEDF" w14:textId="77777777"/>
          <w:p w:rsidRPr="007D789E" w:rsidR="00225485" w:rsidP="007D789E" w:rsidRDefault="00225485" w14:paraId="4D701489" w14:textId="1B7F43C7">
            <w:pPr>
              <w:rPr>
                <w:b/>
                <w:bCs/>
              </w:rPr>
            </w:pPr>
            <w:r w:rsidRPr="007D789E">
              <w:rPr>
                <w:b/>
                <w:bCs/>
              </w:rPr>
              <w:t>Antwoord</w:t>
            </w:r>
            <w:r w:rsidRPr="007D789E">
              <w:rPr>
                <w:b/>
                <w:bCs/>
              </w:rPr>
              <w:tab/>
            </w:r>
          </w:p>
          <w:p w:rsidR="00225485" w:rsidP="007D789E" w:rsidRDefault="00225485" w14:paraId="6A6A3251" w14:textId="77777777">
            <w:pPr>
              <w:rPr>
                <w:b/>
              </w:rPr>
            </w:pPr>
            <w:r w:rsidRPr="00F66E3A">
              <w:rPr>
                <w:b/>
              </w:rPr>
              <w:t>Het budget voor crisisbeheersingsoperaties is bedoeld om de verdragsmatig verplichte Nederlandse bijdragen aan VN-vredesmissies te voldoen. De laatste jaren bleek het gereserveerde budget ruim voldoende om aan deze betaalverplichting te voldoen. De VN heeft bovendien een structurele budgetverlaging doorgevoerd voor vredesmissies en de VN-vredesmissie MINUSMA</w:t>
            </w:r>
            <w:r>
              <w:rPr>
                <w:b/>
              </w:rPr>
              <w:t xml:space="preserve"> werd</w:t>
            </w:r>
            <w:r w:rsidRPr="00F66E3A">
              <w:rPr>
                <w:b/>
              </w:rPr>
              <w:t xml:space="preserve"> in 2024 afgerond. </w:t>
            </w:r>
          </w:p>
          <w:p w:rsidRPr="007D789E" w:rsidR="00E55CF2" w:rsidP="007D789E" w:rsidRDefault="00E55CF2" w14:paraId="66FE607F" w14:textId="0AE05A75">
            <w:pPr>
              <w:rPr>
                <w:b/>
              </w:rPr>
            </w:pPr>
          </w:p>
        </w:tc>
        <w:tc>
          <w:tcPr>
            <w:tcW w:w="992" w:type="dxa"/>
          </w:tcPr>
          <w:p w:rsidR="00225485" w:rsidRDefault="00225485" w14:paraId="7F3BBDA8" w14:textId="77777777">
            <w:pPr>
              <w:jc w:val="right"/>
            </w:pPr>
            <w:r>
              <w:t>9</w:t>
            </w:r>
          </w:p>
        </w:tc>
        <w:tc>
          <w:tcPr>
            <w:tcW w:w="567" w:type="dxa"/>
          </w:tcPr>
          <w:p w:rsidR="00225485" w:rsidRDefault="00225485" w14:paraId="31E7D27D" w14:textId="77777777">
            <w:pPr>
              <w:jc w:val="right"/>
            </w:pPr>
            <w:r>
              <w:t xml:space="preserve"> </w:t>
            </w:r>
          </w:p>
        </w:tc>
      </w:tr>
      <w:tr w:rsidR="00225485" w:rsidTr="2A287FE6" w14:paraId="09163E55" w14:textId="77777777">
        <w:tc>
          <w:tcPr>
            <w:tcW w:w="567" w:type="dxa"/>
          </w:tcPr>
          <w:p w:rsidRPr="00225485" w:rsidR="00225485" w:rsidRDefault="00225485" w14:paraId="270C3F53" w14:textId="77777777">
            <w:r w:rsidRPr="00225485">
              <w:t>6</w:t>
            </w:r>
          </w:p>
        </w:tc>
        <w:tc>
          <w:tcPr>
            <w:tcW w:w="6521" w:type="dxa"/>
          </w:tcPr>
          <w:p w:rsidR="00225485" w:rsidRDefault="00225485" w14:paraId="2D993BE5" w14:textId="77777777">
            <w:r>
              <w:t xml:space="preserve">Waarom is er gekozen voor twee of zelfs drie verschillende programma’s gericht op Suriname en in hoeverre is overwogen deze programma’s samen te voegen? </w:t>
            </w:r>
          </w:p>
          <w:p w:rsidR="00225485" w:rsidRDefault="00225485" w14:paraId="6E657718" w14:textId="77777777"/>
          <w:p w:rsidRPr="007D789E" w:rsidR="00225485" w:rsidP="0063331B" w:rsidRDefault="00225485" w14:paraId="345B5D86" w14:textId="301FA862">
            <w:pPr>
              <w:rPr>
                <w:b/>
                <w:bCs/>
              </w:rPr>
            </w:pPr>
            <w:r w:rsidRPr="007D789E">
              <w:rPr>
                <w:b/>
                <w:bCs/>
              </w:rPr>
              <w:lastRenderedPageBreak/>
              <w:t>Antwoord</w:t>
            </w:r>
          </w:p>
          <w:p w:rsidRPr="0063331B" w:rsidR="00225485" w:rsidP="0063331B" w:rsidRDefault="00225485" w14:paraId="222129A8" w14:textId="336492AA">
            <w:pPr>
              <w:rPr>
                <w:b/>
              </w:rPr>
            </w:pPr>
            <w:r w:rsidRPr="0063331B">
              <w:rPr>
                <w:b/>
              </w:rPr>
              <w:t>Er zijn drie verschillende soorten fondsen beschikbaar voor Suriname:</w:t>
            </w:r>
          </w:p>
          <w:p w:rsidRPr="00F66E3A" w:rsidR="00225485" w:rsidP="0063331B" w:rsidRDefault="00225485" w14:paraId="6D47CA3A" w14:textId="67E66CE2">
            <w:pPr>
              <w:numPr>
                <w:ilvl w:val="0"/>
                <w:numId w:val="3"/>
              </w:numPr>
              <w:rPr>
                <w:b/>
              </w:rPr>
            </w:pPr>
            <w:r w:rsidRPr="00F66E3A">
              <w:rPr>
                <w:b/>
              </w:rPr>
              <w:t xml:space="preserve">Bij de onafhankelijkheid van </w:t>
            </w:r>
            <w:r w:rsidRPr="007D789E">
              <w:rPr>
                <w:b/>
              </w:rPr>
              <w:t>Suriname in 1975 is ontwikkelingsgeld toegekend (Verdragsmiddelen),</w:t>
            </w:r>
            <w:r w:rsidRPr="00F66E3A">
              <w:rPr>
                <w:b/>
              </w:rPr>
              <w:t xml:space="preserve"> omgerekend </w:t>
            </w:r>
            <w:r w:rsidRPr="00CF488F">
              <w:rPr>
                <w:b/>
              </w:rPr>
              <w:t xml:space="preserve">t.w.v. </w:t>
            </w:r>
            <w:r>
              <w:rPr>
                <w:b/>
              </w:rPr>
              <w:t xml:space="preserve">EUR </w:t>
            </w:r>
            <w:r w:rsidRPr="00CF488F">
              <w:rPr>
                <w:b/>
              </w:rPr>
              <w:t>1,58 miljard. Om meerdere redenen liep de besteding van deze middelen de afgelopen 50 jaar meerdere malen vertraging op. De middelen zijn zo goed als uitgeput; er resteert slechts een klein gedeelte. Deze middelen zijn vastgelegd in een verdrag met Suriname; van samenvoeging</w:t>
            </w:r>
            <w:r w:rsidRPr="00F66E3A">
              <w:rPr>
                <w:b/>
              </w:rPr>
              <w:t xml:space="preserve"> kan dus geen sprake zijn.</w:t>
            </w:r>
          </w:p>
          <w:p w:rsidRPr="0063331B" w:rsidR="00225485" w:rsidP="0063331B" w:rsidRDefault="00225485" w14:paraId="7625F5BF" w14:textId="7A31983C">
            <w:pPr>
              <w:numPr>
                <w:ilvl w:val="0"/>
                <w:numId w:val="3"/>
              </w:numPr>
              <w:rPr>
                <w:b/>
              </w:rPr>
            </w:pPr>
            <w:r w:rsidRPr="0063331B">
              <w:rPr>
                <w:b/>
              </w:rPr>
              <w:t>Na de excuses van de N</w:t>
            </w:r>
            <w:r>
              <w:rPr>
                <w:b/>
              </w:rPr>
              <w:t>ederlandse</w:t>
            </w:r>
            <w:r w:rsidRPr="0063331B">
              <w:rPr>
                <w:b/>
              </w:rPr>
              <w:t xml:space="preserve"> regering voor het handelen van de N</w:t>
            </w:r>
            <w:r>
              <w:rPr>
                <w:b/>
              </w:rPr>
              <w:t>ederlandse</w:t>
            </w:r>
            <w:r w:rsidRPr="0063331B">
              <w:rPr>
                <w:b/>
              </w:rPr>
              <w:t xml:space="preserve"> staat inzake het slavernijverleden in 2022, is een fonds ingesteld van </w:t>
            </w:r>
            <w:r>
              <w:rPr>
                <w:b/>
              </w:rPr>
              <w:t xml:space="preserve">EUR </w:t>
            </w:r>
            <w:r w:rsidRPr="0063331B">
              <w:rPr>
                <w:b/>
              </w:rPr>
              <w:t xml:space="preserve">200 </w:t>
            </w:r>
            <w:proofErr w:type="spellStart"/>
            <w:r w:rsidRPr="0063331B">
              <w:rPr>
                <w:b/>
              </w:rPr>
              <w:t>mln</w:t>
            </w:r>
            <w:proofErr w:type="spellEnd"/>
            <w:r w:rsidRPr="0063331B">
              <w:rPr>
                <w:b/>
              </w:rPr>
              <w:t xml:space="preserve"> voor kennen, herdenken en verwerken slavernijverleden. Het fonds is evenredig verdeeld tussen N</w:t>
            </w:r>
            <w:r>
              <w:rPr>
                <w:b/>
              </w:rPr>
              <w:t>ederland</w:t>
            </w:r>
            <w:r w:rsidRPr="0063331B">
              <w:rPr>
                <w:b/>
              </w:rPr>
              <w:t xml:space="preserve">, het Caribisch deel van het Koninkrijk en Suriname. Voor Suriname is </w:t>
            </w:r>
            <w:r>
              <w:rPr>
                <w:b/>
              </w:rPr>
              <w:t xml:space="preserve">EUR </w:t>
            </w:r>
            <w:r w:rsidRPr="0063331B">
              <w:rPr>
                <w:b/>
              </w:rPr>
              <w:t xml:space="preserve">33,3 mln. beschikbaar voor een subsidieprogramma voor maatschappelijke initiatieven en </w:t>
            </w:r>
            <w:r>
              <w:rPr>
                <w:b/>
              </w:rPr>
              <w:t xml:space="preserve">EUR </w:t>
            </w:r>
            <w:r w:rsidRPr="0063331B">
              <w:rPr>
                <w:b/>
              </w:rPr>
              <w:t>33,3 mln. voor beleidsintensiveringen vanuit de overheid. </w:t>
            </w:r>
          </w:p>
          <w:p w:rsidRPr="0063331B" w:rsidR="00225485" w:rsidP="0063331B" w:rsidRDefault="00225485" w14:paraId="2951A922" w14:textId="3D360F72">
            <w:pPr>
              <w:numPr>
                <w:ilvl w:val="0"/>
                <w:numId w:val="3"/>
              </w:numPr>
              <w:rPr>
                <w:b/>
              </w:rPr>
            </w:pPr>
            <w:r w:rsidRPr="0063331B">
              <w:rPr>
                <w:b/>
              </w:rPr>
              <w:t xml:space="preserve">In 2025 is bovendien besloten, op basis van een positieve evaluatie, het succesvolle samenwerkingsprogramma </w:t>
            </w:r>
            <w:proofErr w:type="spellStart"/>
            <w:r w:rsidRPr="0063331B">
              <w:rPr>
                <w:b/>
              </w:rPr>
              <w:t>Makandra</w:t>
            </w:r>
            <w:proofErr w:type="spellEnd"/>
            <w:r w:rsidRPr="0063331B">
              <w:rPr>
                <w:b/>
              </w:rPr>
              <w:t xml:space="preserve"> te continueren met een nieuwe bijdrage van </w:t>
            </w:r>
            <w:r>
              <w:rPr>
                <w:b/>
              </w:rPr>
              <w:t xml:space="preserve">EUR </w:t>
            </w:r>
            <w:r w:rsidRPr="0063331B">
              <w:rPr>
                <w:b/>
              </w:rPr>
              <w:t>10 miljoen voor de periode 2026-2030. Dit programma ziet op technische assistentie en kennisuitwisseling op voor Suriname en N</w:t>
            </w:r>
            <w:r>
              <w:rPr>
                <w:b/>
              </w:rPr>
              <w:t>ederland</w:t>
            </w:r>
            <w:r w:rsidRPr="0063331B">
              <w:rPr>
                <w:b/>
              </w:rPr>
              <w:t xml:space="preserve"> prioritaire terreinen. Denk bijvoorbeeld aan samenwerking tussen de polities, douanes en belastingdiensten, zoals onder het eerste </w:t>
            </w:r>
            <w:proofErr w:type="spellStart"/>
            <w:r w:rsidRPr="0063331B">
              <w:rPr>
                <w:b/>
              </w:rPr>
              <w:t>Makandra</w:t>
            </w:r>
            <w:proofErr w:type="spellEnd"/>
            <w:r w:rsidRPr="0063331B">
              <w:rPr>
                <w:b/>
              </w:rPr>
              <w:t>-programma (2021-2025).</w:t>
            </w:r>
          </w:p>
          <w:p w:rsidRPr="0063331B" w:rsidR="00225485" w:rsidP="0063331B" w:rsidRDefault="00225485" w14:paraId="3CD243DC" w14:textId="77777777">
            <w:pPr>
              <w:rPr>
                <w:b/>
              </w:rPr>
            </w:pPr>
          </w:p>
          <w:p w:rsidR="00225485" w:rsidP="007D789E" w:rsidRDefault="00225485" w14:paraId="6D5A1279" w14:textId="77777777">
            <w:pPr>
              <w:rPr>
                <w:b/>
              </w:rPr>
            </w:pPr>
            <w:r w:rsidRPr="0063331B">
              <w:rPr>
                <w:b/>
              </w:rPr>
              <w:t xml:space="preserve">Samenvoeging van deze drie programma’s is niet mogelijk vanwege enerzijds de verschillende grondslagen (verdragsmiddelen, overheidssamenwerking, subsidieregeling en beleidsinitiatieven) en anderzijds de verschillende doelstellingen (sociaaleconomische ontwikkeling Suriname, kennisuitwisseling en capaciteitsversterking op prioritaire terreinen, opvolging excuses slavernijverleden). Uiteraard wordt in de uitvoering zoveel mogelijk gezocht naar synergie en </w:t>
            </w:r>
            <w:r>
              <w:rPr>
                <w:b/>
              </w:rPr>
              <w:t xml:space="preserve">het </w:t>
            </w:r>
            <w:r w:rsidRPr="0063331B">
              <w:rPr>
                <w:b/>
              </w:rPr>
              <w:t>voorkomen van overlap.</w:t>
            </w:r>
          </w:p>
          <w:p w:rsidRPr="007D789E" w:rsidR="00E55CF2" w:rsidP="007D789E" w:rsidRDefault="00E55CF2" w14:paraId="1BE60A87" w14:textId="613A67F4">
            <w:pPr>
              <w:rPr>
                <w:b/>
              </w:rPr>
            </w:pPr>
          </w:p>
        </w:tc>
        <w:tc>
          <w:tcPr>
            <w:tcW w:w="992" w:type="dxa"/>
          </w:tcPr>
          <w:p w:rsidR="00225485" w:rsidRDefault="00225485" w14:paraId="0DC1209A" w14:textId="77777777">
            <w:pPr>
              <w:jc w:val="right"/>
            </w:pPr>
            <w:r>
              <w:lastRenderedPageBreak/>
              <w:t>13</w:t>
            </w:r>
          </w:p>
        </w:tc>
        <w:tc>
          <w:tcPr>
            <w:tcW w:w="567" w:type="dxa"/>
          </w:tcPr>
          <w:p w:rsidR="00225485" w:rsidRDefault="00225485" w14:paraId="450C6F4A" w14:textId="77777777">
            <w:pPr>
              <w:jc w:val="right"/>
            </w:pPr>
            <w:r>
              <w:t xml:space="preserve"> </w:t>
            </w:r>
          </w:p>
        </w:tc>
      </w:tr>
      <w:tr w:rsidR="00225485" w:rsidTr="2A287FE6" w14:paraId="234FCA10" w14:textId="77777777">
        <w:tc>
          <w:tcPr>
            <w:tcW w:w="567" w:type="dxa"/>
          </w:tcPr>
          <w:p w:rsidRPr="00225485" w:rsidR="00225485" w:rsidRDefault="00225485" w14:paraId="3561EB31" w14:textId="77777777">
            <w:r w:rsidRPr="00225485">
              <w:t>7</w:t>
            </w:r>
          </w:p>
        </w:tc>
        <w:tc>
          <w:tcPr>
            <w:tcW w:w="6521" w:type="dxa"/>
          </w:tcPr>
          <w:p w:rsidR="00225485" w:rsidRDefault="00225485" w14:paraId="4442D0A7" w14:textId="77777777">
            <w:r>
              <w:t>Hoe komt het dat de kosten voor consulaire bijstand en consulaire informatiesystemen onverwacht hoger uitvielen?</w:t>
            </w:r>
          </w:p>
          <w:p w:rsidRPr="007D789E" w:rsidR="00225485" w:rsidRDefault="00225485" w14:paraId="3125740D" w14:textId="77777777">
            <w:pPr>
              <w:rPr>
                <w:b/>
                <w:bCs/>
              </w:rPr>
            </w:pPr>
          </w:p>
          <w:p w:rsidRPr="007D789E" w:rsidR="00225485" w:rsidP="00D90FD4" w:rsidRDefault="00225485" w14:paraId="5D1E446F" w14:textId="18B2D70E">
            <w:pPr>
              <w:rPr>
                <w:b/>
                <w:bCs/>
              </w:rPr>
            </w:pPr>
            <w:r w:rsidRPr="007D789E">
              <w:rPr>
                <w:b/>
                <w:bCs/>
              </w:rPr>
              <w:t>Antwoord</w:t>
            </w:r>
          </w:p>
          <w:p w:rsidRPr="00F66E3A" w:rsidR="00225485" w:rsidP="005C513B" w:rsidRDefault="00225485" w14:paraId="442D2CA8" w14:textId="77777777">
            <w:pPr>
              <w:rPr>
                <w:b/>
              </w:rPr>
            </w:pPr>
            <w:r w:rsidRPr="007D789E">
              <w:rPr>
                <w:b/>
                <w:bCs/>
              </w:rPr>
              <w:t>De uitgaven voor consulaire bijstand zijn niet hoger maar lager uitgevallen dan begroot.</w:t>
            </w:r>
            <w:r w:rsidRPr="00F66E3A">
              <w:rPr>
                <w:b/>
              </w:rPr>
              <w:t xml:space="preserve"> Dit budget is wel verhoogd in de tweede suppletoire begroting vanwege verwachte extra kosten voor consulaire bijstand en ondersteuning bij vertrek tijdens de crisis in het Midden-Oosten. De realisatie is uiteindelijk lager uitgevallen, mede omdat een deel van de uitgaven pas in 2026 is gedaan.</w:t>
            </w:r>
          </w:p>
          <w:p w:rsidRPr="00F66E3A" w:rsidR="00225485" w:rsidP="005C513B" w:rsidRDefault="00225485" w14:paraId="1416EF8B" w14:textId="77777777">
            <w:pPr>
              <w:rPr>
                <w:b/>
              </w:rPr>
            </w:pPr>
            <w:r w:rsidRPr="00F66E3A">
              <w:rPr>
                <w:b/>
              </w:rPr>
              <w:t xml:space="preserve"> </w:t>
            </w:r>
          </w:p>
          <w:p w:rsidR="00225485" w:rsidP="007D789E" w:rsidRDefault="00225485" w14:paraId="5B654A2D" w14:textId="77777777">
            <w:pPr>
              <w:rPr>
                <w:b/>
              </w:rPr>
            </w:pPr>
            <w:r w:rsidRPr="00F66E3A">
              <w:rPr>
                <w:b/>
              </w:rPr>
              <w:t>De hogere uitgaven voor consulaire informatiesystemen hingen met name samen met de vertraagde uitrol van het nieuwe visumsysteem. Dit systeem is inmiddels uitgerold.</w:t>
            </w:r>
          </w:p>
          <w:p w:rsidRPr="007D789E" w:rsidR="00E55CF2" w:rsidP="007D789E" w:rsidRDefault="00E55CF2" w14:paraId="08888601" w14:textId="2C922516">
            <w:pPr>
              <w:rPr>
                <w:b/>
              </w:rPr>
            </w:pPr>
          </w:p>
        </w:tc>
        <w:tc>
          <w:tcPr>
            <w:tcW w:w="992" w:type="dxa"/>
          </w:tcPr>
          <w:p w:rsidR="00225485" w:rsidRDefault="00225485" w14:paraId="4F24752A" w14:textId="77777777">
            <w:pPr>
              <w:jc w:val="right"/>
            </w:pPr>
            <w:r>
              <w:t>14</w:t>
            </w:r>
          </w:p>
        </w:tc>
        <w:tc>
          <w:tcPr>
            <w:tcW w:w="567" w:type="dxa"/>
          </w:tcPr>
          <w:p w:rsidR="00225485" w:rsidRDefault="00225485" w14:paraId="44AFB216" w14:textId="77777777">
            <w:pPr>
              <w:jc w:val="right"/>
            </w:pPr>
            <w:r>
              <w:t xml:space="preserve"> </w:t>
            </w:r>
          </w:p>
        </w:tc>
      </w:tr>
      <w:tr w:rsidR="00225485" w:rsidTr="2A287FE6" w14:paraId="27E6983B" w14:textId="77777777">
        <w:tc>
          <w:tcPr>
            <w:tcW w:w="567" w:type="dxa"/>
          </w:tcPr>
          <w:p w:rsidRPr="00225485" w:rsidR="00225485" w:rsidRDefault="00225485" w14:paraId="47079A02" w14:textId="77777777">
            <w:r w:rsidRPr="00225485">
              <w:t>8</w:t>
            </w:r>
          </w:p>
        </w:tc>
        <w:tc>
          <w:tcPr>
            <w:tcW w:w="6521" w:type="dxa"/>
          </w:tcPr>
          <w:p w:rsidR="00225485" w:rsidRDefault="00225485" w14:paraId="6E187E5F" w14:textId="77777777">
            <w:r>
              <w:t>Aan welke programma’s en organisaties in Soedan heeft Nederland in 2025 ruim € zes miljoen uitgegeven ten behoeve van de veiligheid en stabiliteit aldaar?</w:t>
            </w:r>
          </w:p>
          <w:p w:rsidR="00225485" w:rsidRDefault="00225485" w14:paraId="05392F32" w14:textId="77777777"/>
          <w:p w:rsidR="00AE4D77" w:rsidRDefault="00AE4D77" w14:paraId="2282BCA4" w14:textId="77777777"/>
          <w:p w:rsidR="00AE4D77" w:rsidRDefault="00AE4D77" w14:paraId="65722545" w14:textId="77777777"/>
          <w:p w:rsidRPr="007D789E" w:rsidR="00225485" w:rsidP="00D90FD4" w:rsidRDefault="00225485" w14:paraId="0143CF85" w14:textId="7DA57FE6">
            <w:pPr>
              <w:rPr>
                <w:b/>
                <w:bCs/>
              </w:rPr>
            </w:pPr>
            <w:r w:rsidRPr="007D789E">
              <w:rPr>
                <w:b/>
                <w:bCs/>
              </w:rPr>
              <w:lastRenderedPageBreak/>
              <w:t>Antwoord</w:t>
            </w:r>
          </w:p>
          <w:p w:rsidRPr="00F66E3A" w:rsidR="00225485" w:rsidP="001145CC" w:rsidRDefault="00225485" w14:paraId="6763B45D" w14:textId="77777777">
            <w:pPr>
              <w:rPr>
                <w:b/>
              </w:rPr>
            </w:pPr>
            <w:r w:rsidRPr="007D789E">
              <w:rPr>
                <w:b/>
                <w:bCs/>
              </w:rPr>
              <w:t>De grootste bijdrage ging in 2025 naar het kantoor van de Hoge Commissaris ven de Mensenrechten (OHCHR) dat schendingen van mensenrechten</w:t>
            </w:r>
            <w:r w:rsidRPr="00F66E3A">
              <w:rPr>
                <w:b/>
              </w:rPr>
              <w:t xml:space="preserve"> en het humanitair oorlogsrecht documenteert, aangevuld met steun aan een INGO</w:t>
            </w:r>
            <w:r w:rsidRPr="00F66E3A">
              <w:rPr>
                <w:b/>
                <w:color w:val="000000"/>
              </w:rPr>
              <w:t xml:space="preserve"> die</w:t>
            </w:r>
            <w:r w:rsidRPr="00F66E3A">
              <w:rPr>
                <w:b/>
              </w:rPr>
              <w:t xml:space="preserve"> ondersteuning biedt aan lokale organisaties om bewijzen van dergelijke schendingen te documenteren conform standaarden van het Internationaal Strafhof. </w:t>
            </w:r>
          </w:p>
          <w:p w:rsidRPr="00F66E3A" w:rsidR="00225485" w:rsidP="001145CC" w:rsidRDefault="00225485" w14:paraId="33493A3C" w14:textId="77777777">
            <w:pPr>
              <w:rPr>
                <w:b/>
              </w:rPr>
            </w:pPr>
          </w:p>
          <w:p w:rsidRPr="00F66E3A" w:rsidR="00225485" w:rsidP="001145CC" w:rsidRDefault="00225485" w14:paraId="013C2F27" w14:textId="43761E2B">
            <w:pPr>
              <w:rPr>
                <w:b/>
              </w:rPr>
            </w:pPr>
            <w:r w:rsidRPr="00F66E3A">
              <w:rPr>
                <w:b/>
              </w:rPr>
              <w:t xml:space="preserve">Ook steunde Nederland in 2025 het werk van Radio </w:t>
            </w:r>
            <w:proofErr w:type="spellStart"/>
            <w:r w:rsidRPr="00F66E3A">
              <w:rPr>
                <w:b/>
              </w:rPr>
              <w:t>Dabanga</w:t>
            </w:r>
            <w:proofErr w:type="spellEnd"/>
            <w:r w:rsidRPr="00F66E3A">
              <w:rPr>
                <w:b/>
              </w:rPr>
              <w:t>, dat onafhankelijke en betrouwbare informatie over o.a. de politieke en humanitaire toestand in Soedan, en het programma van het Nederlands Instituut voor Meerpartijendemocratie (NIMD) gericht op het versterken van de politieke participatie van jongeren</w:t>
            </w:r>
            <w:r w:rsidRPr="00F66E3A">
              <w:rPr>
                <w:b/>
                <w:color w:val="000000"/>
              </w:rPr>
              <w:t>.</w:t>
            </w:r>
            <w:r w:rsidRPr="00F66E3A">
              <w:rPr>
                <w:b/>
              </w:rPr>
              <w:t xml:space="preserve"> </w:t>
            </w:r>
          </w:p>
          <w:p w:rsidRPr="00F66E3A" w:rsidR="00225485" w:rsidP="001145CC" w:rsidRDefault="00225485" w14:paraId="045D93BB" w14:textId="77777777">
            <w:pPr>
              <w:rPr>
                <w:b/>
              </w:rPr>
            </w:pPr>
          </w:p>
          <w:p w:rsidR="00225485" w:rsidP="007D789E" w:rsidRDefault="00225485" w14:paraId="1E100564" w14:textId="77777777">
            <w:pPr>
              <w:rPr>
                <w:b/>
              </w:rPr>
            </w:pPr>
            <w:r w:rsidRPr="00F66E3A">
              <w:rPr>
                <w:b/>
              </w:rPr>
              <w:t xml:space="preserve">Kleinere bijdragen gingen naar programma’s op het gebied van vredesopbouw, conflictbemiddeling en veiligheid voor mensen en gemeenschappen. Gericht op dialoog en herstel, sociale cohesie en het tegengaan van desinformatie en </w:t>
            </w:r>
            <w:proofErr w:type="spellStart"/>
            <w:r w:rsidRPr="00F66E3A">
              <w:rPr>
                <w:b/>
                <w:i/>
              </w:rPr>
              <w:t>hate</w:t>
            </w:r>
            <w:proofErr w:type="spellEnd"/>
            <w:r w:rsidRPr="00F66E3A">
              <w:rPr>
                <w:b/>
                <w:i/>
              </w:rPr>
              <w:t xml:space="preserve"> speech</w:t>
            </w:r>
            <w:r w:rsidRPr="00F66E3A">
              <w:rPr>
                <w:b/>
              </w:rPr>
              <w:t xml:space="preserve">. Humanitair droeg Nederland, naast de budgetten voor de humanitaire organisaties, ook bij aan de versterking van de organisatiecapaciteit van </w:t>
            </w:r>
            <w:proofErr w:type="spellStart"/>
            <w:r w:rsidRPr="007D789E">
              <w:rPr>
                <w:b/>
                <w:i/>
                <w:iCs/>
              </w:rPr>
              <w:t>Emergency</w:t>
            </w:r>
            <w:proofErr w:type="spellEnd"/>
            <w:r w:rsidRPr="007D789E">
              <w:rPr>
                <w:b/>
                <w:i/>
                <w:iCs/>
              </w:rPr>
              <w:t xml:space="preserve"> Response Rooms</w:t>
            </w:r>
            <w:r w:rsidRPr="00F66E3A">
              <w:rPr>
                <w:b/>
              </w:rPr>
              <w:t>, om de lokale respons te versterken.</w:t>
            </w:r>
          </w:p>
          <w:p w:rsidRPr="007D789E" w:rsidR="00E55CF2" w:rsidP="007D789E" w:rsidRDefault="00E55CF2" w14:paraId="09AC2289" w14:textId="10D49569">
            <w:pPr>
              <w:rPr>
                <w:b/>
              </w:rPr>
            </w:pPr>
          </w:p>
        </w:tc>
        <w:tc>
          <w:tcPr>
            <w:tcW w:w="992" w:type="dxa"/>
          </w:tcPr>
          <w:p w:rsidR="00225485" w:rsidRDefault="00225485" w14:paraId="6FDAE72D" w14:textId="77777777">
            <w:pPr>
              <w:jc w:val="right"/>
            </w:pPr>
            <w:r>
              <w:lastRenderedPageBreak/>
              <w:t>42</w:t>
            </w:r>
          </w:p>
        </w:tc>
        <w:tc>
          <w:tcPr>
            <w:tcW w:w="567" w:type="dxa"/>
          </w:tcPr>
          <w:p w:rsidR="00225485" w:rsidRDefault="00225485" w14:paraId="3BE3A967" w14:textId="77777777">
            <w:pPr>
              <w:jc w:val="right"/>
            </w:pPr>
            <w:r>
              <w:t xml:space="preserve"> </w:t>
            </w:r>
          </w:p>
        </w:tc>
      </w:tr>
      <w:tr w:rsidR="00225485" w:rsidTr="2A287FE6" w14:paraId="4564FF48" w14:textId="77777777">
        <w:tc>
          <w:tcPr>
            <w:tcW w:w="567" w:type="dxa"/>
          </w:tcPr>
          <w:p w:rsidRPr="00225485" w:rsidR="00225485" w:rsidRDefault="00225485" w14:paraId="546AD1AB" w14:textId="77777777">
            <w:r w:rsidRPr="00225485">
              <w:t>9</w:t>
            </w:r>
          </w:p>
        </w:tc>
        <w:tc>
          <w:tcPr>
            <w:tcW w:w="6521" w:type="dxa"/>
          </w:tcPr>
          <w:p w:rsidR="00225485" w:rsidRDefault="00225485" w14:paraId="4EE7E7E0" w14:textId="77777777">
            <w:r>
              <w:t>Aan welke programma’s en organisaties in Somalië heeft Nederland in 2025 ruim € twaalf miljoen uitgegeven ten aanzien van de veiligheid en stabiliteit aldaar?</w:t>
            </w:r>
          </w:p>
          <w:p w:rsidR="00225485" w:rsidRDefault="00225485" w14:paraId="611A31A9" w14:textId="77777777"/>
          <w:p w:rsidRPr="007D789E" w:rsidR="00225485" w:rsidP="00D90FD4" w:rsidRDefault="00225485" w14:paraId="742A487F" w14:textId="4674AA65">
            <w:pPr>
              <w:rPr>
                <w:b/>
                <w:bCs/>
              </w:rPr>
            </w:pPr>
            <w:r w:rsidRPr="007D789E">
              <w:rPr>
                <w:b/>
                <w:bCs/>
              </w:rPr>
              <w:t>Antwoord</w:t>
            </w:r>
          </w:p>
          <w:p w:rsidRPr="00F66E3A" w:rsidR="00225485" w:rsidP="00127183" w:rsidRDefault="00225485" w14:paraId="549DF417" w14:textId="77777777">
            <w:pPr>
              <w:rPr>
                <w:b/>
              </w:rPr>
            </w:pPr>
            <w:r w:rsidRPr="007D789E">
              <w:rPr>
                <w:b/>
                <w:bCs/>
              </w:rPr>
              <w:t>De grootste</w:t>
            </w:r>
            <w:r w:rsidRPr="00B92707">
              <w:rPr>
                <w:b/>
                <w:bCs/>
              </w:rPr>
              <w:t xml:space="preserve"> bijdrage ging naar het ‘</w:t>
            </w:r>
            <w:r w:rsidRPr="00B92707">
              <w:rPr>
                <w:b/>
                <w:bCs/>
                <w:i/>
                <w:iCs/>
              </w:rPr>
              <w:t>Somalia Joint Fund’</w:t>
            </w:r>
            <w:r w:rsidRPr="00B92707">
              <w:rPr>
                <w:b/>
                <w:bCs/>
              </w:rPr>
              <w:t>, dat door het VN programma voor ontwikkeling (UNDP) beheerd wordt. Dit fonds beoogt o.a. rechtstaatsontwikkeling, versterking van lokaal bestuur en sociaaleconomische ontwikkeling. Ook steunt Nederland</w:t>
            </w:r>
            <w:r w:rsidRPr="00B92707">
              <w:rPr>
                <w:b/>
                <w:bCs/>
                <w:color w:val="333333"/>
                <w:shd w:val="clear" w:color="auto" w:fill="FFFFFF"/>
              </w:rPr>
              <w:t xml:space="preserve"> het </w:t>
            </w:r>
            <w:r w:rsidRPr="00B92707">
              <w:rPr>
                <w:b/>
                <w:bCs/>
                <w:i/>
                <w:iCs/>
                <w:color w:val="333333"/>
                <w:shd w:val="clear" w:color="auto" w:fill="FFFFFF"/>
              </w:rPr>
              <w:t xml:space="preserve">International Development Law </w:t>
            </w:r>
            <w:proofErr w:type="spellStart"/>
            <w:r w:rsidRPr="00B92707">
              <w:rPr>
                <w:b/>
                <w:bCs/>
                <w:i/>
                <w:iCs/>
                <w:color w:val="333333"/>
                <w:shd w:val="clear" w:color="auto" w:fill="FFFFFF"/>
              </w:rPr>
              <w:t>Organization</w:t>
            </w:r>
            <w:proofErr w:type="spellEnd"/>
            <w:r w:rsidRPr="00B92707">
              <w:rPr>
                <w:b/>
                <w:bCs/>
              </w:rPr>
              <w:t xml:space="preserve"> (IDLO) met een toegang-tot-</w:t>
            </w:r>
            <w:proofErr w:type="spellStart"/>
            <w:r w:rsidRPr="00B92707">
              <w:rPr>
                <w:b/>
                <w:bCs/>
              </w:rPr>
              <w:t>rechtprogramma</w:t>
            </w:r>
            <w:proofErr w:type="spellEnd"/>
            <w:r w:rsidRPr="00B92707">
              <w:rPr>
                <w:b/>
                <w:bCs/>
              </w:rPr>
              <w:t>, met aandacht voor seksueel gerelateerd geweld en steun voor minderheidsgroepen. Op het vlak van ondersteuning van politieke processen draagt Nederland bij aan een door het VK geleid stabilisatieprogramma genaamd ‘</w:t>
            </w:r>
            <w:r w:rsidRPr="00B92707">
              <w:rPr>
                <w:b/>
                <w:bCs/>
                <w:i/>
                <w:iCs/>
              </w:rPr>
              <w:t xml:space="preserve">Somalia </w:t>
            </w:r>
            <w:proofErr w:type="spellStart"/>
            <w:r w:rsidRPr="00B92707">
              <w:rPr>
                <w:b/>
                <w:bCs/>
                <w:i/>
                <w:iCs/>
              </w:rPr>
              <w:t>Stability</w:t>
            </w:r>
            <w:proofErr w:type="spellEnd"/>
            <w:r w:rsidRPr="00B92707">
              <w:rPr>
                <w:b/>
                <w:bCs/>
                <w:i/>
                <w:iCs/>
              </w:rPr>
              <w:t xml:space="preserve"> Fund’</w:t>
            </w:r>
            <w:r w:rsidRPr="00B92707">
              <w:rPr>
                <w:b/>
                <w:bCs/>
              </w:rPr>
              <w:t>.</w:t>
            </w:r>
          </w:p>
          <w:p w:rsidRPr="00F66E3A" w:rsidR="00225485" w:rsidP="00127183" w:rsidRDefault="00225485" w14:paraId="4AAA0B05" w14:textId="77777777">
            <w:pPr>
              <w:rPr>
                <w:b/>
              </w:rPr>
            </w:pPr>
          </w:p>
          <w:p w:rsidR="00225485" w:rsidP="007D789E" w:rsidRDefault="00225485" w14:paraId="3B7BB95C" w14:textId="77777777">
            <w:pPr>
              <w:rPr>
                <w:b/>
              </w:rPr>
            </w:pPr>
            <w:r w:rsidRPr="00F66E3A">
              <w:rPr>
                <w:b/>
              </w:rPr>
              <w:t xml:space="preserve">Verder ging budget naar het programma van </w:t>
            </w:r>
            <w:r w:rsidRPr="007D789E">
              <w:rPr>
                <w:b/>
                <w:i/>
                <w:iCs/>
              </w:rPr>
              <w:t>de</w:t>
            </w:r>
            <w:r w:rsidRPr="007D789E">
              <w:rPr>
                <w:b/>
                <w:i/>
                <w:iCs/>
                <w:color w:val="001D35"/>
              </w:rPr>
              <w:t xml:space="preserve"> </w:t>
            </w:r>
            <w:r w:rsidRPr="007D789E">
              <w:rPr>
                <w:b/>
                <w:i/>
                <w:iCs/>
              </w:rPr>
              <w:t xml:space="preserve">International Cooperation Agency of the Association of Netherlands </w:t>
            </w:r>
            <w:proofErr w:type="spellStart"/>
            <w:r w:rsidRPr="007D789E">
              <w:rPr>
                <w:b/>
                <w:i/>
                <w:iCs/>
              </w:rPr>
              <w:t>Municipalities</w:t>
            </w:r>
            <w:proofErr w:type="spellEnd"/>
            <w:r w:rsidRPr="00F66E3A">
              <w:rPr>
                <w:b/>
              </w:rPr>
              <w:t xml:space="preserve"> (</w:t>
            </w:r>
            <w:proofErr w:type="spellStart"/>
            <w:r w:rsidRPr="00F66E3A">
              <w:rPr>
                <w:b/>
              </w:rPr>
              <w:t>VNGi</w:t>
            </w:r>
            <w:proofErr w:type="spellEnd"/>
            <w:r w:rsidRPr="00F66E3A">
              <w:rPr>
                <w:b/>
              </w:rPr>
              <w:t>), dat zich richt op goed bestuur en het verbeteren van rampenparaatheid op gemeenteniveau. Andere kleinere bijdragen gingen naar o.a. ‘Oxfam Novib’ voor lokale initiatieven gericht op wederopbouw en naar ‘</w:t>
            </w:r>
            <w:r w:rsidRPr="007D789E">
              <w:rPr>
                <w:b/>
                <w:i/>
                <w:iCs/>
              </w:rPr>
              <w:t xml:space="preserve">Accountability Lab’ </w:t>
            </w:r>
            <w:r w:rsidRPr="00F66E3A">
              <w:rPr>
                <w:b/>
              </w:rPr>
              <w:t>voor het versterken van de transparantie van de lokale overheid.</w:t>
            </w:r>
          </w:p>
          <w:p w:rsidRPr="007D789E" w:rsidR="00E55CF2" w:rsidP="007D789E" w:rsidRDefault="00E55CF2" w14:paraId="20FA7CD7" w14:textId="3DB178FF">
            <w:pPr>
              <w:rPr>
                <w:b/>
              </w:rPr>
            </w:pPr>
          </w:p>
        </w:tc>
        <w:tc>
          <w:tcPr>
            <w:tcW w:w="992" w:type="dxa"/>
          </w:tcPr>
          <w:p w:rsidR="00225485" w:rsidRDefault="00225485" w14:paraId="004DCA1A" w14:textId="77777777">
            <w:pPr>
              <w:jc w:val="right"/>
            </w:pPr>
            <w:r>
              <w:t>42</w:t>
            </w:r>
          </w:p>
        </w:tc>
        <w:tc>
          <w:tcPr>
            <w:tcW w:w="567" w:type="dxa"/>
          </w:tcPr>
          <w:p w:rsidR="00225485" w:rsidRDefault="00225485" w14:paraId="434EE99D" w14:textId="77777777">
            <w:pPr>
              <w:jc w:val="right"/>
            </w:pPr>
            <w:r>
              <w:t xml:space="preserve"> </w:t>
            </w:r>
          </w:p>
        </w:tc>
      </w:tr>
      <w:tr w:rsidR="00225485" w:rsidTr="2A287FE6" w14:paraId="1266BB91" w14:textId="77777777">
        <w:tc>
          <w:tcPr>
            <w:tcW w:w="567" w:type="dxa"/>
          </w:tcPr>
          <w:p w:rsidRPr="00225485" w:rsidR="00225485" w:rsidRDefault="00225485" w14:paraId="4EA24DD0" w14:textId="77777777">
            <w:r w:rsidRPr="00225485">
              <w:t>10</w:t>
            </w:r>
          </w:p>
        </w:tc>
        <w:tc>
          <w:tcPr>
            <w:tcW w:w="6521" w:type="dxa"/>
          </w:tcPr>
          <w:p w:rsidR="00225485" w:rsidRDefault="00225485" w14:paraId="53BF23F8" w14:textId="77777777">
            <w:r>
              <w:t>Waar Nederland aan cofinanciering doet ten aanzien van internationale klimaatfinanciering, tracht Nederland dan op gelijke voet met private investeerders te profiteren van eventueel te behalen rendement?</w:t>
            </w:r>
          </w:p>
          <w:p w:rsidR="00225485" w:rsidRDefault="00225485" w14:paraId="63301A93" w14:textId="77777777"/>
          <w:p w:rsidRPr="007D789E" w:rsidR="00225485" w:rsidP="00D90FD4" w:rsidRDefault="00225485" w14:paraId="6A31EDD4" w14:textId="5C7BAADF">
            <w:pPr>
              <w:rPr>
                <w:b/>
                <w:bCs/>
              </w:rPr>
            </w:pPr>
            <w:r w:rsidRPr="007D789E">
              <w:rPr>
                <w:b/>
                <w:bCs/>
              </w:rPr>
              <w:t>Antwoord</w:t>
            </w:r>
          </w:p>
          <w:p w:rsidR="00225485" w:rsidP="007D789E" w:rsidRDefault="00225485" w14:paraId="794DC3EA" w14:textId="77777777">
            <w:pPr>
              <w:rPr>
                <w:b/>
              </w:rPr>
            </w:pPr>
            <w:r w:rsidRPr="00F66E3A">
              <w:rPr>
                <w:b/>
              </w:rPr>
              <w:t xml:space="preserve">Bij cofinanciering voor het mobiliseren van private investeringen neemt Nederland nooit dezelfde positie in als de private investeerders. De inzet heeft tot doel investeringen mogelijk te maken die commercieel nog niet tot stand komen. Binnen deze instrumenten wordt daarom doorgaans een positie ingenomen, waarbij eventuele verliezen als eerste worden </w:t>
            </w:r>
            <w:r w:rsidRPr="00F66E3A">
              <w:rPr>
                <w:b/>
              </w:rPr>
              <w:lastRenderedPageBreak/>
              <w:t>opgevangen (</w:t>
            </w:r>
            <w:r w:rsidRPr="00F66E3A">
              <w:rPr>
                <w:b/>
                <w:i/>
              </w:rPr>
              <w:t xml:space="preserve">first </w:t>
            </w:r>
            <w:proofErr w:type="spellStart"/>
            <w:r w:rsidRPr="00F66E3A">
              <w:rPr>
                <w:b/>
                <w:i/>
              </w:rPr>
              <w:t>loss</w:t>
            </w:r>
            <w:proofErr w:type="spellEnd"/>
            <w:r w:rsidRPr="00F66E3A">
              <w:rPr>
                <w:b/>
              </w:rPr>
              <w:t>), of er worden subsidies verstrekt voor het ontwikkelingen van projecten of technische ondersteuning.</w:t>
            </w:r>
          </w:p>
          <w:p w:rsidRPr="007D789E" w:rsidR="00E55CF2" w:rsidP="007D789E" w:rsidRDefault="00E55CF2" w14:paraId="43900A8A" w14:textId="420E02B2">
            <w:pPr>
              <w:rPr>
                <w:b/>
              </w:rPr>
            </w:pPr>
          </w:p>
        </w:tc>
        <w:tc>
          <w:tcPr>
            <w:tcW w:w="992" w:type="dxa"/>
          </w:tcPr>
          <w:p w:rsidR="00225485" w:rsidRDefault="00225485" w14:paraId="4B1D5908" w14:textId="77777777">
            <w:pPr>
              <w:jc w:val="right"/>
            </w:pPr>
            <w:r>
              <w:lastRenderedPageBreak/>
              <w:t>49</w:t>
            </w:r>
          </w:p>
        </w:tc>
        <w:tc>
          <w:tcPr>
            <w:tcW w:w="567" w:type="dxa"/>
          </w:tcPr>
          <w:p w:rsidR="00225485" w:rsidRDefault="00225485" w14:paraId="3FED6C76" w14:textId="77777777">
            <w:pPr>
              <w:jc w:val="right"/>
            </w:pPr>
            <w:r>
              <w:t xml:space="preserve"> </w:t>
            </w:r>
          </w:p>
        </w:tc>
      </w:tr>
      <w:tr w:rsidR="00225485" w:rsidTr="2A287FE6" w14:paraId="3DD4BB14" w14:textId="77777777">
        <w:tc>
          <w:tcPr>
            <w:tcW w:w="567" w:type="dxa"/>
          </w:tcPr>
          <w:p w:rsidRPr="00225485" w:rsidR="00225485" w:rsidRDefault="00225485" w14:paraId="0A367535" w14:textId="77777777">
            <w:r w:rsidRPr="00225485">
              <w:t>11</w:t>
            </w:r>
          </w:p>
        </w:tc>
        <w:tc>
          <w:tcPr>
            <w:tcW w:w="6521" w:type="dxa"/>
          </w:tcPr>
          <w:p w:rsidR="00225485" w:rsidRDefault="00225485" w14:paraId="3A4F50EE" w14:textId="77777777">
            <w:r>
              <w:t>Is het Nederlandse beleid inzake cofinanciering erop gericht waar mogelijk een aandelenbelang te verkrijgen in bedrijven of projecten waarin wordt geïnvesteerd? Zo nee, waarom niet? Zo ja, in welke gevallen gebeurt dit?</w:t>
            </w:r>
          </w:p>
          <w:p w:rsidR="00225485" w:rsidRDefault="00225485" w14:paraId="35A61FA5" w14:textId="77777777"/>
          <w:p w:rsidRPr="007D789E" w:rsidR="00225485" w:rsidP="00D90FD4" w:rsidRDefault="00225485" w14:paraId="189BC1AA" w14:textId="2E8A3677">
            <w:pPr>
              <w:rPr>
                <w:b/>
                <w:bCs/>
              </w:rPr>
            </w:pPr>
            <w:r w:rsidRPr="007D789E">
              <w:rPr>
                <w:b/>
                <w:bCs/>
              </w:rPr>
              <w:t>Antwoord</w:t>
            </w:r>
          </w:p>
          <w:p w:rsidRPr="007D789E" w:rsidR="00225485" w:rsidP="007D789E" w:rsidRDefault="00225485" w14:paraId="663B2953" w14:textId="4D16F657">
            <w:pPr>
              <w:rPr>
                <w:b/>
              </w:rPr>
            </w:pPr>
            <w:r w:rsidRPr="00F66E3A">
              <w:rPr>
                <w:b/>
              </w:rPr>
              <w:t xml:space="preserve">Nee, de Nederlandse staat verkrijgt via cofinanciering voor klimaat nooit een direct aandeel in bedrijven of projecten. Door uitvoeringspartners beheerde fondsen waaraan door het </w:t>
            </w:r>
            <w:r>
              <w:rPr>
                <w:b/>
              </w:rPr>
              <w:t>m</w:t>
            </w:r>
            <w:r w:rsidRPr="00F66E3A">
              <w:rPr>
                <w:b/>
              </w:rPr>
              <w:t xml:space="preserve">inisterie van Buitenlandse Zaken middelen zijn toegekend kunnen wel investeren in aandelenbelang als dit past binnen de met het ministerie overeengekomen investeringsstrategie. Een voorbeeld hiervan is de Waterfaciliteit van het </w:t>
            </w:r>
            <w:r w:rsidRPr="007D789E">
              <w:rPr>
                <w:b/>
                <w:i/>
                <w:iCs/>
              </w:rPr>
              <w:t>Dutch Fund for Climate and Development</w:t>
            </w:r>
            <w:r w:rsidRPr="00F66E3A">
              <w:rPr>
                <w:b/>
              </w:rPr>
              <w:t xml:space="preserve"> dat investeringen doet in waterinfrastructuur. Voor dit type investeringen is het tijdelijk verkrijgen van een aandelenbelang essentieel.</w:t>
            </w:r>
          </w:p>
        </w:tc>
        <w:tc>
          <w:tcPr>
            <w:tcW w:w="992" w:type="dxa"/>
          </w:tcPr>
          <w:p w:rsidR="00225485" w:rsidRDefault="00225485" w14:paraId="3FD91673" w14:textId="77777777">
            <w:pPr>
              <w:jc w:val="right"/>
            </w:pPr>
            <w:r>
              <w:t>49</w:t>
            </w:r>
          </w:p>
        </w:tc>
        <w:tc>
          <w:tcPr>
            <w:tcW w:w="567" w:type="dxa"/>
          </w:tcPr>
          <w:p w:rsidR="00225485" w:rsidRDefault="00225485" w14:paraId="063F19FD" w14:textId="77777777">
            <w:pPr>
              <w:jc w:val="right"/>
            </w:pPr>
            <w:r>
              <w:t xml:space="preserve"> </w:t>
            </w:r>
          </w:p>
        </w:tc>
      </w:tr>
    </w:tbl>
    <w:p w:rsidR="00A94794" w:rsidRDefault="00A94794" w14:paraId="2519C2A3" w14:textId="77777777"/>
    <w:sectPr w:rsidR="00A94794" w:rsidSect="00B92707">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A4F0" w14:textId="77777777" w:rsidR="007060F1" w:rsidRDefault="007060F1">
      <w:pPr>
        <w:spacing w:before="0" w:after="0"/>
      </w:pPr>
      <w:r>
        <w:separator/>
      </w:r>
    </w:p>
  </w:endnote>
  <w:endnote w:type="continuationSeparator" w:id="0">
    <w:p w14:paraId="16B2C215" w14:textId="77777777" w:rsidR="007060F1" w:rsidRDefault="007060F1">
      <w:pPr>
        <w:spacing w:before="0" w:after="0"/>
      </w:pPr>
      <w:r>
        <w:continuationSeparator/>
      </w:r>
    </w:p>
  </w:endnote>
  <w:endnote w:id="1">
    <w:p w14:paraId="0C968883" w14:textId="668BED54" w:rsidR="00225485" w:rsidRPr="00352D3F" w:rsidRDefault="00225485">
      <w:pPr>
        <w:pStyle w:val="EndnoteText"/>
        <w:rPr>
          <w:lang w:val="en-US"/>
        </w:rPr>
      </w:pPr>
      <w:r>
        <w:rPr>
          <w:rStyle w:val="EndnoteReference"/>
        </w:rPr>
        <w:endnoteRef/>
      </w:r>
      <w:r w:rsidRPr="00352D3F">
        <w:rPr>
          <w:lang w:val="en-US"/>
        </w:rPr>
        <w:t xml:space="preserve"> </w:t>
      </w:r>
      <w:r>
        <w:rPr>
          <w:lang w:val="en-US"/>
        </w:rPr>
        <w:t xml:space="preserve">Council conclusions </w:t>
      </w:r>
      <w:r w:rsidRPr="00624484">
        <w:rPr>
          <w:lang w:val="en-US"/>
        </w:rPr>
        <w:t xml:space="preserve">9285/26 </w:t>
      </w:r>
      <w:r>
        <w:rPr>
          <w:lang w:val="en-US"/>
        </w:rPr>
        <w:t xml:space="preserve">- </w:t>
      </w:r>
      <w:r w:rsidRPr="00352D3F">
        <w:rPr>
          <w:lang w:val="en-US"/>
        </w:rPr>
        <w:t xml:space="preserve">A coherent approach to fragility, EU external action instruments and sustainable development outcomes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56FF" w14:textId="77777777" w:rsidR="00AE4D77" w:rsidRDefault="00AE4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622" w14:textId="77777777" w:rsidR="00326342" w:rsidRDefault="00326342">
    <w:pPr>
      <w:pStyle w:val="Footer"/>
    </w:pPr>
  </w:p>
  <w:p w14:paraId="1CDE6F40" w14:textId="660421DD" w:rsidR="00A94794" w:rsidRDefault="001856D0">
    <w:pPr>
      <w:pStyle w:val="Footer"/>
    </w:pPr>
    <w:r>
      <w:t xml:space="preserve">Totaallijst feitelijke vragen Jaarverslag 2025 Homogene Groep Internationale Samenwerking (2026Z10340-1)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43AC" w14:textId="77777777" w:rsidR="00AE4D77" w:rsidRDefault="00AE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D896" w14:textId="77777777" w:rsidR="007060F1" w:rsidRDefault="007060F1">
      <w:pPr>
        <w:spacing w:before="0" w:after="0"/>
      </w:pPr>
      <w:r>
        <w:separator/>
      </w:r>
    </w:p>
  </w:footnote>
  <w:footnote w:type="continuationSeparator" w:id="0">
    <w:p w14:paraId="0334FB8D" w14:textId="77777777" w:rsidR="007060F1" w:rsidRDefault="007060F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D09F" w14:textId="77777777" w:rsidR="00AE4D77" w:rsidRDefault="00AE4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48DB" w14:textId="77777777" w:rsidR="00AE4D77" w:rsidRDefault="00AE4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0D6D" w14:textId="77777777" w:rsidR="00AE4D77" w:rsidRDefault="00AE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DEA"/>
    <w:multiLevelType w:val="hybridMultilevel"/>
    <w:tmpl w:val="3AB6B350"/>
    <w:lvl w:ilvl="0" w:tplc="0AA4A9F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F86DEE"/>
    <w:multiLevelType w:val="hybridMultilevel"/>
    <w:tmpl w:val="3F24B31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5C700DF8"/>
    <w:multiLevelType w:val="hybridMultilevel"/>
    <w:tmpl w:val="331AD48A"/>
    <w:lvl w:ilvl="0" w:tplc="BD366668">
      <w:numFmt w:val="bullet"/>
      <w:lvlText w:val=""/>
      <w:lvlJc w:val="left"/>
      <w:pPr>
        <w:ind w:left="360" w:hanging="360"/>
      </w:pPr>
      <w:rPr>
        <w:rFonts w:ascii="Symbol" w:eastAsiaTheme="minorHAnsi"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59377DC"/>
    <w:multiLevelType w:val="hybridMultilevel"/>
    <w:tmpl w:val="895AA24A"/>
    <w:lvl w:ilvl="0" w:tplc="B63EF376">
      <w:start w:val="1"/>
      <w:numFmt w:val="decimal"/>
      <w:lvlText w:val="%1."/>
      <w:lvlJc w:val="left"/>
      <w:pPr>
        <w:ind w:left="720" w:hanging="360"/>
      </w:pPr>
      <w:rPr>
        <w:rFonts w:ascii="Calibri" w:hAnsi="Calibri" w:cs="Calibri"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54890016">
    <w:abstractNumId w:val="2"/>
  </w:num>
  <w:num w:numId="2" w16cid:durableId="1342125769">
    <w:abstractNumId w:val="0"/>
  </w:num>
  <w:num w:numId="3" w16cid:durableId="1029256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776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5BE3"/>
    <w:rsid w:val="0004535B"/>
    <w:rsid w:val="0005116E"/>
    <w:rsid w:val="00064105"/>
    <w:rsid w:val="000A73A2"/>
    <w:rsid w:val="000B4A04"/>
    <w:rsid w:val="00112B2F"/>
    <w:rsid w:val="001145CC"/>
    <w:rsid w:val="00127183"/>
    <w:rsid w:val="0015258B"/>
    <w:rsid w:val="00181922"/>
    <w:rsid w:val="001856D0"/>
    <w:rsid w:val="00193BA3"/>
    <w:rsid w:val="001945BC"/>
    <w:rsid w:val="001A47AF"/>
    <w:rsid w:val="001A56AB"/>
    <w:rsid w:val="001A7DB9"/>
    <w:rsid w:val="001C5B97"/>
    <w:rsid w:val="001D067A"/>
    <w:rsid w:val="001D47AA"/>
    <w:rsid w:val="001E65A8"/>
    <w:rsid w:val="0021073A"/>
    <w:rsid w:val="00225485"/>
    <w:rsid w:val="002513DE"/>
    <w:rsid w:val="002631AF"/>
    <w:rsid w:val="002851AE"/>
    <w:rsid w:val="002B75B4"/>
    <w:rsid w:val="002B75B6"/>
    <w:rsid w:val="002F4EE3"/>
    <w:rsid w:val="00314497"/>
    <w:rsid w:val="00326342"/>
    <w:rsid w:val="00352D3F"/>
    <w:rsid w:val="00365C38"/>
    <w:rsid w:val="0038035F"/>
    <w:rsid w:val="0039352C"/>
    <w:rsid w:val="003C094A"/>
    <w:rsid w:val="003C1A1C"/>
    <w:rsid w:val="003D21BB"/>
    <w:rsid w:val="003D312A"/>
    <w:rsid w:val="003D44DD"/>
    <w:rsid w:val="00401BDA"/>
    <w:rsid w:val="0041264E"/>
    <w:rsid w:val="004164F8"/>
    <w:rsid w:val="00476836"/>
    <w:rsid w:val="00486671"/>
    <w:rsid w:val="00491B79"/>
    <w:rsid w:val="004B66B2"/>
    <w:rsid w:val="004F41FA"/>
    <w:rsid w:val="00543535"/>
    <w:rsid w:val="005543A7"/>
    <w:rsid w:val="005665B1"/>
    <w:rsid w:val="0057694B"/>
    <w:rsid w:val="00596AF9"/>
    <w:rsid w:val="005C513B"/>
    <w:rsid w:val="006017AC"/>
    <w:rsid w:val="00605661"/>
    <w:rsid w:val="00610569"/>
    <w:rsid w:val="00623D05"/>
    <w:rsid w:val="00624484"/>
    <w:rsid w:val="0063331B"/>
    <w:rsid w:val="00644B8A"/>
    <w:rsid w:val="00665F20"/>
    <w:rsid w:val="006828C6"/>
    <w:rsid w:val="006970A7"/>
    <w:rsid w:val="006A3963"/>
    <w:rsid w:val="006A77FA"/>
    <w:rsid w:val="006C691C"/>
    <w:rsid w:val="006E1F10"/>
    <w:rsid w:val="006F69A5"/>
    <w:rsid w:val="007060F1"/>
    <w:rsid w:val="00712B77"/>
    <w:rsid w:val="00736A4A"/>
    <w:rsid w:val="00776061"/>
    <w:rsid w:val="00794D4C"/>
    <w:rsid w:val="007A1533"/>
    <w:rsid w:val="007A6A7D"/>
    <w:rsid w:val="007D1A13"/>
    <w:rsid w:val="007D71F2"/>
    <w:rsid w:val="007D789E"/>
    <w:rsid w:val="007F4B73"/>
    <w:rsid w:val="00826DC4"/>
    <w:rsid w:val="0087125D"/>
    <w:rsid w:val="00874C09"/>
    <w:rsid w:val="00877513"/>
    <w:rsid w:val="00877F07"/>
    <w:rsid w:val="0088537A"/>
    <w:rsid w:val="008864F3"/>
    <w:rsid w:val="00894624"/>
    <w:rsid w:val="008A295D"/>
    <w:rsid w:val="008C7089"/>
    <w:rsid w:val="008D1B11"/>
    <w:rsid w:val="008D229D"/>
    <w:rsid w:val="00941021"/>
    <w:rsid w:val="009539B5"/>
    <w:rsid w:val="00956D9F"/>
    <w:rsid w:val="009648FB"/>
    <w:rsid w:val="00996707"/>
    <w:rsid w:val="009A4271"/>
    <w:rsid w:val="00A02974"/>
    <w:rsid w:val="00A13EA4"/>
    <w:rsid w:val="00A21454"/>
    <w:rsid w:val="00A26FDE"/>
    <w:rsid w:val="00A3454D"/>
    <w:rsid w:val="00A6430E"/>
    <w:rsid w:val="00A77C3E"/>
    <w:rsid w:val="00A94794"/>
    <w:rsid w:val="00AE4D77"/>
    <w:rsid w:val="00AF0596"/>
    <w:rsid w:val="00AF11AE"/>
    <w:rsid w:val="00B02FEC"/>
    <w:rsid w:val="00B05251"/>
    <w:rsid w:val="00B52249"/>
    <w:rsid w:val="00B55091"/>
    <w:rsid w:val="00B57DB4"/>
    <w:rsid w:val="00B85662"/>
    <w:rsid w:val="00B915EC"/>
    <w:rsid w:val="00B92707"/>
    <w:rsid w:val="00BA0CF6"/>
    <w:rsid w:val="00BA1945"/>
    <w:rsid w:val="00BD3C78"/>
    <w:rsid w:val="00BD4304"/>
    <w:rsid w:val="00BE3350"/>
    <w:rsid w:val="00BF6BBB"/>
    <w:rsid w:val="00C57E2B"/>
    <w:rsid w:val="00C7600F"/>
    <w:rsid w:val="00C82B56"/>
    <w:rsid w:val="00C82E14"/>
    <w:rsid w:val="00C95D8A"/>
    <w:rsid w:val="00C96FB3"/>
    <w:rsid w:val="00CA64F1"/>
    <w:rsid w:val="00CF488F"/>
    <w:rsid w:val="00D0342B"/>
    <w:rsid w:val="00D11E75"/>
    <w:rsid w:val="00D14BEB"/>
    <w:rsid w:val="00D34A20"/>
    <w:rsid w:val="00D40F83"/>
    <w:rsid w:val="00D667C4"/>
    <w:rsid w:val="00D73BB5"/>
    <w:rsid w:val="00D77436"/>
    <w:rsid w:val="00D90FD4"/>
    <w:rsid w:val="00DB3D53"/>
    <w:rsid w:val="00DD7830"/>
    <w:rsid w:val="00DE5F38"/>
    <w:rsid w:val="00E101D0"/>
    <w:rsid w:val="00E236B0"/>
    <w:rsid w:val="00E25C30"/>
    <w:rsid w:val="00E34AE2"/>
    <w:rsid w:val="00E36C07"/>
    <w:rsid w:val="00E46E05"/>
    <w:rsid w:val="00E55CF2"/>
    <w:rsid w:val="00E6430A"/>
    <w:rsid w:val="00E7153D"/>
    <w:rsid w:val="00E96E01"/>
    <w:rsid w:val="00EA1FFE"/>
    <w:rsid w:val="00ED0971"/>
    <w:rsid w:val="00EE0C79"/>
    <w:rsid w:val="00F40647"/>
    <w:rsid w:val="00F52D8A"/>
    <w:rsid w:val="00F66E3A"/>
    <w:rsid w:val="00F8573B"/>
    <w:rsid w:val="00F86E1B"/>
    <w:rsid w:val="00FA0F40"/>
    <w:rsid w:val="00FD0FA2"/>
    <w:rsid w:val="00FE6AEA"/>
    <w:rsid w:val="1707B8DC"/>
    <w:rsid w:val="1D80FCCA"/>
    <w:rsid w:val="2A287FE6"/>
    <w:rsid w:val="36E9FC23"/>
    <w:rsid w:val="5DBD6F38"/>
    <w:rsid w:val="65542ECC"/>
    <w:rsid w:val="7A7F76D4"/>
    <w:rsid w:val="7EEF9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3025E"/>
  <w15:docId w15:val="{08B208AA-2569-4438-B20F-E0803708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0A73A2"/>
    <w:rPr>
      <w:sz w:val="16"/>
      <w:szCs w:val="16"/>
    </w:rPr>
  </w:style>
  <w:style w:type="paragraph" w:styleId="CommentText">
    <w:name w:val="annotation text"/>
    <w:basedOn w:val="Normal"/>
    <w:link w:val="CommentTextChar"/>
    <w:uiPriority w:val="99"/>
    <w:unhideWhenUsed/>
    <w:rsid w:val="000A73A2"/>
  </w:style>
  <w:style w:type="character" w:customStyle="1" w:styleId="CommentTextChar">
    <w:name w:val="Comment Text Char"/>
    <w:basedOn w:val="DefaultParagraphFont"/>
    <w:link w:val="CommentText"/>
    <w:uiPriority w:val="99"/>
    <w:rsid w:val="000A73A2"/>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A73A2"/>
    <w:rPr>
      <w:b/>
      <w:bCs/>
    </w:rPr>
  </w:style>
  <w:style w:type="character" w:customStyle="1" w:styleId="CommentSubjectChar">
    <w:name w:val="Comment Subject Char"/>
    <w:basedOn w:val="CommentTextChar"/>
    <w:link w:val="CommentSubject"/>
    <w:uiPriority w:val="99"/>
    <w:semiHidden/>
    <w:rsid w:val="000A73A2"/>
    <w:rPr>
      <w:rFonts w:ascii="Times New Roman" w:eastAsia="Times New Roman" w:hAnsi="Times New Roman" w:cs="Times New Roman"/>
      <w:b/>
      <w:bCs/>
      <w:sz w:val="20"/>
      <w:szCs w:val="20"/>
      <w:lang w:val="nl-NL" w:eastAsia="nl-NL"/>
    </w:rPr>
  </w:style>
  <w:style w:type="paragraph" w:styleId="ListParagraph">
    <w:name w:val="List Paragraph"/>
    <w:basedOn w:val="Normal"/>
    <w:uiPriority w:val="34"/>
    <w:qFormat/>
    <w:rsid w:val="00CA64F1"/>
    <w:pPr>
      <w:ind w:left="720"/>
      <w:contextualSpacing/>
    </w:pPr>
  </w:style>
  <w:style w:type="paragraph" w:styleId="EndnoteText">
    <w:name w:val="endnote text"/>
    <w:basedOn w:val="Normal"/>
    <w:link w:val="EndnoteTextChar"/>
    <w:uiPriority w:val="99"/>
    <w:semiHidden/>
    <w:unhideWhenUsed/>
    <w:rsid w:val="00CA64F1"/>
    <w:pPr>
      <w:spacing w:before="0" w:after="0"/>
    </w:pPr>
  </w:style>
  <w:style w:type="character" w:customStyle="1" w:styleId="EndnoteTextChar">
    <w:name w:val="Endnote Text Char"/>
    <w:basedOn w:val="DefaultParagraphFont"/>
    <w:link w:val="EndnoteText"/>
    <w:uiPriority w:val="99"/>
    <w:semiHidden/>
    <w:rsid w:val="00CA64F1"/>
    <w:rPr>
      <w:rFonts w:ascii="Times New Roman" w:eastAsia="Times New Roman" w:hAnsi="Times New Roman" w:cs="Times New Roman"/>
      <w:sz w:val="20"/>
      <w:szCs w:val="20"/>
      <w:lang w:val="nl-NL" w:eastAsia="nl-NL"/>
    </w:rPr>
  </w:style>
  <w:style w:type="character" w:styleId="EndnoteReference">
    <w:name w:val="endnote reference"/>
    <w:basedOn w:val="DefaultParagraphFont"/>
    <w:uiPriority w:val="99"/>
    <w:semiHidden/>
    <w:unhideWhenUsed/>
    <w:rsid w:val="00CA64F1"/>
    <w:rPr>
      <w:vertAlign w:val="superscript"/>
    </w:rPr>
  </w:style>
  <w:style w:type="paragraph" w:styleId="NoSpacing">
    <w:name w:val="No Spacing"/>
    <w:uiPriority w:val="1"/>
    <w:qFormat/>
    <w:rsid w:val="00CA64F1"/>
    <w:rPr>
      <w:rFonts w:ascii="Times New Roman" w:eastAsia="Times New Roman" w:hAnsi="Times New Roman" w:cs="Times New Roman"/>
      <w:sz w:val="20"/>
      <w:szCs w:val="20"/>
      <w:lang w:val="nl-NL" w:eastAsia="nl-NL"/>
    </w:rPr>
  </w:style>
  <w:style w:type="paragraph" w:styleId="Revision">
    <w:name w:val="Revision"/>
    <w:hidden/>
    <w:uiPriority w:val="99"/>
    <w:semiHidden/>
    <w:rsid w:val="00112B2F"/>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589">
      <w:bodyDiv w:val="1"/>
      <w:marLeft w:val="0"/>
      <w:marRight w:val="0"/>
      <w:marTop w:val="0"/>
      <w:marBottom w:val="0"/>
      <w:divBdr>
        <w:top w:val="none" w:sz="0" w:space="0" w:color="auto"/>
        <w:left w:val="none" w:sz="0" w:space="0" w:color="auto"/>
        <w:bottom w:val="none" w:sz="0" w:space="0" w:color="auto"/>
        <w:right w:val="none" w:sz="0" w:space="0" w:color="auto"/>
      </w:divBdr>
    </w:div>
    <w:div w:id="134614928">
      <w:bodyDiv w:val="1"/>
      <w:marLeft w:val="0"/>
      <w:marRight w:val="0"/>
      <w:marTop w:val="0"/>
      <w:marBottom w:val="0"/>
      <w:divBdr>
        <w:top w:val="none" w:sz="0" w:space="0" w:color="auto"/>
        <w:left w:val="none" w:sz="0" w:space="0" w:color="auto"/>
        <w:bottom w:val="none" w:sz="0" w:space="0" w:color="auto"/>
        <w:right w:val="none" w:sz="0" w:space="0" w:color="auto"/>
      </w:divBdr>
    </w:div>
    <w:div w:id="256407279">
      <w:bodyDiv w:val="1"/>
      <w:marLeft w:val="0"/>
      <w:marRight w:val="0"/>
      <w:marTop w:val="0"/>
      <w:marBottom w:val="0"/>
      <w:divBdr>
        <w:top w:val="none" w:sz="0" w:space="0" w:color="auto"/>
        <w:left w:val="none" w:sz="0" w:space="0" w:color="auto"/>
        <w:bottom w:val="none" w:sz="0" w:space="0" w:color="auto"/>
        <w:right w:val="none" w:sz="0" w:space="0" w:color="auto"/>
      </w:divBdr>
    </w:div>
    <w:div w:id="277496086">
      <w:bodyDiv w:val="1"/>
      <w:marLeft w:val="0"/>
      <w:marRight w:val="0"/>
      <w:marTop w:val="0"/>
      <w:marBottom w:val="0"/>
      <w:divBdr>
        <w:top w:val="none" w:sz="0" w:space="0" w:color="auto"/>
        <w:left w:val="none" w:sz="0" w:space="0" w:color="auto"/>
        <w:bottom w:val="none" w:sz="0" w:space="0" w:color="auto"/>
        <w:right w:val="none" w:sz="0" w:space="0" w:color="auto"/>
      </w:divBdr>
    </w:div>
    <w:div w:id="309553077">
      <w:bodyDiv w:val="1"/>
      <w:marLeft w:val="0"/>
      <w:marRight w:val="0"/>
      <w:marTop w:val="0"/>
      <w:marBottom w:val="0"/>
      <w:divBdr>
        <w:top w:val="none" w:sz="0" w:space="0" w:color="auto"/>
        <w:left w:val="none" w:sz="0" w:space="0" w:color="auto"/>
        <w:bottom w:val="none" w:sz="0" w:space="0" w:color="auto"/>
        <w:right w:val="none" w:sz="0" w:space="0" w:color="auto"/>
      </w:divBdr>
    </w:div>
    <w:div w:id="325326771">
      <w:bodyDiv w:val="1"/>
      <w:marLeft w:val="0"/>
      <w:marRight w:val="0"/>
      <w:marTop w:val="0"/>
      <w:marBottom w:val="0"/>
      <w:divBdr>
        <w:top w:val="none" w:sz="0" w:space="0" w:color="auto"/>
        <w:left w:val="none" w:sz="0" w:space="0" w:color="auto"/>
        <w:bottom w:val="none" w:sz="0" w:space="0" w:color="auto"/>
        <w:right w:val="none" w:sz="0" w:space="0" w:color="auto"/>
      </w:divBdr>
    </w:div>
    <w:div w:id="355085334">
      <w:bodyDiv w:val="1"/>
      <w:marLeft w:val="0"/>
      <w:marRight w:val="0"/>
      <w:marTop w:val="0"/>
      <w:marBottom w:val="0"/>
      <w:divBdr>
        <w:top w:val="none" w:sz="0" w:space="0" w:color="auto"/>
        <w:left w:val="none" w:sz="0" w:space="0" w:color="auto"/>
        <w:bottom w:val="none" w:sz="0" w:space="0" w:color="auto"/>
        <w:right w:val="none" w:sz="0" w:space="0" w:color="auto"/>
      </w:divBdr>
    </w:div>
    <w:div w:id="368602796">
      <w:bodyDiv w:val="1"/>
      <w:marLeft w:val="0"/>
      <w:marRight w:val="0"/>
      <w:marTop w:val="0"/>
      <w:marBottom w:val="0"/>
      <w:divBdr>
        <w:top w:val="none" w:sz="0" w:space="0" w:color="auto"/>
        <w:left w:val="none" w:sz="0" w:space="0" w:color="auto"/>
        <w:bottom w:val="none" w:sz="0" w:space="0" w:color="auto"/>
        <w:right w:val="none" w:sz="0" w:space="0" w:color="auto"/>
      </w:divBdr>
    </w:div>
    <w:div w:id="423845606">
      <w:bodyDiv w:val="1"/>
      <w:marLeft w:val="0"/>
      <w:marRight w:val="0"/>
      <w:marTop w:val="0"/>
      <w:marBottom w:val="0"/>
      <w:divBdr>
        <w:top w:val="none" w:sz="0" w:space="0" w:color="auto"/>
        <w:left w:val="none" w:sz="0" w:space="0" w:color="auto"/>
        <w:bottom w:val="none" w:sz="0" w:space="0" w:color="auto"/>
        <w:right w:val="none" w:sz="0" w:space="0" w:color="auto"/>
      </w:divBdr>
    </w:div>
    <w:div w:id="435829982">
      <w:bodyDiv w:val="1"/>
      <w:marLeft w:val="0"/>
      <w:marRight w:val="0"/>
      <w:marTop w:val="0"/>
      <w:marBottom w:val="0"/>
      <w:divBdr>
        <w:top w:val="none" w:sz="0" w:space="0" w:color="auto"/>
        <w:left w:val="none" w:sz="0" w:space="0" w:color="auto"/>
        <w:bottom w:val="none" w:sz="0" w:space="0" w:color="auto"/>
        <w:right w:val="none" w:sz="0" w:space="0" w:color="auto"/>
      </w:divBdr>
    </w:div>
    <w:div w:id="715009193">
      <w:bodyDiv w:val="1"/>
      <w:marLeft w:val="0"/>
      <w:marRight w:val="0"/>
      <w:marTop w:val="0"/>
      <w:marBottom w:val="0"/>
      <w:divBdr>
        <w:top w:val="none" w:sz="0" w:space="0" w:color="auto"/>
        <w:left w:val="none" w:sz="0" w:space="0" w:color="auto"/>
        <w:bottom w:val="none" w:sz="0" w:space="0" w:color="auto"/>
        <w:right w:val="none" w:sz="0" w:space="0" w:color="auto"/>
      </w:divBdr>
    </w:div>
    <w:div w:id="748501145">
      <w:bodyDiv w:val="1"/>
      <w:marLeft w:val="0"/>
      <w:marRight w:val="0"/>
      <w:marTop w:val="0"/>
      <w:marBottom w:val="0"/>
      <w:divBdr>
        <w:top w:val="none" w:sz="0" w:space="0" w:color="auto"/>
        <w:left w:val="none" w:sz="0" w:space="0" w:color="auto"/>
        <w:bottom w:val="none" w:sz="0" w:space="0" w:color="auto"/>
        <w:right w:val="none" w:sz="0" w:space="0" w:color="auto"/>
      </w:divBdr>
    </w:div>
    <w:div w:id="850723688">
      <w:bodyDiv w:val="1"/>
      <w:marLeft w:val="0"/>
      <w:marRight w:val="0"/>
      <w:marTop w:val="0"/>
      <w:marBottom w:val="0"/>
      <w:divBdr>
        <w:top w:val="none" w:sz="0" w:space="0" w:color="auto"/>
        <w:left w:val="none" w:sz="0" w:space="0" w:color="auto"/>
        <w:bottom w:val="none" w:sz="0" w:space="0" w:color="auto"/>
        <w:right w:val="none" w:sz="0" w:space="0" w:color="auto"/>
      </w:divBdr>
    </w:div>
    <w:div w:id="869684527">
      <w:bodyDiv w:val="1"/>
      <w:marLeft w:val="0"/>
      <w:marRight w:val="0"/>
      <w:marTop w:val="0"/>
      <w:marBottom w:val="0"/>
      <w:divBdr>
        <w:top w:val="none" w:sz="0" w:space="0" w:color="auto"/>
        <w:left w:val="none" w:sz="0" w:space="0" w:color="auto"/>
        <w:bottom w:val="none" w:sz="0" w:space="0" w:color="auto"/>
        <w:right w:val="none" w:sz="0" w:space="0" w:color="auto"/>
      </w:divBdr>
    </w:div>
    <w:div w:id="903761605">
      <w:bodyDiv w:val="1"/>
      <w:marLeft w:val="0"/>
      <w:marRight w:val="0"/>
      <w:marTop w:val="0"/>
      <w:marBottom w:val="0"/>
      <w:divBdr>
        <w:top w:val="none" w:sz="0" w:space="0" w:color="auto"/>
        <w:left w:val="none" w:sz="0" w:space="0" w:color="auto"/>
        <w:bottom w:val="none" w:sz="0" w:space="0" w:color="auto"/>
        <w:right w:val="none" w:sz="0" w:space="0" w:color="auto"/>
      </w:divBdr>
    </w:div>
    <w:div w:id="935138974">
      <w:bodyDiv w:val="1"/>
      <w:marLeft w:val="0"/>
      <w:marRight w:val="0"/>
      <w:marTop w:val="0"/>
      <w:marBottom w:val="0"/>
      <w:divBdr>
        <w:top w:val="none" w:sz="0" w:space="0" w:color="auto"/>
        <w:left w:val="none" w:sz="0" w:space="0" w:color="auto"/>
        <w:bottom w:val="none" w:sz="0" w:space="0" w:color="auto"/>
        <w:right w:val="none" w:sz="0" w:space="0" w:color="auto"/>
      </w:divBdr>
    </w:div>
    <w:div w:id="949051600">
      <w:bodyDiv w:val="1"/>
      <w:marLeft w:val="0"/>
      <w:marRight w:val="0"/>
      <w:marTop w:val="0"/>
      <w:marBottom w:val="0"/>
      <w:divBdr>
        <w:top w:val="none" w:sz="0" w:space="0" w:color="auto"/>
        <w:left w:val="none" w:sz="0" w:space="0" w:color="auto"/>
        <w:bottom w:val="none" w:sz="0" w:space="0" w:color="auto"/>
        <w:right w:val="none" w:sz="0" w:space="0" w:color="auto"/>
      </w:divBdr>
    </w:div>
    <w:div w:id="971861192">
      <w:bodyDiv w:val="1"/>
      <w:marLeft w:val="0"/>
      <w:marRight w:val="0"/>
      <w:marTop w:val="0"/>
      <w:marBottom w:val="0"/>
      <w:divBdr>
        <w:top w:val="none" w:sz="0" w:space="0" w:color="auto"/>
        <w:left w:val="none" w:sz="0" w:space="0" w:color="auto"/>
        <w:bottom w:val="none" w:sz="0" w:space="0" w:color="auto"/>
        <w:right w:val="none" w:sz="0" w:space="0" w:color="auto"/>
      </w:divBdr>
    </w:div>
    <w:div w:id="1024788699">
      <w:bodyDiv w:val="1"/>
      <w:marLeft w:val="0"/>
      <w:marRight w:val="0"/>
      <w:marTop w:val="0"/>
      <w:marBottom w:val="0"/>
      <w:divBdr>
        <w:top w:val="none" w:sz="0" w:space="0" w:color="auto"/>
        <w:left w:val="none" w:sz="0" w:space="0" w:color="auto"/>
        <w:bottom w:val="none" w:sz="0" w:space="0" w:color="auto"/>
        <w:right w:val="none" w:sz="0" w:space="0" w:color="auto"/>
      </w:divBdr>
    </w:div>
    <w:div w:id="1070663228">
      <w:bodyDiv w:val="1"/>
      <w:marLeft w:val="0"/>
      <w:marRight w:val="0"/>
      <w:marTop w:val="0"/>
      <w:marBottom w:val="0"/>
      <w:divBdr>
        <w:top w:val="none" w:sz="0" w:space="0" w:color="auto"/>
        <w:left w:val="none" w:sz="0" w:space="0" w:color="auto"/>
        <w:bottom w:val="none" w:sz="0" w:space="0" w:color="auto"/>
        <w:right w:val="none" w:sz="0" w:space="0" w:color="auto"/>
      </w:divBdr>
    </w:div>
    <w:div w:id="1088843194">
      <w:bodyDiv w:val="1"/>
      <w:marLeft w:val="0"/>
      <w:marRight w:val="0"/>
      <w:marTop w:val="0"/>
      <w:marBottom w:val="0"/>
      <w:divBdr>
        <w:top w:val="none" w:sz="0" w:space="0" w:color="auto"/>
        <w:left w:val="none" w:sz="0" w:space="0" w:color="auto"/>
        <w:bottom w:val="none" w:sz="0" w:space="0" w:color="auto"/>
        <w:right w:val="none" w:sz="0" w:space="0" w:color="auto"/>
      </w:divBdr>
    </w:div>
    <w:div w:id="1095979520">
      <w:bodyDiv w:val="1"/>
      <w:marLeft w:val="0"/>
      <w:marRight w:val="0"/>
      <w:marTop w:val="0"/>
      <w:marBottom w:val="0"/>
      <w:divBdr>
        <w:top w:val="none" w:sz="0" w:space="0" w:color="auto"/>
        <w:left w:val="none" w:sz="0" w:space="0" w:color="auto"/>
        <w:bottom w:val="none" w:sz="0" w:space="0" w:color="auto"/>
        <w:right w:val="none" w:sz="0" w:space="0" w:color="auto"/>
      </w:divBdr>
    </w:div>
    <w:div w:id="1118139421">
      <w:bodyDiv w:val="1"/>
      <w:marLeft w:val="0"/>
      <w:marRight w:val="0"/>
      <w:marTop w:val="0"/>
      <w:marBottom w:val="0"/>
      <w:divBdr>
        <w:top w:val="none" w:sz="0" w:space="0" w:color="auto"/>
        <w:left w:val="none" w:sz="0" w:space="0" w:color="auto"/>
        <w:bottom w:val="none" w:sz="0" w:space="0" w:color="auto"/>
        <w:right w:val="none" w:sz="0" w:space="0" w:color="auto"/>
      </w:divBdr>
    </w:div>
    <w:div w:id="1171487074">
      <w:bodyDiv w:val="1"/>
      <w:marLeft w:val="0"/>
      <w:marRight w:val="0"/>
      <w:marTop w:val="0"/>
      <w:marBottom w:val="0"/>
      <w:divBdr>
        <w:top w:val="none" w:sz="0" w:space="0" w:color="auto"/>
        <w:left w:val="none" w:sz="0" w:space="0" w:color="auto"/>
        <w:bottom w:val="none" w:sz="0" w:space="0" w:color="auto"/>
        <w:right w:val="none" w:sz="0" w:space="0" w:color="auto"/>
      </w:divBdr>
    </w:div>
    <w:div w:id="1200320030">
      <w:bodyDiv w:val="1"/>
      <w:marLeft w:val="0"/>
      <w:marRight w:val="0"/>
      <w:marTop w:val="0"/>
      <w:marBottom w:val="0"/>
      <w:divBdr>
        <w:top w:val="none" w:sz="0" w:space="0" w:color="auto"/>
        <w:left w:val="none" w:sz="0" w:space="0" w:color="auto"/>
        <w:bottom w:val="none" w:sz="0" w:space="0" w:color="auto"/>
        <w:right w:val="none" w:sz="0" w:space="0" w:color="auto"/>
      </w:divBdr>
    </w:div>
    <w:div w:id="1230388580">
      <w:bodyDiv w:val="1"/>
      <w:marLeft w:val="0"/>
      <w:marRight w:val="0"/>
      <w:marTop w:val="0"/>
      <w:marBottom w:val="0"/>
      <w:divBdr>
        <w:top w:val="none" w:sz="0" w:space="0" w:color="auto"/>
        <w:left w:val="none" w:sz="0" w:space="0" w:color="auto"/>
        <w:bottom w:val="none" w:sz="0" w:space="0" w:color="auto"/>
        <w:right w:val="none" w:sz="0" w:space="0" w:color="auto"/>
      </w:divBdr>
    </w:div>
    <w:div w:id="1233352931">
      <w:bodyDiv w:val="1"/>
      <w:marLeft w:val="0"/>
      <w:marRight w:val="0"/>
      <w:marTop w:val="0"/>
      <w:marBottom w:val="0"/>
      <w:divBdr>
        <w:top w:val="none" w:sz="0" w:space="0" w:color="auto"/>
        <w:left w:val="none" w:sz="0" w:space="0" w:color="auto"/>
        <w:bottom w:val="none" w:sz="0" w:space="0" w:color="auto"/>
        <w:right w:val="none" w:sz="0" w:space="0" w:color="auto"/>
      </w:divBdr>
    </w:div>
    <w:div w:id="1298686453">
      <w:bodyDiv w:val="1"/>
      <w:marLeft w:val="0"/>
      <w:marRight w:val="0"/>
      <w:marTop w:val="0"/>
      <w:marBottom w:val="0"/>
      <w:divBdr>
        <w:top w:val="none" w:sz="0" w:space="0" w:color="auto"/>
        <w:left w:val="none" w:sz="0" w:space="0" w:color="auto"/>
        <w:bottom w:val="none" w:sz="0" w:space="0" w:color="auto"/>
        <w:right w:val="none" w:sz="0" w:space="0" w:color="auto"/>
      </w:divBdr>
    </w:div>
    <w:div w:id="1317105343">
      <w:bodyDiv w:val="1"/>
      <w:marLeft w:val="0"/>
      <w:marRight w:val="0"/>
      <w:marTop w:val="0"/>
      <w:marBottom w:val="0"/>
      <w:divBdr>
        <w:top w:val="none" w:sz="0" w:space="0" w:color="auto"/>
        <w:left w:val="none" w:sz="0" w:space="0" w:color="auto"/>
        <w:bottom w:val="none" w:sz="0" w:space="0" w:color="auto"/>
        <w:right w:val="none" w:sz="0" w:space="0" w:color="auto"/>
      </w:divBdr>
    </w:div>
    <w:div w:id="1339967189">
      <w:bodyDiv w:val="1"/>
      <w:marLeft w:val="0"/>
      <w:marRight w:val="0"/>
      <w:marTop w:val="0"/>
      <w:marBottom w:val="0"/>
      <w:divBdr>
        <w:top w:val="none" w:sz="0" w:space="0" w:color="auto"/>
        <w:left w:val="none" w:sz="0" w:space="0" w:color="auto"/>
        <w:bottom w:val="none" w:sz="0" w:space="0" w:color="auto"/>
        <w:right w:val="none" w:sz="0" w:space="0" w:color="auto"/>
      </w:divBdr>
    </w:div>
    <w:div w:id="1340738482">
      <w:bodyDiv w:val="1"/>
      <w:marLeft w:val="0"/>
      <w:marRight w:val="0"/>
      <w:marTop w:val="0"/>
      <w:marBottom w:val="0"/>
      <w:divBdr>
        <w:top w:val="none" w:sz="0" w:space="0" w:color="auto"/>
        <w:left w:val="none" w:sz="0" w:space="0" w:color="auto"/>
        <w:bottom w:val="none" w:sz="0" w:space="0" w:color="auto"/>
        <w:right w:val="none" w:sz="0" w:space="0" w:color="auto"/>
      </w:divBdr>
    </w:div>
    <w:div w:id="1571037440">
      <w:bodyDiv w:val="1"/>
      <w:marLeft w:val="0"/>
      <w:marRight w:val="0"/>
      <w:marTop w:val="0"/>
      <w:marBottom w:val="0"/>
      <w:divBdr>
        <w:top w:val="none" w:sz="0" w:space="0" w:color="auto"/>
        <w:left w:val="none" w:sz="0" w:space="0" w:color="auto"/>
        <w:bottom w:val="none" w:sz="0" w:space="0" w:color="auto"/>
        <w:right w:val="none" w:sz="0" w:space="0" w:color="auto"/>
      </w:divBdr>
    </w:div>
    <w:div w:id="1618876495">
      <w:bodyDiv w:val="1"/>
      <w:marLeft w:val="0"/>
      <w:marRight w:val="0"/>
      <w:marTop w:val="0"/>
      <w:marBottom w:val="0"/>
      <w:divBdr>
        <w:top w:val="none" w:sz="0" w:space="0" w:color="auto"/>
        <w:left w:val="none" w:sz="0" w:space="0" w:color="auto"/>
        <w:bottom w:val="none" w:sz="0" w:space="0" w:color="auto"/>
        <w:right w:val="none" w:sz="0" w:space="0" w:color="auto"/>
      </w:divBdr>
    </w:div>
    <w:div w:id="1645619519">
      <w:bodyDiv w:val="1"/>
      <w:marLeft w:val="0"/>
      <w:marRight w:val="0"/>
      <w:marTop w:val="0"/>
      <w:marBottom w:val="0"/>
      <w:divBdr>
        <w:top w:val="none" w:sz="0" w:space="0" w:color="auto"/>
        <w:left w:val="none" w:sz="0" w:space="0" w:color="auto"/>
        <w:bottom w:val="none" w:sz="0" w:space="0" w:color="auto"/>
        <w:right w:val="none" w:sz="0" w:space="0" w:color="auto"/>
      </w:divBdr>
    </w:div>
    <w:div w:id="1750693334">
      <w:bodyDiv w:val="1"/>
      <w:marLeft w:val="0"/>
      <w:marRight w:val="0"/>
      <w:marTop w:val="0"/>
      <w:marBottom w:val="0"/>
      <w:divBdr>
        <w:top w:val="none" w:sz="0" w:space="0" w:color="auto"/>
        <w:left w:val="none" w:sz="0" w:space="0" w:color="auto"/>
        <w:bottom w:val="none" w:sz="0" w:space="0" w:color="auto"/>
        <w:right w:val="none" w:sz="0" w:space="0" w:color="auto"/>
      </w:divBdr>
    </w:div>
    <w:div w:id="1787458622">
      <w:bodyDiv w:val="1"/>
      <w:marLeft w:val="0"/>
      <w:marRight w:val="0"/>
      <w:marTop w:val="0"/>
      <w:marBottom w:val="0"/>
      <w:divBdr>
        <w:top w:val="none" w:sz="0" w:space="0" w:color="auto"/>
        <w:left w:val="none" w:sz="0" w:space="0" w:color="auto"/>
        <w:bottom w:val="none" w:sz="0" w:space="0" w:color="auto"/>
        <w:right w:val="none" w:sz="0" w:space="0" w:color="auto"/>
      </w:divBdr>
    </w:div>
    <w:div w:id="1839661395">
      <w:bodyDiv w:val="1"/>
      <w:marLeft w:val="0"/>
      <w:marRight w:val="0"/>
      <w:marTop w:val="0"/>
      <w:marBottom w:val="0"/>
      <w:divBdr>
        <w:top w:val="none" w:sz="0" w:space="0" w:color="auto"/>
        <w:left w:val="none" w:sz="0" w:space="0" w:color="auto"/>
        <w:bottom w:val="none" w:sz="0" w:space="0" w:color="auto"/>
        <w:right w:val="none" w:sz="0" w:space="0" w:color="auto"/>
      </w:divBdr>
    </w:div>
    <w:div w:id="1855723472">
      <w:bodyDiv w:val="1"/>
      <w:marLeft w:val="0"/>
      <w:marRight w:val="0"/>
      <w:marTop w:val="0"/>
      <w:marBottom w:val="0"/>
      <w:divBdr>
        <w:top w:val="none" w:sz="0" w:space="0" w:color="auto"/>
        <w:left w:val="none" w:sz="0" w:space="0" w:color="auto"/>
        <w:bottom w:val="none" w:sz="0" w:space="0" w:color="auto"/>
        <w:right w:val="none" w:sz="0" w:space="0" w:color="auto"/>
      </w:divBdr>
    </w:div>
    <w:div w:id="1867870560">
      <w:bodyDiv w:val="1"/>
      <w:marLeft w:val="0"/>
      <w:marRight w:val="0"/>
      <w:marTop w:val="0"/>
      <w:marBottom w:val="0"/>
      <w:divBdr>
        <w:top w:val="none" w:sz="0" w:space="0" w:color="auto"/>
        <w:left w:val="none" w:sz="0" w:space="0" w:color="auto"/>
        <w:bottom w:val="none" w:sz="0" w:space="0" w:color="auto"/>
        <w:right w:val="none" w:sz="0" w:space="0" w:color="auto"/>
      </w:divBdr>
    </w:div>
    <w:div w:id="1969776336">
      <w:bodyDiv w:val="1"/>
      <w:marLeft w:val="0"/>
      <w:marRight w:val="0"/>
      <w:marTop w:val="0"/>
      <w:marBottom w:val="0"/>
      <w:divBdr>
        <w:top w:val="none" w:sz="0" w:space="0" w:color="auto"/>
        <w:left w:val="none" w:sz="0" w:space="0" w:color="auto"/>
        <w:bottom w:val="none" w:sz="0" w:space="0" w:color="auto"/>
        <w:right w:val="none" w:sz="0" w:space="0" w:color="auto"/>
      </w:divBdr>
    </w:div>
    <w:div w:id="1974016791">
      <w:bodyDiv w:val="1"/>
      <w:marLeft w:val="0"/>
      <w:marRight w:val="0"/>
      <w:marTop w:val="0"/>
      <w:marBottom w:val="0"/>
      <w:divBdr>
        <w:top w:val="none" w:sz="0" w:space="0" w:color="auto"/>
        <w:left w:val="none" w:sz="0" w:space="0" w:color="auto"/>
        <w:bottom w:val="none" w:sz="0" w:space="0" w:color="auto"/>
        <w:right w:val="none" w:sz="0" w:space="0" w:color="auto"/>
      </w:divBdr>
    </w:div>
    <w:div w:id="1993093161">
      <w:bodyDiv w:val="1"/>
      <w:marLeft w:val="0"/>
      <w:marRight w:val="0"/>
      <w:marTop w:val="0"/>
      <w:marBottom w:val="0"/>
      <w:divBdr>
        <w:top w:val="none" w:sz="0" w:space="0" w:color="auto"/>
        <w:left w:val="none" w:sz="0" w:space="0" w:color="auto"/>
        <w:bottom w:val="none" w:sz="0" w:space="0" w:color="auto"/>
        <w:right w:val="none" w:sz="0" w:space="0" w:color="auto"/>
      </w:divBdr>
    </w:div>
    <w:div w:id="2090957026">
      <w:bodyDiv w:val="1"/>
      <w:marLeft w:val="0"/>
      <w:marRight w:val="0"/>
      <w:marTop w:val="0"/>
      <w:marBottom w:val="0"/>
      <w:divBdr>
        <w:top w:val="none" w:sz="0" w:space="0" w:color="auto"/>
        <w:left w:val="none" w:sz="0" w:space="0" w:color="auto"/>
        <w:bottom w:val="none" w:sz="0" w:space="0" w:color="auto"/>
        <w:right w:val="none" w:sz="0" w:space="0" w:color="auto"/>
      </w:divBdr>
    </w:div>
    <w:div w:id="2112313945">
      <w:bodyDiv w:val="1"/>
      <w:marLeft w:val="0"/>
      <w:marRight w:val="0"/>
      <w:marTop w:val="0"/>
      <w:marBottom w:val="0"/>
      <w:divBdr>
        <w:top w:val="none" w:sz="0" w:space="0" w:color="auto"/>
        <w:left w:val="none" w:sz="0" w:space="0" w:color="auto"/>
        <w:bottom w:val="none" w:sz="0" w:space="0" w:color="auto"/>
        <w:right w:val="none" w:sz="0" w:space="0" w:color="auto"/>
      </w:divBdr>
    </w:div>
    <w:div w:id="2113738998">
      <w:bodyDiv w:val="1"/>
      <w:marLeft w:val="0"/>
      <w:marRight w:val="0"/>
      <w:marTop w:val="0"/>
      <w:marBottom w:val="0"/>
      <w:divBdr>
        <w:top w:val="none" w:sz="0" w:space="0" w:color="auto"/>
        <w:left w:val="none" w:sz="0" w:space="0" w:color="auto"/>
        <w:bottom w:val="none" w:sz="0" w:space="0" w:color="auto"/>
        <w:right w:val="none" w:sz="0" w:space="0" w:color="auto"/>
      </w:divBdr>
    </w:div>
    <w:div w:id="2135638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1835</ap:Words>
  <ap:Characters>10097</ap:Characters>
  <ap:DocSecurity>0</ap:DocSecurity>
  <ap:Lines>84</ap:Lines>
  <ap:Paragraphs>23</ap:Paragraphs>
  <ap:ScaleCrop>false</ap:ScaleCrop>
  <ap:LinksUpToDate>false</ap:LinksUpToDate>
  <ap:CharactersWithSpaces>11909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2026-06-09T08:29:00.0000000Z</dcterms:created>
  <dcterms:modified xsi:type="dcterms:W3CDTF">2026-06-09T08:29:00.0000000Z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5abe032f-5513-441e-bebb-d56d83ae6b5c</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https://247.plaza.buzaservices.nl/subject/PV-VZ2026022026/BZ2628622/GRT-Regering-BuZa-2026Z10340%20HGIS.docx, </vt:lpwstr>
  </property>
  <property fmtid="{D5CDD505-2E9C-101B-9397-08002B2CF9AE}" pid="25" name="_docset_NoMedatataSyncRequired">
    <vt:lpwstr>False</vt:lpwstr>
  </property>
</Properties>
</file>