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0065" w:rsidR="005F24C7" w:rsidP="006424AD" w:rsidRDefault="005F24C7" w14:paraId="7739D130" w14:textId="77777777">
      <w:pPr>
        <w:spacing w:line="240" w:lineRule="atLeast"/>
        <w:rPr>
          <w:rFonts w:ascii="Verdana" w:hAnsi="Verdana" w:cs="Arial"/>
          <w:b/>
          <w:bCs/>
          <w:sz w:val="18"/>
          <w:szCs w:val="18"/>
        </w:rPr>
      </w:pPr>
      <w:r w:rsidRPr="000B0065">
        <w:rPr>
          <w:rFonts w:ascii="Verdana" w:hAnsi="Verdana" w:cs="Arial"/>
          <w:b/>
          <w:bCs/>
          <w:sz w:val="18"/>
          <w:szCs w:val="18"/>
        </w:rPr>
        <w:t xml:space="preserve">CONCEPT </w:t>
      </w:r>
    </w:p>
    <w:p w:rsidRPr="000B0065" w:rsidR="002531AD" w:rsidP="006424AD" w:rsidRDefault="002531AD" w14:paraId="2AA45B2C" w14:textId="77777777">
      <w:pPr>
        <w:spacing w:line="240" w:lineRule="atLeast"/>
        <w:rPr>
          <w:rFonts w:ascii="Verdana" w:hAnsi="Verdana" w:cs="Arial"/>
          <w:b/>
          <w:bCs/>
          <w:sz w:val="18"/>
          <w:szCs w:val="18"/>
        </w:rPr>
      </w:pPr>
      <w:r w:rsidRPr="000B0065">
        <w:rPr>
          <w:rFonts w:ascii="Verdana" w:hAnsi="Verdana" w:cs="Arial"/>
          <w:b/>
          <w:bCs/>
          <w:sz w:val="18"/>
          <w:szCs w:val="18"/>
        </w:rPr>
        <w:t xml:space="preserve">NOTA VAN TOELICHTING </w:t>
      </w:r>
    </w:p>
    <w:p w:rsidRPr="000B0065" w:rsidR="002531AD" w:rsidP="006424AD" w:rsidRDefault="002531AD" w14:paraId="7E4A78BA" w14:textId="77777777">
      <w:pPr>
        <w:spacing w:line="240" w:lineRule="atLeast"/>
        <w:rPr>
          <w:rFonts w:ascii="Verdana" w:hAnsi="Verdana" w:cs="Arial"/>
          <w:b/>
          <w:bCs/>
          <w:sz w:val="18"/>
          <w:szCs w:val="18"/>
        </w:rPr>
      </w:pPr>
      <w:r w:rsidRPr="000B0065">
        <w:rPr>
          <w:rFonts w:ascii="Verdana" w:hAnsi="Verdana" w:cs="Arial"/>
          <w:b/>
          <w:bCs/>
          <w:sz w:val="18"/>
          <w:szCs w:val="18"/>
        </w:rPr>
        <w:t xml:space="preserve">I. Algemeen </w:t>
      </w:r>
    </w:p>
    <w:p w:rsidRPr="000B0065" w:rsidR="002531AD" w:rsidP="006424AD" w:rsidRDefault="002531AD" w14:paraId="0A067E4C" w14:textId="77777777">
      <w:pPr>
        <w:spacing w:line="240" w:lineRule="atLeast"/>
        <w:rPr>
          <w:rFonts w:ascii="Verdana" w:hAnsi="Verdana" w:cs="Arial"/>
          <w:b/>
          <w:bCs/>
          <w:sz w:val="18"/>
          <w:szCs w:val="18"/>
        </w:rPr>
      </w:pPr>
      <w:r w:rsidRPr="000B0065">
        <w:rPr>
          <w:rFonts w:ascii="Verdana" w:hAnsi="Verdana" w:cs="Arial"/>
          <w:b/>
          <w:bCs/>
          <w:sz w:val="18"/>
          <w:szCs w:val="18"/>
        </w:rPr>
        <w:t>1. Inleiding</w:t>
      </w:r>
    </w:p>
    <w:p w:rsidR="009442EC" w:rsidP="006424AD" w:rsidRDefault="002531AD" w14:paraId="10C24A7F" w14:textId="2FCDE7A8">
      <w:pPr>
        <w:spacing w:line="240" w:lineRule="atLeast"/>
        <w:rPr>
          <w:rFonts w:ascii="Verdana" w:hAnsi="Verdana" w:cs="Arial"/>
          <w:sz w:val="18"/>
          <w:szCs w:val="18"/>
        </w:rPr>
      </w:pPr>
      <w:r w:rsidRPr="000B0065">
        <w:rPr>
          <w:rFonts w:ascii="Verdana" w:hAnsi="Verdana" w:cs="Arial"/>
          <w:sz w:val="18"/>
          <w:szCs w:val="18"/>
        </w:rPr>
        <w:t xml:space="preserve">Dit besluit wijzigt het Besluit toepassingsbereik sensitieve technologie (hierna verder te noemen: </w:t>
      </w:r>
      <w:r w:rsidR="009442EC">
        <w:rPr>
          <w:rFonts w:ascii="Verdana" w:hAnsi="Verdana" w:cs="Arial"/>
          <w:sz w:val="18"/>
          <w:szCs w:val="18"/>
        </w:rPr>
        <w:t>‘</w:t>
      </w:r>
      <w:r w:rsidRPr="000B0065">
        <w:rPr>
          <w:rFonts w:ascii="Verdana" w:hAnsi="Verdana" w:cs="Arial"/>
          <w:sz w:val="18"/>
          <w:szCs w:val="18"/>
        </w:rPr>
        <w:t>Besluit sensitief</w:t>
      </w:r>
      <w:r w:rsidR="009442EC">
        <w:rPr>
          <w:rFonts w:ascii="Verdana" w:hAnsi="Verdana" w:cs="Arial"/>
          <w:sz w:val="18"/>
          <w:szCs w:val="18"/>
        </w:rPr>
        <w:t>’</w:t>
      </w:r>
      <w:r w:rsidRPr="000B0065">
        <w:rPr>
          <w:rFonts w:ascii="Verdana" w:hAnsi="Verdana" w:cs="Arial"/>
          <w:sz w:val="18"/>
          <w:szCs w:val="18"/>
        </w:rPr>
        <w:t xml:space="preserve">), dat zijn grondslag vindt in de Wet veiligheidstoets investeringen, fusies en overnames (hierna verder te noemen: </w:t>
      </w:r>
      <w:r w:rsidR="009442EC">
        <w:rPr>
          <w:rFonts w:ascii="Verdana" w:hAnsi="Verdana" w:cs="Arial"/>
          <w:sz w:val="18"/>
          <w:szCs w:val="18"/>
        </w:rPr>
        <w:t>‘</w:t>
      </w:r>
      <w:r w:rsidRPr="000B0065">
        <w:rPr>
          <w:rFonts w:ascii="Verdana" w:hAnsi="Verdana" w:cs="Arial"/>
          <w:sz w:val="18"/>
          <w:szCs w:val="18"/>
        </w:rPr>
        <w:t>Wet vifo</w:t>
      </w:r>
      <w:r w:rsidR="009442EC">
        <w:rPr>
          <w:rFonts w:ascii="Verdana" w:hAnsi="Verdana" w:cs="Arial"/>
          <w:sz w:val="18"/>
          <w:szCs w:val="18"/>
        </w:rPr>
        <w:t>’ of ‘deze wet’</w:t>
      </w:r>
      <w:r w:rsidRPr="000B0065">
        <w:rPr>
          <w:rFonts w:ascii="Verdana" w:hAnsi="Verdana" w:cs="Arial"/>
          <w:sz w:val="18"/>
          <w:szCs w:val="18"/>
        </w:rPr>
        <w:t xml:space="preserve">). De Wet vifo is van toepassing op verwervingsactiviteiten, </w:t>
      </w:r>
      <w:r w:rsidR="009442EC">
        <w:rPr>
          <w:rFonts w:ascii="Verdana" w:hAnsi="Verdana" w:cs="Arial"/>
          <w:sz w:val="18"/>
          <w:szCs w:val="18"/>
        </w:rPr>
        <w:t>onder andere</w:t>
      </w:r>
      <w:r w:rsidRPr="000B0065" w:rsidR="009442EC">
        <w:rPr>
          <w:rFonts w:ascii="Verdana" w:hAnsi="Verdana" w:cs="Arial"/>
          <w:sz w:val="18"/>
          <w:szCs w:val="18"/>
        </w:rPr>
        <w:t xml:space="preserve"> </w:t>
      </w:r>
      <w:r w:rsidR="009442EC">
        <w:rPr>
          <w:rFonts w:ascii="Verdana" w:hAnsi="Verdana" w:cs="Arial"/>
          <w:sz w:val="18"/>
          <w:szCs w:val="18"/>
        </w:rPr>
        <w:t>in</w:t>
      </w:r>
      <w:r w:rsidRPr="000B0065">
        <w:rPr>
          <w:rFonts w:ascii="Verdana" w:hAnsi="Verdana" w:cs="Arial"/>
          <w:sz w:val="18"/>
          <w:szCs w:val="18"/>
        </w:rPr>
        <w:t xml:space="preserve"> ondernemingen die actief zijn op het gebied van ‘sensitieve technologie’. </w:t>
      </w:r>
      <w:r w:rsidR="00B92C74">
        <w:rPr>
          <w:rFonts w:ascii="Verdana" w:hAnsi="Verdana" w:cs="Arial"/>
          <w:sz w:val="18"/>
          <w:szCs w:val="18"/>
        </w:rPr>
        <w:t>Een voorbeeld van een verwervingsactiviteit is een investering in een onderneming of fusie met een andere onderneming.</w:t>
      </w:r>
    </w:p>
    <w:p w:rsidR="00A63277" w:rsidP="006424AD" w:rsidRDefault="002531AD" w14:paraId="1954B8B3" w14:textId="26CB6D1B">
      <w:pPr>
        <w:spacing w:line="240" w:lineRule="atLeast"/>
        <w:rPr>
          <w:rFonts w:ascii="Verdana" w:hAnsi="Verdana" w:cs="Arial"/>
          <w:sz w:val="18"/>
          <w:szCs w:val="18"/>
        </w:rPr>
      </w:pPr>
      <w:r w:rsidRPr="000B0065">
        <w:rPr>
          <w:rFonts w:ascii="Verdana" w:hAnsi="Verdana" w:cs="Arial"/>
          <w:sz w:val="18"/>
          <w:szCs w:val="18"/>
        </w:rPr>
        <w:t>Wat precies onder sensitieve technologie valt, bepaalt de Wet vifo aan de hand van in deze wet aangehaalde EU-exportcontrolelijsten, die een opsomming bevatten van producten voor tweeërlei gebruik respectievelijk van militaire goederen.</w:t>
      </w:r>
      <w:r w:rsidR="00B92C74">
        <w:rPr>
          <w:rStyle w:val="Voetnootmarkering"/>
          <w:rFonts w:ascii="Verdana" w:hAnsi="Verdana" w:cs="Arial"/>
          <w:sz w:val="18"/>
          <w:szCs w:val="18"/>
        </w:rPr>
        <w:footnoteReference w:id="1"/>
      </w:r>
      <w:r w:rsidRPr="000B0065">
        <w:rPr>
          <w:rFonts w:ascii="Verdana" w:hAnsi="Verdana" w:cs="Arial"/>
          <w:sz w:val="18"/>
          <w:szCs w:val="18"/>
        </w:rPr>
        <w:t xml:space="preserve"> Deze lijsten zijn primair bedoeld voor exportcontrole </w:t>
      </w:r>
      <w:r w:rsidR="009442EC">
        <w:rPr>
          <w:rFonts w:ascii="Verdana" w:hAnsi="Verdana" w:cs="Arial"/>
          <w:sz w:val="18"/>
          <w:szCs w:val="18"/>
        </w:rPr>
        <w:t>maar</w:t>
      </w:r>
      <w:r w:rsidRPr="000B0065" w:rsidR="009442EC">
        <w:rPr>
          <w:rFonts w:ascii="Verdana" w:hAnsi="Verdana" w:cs="Arial"/>
          <w:sz w:val="18"/>
          <w:szCs w:val="18"/>
        </w:rPr>
        <w:t xml:space="preserve"> </w:t>
      </w:r>
      <w:r w:rsidRPr="000B0065">
        <w:rPr>
          <w:rFonts w:ascii="Verdana" w:hAnsi="Verdana" w:cs="Arial"/>
          <w:sz w:val="18"/>
          <w:szCs w:val="18"/>
        </w:rPr>
        <w:t xml:space="preserve">worden tevens als basis gebruikt voor wat tot sensitieve technologie wordt gerekend in het kader van </w:t>
      </w:r>
      <w:r w:rsidR="008817D0">
        <w:rPr>
          <w:rFonts w:ascii="Verdana" w:hAnsi="Verdana" w:cs="Arial"/>
          <w:sz w:val="18"/>
          <w:szCs w:val="18"/>
        </w:rPr>
        <w:t>veiligheids</w:t>
      </w:r>
      <w:r w:rsidRPr="000B0065">
        <w:rPr>
          <w:rFonts w:ascii="Verdana" w:hAnsi="Verdana" w:cs="Arial"/>
          <w:sz w:val="18"/>
          <w:szCs w:val="18"/>
        </w:rPr>
        <w:t xml:space="preserve">toetsing krachtens de Wet vifo. Doordat deze lijsten niet specifiek zijn samengesteld met het oog op </w:t>
      </w:r>
      <w:r w:rsidR="008817D0">
        <w:rPr>
          <w:rFonts w:ascii="Verdana" w:hAnsi="Verdana" w:cs="Arial"/>
          <w:sz w:val="18"/>
          <w:szCs w:val="18"/>
        </w:rPr>
        <w:t>veiligheids</w:t>
      </w:r>
      <w:r w:rsidRPr="000B0065">
        <w:rPr>
          <w:rFonts w:ascii="Verdana" w:hAnsi="Verdana" w:cs="Arial"/>
          <w:sz w:val="18"/>
          <w:szCs w:val="18"/>
        </w:rPr>
        <w:t>toetsing krachtens de Wet vifo, voorziet deze wet in de mogelijkheid</w:t>
      </w:r>
      <w:r w:rsidR="008817D0">
        <w:rPr>
          <w:rFonts w:ascii="Verdana" w:hAnsi="Verdana" w:cs="Arial"/>
          <w:sz w:val="18"/>
          <w:szCs w:val="18"/>
        </w:rPr>
        <w:t xml:space="preserve"> om</w:t>
      </w:r>
      <w:r w:rsidRPr="000B0065">
        <w:rPr>
          <w:rFonts w:ascii="Verdana" w:hAnsi="Verdana" w:cs="Arial"/>
          <w:sz w:val="18"/>
          <w:szCs w:val="18"/>
        </w:rPr>
        <w:t xml:space="preserve"> </w:t>
      </w:r>
      <w:r w:rsidR="008817D0">
        <w:rPr>
          <w:rFonts w:ascii="Verdana" w:hAnsi="Verdana" w:cs="Arial"/>
          <w:sz w:val="18"/>
          <w:szCs w:val="18"/>
        </w:rPr>
        <w:t xml:space="preserve">onder voorwaarden </w:t>
      </w:r>
      <w:r w:rsidRPr="000B0065">
        <w:rPr>
          <w:rFonts w:ascii="Verdana" w:hAnsi="Verdana" w:cs="Arial"/>
          <w:sz w:val="18"/>
          <w:szCs w:val="18"/>
        </w:rPr>
        <w:t>bij algemene maatregel van bestuur</w:t>
      </w:r>
      <w:r w:rsidRPr="008817D0" w:rsidR="008817D0">
        <w:rPr>
          <w:rFonts w:ascii="Verdana" w:hAnsi="Verdana" w:cs="Arial"/>
          <w:sz w:val="18"/>
          <w:szCs w:val="18"/>
        </w:rPr>
        <w:t xml:space="preserve"> </w:t>
      </w:r>
      <w:r w:rsidR="007806AB">
        <w:rPr>
          <w:rFonts w:ascii="Verdana" w:hAnsi="Verdana" w:cs="Arial"/>
          <w:sz w:val="18"/>
          <w:szCs w:val="18"/>
        </w:rPr>
        <w:t xml:space="preserve">hetgeen </w:t>
      </w:r>
      <w:r w:rsidR="008817D0">
        <w:rPr>
          <w:rFonts w:ascii="Verdana" w:hAnsi="Verdana" w:cs="Arial"/>
          <w:sz w:val="18"/>
          <w:szCs w:val="18"/>
        </w:rPr>
        <w:t>onder</w:t>
      </w:r>
      <w:r w:rsidRPr="000B0065" w:rsidR="008817D0">
        <w:rPr>
          <w:rFonts w:ascii="Verdana" w:hAnsi="Verdana" w:cs="Arial"/>
          <w:sz w:val="18"/>
          <w:szCs w:val="18"/>
        </w:rPr>
        <w:t xml:space="preserve"> </w:t>
      </w:r>
      <w:r w:rsidR="008817D0">
        <w:rPr>
          <w:rFonts w:ascii="Verdana" w:hAnsi="Verdana" w:cs="Arial"/>
          <w:sz w:val="18"/>
          <w:szCs w:val="18"/>
        </w:rPr>
        <w:t>‘</w:t>
      </w:r>
      <w:r w:rsidRPr="000B0065" w:rsidR="008817D0">
        <w:rPr>
          <w:rFonts w:ascii="Verdana" w:hAnsi="Verdana" w:cs="Arial"/>
          <w:sz w:val="18"/>
          <w:szCs w:val="18"/>
        </w:rPr>
        <w:t>sensitieve technologie</w:t>
      </w:r>
      <w:r w:rsidR="008817D0">
        <w:rPr>
          <w:rFonts w:ascii="Verdana" w:hAnsi="Verdana" w:cs="Arial"/>
          <w:sz w:val="18"/>
          <w:szCs w:val="18"/>
        </w:rPr>
        <w:t>’</w:t>
      </w:r>
      <w:r w:rsidRPr="008817D0" w:rsidR="008817D0">
        <w:rPr>
          <w:rFonts w:ascii="Verdana" w:hAnsi="Verdana" w:cs="Arial"/>
          <w:sz w:val="18"/>
          <w:szCs w:val="18"/>
        </w:rPr>
        <w:t xml:space="preserve"> </w:t>
      </w:r>
      <w:r w:rsidR="008817D0">
        <w:rPr>
          <w:rFonts w:ascii="Verdana" w:hAnsi="Verdana" w:cs="Arial"/>
          <w:sz w:val="18"/>
          <w:szCs w:val="18"/>
        </w:rPr>
        <w:t xml:space="preserve">valt </w:t>
      </w:r>
      <w:r w:rsidRPr="000B0065" w:rsidR="008817D0">
        <w:rPr>
          <w:rFonts w:ascii="Verdana" w:hAnsi="Verdana" w:cs="Arial"/>
          <w:sz w:val="18"/>
          <w:szCs w:val="18"/>
        </w:rPr>
        <w:t>zowel in</w:t>
      </w:r>
      <w:r w:rsidR="008817D0">
        <w:rPr>
          <w:rFonts w:ascii="Verdana" w:hAnsi="Verdana" w:cs="Arial"/>
          <w:sz w:val="18"/>
          <w:szCs w:val="18"/>
        </w:rPr>
        <w:t xml:space="preserve"> te </w:t>
      </w:r>
      <w:r w:rsidRPr="000B0065" w:rsidR="008817D0">
        <w:rPr>
          <w:rFonts w:ascii="Verdana" w:hAnsi="Verdana" w:cs="Arial"/>
          <w:sz w:val="18"/>
          <w:szCs w:val="18"/>
        </w:rPr>
        <w:t>perk</w:t>
      </w:r>
      <w:r w:rsidR="008817D0">
        <w:rPr>
          <w:rFonts w:ascii="Verdana" w:hAnsi="Verdana" w:cs="Arial"/>
          <w:sz w:val="18"/>
          <w:szCs w:val="18"/>
        </w:rPr>
        <w:t>en</w:t>
      </w:r>
      <w:r w:rsidRPr="000B0065" w:rsidR="008817D0">
        <w:rPr>
          <w:rFonts w:ascii="Verdana" w:hAnsi="Verdana" w:cs="Arial"/>
          <w:sz w:val="18"/>
          <w:szCs w:val="18"/>
        </w:rPr>
        <w:t xml:space="preserve"> als uit</w:t>
      </w:r>
      <w:r w:rsidR="008817D0">
        <w:rPr>
          <w:rFonts w:ascii="Verdana" w:hAnsi="Verdana" w:cs="Arial"/>
          <w:sz w:val="18"/>
          <w:szCs w:val="18"/>
        </w:rPr>
        <w:t xml:space="preserve"> te </w:t>
      </w:r>
      <w:r w:rsidRPr="000B0065" w:rsidR="008817D0">
        <w:rPr>
          <w:rFonts w:ascii="Verdana" w:hAnsi="Verdana" w:cs="Arial"/>
          <w:sz w:val="18"/>
          <w:szCs w:val="18"/>
        </w:rPr>
        <w:t>breid</w:t>
      </w:r>
      <w:r w:rsidR="008817D0">
        <w:rPr>
          <w:rFonts w:ascii="Verdana" w:hAnsi="Verdana" w:cs="Arial"/>
          <w:sz w:val="18"/>
          <w:szCs w:val="18"/>
        </w:rPr>
        <w:t>en</w:t>
      </w:r>
      <w:r w:rsidRPr="000B0065">
        <w:rPr>
          <w:rFonts w:ascii="Verdana" w:hAnsi="Verdana" w:cs="Arial"/>
          <w:sz w:val="18"/>
          <w:szCs w:val="18"/>
        </w:rPr>
        <w:t>. Het Besluit sensitief voorziet daarin door enkele technologieën die op exportcontrolelijsten staan uit te zonderen van het bereik van deze wet alsook enkele technologiegebieden als sensitieve technologie aan te wijzen die niet op de EU-exportcontrolelijsten voorkomen.</w:t>
      </w:r>
      <w:r w:rsidRPr="000B0065" w:rsidR="003548F2">
        <w:rPr>
          <w:rFonts w:ascii="Verdana" w:hAnsi="Verdana" w:cs="Arial"/>
          <w:sz w:val="18"/>
          <w:szCs w:val="18"/>
        </w:rPr>
        <w:t xml:space="preserve"> </w:t>
      </w:r>
    </w:p>
    <w:p w:rsidR="00B533CF" w:rsidP="008A27DD" w:rsidRDefault="003548F2" w14:paraId="65362986" w14:textId="24DC7B7B">
      <w:pPr>
        <w:spacing w:line="240" w:lineRule="atLeast"/>
        <w:rPr>
          <w:rFonts w:ascii="Verdana" w:hAnsi="Verdana"/>
          <w:sz w:val="18"/>
          <w:szCs w:val="18"/>
        </w:rPr>
      </w:pPr>
      <w:r w:rsidRPr="000B0065">
        <w:rPr>
          <w:rFonts w:ascii="Verdana" w:hAnsi="Verdana" w:cs="Arial"/>
          <w:sz w:val="18"/>
          <w:szCs w:val="18"/>
        </w:rPr>
        <w:t xml:space="preserve">De aanwijzing van </w:t>
      </w:r>
      <w:r w:rsidR="00D95156">
        <w:rPr>
          <w:rFonts w:ascii="Verdana" w:hAnsi="Verdana" w:cs="Arial"/>
          <w:sz w:val="18"/>
          <w:szCs w:val="18"/>
        </w:rPr>
        <w:t xml:space="preserve">bepaalde </w:t>
      </w:r>
      <w:r w:rsidRPr="000B0065">
        <w:rPr>
          <w:rFonts w:ascii="Verdana" w:hAnsi="Verdana" w:cs="Arial"/>
          <w:sz w:val="18"/>
          <w:szCs w:val="18"/>
        </w:rPr>
        <w:t>aanvullende technologiegebieden</w:t>
      </w:r>
      <w:r w:rsidR="00B533CF">
        <w:rPr>
          <w:rFonts w:ascii="Verdana" w:hAnsi="Verdana" w:cs="Arial"/>
          <w:sz w:val="18"/>
          <w:szCs w:val="18"/>
        </w:rPr>
        <w:t xml:space="preserve"> die niet op de EU-exportcontrolelijsten voorkomen</w:t>
      </w:r>
      <w:r w:rsidRPr="000B0065">
        <w:rPr>
          <w:rFonts w:ascii="Verdana" w:hAnsi="Verdana" w:cs="Arial"/>
          <w:sz w:val="18"/>
          <w:szCs w:val="18"/>
        </w:rPr>
        <w:t xml:space="preserve"> </w:t>
      </w:r>
      <w:r w:rsidR="00633318">
        <w:rPr>
          <w:rFonts w:ascii="Verdana" w:hAnsi="Verdana" w:cs="Arial"/>
          <w:sz w:val="18"/>
          <w:szCs w:val="18"/>
        </w:rPr>
        <w:t>is</w:t>
      </w:r>
      <w:r w:rsidRPr="000B0065" w:rsidR="00633318">
        <w:rPr>
          <w:rFonts w:ascii="Verdana" w:hAnsi="Verdana" w:cs="Arial"/>
          <w:sz w:val="18"/>
          <w:szCs w:val="18"/>
        </w:rPr>
        <w:t xml:space="preserve"> </w:t>
      </w:r>
      <w:r w:rsidRPr="000B0065">
        <w:rPr>
          <w:rFonts w:ascii="Verdana" w:hAnsi="Verdana" w:cs="Arial"/>
          <w:sz w:val="18"/>
          <w:szCs w:val="18"/>
        </w:rPr>
        <w:t xml:space="preserve">noodzakelijk </w:t>
      </w:r>
      <w:r w:rsidR="00D1660D">
        <w:rPr>
          <w:rFonts w:ascii="Verdana" w:hAnsi="Verdana" w:cs="Arial"/>
          <w:sz w:val="18"/>
          <w:szCs w:val="18"/>
        </w:rPr>
        <w:t xml:space="preserve">gebleken </w:t>
      </w:r>
      <w:r w:rsidRPr="000B0065">
        <w:rPr>
          <w:rFonts w:ascii="Verdana" w:hAnsi="Verdana" w:cs="Arial"/>
          <w:sz w:val="18"/>
          <w:szCs w:val="18"/>
        </w:rPr>
        <w:t>omdat die</w:t>
      </w:r>
      <w:r w:rsidRPr="000B0065">
        <w:rPr>
          <w:rFonts w:ascii="Verdana" w:hAnsi="Verdana"/>
          <w:sz w:val="18"/>
          <w:szCs w:val="18"/>
        </w:rPr>
        <w:t xml:space="preserve"> technologiegebieden door hun karakter een rechtstreekse relatie hebben tot de nationale veiligheidsbelangen van o.a. defensie, veiligheidsdiensten en politie. Deze technologiegebieden werden om die reden </w:t>
      </w:r>
      <w:r w:rsidR="00633318">
        <w:rPr>
          <w:rFonts w:ascii="Verdana" w:hAnsi="Verdana"/>
          <w:sz w:val="18"/>
          <w:szCs w:val="18"/>
        </w:rPr>
        <w:t xml:space="preserve">bij totstandkoming van </w:t>
      </w:r>
      <w:r w:rsidRPr="000B0065" w:rsidR="00633318">
        <w:rPr>
          <w:rFonts w:ascii="Verdana" w:hAnsi="Verdana"/>
          <w:sz w:val="18"/>
          <w:szCs w:val="18"/>
        </w:rPr>
        <w:t>het oorspronkelijke Besluit</w:t>
      </w:r>
      <w:r w:rsidR="00633318">
        <w:rPr>
          <w:rFonts w:ascii="Verdana" w:hAnsi="Verdana"/>
          <w:sz w:val="18"/>
          <w:szCs w:val="18"/>
        </w:rPr>
        <w:t xml:space="preserve"> tevens</w:t>
      </w:r>
      <w:r w:rsidRPr="000B0065" w:rsidR="00633318">
        <w:rPr>
          <w:rFonts w:ascii="Verdana" w:hAnsi="Verdana"/>
          <w:sz w:val="18"/>
          <w:szCs w:val="18"/>
        </w:rPr>
        <w:t xml:space="preserve"> </w:t>
      </w:r>
      <w:r w:rsidRPr="000B0065">
        <w:rPr>
          <w:rFonts w:ascii="Verdana" w:hAnsi="Verdana"/>
          <w:sz w:val="18"/>
          <w:szCs w:val="18"/>
        </w:rPr>
        <w:t xml:space="preserve">direct van de kwalificatie ‘zeer sensitief’ voorzien. In de nota van toelichting bij dat Besluit werd de ketenafhankelijkheid </w:t>
      </w:r>
      <w:r w:rsidR="00D95156">
        <w:rPr>
          <w:rFonts w:ascii="Verdana" w:hAnsi="Verdana"/>
          <w:sz w:val="18"/>
          <w:szCs w:val="18"/>
        </w:rPr>
        <w:t xml:space="preserve">van </w:t>
      </w:r>
      <w:r w:rsidR="00633318">
        <w:rPr>
          <w:rFonts w:ascii="Verdana" w:hAnsi="Verdana"/>
          <w:sz w:val="18"/>
          <w:szCs w:val="18"/>
        </w:rPr>
        <w:t xml:space="preserve">deze aanvullende technologiegebieden </w:t>
      </w:r>
      <w:r w:rsidRPr="000B0065">
        <w:rPr>
          <w:rFonts w:ascii="Verdana" w:hAnsi="Verdana"/>
          <w:sz w:val="18"/>
          <w:szCs w:val="18"/>
        </w:rPr>
        <w:t xml:space="preserve">benadrukt en aangegeven dat de toegang tot </w:t>
      </w:r>
      <w:r w:rsidR="00633318">
        <w:rPr>
          <w:rFonts w:ascii="Verdana" w:hAnsi="Verdana"/>
          <w:sz w:val="18"/>
          <w:szCs w:val="18"/>
        </w:rPr>
        <w:t xml:space="preserve">deze technologieën </w:t>
      </w:r>
      <w:r w:rsidRPr="000B0065">
        <w:rPr>
          <w:rFonts w:ascii="Verdana" w:hAnsi="Verdana"/>
          <w:sz w:val="18"/>
          <w:szCs w:val="18"/>
        </w:rPr>
        <w:t xml:space="preserve">en de betrouwbaarheid van afgeleide toepassingen </w:t>
      </w:r>
      <w:r w:rsidR="00633318">
        <w:rPr>
          <w:rFonts w:ascii="Verdana" w:hAnsi="Verdana"/>
          <w:sz w:val="18"/>
          <w:szCs w:val="18"/>
        </w:rPr>
        <w:t xml:space="preserve">daarvan </w:t>
      </w:r>
      <w:r w:rsidRPr="000B0065">
        <w:rPr>
          <w:rFonts w:ascii="Verdana" w:hAnsi="Verdana"/>
          <w:sz w:val="18"/>
          <w:szCs w:val="18"/>
        </w:rPr>
        <w:t xml:space="preserve">in het militaire en veiligheidsdomein van groot nationaal belang zijn. Bij </w:t>
      </w:r>
      <w:r w:rsidR="00633318">
        <w:rPr>
          <w:rFonts w:ascii="Verdana" w:hAnsi="Verdana"/>
          <w:sz w:val="18"/>
          <w:szCs w:val="18"/>
        </w:rPr>
        <w:t xml:space="preserve">de </w:t>
      </w:r>
      <w:r w:rsidR="00A46702">
        <w:rPr>
          <w:rFonts w:ascii="Verdana" w:hAnsi="Verdana"/>
          <w:sz w:val="18"/>
          <w:szCs w:val="18"/>
        </w:rPr>
        <w:t>specifieke zeer sensitieve technologie</w:t>
      </w:r>
      <w:r w:rsidR="00633318">
        <w:rPr>
          <w:rFonts w:ascii="Verdana" w:hAnsi="Verdana"/>
          <w:sz w:val="18"/>
          <w:szCs w:val="18"/>
        </w:rPr>
        <w:t xml:space="preserve"> </w:t>
      </w:r>
      <w:r w:rsidRPr="000B0065">
        <w:rPr>
          <w:rFonts w:ascii="Verdana" w:hAnsi="Verdana"/>
          <w:sz w:val="18"/>
          <w:szCs w:val="18"/>
        </w:rPr>
        <w:t>High Assurance (HA)-producten (AST 4) is de afbakening gekoppeld aan de beveiligingstoepassing van (zeer) gevoelige informatie, waaronder staatsgeheimen, die o.a. gebruikt worden door defensie, opsporings-, inlichtingen- en veiligheidsdiensten. In de</w:t>
      </w:r>
      <w:r w:rsidR="00A46702">
        <w:rPr>
          <w:rFonts w:ascii="Verdana" w:hAnsi="Verdana"/>
          <w:sz w:val="18"/>
          <w:szCs w:val="18"/>
        </w:rPr>
        <w:t>ze</w:t>
      </w:r>
      <w:r w:rsidRPr="000B0065">
        <w:rPr>
          <w:rFonts w:ascii="Verdana" w:hAnsi="Verdana"/>
          <w:sz w:val="18"/>
          <w:szCs w:val="18"/>
        </w:rPr>
        <w:t xml:space="preserve"> afbakening wordt ook een directe link gelegd naar </w:t>
      </w:r>
      <w:r w:rsidR="00A80B61">
        <w:rPr>
          <w:rFonts w:ascii="Verdana" w:hAnsi="Verdana"/>
          <w:sz w:val="18"/>
          <w:szCs w:val="18"/>
        </w:rPr>
        <w:t>ondernemingen</w:t>
      </w:r>
      <w:r w:rsidRPr="000B0065" w:rsidR="00A80B61">
        <w:rPr>
          <w:rFonts w:ascii="Verdana" w:hAnsi="Verdana"/>
          <w:sz w:val="18"/>
          <w:szCs w:val="18"/>
        </w:rPr>
        <w:t xml:space="preserve"> </w:t>
      </w:r>
      <w:r w:rsidRPr="000B0065">
        <w:rPr>
          <w:rFonts w:ascii="Verdana" w:hAnsi="Verdana"/>
          <w:sz w:val="18"/>
          <w:szCs w:val="18"/>
        </w:rPr>
        <w:t>die worden aangewezen als HA-producten door de veiligheidsdiensten.</w:t>
      </w:r>
      <w:r w:rsidR="000E75E8">
        <w:rPr>
          <w:rFonts w:ascii="Verdana" w:hAnsi="Verdana"/>
          <w:sz w:val="18"/>
          <w:szCs w:val="18"/>
        </w:rPr>
        <w:t xml:space="preserve"> </w:t>
      </w:r>
    </w:p>
    <w:p w:rsidRPr="003350D7" w:rsidR="000C66AA" w:rsidP="008A27DD" w:rsidRDefault="00CC2E2E" w14:paraId="4500AC96" w14:textId="2E1AF146">
      <w:pPr>
        <w:spacing w:line="240" w:lineRule="atLeast"/>
        <w:rPr>
          <w:rFonts w:ascii="Verdana" w:hAnsi="Verdana"/>
          <w:sz w:val="18"/>
          <w:szCs w:val="18"/>
        </w:rPr>
      </w:pPr>
      <w:r w:rsidRPr="003350D7">
        <w:rPr>
          <w:rFonts w:ascii="Verdana" w:hAnsi="Verdana"/>
          <w:sz w:val="18"/>
          <w:szCs w:val="18"/>
        </w:rPr>
        <w:t xml:space="preserve">Indien </w:t>
      </w:r>
      <w:r w:rsidRPr="003350D7" w:rsidR="00B533CF">
        <w:rPr>
          <w:rFonts w:ascii="Verdana" w:hAnsi="Verdana"/>
          <w:sz w:val="18"/>
          <w:szCs w:val="18"/>
        </w:rPr>
        <w:t xml:space="preserve">het voornemen bestaat </w:t>
      </w:r>
      <w:r w:rsidRPr="003350D7">
        <w:rPr>
          <w:rFonts w:ascii="Verdana" w:hAnsi="Verdana"/>
          <w:sz w:val="18"/>
          <w:szCs w:val="18"/>
        </w:rPr>
        <w:t xml:space="preserve">om </w:t>
      </w:r>
      <w:r w:rsidRPr="003350D7" w:rsidR="00B533CF">
        <w:rPr>
          <w:rFonts w:ascii="Verdana" w:hAnsi="Verdana"/>
          <w:sz w:val="18"/>
          <w:szCs w:val="18"/>
        </w:rPr>
        <w:t xml:space="preserve">een verwervingsactiviteit in een onderneming </w:t>
      </w:r>
      <w:r w:rsidRPr="003350D7">
        <w:rPr>
          <w:rFonts w:ascii="Verdana" w:hAnsi="Verdana"/>
          <w:sz w:val="18"/>
          <w:szCs w:val="18"/>
        </w:rPr>
        <w:t xml:space="preserve">te verrichten </w:t>
      </w:r>
      <w:r w:rsidRPr="003350D7" w:rsidR="00B533CF">
        <w:rPr>
          <w:rFonts w:ascii="Verdana" w:hAnsi="Verdana"/>
          <w:sz w:val="18"/>
          <w:szCs w:val="18"/>
        </w:rPr>
        <w:t xml:space="preserve">die actief is op het gebied van </w:t>
      </w:r>
      <w:r w:rsidRPr="003350D7">
        <w:rPr>
          <w:rFonts w:ascii="Verdana" w:hAnsi="Verdana"/>
          <w:sz w:val="18"/>
          <w:szCs w:val="18"/>
        </w:rPr>
        <w:t xml:space="preserve">‘zeer sensitieve </w:t>
      </w:r>
      <w:r w:rsidRPr="003350D7" w:rsidR="00B533CF">
        <w:rPr>
          <w:rFonts w:ascii="Verdana" w:hAnsi="Verdana"/>
          <w:sz w:val="18"/>
          <w:szCs w:val="18"/>
        </w:rPr>
        <w:t>technologie</w:t>
      </w:r>
      <w:r w:rsidRPr="003350D7">
        <w:rPr>
          <w:rFonts w:ascii="Verdana" w:hAnsi="Verdana"/>
          <w:sz w:val="18"/>
          <w:szCs w:val="18"/>
        </w:rPr>
        <w:t xml:space="preserve">’, </w:t>
      </w:r>
      <w:r w:rsidRPr="003350D7" w:rsidR="00C02A7E">
        <w:rPr>
          <w:rFonts w:ascii="Verdana" w:hAnsi="Verdana"/>
          <w:sz w:val="18"/>
          <w:szCs w:val="18"/>
        </w:rPr>
        <w:t xml:space="preserve">vereist </w:t>
      </w:r>
      <w:r w:rsidRPr="003350D7" w:rsidR="00B533CF">
        <w:rPr>
          <w:rFonts w:ascii="Verdana" w:hAnsi="Verdana"/>
          <w:sz w:val="18"/>
          <w:szCs w:val="18"/>
        </w:rPr>
        <w:t xml:space="preserve">de Wet vifo dat daarvan melding </w:t>
      </w:r>
      <w:r w:rsidRPr="003350D7" w:rsidR="00C02A7E">
        <w:rPr>
          <w:rFonts w:ascii="Verdana" w:hAnsi="Verdana"/>
          <w:sz w:val="18"/>
          <w:szCs w:val="18"/>
        </w:rPr>
        <w:t xml:space="preserve">wordt </w:t>
      </w:r>
      <w:r w:rsidRPr="003350D7" w:rsidR="00B533CF">
        <w:rPr>
          <w:rFonts w:ascii="Verdana" w:hAnsi="Verdana"/>
          <w:sz w:val="18"/>
          <w:szCs w:val="18"/>
        </w:rPr>
        <w:t xml:space="preserve">gedaan </w:t>
      </w:r>
      <w:r w:rsidRPr="003350D7">
        <w:rPr>
          <w:rFonts w:ascii="Verdana" w:hAnsi="Verdana"/>
          <w:sz w:val="18"/>
          <w:szCs w:val="18"/>
        </w:rPr>
        <w:t xml:space="preserve">aan </w:t>
      </w:r>
      <w:r w:rsidRPr="003350D7" w:rsidR="00B533CF">
        <w:rPr>
          <w:rFonts w:ascii="Verdana" w:hAnsi="Verdana"/>
          <w:sz w:val="18"/>
          <w:szCs w:val="18"/>
        </w:rPr>
        <w:t xml:space="preserve">de Minister van Economische Zaken en Klimaat </w:t>
      </w:r>
      <w:r w:rsidRPr="003350D7" w:rsidR="00C02A7E">
        <w:rPr>
          <w:rFonts w:ascii="Verdana" w:hAnsi="Verdana"/>
          <w:sz w:val="18"/>
          <w:szCs w:val="18"/>
        </w:rPr>
        <w:t xml:space="preserve">als daarmee </w:t>
      </w:r>
      <w:r w:rsidRPr="003350D7" w:rsidR="00DD6C0C">
        <w:rPr>
          <w:rFonts w:ascii="Verdana" w:hAnsi="Verdana"/>
          <w:sz w:val="18"/>
          <w:szCs w:val="18"/>
        </w:rPr>
        <w:t xml:space="preserve">in deze ondernemingen </w:t>
      </w:r>
      <w:r w:rsidRPr="003350D7" w:rsidR="00C02A7E">
        <w:rPr>
          <w:rFonts w:ascii="Verdana" w:hAnsi="Verdana"/>
          <w:sz w:val="18"/>
          <w:szCs w:val="18"/>
        </w:rPr>
        <w:t>significante invloed zou worden bereikt of worden vergroot</w:t>
      </w:r>
      <w:r w:rsidRPr="003350D7" w:rsidR="00DD6C0C">
        <w:rPr>
          <w:rFonts w:ascii="Verdana" w:hAnsi="Verdana"/>
          <w:sz w:val="18"/>
          <w:szCs w:val="18"/>
        </w:rPr>
        <w:t xml:space="preserve"> of zeggenschap zou worden verkregen, zulks als bedoeld in deze wet</w:t>
      </w:r>
      <w:r w:rsidRPr="003350D7" w:rsidR="00C02A7E">
        <w:rPr>
          <w:rFonts w:ascii="Verdana" w:hAnsi="Verdana"/>
          <w:sz w:val="18"/>
          <w:szCs w:val="18"/>
        </w:rPr>
        <w:t xml:space="preserve">. Deze meldplicht is daarmee eerder aan de orde dan bij een aangewezen </w:t>
      </w:r>
      <w:r w:rsidRPr="003350D7" w:rsidR="00B533CF">
        <w:rPr>
          <w:rFonts w:ascii="Verdana" w:hAnsi="Verdana"/>
          <w:sz w:val="18"/>
          <w:szCs w:val="18"/>
        </w:rPr>
        <w:t>sensitieve technologie</w:t>
      </w:r>
      <w:r w:rsidRPr="003350D7" w:rsidR="00474586">
        <w:rPr>
          <w:rFonts w:ascii="Verdana" w:hAnsi="Verdana"/>
          <w:sz w:val="18"/>
          <w:szCs w:val="18"/>
        </w:rPr>
        <w:t xml:space="preserve"> die niet tevens ‘zeer sensitief’ is. Bij een dergelijke ‘gewone’ sensitieve technologie, is</w:t>
      </w:r>
      <w:r w:rsidRPr="003350D7" w:rsidR="00C02A7E">
        <w:rPr>
          <w:rFonts w:ascii="Verdana" w:hAnsi="Verdana"/>
          <w:sz w:val="18"/>
          <w:szCs w:val="18"/>
        </w:rPr>
        <w:t xml:space="preserve"> de meldplicht </w:t>
      </w:r>
      <w:r w:rsidRPr="003350D7" w:rsidR="00474586">
        <w:rPr>
          <w:rFonts w:ascii="Verdana" w:hAnsi="Verdana"/>
          <w:sz w:val="18"/>
          <w:szCs w:val="18"/>
        </w:rPr>
        <w:t xml:space="preserve">eerst </w:t>
      </w:r>
      <w:r w:rsidRPr="003350D7" w:rsidR="00C02A7E">
        <w:rPr>
          <w:rFonts w:ascii="Verdana" w:hAnsi="Verdana"/>
          <w:sz w:val="18"/>
          <w:szCs w:val="18"/>
        </w:rPr>
        <w:t xml:space="preserve">bij het voornemen tot het verkrijgen van zeggenschap in de zin van de Wet vifo </w:t>
      </w:r>
      <w:r w:rsidRPr="003350D7" w:rsidR="00474586">
        <w:rPr>
          <w:rFonts w:ascii="Verdana" w:hAnsi="Verdana"/>
          <w:sz w:val="18"/>
          <w:szCs w:val="18"/>
        </w:rPr>
        <w:t xml:space="preserve">in een onderneming </w:t>
      </w:r>
      <w:r w:rsidRPr="003350D7" w:rsidR="00C02A7E">
        <w:rPr>
          <w:rFonts w:ascii="Verdana" w:hAnsi="Verdana"/>
          <w:sz w:val="18"/>
          <w:szCs w:val="18"/>
        </w:rPr>
        <w:t>aan de orde.</w:t>
      </w:r>
    </w:p>
    <w:p w:rsidRPr="003350D7" w:rsidR="002531AD" w:rsidP="002660E5" w:rsidRDefault="002531AD" w14:paraId="30038191" w14:textId="51BD9D18">
      <w:pPr>
        <w:spacing w:line="240" w:lineRule="atLeast"/>
        <w:rPr>
          <w:rFonts w:ascii="Verdana" w:hAnsi="Verdana" w:cs="Arial"/>
          <w:sz w:val="18"/>
          <w:szCs w:val="18"/>
        </w:rPr>
      </w:pPr>
      <w:r w:rsidRPr="003350D7">
        <w:rPr>
          <w:rFonts w:ascii="Verdana" w:hAnsi="Verdana" w:cs="Arial"/>
          <w:sz w:val="18"/>
          <w:szCs w:val="18"/>
        </w:rPr>
        <w:t xml:space="preserve">Dit wijzigingsbesluit wijst </w:t>
      </w:r>
      <w:r w:rsidRPr="003350D7" w:rsidR="00C86ED2">
        <w:rPr>
          <w:rFonts w:ascii="Verdana" w:hAnsi="Verdana" w:cs="Arial"/>
          <w:sz w:val="18"/>
          <w:szCs w:val="18"/>
        </w:rPr>
        <w:t xml:space="preserve">aanvullend </w:t>
      </w:r>
      <w:r w:rsidRPr="003350D7">
        <w:rPr>
          <w:rFonts w:ascii="Verdana" w:hAnsi="Verdana" w:cs="Arial"/>
          <w:sz w:val="18"/>
          <w:szCs w:val="18"/>
        </w:rPr>
        <w:t>verscheidene (sub)technologiegebieden als sensitieve technologie aan. De werking van de Wet vifo wordt door die aanwijzing verbreed</w:t>
      </w:r>
      <w:r w:rsidRPr="003350D7" w:rsidR="002660E5">
        <w:rPr>
          <w:rFonts w:ascii="Verdana" w:hAnsi="Verdana" w:cs="Arial"/>
          <w:sz w:val="18"/>
          <w:szCs w:val="18"/>
        </w:rPr>
        <w:t>.</w:t>
      </w:r>
      <w:r w:rsidRPr="003350D7">
        <w:rPr>
          <w:rFonts w:ascii="Verdana" w:hAnsi="Verdana" w:cs="Arial"/>
          <w:sz w:val="18"/>
          <w:szCs w:val="18"/>
        </w:rPr>
        <w:t xml:space="preserve"> </w:t>
      </w:r>
      <w:r w:rsidRPr="003350D7" w:rsidR="00994444">
        <w:rPr>
          <w:rFonts w:ascii="Verdana" w:hAnsi="Verdana" w:cs="Arial"/>
          <w:sz w:val="18"/>
          <w:szCs w:val="18"/>
        </w:rPr>
        <w:t>Deze (sub)technologiegebieden zijn bovendien in dit wijzigingsbesluit als ‘zeer sensitief’ aangemerkt</w:t>
      </w:r>
      <w:r w:rsidRPr="003350D7" w:rsidR="00F147A5">
        <w:rPr>
          <w:rFonts w:ascii="Verdana" w:hAnsi="Verdana" w:cs="Arial"/>
          <w:sz w:val="18"/>
          <w:szCs w:val="18"/>
        </w:rPr>
        <w:t>.</w:t>
      </w:r>
      <w:r w:rsidRPr="003350D7" w:rsidR="00474586">
        <w:rPr>
          <w:rFonts w:ascii="Verdana" w:hAnsi="Verdana" w:cs="Arial"/>
          <w:sz w:val="18"/>
          <w:szCs w:val="18"/>
        </w:rPr>
        <w:t xml:space="preserve"> </w:t>
      </w:r>
      <w:r w:rsidRPr="003350D7">
        <w:rPr>
          <w:rFonts w:ascii="Verdana" w:hAnsi="Verdana" w:cs="Arial"/>
          <w:sz w:val="18"/>
          <w:szCs w:val="18"/>
        </w:rPr>
        <w:lastRenderedPageBreak/>
        <w:t xml:space="preserve">Ook een aantal (sub)technologieën die tot nog toe uitsluitend als sensitief werden aangemerkt, te weten op het gebied van informatiebeveiliging en satellietcommunicatie, worden als zeer sensitief aangemerkt. Voor doelondernemingen die zich gelet op de aard van hun activiteiten bezighouden met zeer sensitieve technologie worden </w:t>
      </w:r>
      <w:r w:rsidRPr="003350D7" w:rsidR="00903255">
        <w:rPr>
          <w:rFonts w:ascii="Verdana" w:hAnsi="Verdana" w:cs="Arial"/>
          <w:sz w:val="18"/>
          <w:szCs w:val="18"/>
        </w:rPr>
        <w:t xml:space="preserve">om </w:t>
      </w:r>
      <w:r w:rsidRPr="003350D7" w:rsidR="009A451E">
        <w:rPr>
          <w:rFonts w:ascii="Verdana" w:hAnsi="Verdana" w:cs="Arial"/>
          <w:sz w:val="18"/>
          <w:szCs w:val="18"/>
        </w:rPr>
        <w:t xml:space="preserve">o.a. </w:t>
      </w:r>
      <w:r w:rsidRPr="003350D7" w:rsidR="00903255">
        <w:rPr>
          <w:rFonts w:ascii="Verdana" w:hAnsi="Verdana" w:cs="Arial"/>
          <w:sz w:val="18"/>
          <w:szCs w:val="18"/>
        </w:rPr>
        <w:t>redenen</w:t>
      </w:r>
      <w:r w:rsidRPr="003350D7" w:rsidR="00621EEA">
        <w:rPr>
          <w:rFonts w:ascii="Verdana" w:hAnsi="Verdana" w:cs="Arial"/>
          <w:sz w:val="18"/>
          <w:szCs w:val="18"/>
        </w:rPr>
        <w:t xml:space="preserve"> als hiervoor genoemd</w:t>
      </w:r>
      <w:r w:rsidRPr="003350D7" w:rsidR="00903255">
        <w:rPr>
          <w:rFonts w:ascii="Verdana" w:hAnsi="Verdana" w:cs="Arial"/>
          <w:sz w:val="18"/>
          <w:szCs w:val="18"/>
        </w:rPr>
        <w:t xml:space="preserve"> </w:t>
      </w:r>
      <w:r w:rsidRPr="003350D7">
        <w:rPr>
          <w:rFonts w:ascii="Verdana" w:hAnsi="Verdana" w:cs="Arial"/>
          <w:sz w:val="18"/>
          <w:szCs w:val="18"/>
        </w:rPr>
        <w:t>de risico’s voor de nationale veiligheid groter geacht dan voor ‘gewone’ sensitieve technologie</w:t>
      </w:r>
      <w:r w:rsidRPr="003350D7" w:rsidR="00903255">
        <w:rPr>
          <w:rFonts w:ascii="Verdana" w:hAnsi="Verdana" w:cs="Arial"/>
          <w:sz w:val="18"/>
          <w:szCs w:val="18"/>
        </w:rPr>
        <w:t xml:space="preserve">. </w:t>
      </w:r>
      <w:r w:rsidRPr="003350D7" w:rsidR="00C86ED2">
        <w:rPr>
          <w:rFonts w:ascii="Verdana" w:hAnsi="Verdana"/>
          <w:sz w:val="18"/>
          <w:szCs w:val="18"/>
        </w:rPr>
        <w:t xml:space="preserve"> </w:t>
      </w:r>
    </w:p>
    <w:p w:rsidRPr="003350D7" w:rsidR="002531AD" w:rsidP="006424AD" w:rsidRDefault="008D5DDB" w14:paraId="118E57E4" w14:textId="665FFC5B">
      <w:pPr>
        <w:spacing w:line="240" w:lineRule="atLeast"/>
        <w:rPr>
          <w:rFonts w:ascii="Verdana" w:hAnsi="Verdana" w:cs="Arial"/>
          <w:sz w:val="18"/>
          <w:szCs w:val="18"/>
        </w:rPr>
      </w:pPr>
      <w:r w:rsidRPr="008D5DDB">
        <w:rPr>
          <w:rFonts w:ascii="Verdana" w:hAnsi="Verdana" w:cs="Arial"/>
          <w:sz w:val="18"/>
          <w:szCs w:val="18"/>
        </w:rPr>
        <w:t>Het ontwerp van dit wijzigingsbesluit wordt overeenkomstig artikel 8, vierde lid, van de Wet vifo eerst aan beide Kamers der Staten-Generaal overgelegd alvorens tot de voordracht daarvan over te gaan</w:t>
      </w:r>
      <w:r>
        <w:rPr>
          <w:rFonts w:ascii="Verdana" w:hAnsi="Verdana" w:cs="Arial"/>
          <w:sz w:val="18"/>
          <w:szCs w:val="18"/>
        </w:rPr>
        <w:t xml:space="preserve">. </w:t>
      </w:r>
      <w:r w:rsidRPr="003350D7" w:rsidR="002531AD">
        <w:rPr>
          <w:rFonts w:ascii="Verdana" w:hAnsi="Verdana" w:cs="Arial"/>
          <w:sz w:val="18"/>
          <w:szCs w:val="18"/>
        </w:rPr>
        <w:t xml:space="preserve">Deze nota van toelichting wordt gegeven mede namens de Minister van Justitie en Veiligheid. </w:t>
      </w:r>
    </w:p>
    <w:p w:rsidRPr="003350D7" w:rsidR="002531AD" w:rsidP="006424AD" w:rsidRDefault="002531AD" w14:paraId="1CCE92DB" w14:textId="77777777">
      <w:pPr>
        <w:spacing w:line="240" w:lineRule="atLeast"/>
        <w:rPr>
          <w:rFonts w:ascii="Verdana" w:hAnsi="Verdana" w:cs="Arial"/>
          <w:b/>
          <w:bCs/>
          <w:sz w:val="18"/>
          <w:szCs w:val="18"/>
        </w:rPr>
      </w:pPr>
      <w:r w:rsidRPr="003350D7">
        <w:rPr>
          <w:rFonts w:ascii="Verdana" w:hAnsi="Verdana" w:cs="Arial"/>
          <w:b/>
          <w:bCs/>
          <w:sz w:val="18"/>
          <w:szCs w:val="18"/>
        </w:rPr>
        <w:t xml:space="preserve">2. Aanleiding </w:t>
      </w:r>
    </w:p>
    <w:p w:rsidRPr="003350D7" w:rsidR="00725EF6" w:rsidRDefault="00FD290D" w14:paraId="20922556" w14:textId="1FF4C101">
      <w:pPr>
        <w:spacing w:after="0" w:line="240" w:lineRule="atLeast"/>
        <w:rPr>
          <w:rFonts w:ascii="Verdana" w:hAnsi="Verdana" w:cs="Arial"/>
          <w:sz w:val="18"/>
          <w:szCs w:val="18"/>
        </w:rPr>
      </w:pPr>
      <w:bookmarkStart w:name="_Hlk175046961" w:id="0"/>
      <w:r w:rsidRPr="003350D7">
        <w:rPr>
          <w:rFonts w:ascii="Verdana" w:hAnsi="Verdana" w:cs="Arial"/>
          <w:sz w:val="18"/>
          <w:szCs w:val="18"/>
        </w:rPr>
        <w:t xml:space="preserve">Er wordt voortdurend gemonitord op nieuwe (technologische) ontwikkelingen </w:t>
      </w:r>
      <w:r w:rsidRPr="003350D7" w:rsidR="00725EF6">
        <w:rPr>
          <w:rFonts w:ascii="Verdana" w:hAnsi="Verdana" w:cs="Arial"/>
          <w:sz w:val="18"/>
          <w:szCs w:val="18"/>
        </w:rPr>
        <w:t xml:space="preserve">en hun relevantie voor </w:t>
      </w:r>
      <w:r w:rsidRPr="003350D7">
        <w:rPr>
          <w:rFonts w:ascii="Verdana" w:hAnsi="Verdana" w:cs="Arial"/>
          <w:sz w:val="18"/>
          <w:szCs w:val="18"/>
        </w:rPr>
        <w:t xml:space="preserve">de nationale veiligheid. </w:t>
      </w:r>
      <w:r w:rsidRPr="003350D7" w:rsidR="00725EF6">
        <w:rPr>
          <w:rFonts w:ascii="Verdana" w:hAnsi="Verdana" w:cs="Arial"/>
          <w:sz w:val="18"/>
          <w:szCs w:val="18"/>
        </w:rPr>
        <w:t>Opkomende t</w:t>
      </w:r>
      <w:r w:rsidRPr="003350D7" w:rsidR="00CC6F48">
        <w:rPr>
          <w:rFonts w:ascii="Verdana" w:hAnsi="Verdana" w:cs="Arial"/>
          <w:sz w:val="18"/>
          <w:szCs w:val="18"/>
        </w:rPr>
        <w:t>echnologieën zoals artificiële intelligentie, biotechnologie en next gen-materiaal technologie gaan een steeds grotere rol spelen in economische waardecreatie en het oplossen van maatschappelijke uitdagingen.</w:t>
      </w:r>
      <w:r w:rsidRPr="003350D7" w:rsidR="00CC6F48">
        <w:rPr>
          <w:rFonts w:ascii="Verdana" w:hAnsi="Verdana" w:cs="Arial"/>
          <w:sz w:val="18"/>
          <w:szCs w:val="18"/>
          <w:vertAlign w:val="superscript"/>
        </w:rPr>
        <w:footnoteReference w:id="2"/>
      </w:r>
      <w:r w:rsidRPr="003350D7" w:rsidR="00CC6F48">
        <w:rPr>
          <w:rFonts w:ascii="Verdana" w:hAnsi="Verdana" w:cs="Arial"/>
          <w:sz w:val="18"/>
          <w:szCs w:val="18"/>
        </w:rPr>
        <w:t xml:space="preserve"> De huidige tijd wordt daardoor gekenmerkt door een technologiewedloop tussen actoren om toegang te krijgen en houden tot </w:t>
      </w:r>
      <w:r w:rsidRPr="003350D7" w:rsidR="00725EF6">
        <w:rPr>
          <w:rFonts w:ascii="Verdana" w:hAnsi="Verdana" w:cs="Arial"/>
          <w:sz w:val="18"/>
          <w:szCs w:val="18"/>
        </w:rPr>
        <w:t xml:space="preserve">dergelijke </w:t>
      </w:r>
      <w:r w:rsidRPr="003350D7" w:rsidR="00CC6F48">
        <w:rPr>
          <w:rFonts w:ascii="Verdana" w:hAnsi="Verdana" w:cs="Arial"/>
          <w:sz w:val="18"/>
          <w:szCs w:val="18"/>
        </w:rPr>
        <w:t xml:space="preserve">kritieke technologieën. </w:t>
      </w:r>
      <w:r w:rsidRPr="003350D7" w:rsidR="002A0050">
        <w:rPr>
          <w:rFonts w:ascii="Verdana" w:hAnsi="Verdana" w:cs="Arial"/>
          <w:sz w:val="18"/>
          <w:szCs w:val="18"/>
        </w:rPr>
        <w:t xml:space="preserve">De (potentiële) mogelijkheden die </w:t>
      </w:r>
      <w:r w:rsidRPr="003350D7" w:rsidR="00663375">
        <w:rPr>
          <w:rFonts w:ascii="Verdana" w:hAnsi="Verdana" w:cs="Arial"/>
          <w:sz w:val="18"/>
          <w:szCs w:val="18"/>
        </w:rPr>
        <w:t xml:space="preserve">sommige nieuwe </w:t>
      </w:r>
      <w:r w:rsidRPr="003350D7" w:rsidR="002A0050">
        <w:rPr>
          <w:rFonts w:ascii="Verdana" w:hAnsi="Verdana" w:cs="Arial"/>
          <w:sz w:val="18"/>
          <w:szCs w:val="18"/>
        </w:rPr>
        <w:t xml:space="preserve">technologieën bieden zijn </w:t>
      </w:r>
      <w:r w:rsidRPr="003350D7" w:rsidR="00CB2710">
        <w:rPr>
          <w:rFonts w:ascii="Verdana" w:hAnsi="Verdana" w:cs="Arial"/>
          <w:sz w:val="18"/>
          <w:szCs w:val="18"/>
        </w:rPr>
        <w:t xml:space="preserve">van zodanige aard en betekenis </w:t>
      </w:r>
      <w:r w:rsidRPr="003350D7" w:rsidR="002A0050">
        <w:rPr>
          <w:rFonts w:ascii="Verdana" w:hAnsi="Verdana" w:cs="Arial"/>
          <w:sz w:val="18"/>
          <w:szCs w:val="18"/>
        </w:rPr>
        <w:t xml:space="preserve">dat die </w:t>
      </w:r>
      <w:r w:rsidRPr="003350D7" w:rsidR="00A52FE3">
        <w:rPr>
          <w:rFonts w:ascii="Verdana" w:hAnsi="Verdana" w:cs="Arial"/>
          <w:sz w:val="18"/>
          <w:szCs w:val="18"/>
        </w:rPr>
        <w:t xml:space="preserve">direct van invloed </w:t>
      </w:r>
      <w:r w:rsidRPr="003350D7" w:rsidR="002A0050">
        <w:rPr>
          <w:rFonts w:ascii="Verdana" w:hAnsi="Verdana" w:cs="Arial"/>
          <w:sz w:val="18"/>
          <w:szCs w:val="18"/>
        </w:rPr>
        <w:t xml:space="preserve">zijn </w:t>
      </w:r>
      <w:r w:rsidRPr="003350D7" w:rsidR="00A52FE3">
        <w:rPr>
          <w:rFonts w:ascii="Verdana" w:hAnsi="Verdana" w:cs="Arial"/>
          <w:sz w:val="18"/>
          <w:szCs w:val="18"/>
        </w:rPr>
        <w:t xml:space="preserve">op de nationale veiligheid van Nederland, zowel vanwege </w:t>
      </w:r>
      <w:r w:rsidRPr="003350D7" w:rsidR="00444C6E">
        <w:rPr>
          <w:rFonts w:ascii="Verdana" w:hAnsi="Verdana" w:cs="Arial"/>
          <w:sz w:val="18"/>
          <w:szCs w:val="18"/>
        </w:rPr>
        <w:t xml:space="preserve">de cruciale rol die </w:t>
      </w:r>
      <w:r w:rsidRPr="003350D7" w:rsidR="002A0050">
        <w:rPr>
          <w:rFonts w:ascii="Verdana" w:hAnsi="Verdana" w:cs="Arial"/>
          <w:sz w:val="18"/>
          <w:szCs w:val="18"/>
        </w:rPr>
        <w:t xml:space="preserve">zij </w:t>
      </w:r>
      <w:r w:rsidRPr="003350D7" w:rsidR="00444C6E">
        <w:rPr>
          <w:rFonts w:ascii="Verdana" w:hAnsi="Verdana" w:cs="Arial"/>
          <w:sz w:val="18"/>
          <w:szCs w:val="18"/>
        </w:rPr>
        <w:t xml:space="preserve">vervullen voor </w:t>
      </w:r>
      <w:r w:rsidRPr="003350D7" w:rsidR="00A52FE3">
        <w:rPr>
          <w:rFonts w:ascii="Verdana" w:hAnsi="Verdana" w:cs="Arial"/>
          <w:sz w:val="18"/>
          <w:szCs w:val="18"/>
        </w:rPr>
        <w:t>het ontwikkelen van eigen defensiecapaciteiten</w:t>
      </w:r>
      <w:r w:rsidRPr="003350D7" w:rsidR="00057247">
        <w:rPr>
          <w:rFonts w:ascii="Verdana" w:hAnsi="Verdana" w:cs="Arial"/>
          <w:sz w:val="18"/>
          <w:szCs w:val="18"/>
        </w:rPr>
        <w:t xml:space="preserve">, </w:t>
      </w:r>
      <w:r w:rsidRPr="003350D7" w:rsidR="009B4E0D">
        <w:rPr>
          <w:rFonts w:ascii="Verdana" w:hAnsi="Verdana" w:cs="Arial"/>
          <w:sz w:val="18"/>
          <w:szCs w:val="18"/>
        </w:rPr>
        <w:t xml:space="preserve">als vanwege </w:t>
      </w:r>
      <w:r w:rsidRPr="003350D7" w:rsidR="00A52FE3">
        <w:rPr>
          <w:rFonts w:ascii="Verdana" w:hAnsi="Verdana" w:cs="Arial"/>
          <w:sz w:val="18"/>
          <w:szCs w:val="18"/>
        </w:rPr>
        <w:t xml:space="preserve">het </w:t>
      </w:r>
      <w:r w:rsidRPr="003350D7" w:rsidR="009B4E0D">
        <w:rPr>
          <w:rFonts w:ascii="Verdana" w:hAnsi="Verdana" w:cs="Arial"/>
          <w:sz w:val="18"/>
          <w:szCs w:val="18"/>
        </w:rPr>
        <w:t xml:space="preserve">mogelijke </w:t>
      </w:r>
      <w:r w:rsidRPr="003350D7" w:rsidR="00A52FE3">
        <w:rPr>
          <w:rFonts w:ascii="Verdana" w:hAnsi="Verdana" w:cs="Arial"/>
          <w:sz w:val="18"/>
          <w:szCs w:val="18"/>
        </w:rPr>
        <w:t>ontstaan van nieuwe risico</w:t>
      </w:r>
      <w:r w:rsidRPr="003350D7" w:rsidR="00057247">
        <w:rPr>
          <w:rFonts w:ascii="Verdana" w:hAnsi="Verdana" w:cs="Arial"/>
          <w:sz w:val="18"/>
          <w:szCs w:val="18"/>
        </w:rPr>
        <w:t>’</w:t>
      </w:r>
      <w:r w:rsidRPr="003350D7" w:rsidR="00A52FE3">
        <w:rPr>
          <w:rFonts w:ascii="Verdana" w:hAnsi="Verdana" w:cs="Arial"/>
          <w:sz w:val="18"/>
          <w:szCs w:val="18"/>
        </w:rPr>
        <w:t>s</w:t>
      </w:r>
      <w:r w:rsidRPr="003350D7" w:rsidR="009B4E0D">
        <w:rPr>
          <w:rFonts w:ascii="Verdana" w:hAnsi="Verdana" w:cs="Arial"/>
          <w:sz w:val="18"/>
          <w:szCs w:val="18"/>
        </w:rPr>
        <w:t xml:space="preserve"> </w:t>
      </w:r>
      <w:r w:rsidRPr="003350D7" w:rsidR="00057247">
        <w:rPr>
          <w:rFonts w:ascii="Verdana" w:hAnsi="Verdana" w:cs="Arial"/>
          <w:sz w:val="18"/>
          <w:szCs w:val="18"/>
        </w:rPr>
        <w:t xml:space="preserve">indien </w:t>
      </w:r>
      <w:r w:rsidRPr="003350D7" w:rsidR="002A0050">
        <w:rPr>
          <w:rFonts w:ascii="Verdana" w:hAnsi="Verdana" w:cs="Arial"/>
          <w:sz w:val="18"/>
          <w:szCs w:val="18"/>
        </w:rPr>
        <w:t xml:space="preserve">zij </w:t>
      </w:r>
      <w:r w:rsidRPr="003350D7" w:rsidR="00057247">
        <w:rPr>
          <w:rFonts w:ascii="Verdana" w:hAnsi="Verdana" w:cs="Arial"/>
          <w:sz w:val="18"/>
          <w:szCs w:val="18"/>
        </w:rPr>
        <w:t xml:space="preserve">in verkeerde handen vallen. </w:t>
      </w:r>
      <w:r w:rsidRPr="003350D7" w:rsidR="00FF052E">
        <w:rPr>
          <w:rFonts w:ascii="Verdana" w:hAnsi="Verdana" w:cs="Arial"/>
          <w:sz w:val="18"/>
          <w:szCs w:val="18"/>
        </w:rPr>
        <w:t>Zo kunnen nieuwe technologieën worden ingezet tegen Nederland, bijvoorbeeld in vijandige wapensystemen, of een risicovolle strategische afhankelijkheid creëren wanneer de Nederlandse economie voor een specifieke technologie afhankelijk wordt van één partij</w:t>
      </w:r>
      <w:r w:rsidRPr="003350D7" w:rsidR="00E1631B">
        <w:rPr>
          <w:rFonts w:ascii="Verdana" w:hAnsi="Verdana" w:cs="Arial"/>
          <w:sz w:val="18"/>
          <w:szCs w:val="18"/>
        </w:rPr>
        <w:t>.</w:t>
      </w:r>
      <w:r w:rsidRPr="003350D7" w:rsidR="00304CD6">
        <w:rPr>
          <w:rFonts w:ascii="Verdana" w:hAnsi="Verdana" w:cs="Arial"/>
          <w:sz w:val="18"/>
          <w:szCs w:val="18"/>
        </w:rPr>
        <w:t xml:space="preserve"> </w:t>
      </w:r>
    </w:p>
    <w:p w:rsidRPr="003350D7" w:rsidR="007C1670" w:rsidP="006424AD" w:rsidRDefault="007C1670" w14:paraId="41ABB083" w14:textId="77777777">
      <w:pPr>
        <w:spacing w:after="0" w:line="240" w:lineRule="atLeast"/>
        <w:rPr>
          <w:rFonts w:ascii="Verdana" w:hAnsi="Verdana" w:cs="Arial"/>
          <w:sz w:val="18"/>
          <w:szCs w:val="18"/>
        </w:rPr>
      </w:pPr>
    </w:p>
    <w:p w:rsidRPr="003350D7" w:rsidR="001526E5" w:rsidP="001526E5" w:rsidRDefault="0019711F" w14:paraId="1CFA7686" w14:textId="7114A1D6">
      <w:pPr>
        <w:spacing w:after="0" w:line="240" w:lineRule="atLeast"/>
        <w:rPr>
          <w:rFonts w:ascii="Verdana" w:hAnsi="Verdana" w:cs="Arial"/>
          <w:sz w:val="18"/>
          <w:szCs w:val="18"/>
        </w:rPr>
      </w:pPr>
      <w:r w:rsidRPr="003350D7">
        <w:rPr>
          <w:rFonts w:ascii="Verdana" w:hAnsi="Verdana" w:cs="Arial"/>
          <w:sz w:val="18"/>
          <w:szCs w:val="18"/>
        </w:rPr>
        <w:t>N</w:t>
      </w:r>
      <w:r w:rsidRPr="003350D7" w:rsidR="00A52FE3">
        <w:rPr>
          <w:rFonts w:ascii="Verdana" w:hAnsi="Verdana" w:cs="Arial"/>
          <w:sz w:val="18"/>
          <w:szCs w:val="18"/>
        </w:rPr>
        <w:t xml:space="preserve">ieuwe technologieën </w:t>
      </w:r>
      <w:r w:rsidRPr="003350D7">
        <w:rPr>
          <w:rFonts w:ascii="Verdana" w:hAnsi="Verdana" w:cs="Arial"/>
          <w:sz w:val="18"/>
          <w:szCs w:val="18"/>
        </w:rPr>
        <w:t xml:space="preserve">krijgen </w:t>
      </w:r>
      <w:r w:rsidRPr="003350D7" w:rsidR="00D830FD">
        <w:rPr>
          <w:rFonts w:ascii="Verdana" w:hAnsi="Verdana" w:cs="Arial"/>
          <w:sz w:val="18"/>
          <w:szCs w:val="18"/>
        </w:rPr>
        <w:t>vanwege hun snelle ontwikkeling of recente toepassing in systemen</w:t>
      </w:r>
      <w:r w:rsidRPr="003350D7" w:rsidDel="00D830FD" w:rsidR="00D830FD">
        <w:rPr>
          <w:rFonts w:ascii="Verdana" w:hAnsi="Verdana" w:cs="Arial"/>
          <w:sz w:val="18"/>
          <w:szCs w:val="18"/>
        </w:rPr>
        <w:t xml:space="preserve"> </w:t>
      </w:r>
      <w:r w:rsidRPr="003350D7" w:rsidR="00D830FD">
        <w:rPr>
          <w:rFonts w:ascii="Verdana" w:hAnsi="Verdana" w:cs="Arial"/>
          <w:sz w:val="18"/>
          <w:szCs w:val="18"/>
        </w:rPr>
        <w:t>pas na geruime tijd</w:t>
      </w:r>
      <w:r w:rsidRPr="003350D7" w:rsidR="00A52FE3">
        <w:rPr>
          <w:rFonts w:ascii="Verdana" w:hAnsi="Verdana" w:cs="Arial"/>
          <w:sz w:val="18"/>
          <w:szCs w:val="18"/>
        </w:rPr>
        <w:t xml:space="preserve"> </w:t>
      </w:r>
      <w:r w:rsidRPr="003350D7">
        <w:rPr>
          <w:rFonts w:ascii="Verdana" w:hAnsi="Verdana" w:cs="Arial"/>
          <w:sz w:val="18"/>
          <w:szCs w:val="18"/>
        </w:rPr>
        <w:t xml:space="preserve">of niet (volledig) een plaats </w:t>
      </w:r>
      <w:r w:rsidRPr="003350D7" w:rsidR="00A52FE3">
        <w:rPr>
          <w:rFonts w:ascii="Verdana" w:hAnsi="Verdana" w:cs="Arial"/>
          <w:sz w:val="18"/>
          <w:szCs w:val="18"/>
        </w:rPr>
        <w:t>op de exportcontrolelijsten</w:t>
      </w:r>
      <w:r w:rsidRPr="003350D7">
        <w:rPr>
          <w:rFonts w:ascii="Verdana" w:hAnsi="Verdana" w:cs="Arial"/>
          <w:sz w:val="18"/>
          <w:szCs w:val="18"/>
        </w:rPr>
        <w:t xml:space="preserve"> die de basis vormen voor ‘sensitieve technologie’ in de Wet vifo</w:t>
      </w:r>
      <w:r w:rsidRPr="003350D7" w:rsidR="0037782A">
        <w:rPr>
          <w:rFonts w:ascii="Verdana" w:hAnsi="Verdana" w:cs="Arial"/>
          <w:sz w:val="18"/>
          <w:szCs w:val="18"/>
        </w:rPr>
        <w:t>. In het geval dat en voor zover het technologieën betreft die</w:t>
      </w:r>
      <w:r w:rsidRPr="003350D7" w:rsidR="00A52FE3">
        <w:rPr>
          <w:rFonts w:ascii="Verdana" w:hAnsi="Verdana" w:cs="Arial"/>
          <w:sz w:val="18"/>
          <w:szCs w:val="18"/>
        </w:rPr>
        <w:t xml:space="preserve"> een mogelijk risico voor de nationale veiligheid vormen</w:t>
      </w:r>
      <w:r w:rsidRPr="003350D7" w:rsidR="0037782A">
        <w:rPr>
          <w:rFonts w:ascii="Verdana" w:hAnsi="Verdana" w:cs="Arial"/>
          <w:sz w:val="18"/>
          <w:szCs w:val="18"/>
        </w:rPr>
        <w:t>, is het nodig die al dan niet tijdelijk</w:t>
      </w:r>
      <w:r w:rsidRPr="003350D7" w:rsidR="00FD60AA">
        <w:rPr>
          <w:rFonts w:ascii="Verdana" w:hAnsi="Verdana" w:cs="Arial"/>
          <w:sz w:val="18"/>
          <w:szCs w:val="18"/>
        </w:rPr>
        <w:t xml:space="preserve"> </w:t>
      </w:r>
      <w:r w:rsidRPr="003350D7" w:rsidR="00A52FE3">
        <w:rPr>
          <w:rFonts w:ascii="Verdana" w:hAnsi="Verdana" w:cs="Arial"/>
          <w:sz w:val="18"/>
          <w:szCs w:val="18"/>
        </w:rPr>
        <w:t xml:space="preserve">apart onder het toepassingsbereik van de Wet vifo te brengen. Het </w:t>
      </w:r>
      <w:r w:rsidRPr="003350D7" w:rsidR="009A451E">
        <w:rPr>
          <w:rFonts w:ascii="Verdana" w:hAnsi="Verdana" w:cs="Arial"/>
          <w:sz w:val="18"/>
          <w:szCs w:val="18"/>
        </w:rPr>
        <w:t xml:space="preserve">kan hierbij uitsluitend gaan om </w:t>
      </w:r>
      <w:r w:rsidRPr="003350D7" w:rsidR="00A52FE3">
        <w:rPr>
          <w:rFonts w:ascii="Verdana" w:hAnsi="Verdana" w:cs="Arial"/>
          <w:sz w:val="18"/>
          <w:szCs w:val="18"/>
        </w:rPr>
        <w:t xml:space="preserve">technologieën die voor aanwijzing </w:t>
      </w:r>
      <w:r w:rsidRPr="003350D7" w:rsidR="00A63277">
        <w:rPr>
          <w:rFonts w:ascii="Verdana" w:hAnsi="Verdana" w:cs="Arial"/>
          <w:sz w:val="18"/>
          <w:szCs w:val="18"/>
        </w:rPr>
        <w:t xml:space="preserve">bij algemene maatregel van bestuur </w:t>
      </w:r>
      <w:r w:rsidRPr="003350D7" w:rsidR="00095C13">
        <w:rPr>
          <w:rFonts w:ascii="Verdana" w:hAnsi="Verdana" w:cs="Arial"/>
          <w:sz w:val="18"/>
          <w:szCs w:val="18"/>
        </w:rPr>
        <w:t xml:space="preserve">krachtens de Wet vifo </w:t>
      </w:r>
      <w:r w:rsidRPr="003350D7" w:rsidR="00A52FE3">
        <w:rPr>
          <w:rFonts w:ascii="Verdana" w:hAnsi="Verdana" w:cs="Arial"/>
          <w:sz w:val="18"/>
          <w:szCs w:val="18"/>
        </w:rPr>
        <w:t>in aanmerking komen</w:t>
      </w:r>
      <w:r w:rsidRPr="003350D7" w:rsidR="00F12E8A">
        <w:rPr>
          <w:rFonts w:ascii="Verdana" w:hAnsi="Verdana" w:cs="Arial"/>
          <w:sz w:val="18"/>
          <w:szCs w:val="18"/>
        </w:rPr>
        <w:t>, wanneer</w:t>
      </w:r>
      <w:r w:rsidRPr="003350D7" w:rsidR="00095C13">
        <w:rPr>
          <w:rFonts w:ascii="Verdana" w:hAnsi="Verdana" w:cs="Arial"/>
          <w:sz w:val="18"/>
          <w:szCs w:val="18"/>
        </w:rPr>
        <w:t xml:space="preserve"> a</w:t>
      </w:r>
      <w:r w:rsidRPr="003350D7" w:rsidR="00A52FE3">
        <w:rPr>
          <w:rFonts w:ascii="Verdana" w:hAnsi="Verdana" w:cs="Arial"/>
          <w:sz w:val="18"/>
          <w:szCs w:val="18"/>
        </w:rPr>
        <w:t xml:space="preserve">an één of meer krachtens de Wet vifo gestelde grondslagen tot aanwijzing </w:t>
      </w:r>
      <w:r w:rsidRPr="003350D7" w:rsidR="00095C13">
        <w:rPr>
          <w:rFonts w:ascii="Verdana" w:hAnsi="Verdana" w:cs="Arial"/>
          <w:sz w:val="18"/>
          <w:szCs w:val="18"/>
        </w:rPr>
        <w:t xml:space="preserve">is voldaan </w:t>
      </w:r>
      <w:r w:rsidRPr="003350D7" w:rsidR="00A52FE3">
        <w:rPr>
          <w:rFonts w:ascii="Verdana" w:hAnsi="Verdana" w:cs="Arial"/>
          <w:sz w:val="18"/>
          <w:szCs w:val="18"/>
        </w:rPr>
        <w:t>(artikel 8, derde lid, van de Wet vifo)</w:t>
      </w:r>
      <w:r w:rsidRPr="003350D7" w:rsidR="00095C13">
        <w:rPr>
          <w:rFonts w:ascii="Verdana" w:hAnsi="Verdana" w:cs="Arial"/>
          <w:sz w:val="18"/>
          <w:szCs w:val="18"/>
        </w:rPr>
        <w:t xml:space="preserve">. </w:t>
      </w:r>
      <w:r w:rsidRPr="003350D7" w:rsidR="001526E5">
        <w:rPr>
          <w:rFonts w:ascii="Verdana" w:hAnsi="Verdana" w:cs="Arial"/>
          <w:sz w:val="18"/>
          <w:szCs w:val="18"/>
        </w:rPr>
        <w:t>Dat wil zeggen dat het uitsluitend technologieën betreft:</w:t>
      </w:r>
    </w:p>
    <w:p w:rsidRPr="003350D7" w:rsidR="001526E5" w:rsidP="001526E5" w:rsidRDefault="001526E5" w14:paraId="4FA1AA20" w14:textId="77777777">
      <w:pPr>
        <w:spacing w:after="0" w:line="240" w:lineRule="atLeast"/>
        <w:rPr>
          <w:rFonts w:ascii="Verdana" w:hAnsi="Verdana" w:cs="Arial"/>
          <w:sz w:val="18"/>
          <w:szCs w:val="18"/>
        </w:rPr>
      </w:pPr>
      <w:r w:rsidRPr="003350D7">
        <w:rPr>
          <w:rFonts w:ascii="Verdana" w:hAnsi="Verdana" w:cs="Arial"/>
          <w:sz w:val="18"/>
          <w:szCs w:val="18"/>
        </w:rPr>
        <w:t>- die van essentieel belang kunnen zijn voor het functioneren van defensie, opsporings-, inlichtingen- en veiligheidsdiensten bij de uitoefening van hun taken;</w:t>
      </w:r>
    </w:p>
    <w:p w:rsidRPr="003350D7" w:rsidR="001526E5" w:rsidP="001526E5" w:rsidRDefault="001526E5" w14:paraId="0808775A" w14:textId="77777777">
      <w:pPr>
        <w:spacing w:after="0" w:line="240" w:lineRule="atLeast"/>
        <w:rPr>
          <w:rFonts w:ascii="Verdana" w:hAnsi="Verdana" w:cs="Arial"/>
          <w:sz w:val="18"/>
          <w:szCs w:val="18"/>
        </w:rPr>
      </w:pPr>
      <w:r w:rsidRPr="003350D7">
        <w:rPr>
          <w:rFonts w:ascii="Verdana" w:hAnsi="Verdana" w:cs="Arial"/>
          <w:sz w:val="18"/>
          <w:szCs w:val="18"/>
        </w:rPr>
        <w:t>- waarvan de beschikbaarheid en aanwezigheid binnen Nederland of haar bondgenoten essentieel is om onaanvaardbare risico’s voor de verkrijgbaarheid van bepaalde essentiële producten of voorzieningen te voorkomen; of</w:t>
      </w:r>
    </w:p>
    <w:p w:rsidRPr="003350D7" w:rsidR="001526E5" w:rsidP="001526E5" w:rsidRDefault="001526E5" w14:paraId="47D7767C" w14:textId="77777777">
      <w:pPr>
        <w:spacing w:after="0" w:line="240" w:lineRule="atLeast"/>
        <w:rPr>
          <w:rFonts w:ascii="Verdana" w:hAnsi="Verdana" w:cs="Arial"/>
          <w:sz w:val="18"/>
          <w:szCs w:val="18"/>
        </w:rPr>
      </w:pPr>
      <w:r w:rsidRPr="003350D7">
        <w:rPr>
          <w:rFonts w:ascii="Verdana" w:hAnsi="Verdana" w:cs="Arial"/>
          <w:sz w:val="18"/>
          <w:szCs w:val="18"/>
        </w:rPr>
        <w:t>- die worden gekenmerkt door een breed toepassingsbereik binnen verschillende vitale processen of processen die raken aan de nationale veiligheid.</w:t>
      </w:r>
    </w:p>
    <w:p w:rsidRPr="003350D7" w:rsidR="00F12E8A" w:rsidRDefault="00F12E8A" w14:paraId="6F20CFE1" w14:textId="77777777">
      <w:pPr>
        <w:spacing w:after="0" w:line="240" w:lineRule="atLeast"/>
        <w:rPr>
          <w:rFonts w:ascii="Verdana" w:hAnsi="Verdana" w:cs="Arial"/>
          <w:sz w:val="18"/>
          <w:szCs w:val="18"/>
        </w:rPr>
      </w:pPr>
    </w:p>
    <w:p w:rsidRPr="003350D7" w:rsidR="002531AD" w:rsidP="006424AD" w:rsidRDefault="0019711F" w14:paraId="5AD2A950" w14:textId="15234074">
      <w:pPr>
        <w:spacing w:after="0" w:line="240" w:lineRule="atLeast"/>
        <w:rPr>
          <w:rFonts w:ascii="Verdana" w:hAnsi="Verdana" w:cs="Arial"/>
          <w:sz w:val="18"/>
          <w:szCs w:val="18"/>
        </w:rPr>
      </w:pPr>
      <w:r w:rsidRPr="003350D7">
        <w:rPr>
          <w:rFonts w:ascii="Verdana" w:hAnsi="Verdana" w:cs="Arial"/>
          <w:sz w:val="18"/>
          <w:szCs w:val="18"/>
        </w:rPr>
        <w:t xml:space="preserve">Een reden </w:t>
      </w:r>
      <w:r w:rsidRPr="003350D7" w:rsidR="0037782A">
        <w:rPr>
          <w:rFonts w:ascii="Verdana" w:hAnsi="Verdana" w:cs="Arial"/>
          <w:sz w:val="18"/>
          <w:szCs w:val="18"/>
        </w:rPr>
        <w:t xml:space="preserve">dat </w:t>
      </w:r>
      <w:r w:rsidRPr="003350D7" w:rsidR="001526E5">
        <w:rPr>
          <w:rFonts w:ascii="Verdana" w:hAnsi="Verdana" w:cs="Arial"/>
          <w:sz w:val="18"/>
          <w:szCs w:val="18"/>
        </w:rPr>
        <w:t xml:space="preserve">er flexibiliteit nodig is om </w:t>
      </w:r>
      <w:r w:rsidRPr="003350D7" w:rsidR="00AC2041">
        <w:rPr>
          <w:rFonts w:ascii="Verdana" w:hAnsi="Verdana" w:cs="Arial"/>
          <w:sz w:val="18"/>
          <w:szCs w:val="18"/>
        </w:rPr>
        <w:t xml:space="preserve">door middel van dit wijzigingsbesluit </w:t>
      </w:r>
      <w:r w:rsidRPr="003350D7" w:rsidR="001526E5">
        <w:rPr>
          <w:rFonts w:ascii="Verdana" w:hAnsi="Verdana" w:cs="Arial"/>
          <w:sz w:val="18"/>
          <w:szCs w:val="18"/>
        </w:rPr>
        <w:t>sensitieve technologieën aan te wijzen</w:t>
      </w:r>
      <w:r w:rsidRPr="003350D7" w:rsidR="004F534C">
        <w:rPr>
          <w:rFonts w:ascii="Verdana" w:hAnsi="Verdana" w:cs="Arial"/>
          <w:sz w:val="18"/>
          <w:szCs w:val="18"/>
        </w:rPr>
        <w:t xml:space="preserve">, is dat </w:t>
      </w:r>
      <w:r w:rsidRPr="003350D7">
        <w:rPr>
          <w:rFonts w:ascii="Verdana" w:hAnsi="Verdana" w:cs="Arial"/>
          <w:sz w:val="18"/>
          <w:szCs w:val="18"/>
        </w:rPr>
        <w:t xml:space="preserve">de </w:t>
      </w:r>
      <w:r w:rsidRPr="003350D7" w:rsidR="001542B7">
        <w:rPr>
          <w:rFonts w:ascii="Verdana" w:hAnsi="Verdana" w:cs="Arial"/>
          <w:sz w:val="18"/>
          <w:szCs w:val="18"/>
        </w:rPr>
        <w:t xml:space="preserve">exportcontrolelijsten </w:t>
      </w:r>
      <w:r w:rsidRPr="003350D7" w:rsidR="0037782A">
        <w:rPr>
          <w:rFonts w:ascii="Verdana" w:hAnsi="Verdana" w:cs="Arial"/>
          <w:sz w:val="18"/>
          <w:szCs w:val="18"/>
        </w:rPr>
        <w:t xml:space="preserve">niet snel meebewegen met </w:t>
      </w:r>
      <w:r w:rsidRPr="003350D7">
        <w:rPr>
          <w:rFonts w:ascii="Verdana" w:hAnsi="Verdana" w:cs="Arial"/>
          <w:sz w:val="18"/>
          <w:szCs w:val="18"/>
        </w:rPr>
        <w:t xml:space="preserve">technologische ontwikkelingen </w:t>
      </w:r>
      <w:r w:rsidRPr="003350D7" w:rsidR="004F534C">
        <w:rPr>
          <w:rFonts w:ascii="Verdana" w:hAnsi="Verdana" w:cs="Arial"/>
          <w:sz w:val="18"/>
          <w:szCs w:val="18"/>
        </w:rPr>
        <w:t>door</w:t>
      </w:r>
      <w:r w:rsidRPr="003350D7" w:rsidR="0037782A">
        <w:rPr>
          <w:rFonts w:ascii="Verdana" w:hAnsi="Verdana" w:cs="Arial"/>
          <w:sz w:val="18"/>
          <w:szCs w:val="18"/>
        </w:rPr>
        <w:t xml:space="preserve"> het</w:t>
      </w:r>
      <w:r w:rsidRPr="003350D7" w:rsidR="001542B7">
        <w:rPr>
          <w:rFonts w:ascii="Verdana" w:hAnsi="Verdana" w:cs="Arial"/>
          <w:sz w:val="18"/>
          <w:szCs w:val="18"/>
        </w:rPr>
        <w:t xml:space="preserve"> mult</w:t>
      </w:r>
      <w:r w:rsidRPr="003350D7" w:rsidR="00D47F20">
        <w:rPr>
          <w:rFonts w:ascii="Verdana" w:hAnsi="Verdana" w:cs="Arial"/>
          <w:sz w:val="18"/>
          <w:szCs w:val="18"/>
        </w:rPr>
        <w:t>i</w:t>
      </w:r>
      <w:r w:rsidRPr="003350D7" w:rsidR="001542B7">
        <w:rPr>
          <w:rFonts w:ascii="Verdana" w:hAnsi="Verdana" w:cs="Arial"/>
          <w:sz w:val="18"/>
          <w:szCs w:val="18"/>
        </w:rPr>
        <w:t xml:space="preserve">laterale </w:t>
      </w:r>
      <w:r w:rsidRPr="003350D7" w:rsidR="0037782A">
        <w:rPr>
          <w:rFonts w:ascii="Verdana" w:hAnsi="Verdana" w:cs="Arial"/>
          <w:sz w:val="18"/>
          <w:szCs w:val="18"/>
        </w:rPr>
        <w:t xml:space="preserve">karakter van </w:t>
      </w:r>
      <w:r w:rsidRPr="003350D7" w:rsidR="001542B7">
        <w:rPr>
          <w:rFonts w:ascii="Verdana" w:hAnsi="Verdana" w:cs="Arial"/>
          <w:sz w:val="18"/>
          <w:szCs w:val="18"/>
        </w:rPr>
        <w:t>exportcontroleregimes</w:t>
      </w:r>
      <w:r w:rsidRPr="003350D7" w:rsidR="0037782A">
        <w:rPr>
          <w:rFonts w:ascii="Verdana" w:hAnsi="Verdana" w:cs="Arial"/>
          <w:sz w:val="18"/>
          <w:szCs w:val="18"/>
        </w:rPr>
        <w:t xml:space="preserve">. </w:t>
      </w:r>
      <w:r w:rsidRPr="003350D7" w:rsidR="00DD3771">
        <w:rPr>
          <w:rFonts w:ascii="Verdana" w:hAnsi="Verdana" w:cs="Arial"/>
          <w:sz w:val="18"/>
          <w:szCs w:val="18"/>
        </w:rPr>
        <w:t xml:space="preserve">Door </w:t>
      </w:r>
      <w:r w:rsidRPr="003350D7" w:rsidR="0037782A">
        <w:rPr>
          <w:rFonts w:ascii="Verdana" w:hAnsi="Verdana" w:cs="Arial"/>
          <w:sz w:val="18"/>
          <w:szCs w:val="18"/>
        </w:rPr>
        <w:t xml:space="preserve">de </w:t>
      </w:r>
      <w:r w:rsidRPr="003350D7" w:rsidR="00DD3771">
        <w:rPr>
          <w:rFonts w:ascii="Verdana" w:hAnsi="Verdana" w:cs="Arial"/>
          <w:sz w:val="18"/>
          <w:szCs w:val="18"/>
        </w:rPr>
        <w:t xml:space="preserve">internationale afstemming </w:t>
      </w:r>
      <w:r w:rsidRPr="003350D7" w:rsidR="004F534C">
        <w:rPr>
          <w:rFonts w:ascii="Verdana" w:hAnsi="Verdana" w:cs="Arial"/>
          <w:sz w:val="18"/>
          <w:szCs w:val="18"/>
        </w:rPr>
        <w:t xml:space="preserve">die dat met zich brengt, </w:t>
      </w:r>
      <w:r w:rsidRPr="003350D7" w:rsidR="003100EA">
        <w:rPr>
          <w:rFonts w:ascii="Verdana" w:hAnsi="Verdana" w:cs="Arial"/>
          <w:sz w:val="18"/>
          <w:szCs w:val="18"/>
        </w:rPr>
        <w:t xml:space="preserve">blijken </w:t>
      </w:r>
      <w:r w:rsidRPr="003350D7" w:rsidR="00E4074D">
        <w:rPr>
          <w:rFonts w:ascii="Verdana" w:hAnsi="Verdana" w:cs="Arial"/>
          <w:sz w:val="18"/>
          <w:szCs w:val="18"/>
        </w:rPr>
        <w:t xml:space="preserve">dergelijke exportcontroleregimes </w:t>
      </w:r>
      <w:r w:rsidRPr="003350D7" w:rsidR="00D47F20">
        <w:rPr>
          <w:rFonts w:ascii="Verdana" w:hAnsi="Verdana" w:cs="Arial"/>
          <w:sz w:val="18"/>
          <w:szCs w:val="18"/>
        </w:rPr>
        <w:t xml:space="preserve">achter </w:t>
      </w:r>
      <w:r w:rsidRPr="003350D7" w:rsidR="003100EA">
        <w:rPr>
          <w:rFonts w:ascii="Verdana" w:hAnsi="Verdana" w:cs="Arial"/>
          <w:sz w:val="18"/>
          <w:szCs w:val="18"/>
        </w:rPr>
        <w:t xml:space="preserve">te </w:t>
      </w:r>
      <w:r w:rsidRPr="003350D7" w:rsidR="00D47F20">
        <w:rPr>
          <w:rFonts w:ascii="Verdana" w:hAnsi="Verdana" w:cs="Arial"/>
          <w:sz w:val="18"/>
          <w:szCs w:val="18"/>
        </w:rPr>
        <w:t xml:space="preserve">lopen </w:t>
      </w:r>
      <w:r w:rsidRPr="003350D7" w:rsidR="00B406EB">
        <w:rPr>
          <w:rFonts w:ascii="Verdana" w:hAnsi="Verdana" w:cs="Arial"/>
          <w:sz w:val="18"/>
          <w:szCs w:val="18"/>
        </w:rPr>
        <w:t xml:space="preserve">op </w:t>
      </w:r>
      <w:r w:rsidRPr="003350D7" w:rsidR="003100EA">
        <w:rPr>
          <w:rFonts w:ascii="Verdana" w:hAnsi="Verdana" w:cs="Arial"/>
          <w:sz w:val="18"/>
          <w:szCs w:val="18"/>
        </w:rPr>
        <w:t xml:space="preserve">bepaalde </w:t>
      </w:r>
      <w:r w:rsidRPr="003350D7" w:rsidR="00B406EB">
        <w:rPr>
          <w:rFonts w:ascii="Verdana" w:hAnsi="Verdana" w:cs="Arial"/>
          <w:sz w:val="18"/>
          <w:szCs w:val="18"/>
        </w:rPr>
        <w:t>technologische ontwikkelingen</w:t>
      </w:r>
      <w:r w:rsidRPr="003350D7" w:rsidR="00816650">
        <w:rPr>
          <w:rFonts w:ascii="Verdana" w:hAnsi="Verdana" w:cs="Arial"/>
          <w:sz w:val="18"/>
          <w:szCs w:val="18"/>
        </w:rPr>
        <w:t>.</w:t>
      </w:r>
      <w:r w:rsidRPr="003350D7" w:rsidR="002531AD">
        <w:rPr>
          <w:rFonts w:ascii="Verdana" w:hAnsi="Verdana" w:cs="Arial"/>
          <w:sz w:val="18"/>
          <w:szCs w:val="18"/>
        </w:rPr>
        <w:t xml:space="preserve"> </w:t>
      </w:r>
      <w:r w:rsidRPr="003350D7" w:rsidR="00B4774E">
        <w:rPr>
          <w:rFonts w:ascii="Verdana" w:hAnsi="Verdana" w:cs="Arial"/>
          <w:sz w:val="18"/>
          <w:szCs w:val="18"/>
        </w:rPr>
        <w:t xml:space="preserve">Daarnaast </w:t>
      </w:r>
      <w:r w:rsidRPr="003350D7" w:rsidR="004F2C12">
        <w:rPr>
          <w:rFonts w:ascii="Verdana" w:hAnsi="Verdana" w:cs="Arial"/>
          <w:sz w:val="18"/>
          <w:szCs w:val="18"/>
        </w:rPr>
        <w:t>hebben een aantal analyses</w:t>
      </w:r>
      <w:r w:rsidRPr="003350D7" w:rsidR="00500128">
        <w:rPr>
          <w:rFonts w:ascii="Verdana" w:hAnsi="Verdana" w:cs="Arial"/>
          <w:sz w:val="18"/>
          <w:szCs w:val="18"/>
        </w:rPr>
        <w:t xml:space="preserve"> en ontwikkelingen</w:t>
      </w:r>
      <w:r w:rsidRPr="003350D7" w:rsidR="004F2C12">
        <w:rPr>
          <w:rFonts w:ascii="Verdana" w:hAnsi="Verdana" w:cs="Arial"/>
          <w:sz w:val="18"/>
          <w:szCs w:val="18"/>
        </w:rPr>
        <w:t xml:space="preserve"> geleid tot meer inzicht in </w:t>
      </w:r>
      <w:r w:rsidRPr="003350D7" w:rsidR="003100EA">
        <w:rPr>
          <w:rFonts w:ascii="Verdana" w:hAnsi="Verdana" w:cs="Arial"/>
          <w:sz w:val="18"/>
          <w:szCs w:val="18"/>
        </w:rPr>
        <w:t>(</w:t>
      </w:r>
      <w:r w:rsidRPr="003350D7" w:rsidR="00A34B2E">
        <w:rPr>
          <w:rFonts w:ascii="Verdana" w:hAnsi="Verdana" w:cs="Arial"/>
          <w:sz w:val="18"/>
          <w:szCs w:val="18"/>
        </w:rPr>
        <w:t>zeer</w:t>
      </w:r>
      <w:r w:rsidRPr="003350D7" w:rsidR="003100EA">
        <w:rPr>
          <w:rFonts w:ascii="Verdana" w:hAnsi="Verdana" w:cs="Arial"/>
          <w:sz w:val="18"/>
          <w:szCs w:val="18"/>
        </w:rPr>
        <w:t>)</w:t>
      </w:r>
      <w:r w:rsidRPr="003350D7" w:rsidR="00A34B2E">
        <w:rPr>
          <w:rFonts w:ascii="Verdana" w:hAnsi="Verdana" w:cs="Arial"/>
          <w:sz w:val="18"/>
          <w:szCs w:val="18"/>
        </w:rPr>
        <w:t xml:space="preserve"> </w:t>
      </w:r>
      <w:r w:rsidRPr="003350D7" w:rsidR="004F2C12">
        <w:rPr>
          <w:rFonts w:ascii="Verdana" w:hAnsi="Verdana" w:cs="Arial"/>
          <w:sz w:val="18"/>
          <w:szCs w:val="18"/>
        </w:rPr>
        <w:t>risicovolle</w:t>
      </w:r>
      <w:r w:rsidRPr="003350D7" w:rsidR="001526E5">
        <w:rPr>
          <w:rFonts w:ascii="Verdana" w:hAnsi="Verdana" w:cs="Arial"/>
          <w:sz w:val="18"/>
          <w:szCs w:val="18"/>
        </w:rPr>
        <w:t>,</w:t>
      </w:r>
      <w:r w:rsidRPr="003350D7" w:rsidR="004F2C12">
        <w:rPr>
          <w:rFonts w:ascii="Verdana" w:hAnsi="Verdana" w:cs="Arial"/>
          <w:sz w:val="18"/>
          <w:szCs w:val="18"/>
        </w:rPr>
        <w:t xml:space="preserve"> </w:t>
      </w:r>
      <w:r w:rsidRPr="003350D7" w:rsidR="001526E5">
        <w:rPr>
          <w:rFonts w:ascii="Verdana" w:hAnsi="Verdana" w:cs="Arial"/>
          <w:sz w:val="18"/>
          <w:szCs w:val="18"/>
        </w:rPr>
        <w:t xml:space="preserve">niet op de exportcontrolelijsten voorkomende, </w:t>
      </w:r>
      <w:r w:rsidRPr="003350D7" w:rsidR="00500128">
        <w:rPr>
          <w:rFonts w:ascii="Verdana" w:hAnsi="Verdana" w:cs="Arial"/>
          <w:sz w:val="18"/>
          <w:szCs w:val="18"/>
        </w:rPr>
        <w:t>technologieën</w:t>
      </w:r>
      <w:r w:rsidRPr="003350D7" w:rsidR="004F2C12">
        <w:rPr>
          <w:rFonts w:ascii="Verdana" w:hAnsi="Verdana" w:cs="Arial"/>
          <w:sz w:val="18"/>
          <w:szCs w:val="18"/>
        </w:rPr>
        <w:t xml:space="preserve"> </w:t>
      </w:r>
      <w:r w:rsidRPr="003350D7" w:rsidR="00A07BC6">
        <w:rPr>
          <w:rFonts w:ascii="Verdana" w:hAnsi="Verdana" w:cs="Arial"/>
          <w:sz w:val="18"/>
          <w:szCs w:val="18"/>
        </w:rPr>
        <w:t>vanuit het perspectief van de nationale veiligheid</w:t>
      </w:r>
      <w:r w:rsidRPr="003350D7" w:rsidR="003100EA">
        <w:rPr>
          <w:rFonts w:ascii="Verdana" w:hAnsi="Verdana" w:cs="Arial"/>
          <w:sz w:val="18"/>
          <w:szCs w:val="18"/>
        </w:rPr>
        <w:t xml:space="preserve"> (van de lidstaten</w:t>
      </w:r>
      <w:r w:rsidRPr="003350D7" w:rsidR="004F534C">
        <w:rPr>
          <w:rFonts w:ascii="Verdana" w:hAnsi="Verdana" w:cs="Arial"/>
          <w:sz w:val="18"/>
          <w:szCs w:val="18"/>
        </w:rPr>
        <w:t>)</w:t>
      </w:r>
      <w:r w:rsidRPr="003350D7" w:rsidR="00F01E80">
        <w:rPr>
          <w:rFonts w:ascii="Verdana" w:hAnsi="Verdana" w:cs="Arial"/>
          <w:sz w:val="18"/>
          <w:szCs w:val="18"/>
        </w:rPr>
        <w:t xml:space="preserve">. </w:t>
      </w:r>
      <w:r w:rsidRPr="003350D7" w:rsidR="004F534C">
        <w:rPr>
          <w:rFonts w:ascii="Verdana" w:hAnsi="Verdana" w:cs="Arial"/>
          <w:sz w:val="18"/>
          <w:szCs w:val="18"/>
        </w:rPr>
        <w:t xml:space="preserve">Zo </w:t>
      </w:r>
      <w:r w:rsidRPr="003350D7" w:rsidR="00500128">
        <w:rPr>
          <w:rFonts w:ascii="Verdana" w:hAnsi="Verdana" w:cs="Arial"/>
          <w:sz w:val="18"/>
          <w:szCs w:val="18"/>
        </w:rPr>
        <w:t xml:space="preserve">is </w:t>
      </w:r>
      <w:r w:rsidRPr="003350D7" w:rsidR="002531AD">
        <w:rPr>
          <w:rFonts w:ascii="Verdana" w:hAnsi="Verdana" w:cs="Arial"/>
          <w:sz w:val="18"/>
          <w:szCs w:val="18"/>
        </w:rPr>
        <w:t xml:space="preserve">de Europese Commissie zich de afgelopen periode actiever gaan opstellen om lidstaten uit te dagen meer inzicht te krijgen en informatie te delen over </w:t>
      </w:r>
      <w:r w:rsidRPr="003350D7" w:rsidR="00F01E80">
        <w:rPr>
          <w:rFonts w:ascii="Verdana" w:hAnsi="Verdana" w:cs="Arial"/>
          <w:sz w:val="18"/>
          <w:szCs w:val="18"/>
        </w:rPr>
        <w:t xml:space="preserve">deze </w:t>
      </w:r>
      <w:r w:rsidRPr="003350D7" w:rsidR="002531AD">
        <w:rPr>
          <w:rFonts w:ascii="Verdana" w:hAnsi="Verdana" w:cs="Arial"/>
          <w:sz w:val="18"/>
          <w:szCs w:val="18"/>
        </w:rPr>
        <w:t>sensitieve technologieën. In paragraaf 5 wordt nader ingegaan op de internationale context</w:t>
      </w:r>
      <w:r w:rsidRPr="003350D7" w:rsidR="003100EA">
        <w:rPr>
          <w:rFonts w:ascii="Verdana" w:hAnsi="Verdana" w:cs="Arial"/>
          <w:sz w:val="18"/>
          <w:szCs w:val="18"/>
        </w:rPr>
        <w:t xml:space="preserve"> daarvan</w:t>
      </w:r>
      <w:r w:rsidRPr="003350D7" w:rsidR="002531AD">
        <w:rPr>
          <w:rFonts w:ascii="Verdana" w:hAnsi="Verdana" w:cs="Arial"/>
          <w:sz w:val="18"/>
          <w:szCs w:val="18"/>
        </w:rPr>
        <w:t xml:space="preserve"> en ontwikkelingen</w:t>
      </w:r>
      <w:r w:rsidRPr="003350D7" w:rsidR="003100EA">
        <w:rPr>
          <w:rFonts w:ascii="Verdana" w:hAnsi="Verdana" w:cs="Arial"/>
          <w:sz w:val="18"/>
          <w:szCs w:val="18"/>
        </w:rPr>
        <w:t xml:space="preserve"> daarin</w:t>
      </w:r>
      <w:r w:rsidRPr="003350D7" w:rsidR="002531AD">
        <w:rPr>
          <w:rFonts w:ascii="Verdana" w:hAnsi="Verdana" w:cs="Arial"/>
          <w:sz w:val="18"/>
          <w:szCs w:val="18"/>
        </w:rPr>
        <w:t>. Daarnaast is</w:t>
      </w:r>
      <w:r w:rsidRPr="003350D7" w:rsidR="00500128">
        <w:rPr>
          <w:rFonts w:ascii="Verdana" w:hAnsi="Verdana" w:cs="Arial"/>
          <w:sz w:val="18"/>
          <w:szCs w:val="18"/>
        </w:rPr>
        <w:t xml:space="preserve">, zoals aangekondigd </w:t>
      </w:r>
      <w:r w:rsidRPr="003350D7" w:rsidR="002531AD">
        <w:rPr>
          <w:rFonts w:ascii="Verdana" w:hAnsi="Verdana" w:cs="Arial"/>
          <w:sz w:val="18"/>
          <w:szCs w:val="18"/>
        </w:rPr>
        <w:t>in de nota van toelichting op het Besluit sensitief (Stb 2023, 172)</w:t>
      </w:r>
      <w:r w:rsidRPr="003350D7" w:rsidR="00500128">
        <w:rPr>
          <w:rFonts w:ascii="Verdana" w:hAnsi="Verdana" w:cs="Arial"/>
          <w:sz w:val="18"/>
          <w:szCs w:val="18"/>
        </w:rPr>
        <w:t>,</w:t>
      </w:r>
      <w:r w:rsidRPr="003350D7" w:rsidR="002531AD">
        <w:rPr>
          <w:rFonts w:ascii="Verdana" w:hAnsi="Verdana" w:cs="Arial"/>
          <w:sz w:val="18"/>
          <w:szCs w:val="18"/>
        </w:rPr>
        <w:t xml:space="preserve"> TNO gevraagd vervolgonderzoek te doen naar de gevoeligheid van technologieën voor </w:t>
      </w:r>
      <w:r w:rsidRPr="003350D7" w:rsidR="00500128">
        <w:rPr>
          <w:rFonts w:ascii="Verdana" w:hAnsi="Verdana" w:cs="Arial"/>
          <w:sz w:val="18"/>
          <w:szCs w:val="18"/>
        </w:rPr>
        <w:t>het B</w:t>
      </w:r>
      <w:r w:rsidRPr="003350D7" w:rsidR="002531AD">
        <w:rPr>
          <w:rFonts w:ascii="Verdana" w:hAnsi="Verdana" w:cs="Arial"/>
          <w:sz w:val="18"/>
          <w:szCs w:val="18"/>
        </w:rPr>
        <w:t>esluit</w:t>
      </w:r>
      <w:r w:rsidRPr="003350D7" w:rsidR="00500128">
        <w:rPr>
          <w:rFonts w:ascii="Verdana" w:hAnsi="Verdana" w:cs="Arial"/>
          <w:sz w:val="18"/>
          <w:szCs w:val="18"/>
        </w:rPr>
        <w:t xml:space="preserve"> sensitief</w:t>
      </w:r>
      <w:r w:rsidRPr="003350D7" w:rsidR="002531AD">
        <w:rPr>
          <w:rFonts w:ascii="Verdana" w:hAnsi="Verdana" w:cs="Arial"/>
          <w:sz w:val="18"/>
          <w:szCs w:val="18"/>
        </w:rPr>
        <w:t xml:space="preserve">. Deze analyse, maar ook </w:t>
      </w:r>
      <w:r w:rsidRPr="003350D7" w:rsidR="00B478A0">
        <w:rPr>
          <w:rFonts w:ascii="Verdana" w:hAnsi="Verdana" w:cs="Arial"/>
          <w:sz w:val="18"/>
          <w:szCs w:val="18"/>
        </w:rPr>
        <w:t xml:space="preserve">eerder </w:t>
      </w:r>
      <w:r w:rsidRPr="003350D7" w:rsidR="002531AD">
        <w:rPr>
          <w:rFonts w:ascii="Verdana" w:hAnsi="Verdana" w:cs="Arial"/>
          <w:sz w:val="18"/>
          <w:szCs w:val="18"/>
        </w:rPr>
        <w:t xml:space="preserve">uitgebrachte beleidsstukken zoals de Nationale </w:t>
      </w:r>
      <w:r w:rsidRPr="003350D7" w:rsidR="002531AD">
        <w:rPr>
          <w:rFonts w:ascii="Verdana" w:hAnsi="Verdana" w:cs="Arial"/>
          <w:sz w:val="18"/>
          <w:szCs w:val="18"/>
        </w:rPr>
        <w:lastRenderedPageBreak/>
        <w:t>Technologie Strategie</w:t>
      </w:r>
      <w:r w:rsidRPr="003350D7" w:rsidR="002531AD">
        <w:rPr>
          <w:rStyle w:val="Voetnootmarkering"/>
          <w:rFonts w:ascii="Verdana" w:hAnsi="Verdana" w:cs="Arial"/>
          <w:sz w:val="18"/>
          <w:szCs w:val="18"/>
        </w:rPr>
        <w:footnoteReference w:id="3"/>
      </w:r>
      <w:r w:rsidRPr="003350D7" w:rsidR="002531AD">
        <w:rPr>
          <w:rFonts w:ascii="Verdana" w:hAnsi="Verdana"/>
          <w:sz w:val="18"/>
          <w:szCs w:val="18"/>
        </w:rPr>
        <w:t xml:space="preserve"> </w:t>
      </w:r>
      <w:r w:rsidRPr="003350D7" w:rsidR="002531AD">
        <w:rPr>
          <w:rFonts w:ascii="Verdana" w:hAnsi="Verdana" w:cs="Arial"/>
          <w:sz w:val="18"/>
          <w:szCs w:val="18"/>
        </w:rPr>
        <w:t>en de Trendanalyse Nationale Veiligheid 2024, g</w:t>
      </w:r>
      <w:r w:rsidRPr="003350D7" w:rsidR="000740C0">
        <w:rPr>
          <w:rFonts w:ascii="Verdana" w:hAnsi="Verdana" w:cs="Arial"/>
          <w:sz w:val="18"/>
          <w:szCs w:val="18"/>
        </w:rPr>
        <w:t>a</w:t>
      </w:r>
      <w:r w:rsidRPr="003350D7" w:rsidR="002531AD">
        <w:rPr>
          <w:rFonts w:ascii="Verdana" w:hAnsi="Verdana" w:cs="Arial"/>
          <w:sz w:val="18"/>
          <w:szCs w:val="18"/>
        </w:rPr>
        <w:t xml:space="preserve">ven aanleiding om het toepassingsbereik van de Wet vifo voor sensitieve technologie aan te passen door middel van dit wijzigingsbesluit. </w:t>
      </w:r>
      <w:r w:rsidRPr="003350D7" w:rsidR="00921871">
        <w:rPr>
          <w:rFonts w:ascii="Verdana" w:hAnsi="Verdana" w:cs="Arial"/>
          <w:sz w:val="18"/>
          <w:szCs w:val="18"/>
        </w:rPr>
        <w:t>Op grond van b</w:t>
      </w:r>
      <w:r w:rsidRPr="003350D7" w:rsidR="002531AD">
        <w:rPr>
          <w:rFonts w:ascii="Verdana" w:hAnsi="Verdana" w:cs="Arial"/>
          <w:sz w:val="18"/>
          <w:szCs w:val="18"/>
        </w:rPr>
        <w:t xml:space="preserve">eleidsmatige afwegingen </w:t>
      </w:r>
      <w:r w:rsidRPr="003350D7" w:rsidR="00921871">
        <w:rPr>
          <w:rFonts w:ascii="Verdana" w:hAnsi="Verdana" w:cs="Arial"/>
          <w:sz w:val="18"/>
          <w:szCs w:val="18"/>
        </w:rPr>
        <w:t xml:space="preserve">is </w:t>
      </w:r>
      <w:r w:rsidRPr="003350D7" w:rsidR="001526E5">
        <w:rPr>
          <w:rFonts w:ascii="Verdana" w:hAnsi="Verdana" w:cs="Arial"/>
          <w:sz w:val="18"/>
          <w:szCs w:val="18"/>
        </w:rPr>
        <w:t xml:space="preserve">vervolgens </w:t>
      </w:r>
      <w:r w:rsidRPr="003350D7" w:rsidR="00921871">
        <w:rPr>
          <w:rFonts w:ascii="Verdana" w:hAnsi="Verdana" w:cs="Arial"/>
          <w:sz w:val="18"/>
          <w:szCs w:val="18"/>
        </w:rPr>
        <w:t xml:space="preserve">gekozen voor </w:t>
      </w:r>
      <w:r w:rsidRPr="003350D7" w:rsidR="002531AD">
        <w:rPr>
          <w:rFonts w:ascii="Verdana" w:hAnsi="Verdana" w:cs="Arial"/>
          <w:sz w:val="18"/>
          <w:szCs w:val="18"/>
        </w:rPr>
        <w:t xml:space="preserve">een uitbreiding </w:t>
      </w:r>
      <w:r w:rsidRPr="003350D7" w:rsidR="00C30EF6">
        <w:rPr>
          <w:rFonts w:ascii="Verdana" w:hAnsi="Verdana" w:cs="Arial"/>
          <w:sz w:val="18"/>
          <w:szCs w:val="18"/>
        </w:rPr>
        <w:t xml:space="preserve">met een </w:t>
      </w:r>
      <w:r w:rsidRPr="003350D7" w:rsidR="002531AD">
        <w:rPr>
          <w:rFonts w:ascii="Verdana" w:hAnsi="Verdana" w:cs="Arial"/>
          <w:sz w:val="18"/>
          <w:szCs w:val="18"/>
        </w:rPr>
        <w:t xml:space="preserve">aantal </w:t>
      </w:r>
      <w:r w:rsidRPr="003350D7" w:rsidR="00C30EF6">
        <w:rPr>
          <w:rFonts w:ascii="Verdana" w:hAnsi="Verdana" w:cs="Arial"/>
          <w:sz w:val="18"/>
          <w:szCs w:val="18"/>
        </w:rPr>
        <w:t xml:space="preserve">nieuwe </w:t>
      </w:r>
      <w:r w:rsidRPr="003350D7" w:rsidR="002531AD">
        <w:rPr>
          <w:rFonts w:ascii="Verdana" w:hAnsi="Verdana" w:cs="Arial"/>
          <w:sz w:val="18"/>
          <w:szCs w:val="18"/>
        </w:rPr>
        <w:t>(sub)technologiegebieden. Daar waar er in het huidige Besluit sensitief vier (sub)technologiegebieden zijn aangewezen, worden die met dit wijzigingsbesluit uitgebreid tot in totaal tien sensitieve technologiegebieden. De aanwijzing van deze (sub)technologiegebieden als sensitief gaat bovendien met dit wijzigingsbesluit voor al die (sub)technologiegebieden gepaard met de kwalificatie als ‘zeer sensitief’</w:t>
      </w:r>
      <w:r w:rsidRPr="003350D7" w:rsidR="00C30EF6">
        <w:rPr>
          <w:rFonts w:ascii="Verdana" w:hAnsi="Verdana" w:cs="Arial"/>
          <w:sz w:val="18"/>
          <w:szCs w:val="18"/>
        </w:rPr>
        <w:t>,</w:t>
      </w:r>
      <w:r w:rsidRPr="003350D7" w:rsidR="002531AD">
        <w:rPr>
          <w:rFonts w:ascii="Verdana" w:hAnsi="Verdana" w:cs="Arial"/>
          <w:sz w:val="18"/>
          <w:szCs w:val="18"/>
        </w:rPr>
        <w:t xml:space="preserve"> gelet op de daaraan verbonden grotere risico’s voor de nationale veiligheid. </w:t>
      </w:r>
    </w:p>
    <w:p w:rsidRPr="003350D7" w:rsidR="001526E5" w:rsidP="0019711F" w:rsidRDefault="001526E5" w14:paraId="6492DDCE" w14:textId="77777777">
      <w:pPr>
        <w:spacing w:after="0" w:line="240" w:lineRule="atLeast"/>
        <w:rPr>
          <w:rFonts w:ascii="Verdana" w:hAnsi="Verdana" w:cs="Arial"/>
          <w:sz w:val="18"/>
          <w:szCs w:val="18"/>
        </w:rPr>
      </w:pPr>
    </w:p>
    <w:p w:rsidRPr="003350D7" w:rsidR="007856F1" w:rsidRDefault="00AC2041" w14:paraId="783FEFD8" w14:textId="0F0836C7">
      <w:pPr>
        <w:spacing w:after="0" w:line="240" w:lineRule="atLeast"/>
        <w:rPr>
          <w:rFonts w:ascii="Verdana" w:hAnsi="Verdana" w:cs="Arial"/>
          <w:sz w:val="18"/>
          <w:szCs w:val="18"/>
        </w:rPr>
      </w:pPr>
      <w:r w:rsidRPr="003350D7">
        <w:rPr>
          <w:rFonts w:ascii="Verdana" w:hAnsi="Verdana" w:cs="Arial"/>
          <w:sz w:val="18"/>
          <w:szCs w:val="18"/>
        </w:rPr>
        <w:t xml:space="preserve">Bij het opstellen van het </w:t>
      </w:r>
      <w:r w:rsidRPr="003350D7" w:rsidR="00E06A1E">
        <w:rPr>
          <w:rFonts w:ascii="Verdana" w:hAnsi="Verdana" w:cs="Arial"/>
          <w:sz w:val="18"/>
          <w:szCs w:val="18"/>
        </w:rPr>
        <w:t xml:space="preserve">onderhavige wijzigingsbesluit </w:t>
      </w:r>
      <w:r w:rsidRPr="003350D7" w:rsidR="005468BF">
        <w:rPr>
          <w:rFonts w:ascii="Verdana" w:hAnsi="Verdana" w:cs="Arial"/>
          <w:sz w:val="18"/>
          <w:szCs w:val="18"/>
        </w:rPr>
        <w:t xml:space="preserve">van het Besluit sensitief </w:t>
      </w:r>
      <w:r w:rsidRPr="003350D7" w:rsidR="00807E71">
        <w:rPr>
          <w:rFonts w:ascii="Verdana" w:hAnsi="Verdana" w:cs="Arial"/>
          <w:sz w:val="18"/>
          <w:szCs w:val="18"/>
        </w:rPr>
        <w:t xml:space="preserve">is </w:t>
      </w:r>
      <w:r w:rsidRPr="003350D7">
        <w:rPr>
          <w:rFonts w:ascii="Verdana" w:hAnsi="Verdana" w:cs="Arial"/>
          <w:sz w:val="18"/>
          <w:szCs w:val="18"/>
        </w:rPr>
        <w:t xml:space="preserve">rekening gehouden met </w:t>
      </w:r>
      <w:r w:rsidRPr="003350D7" w:rsidR="00A91BBB">
        <w:rPr>
          <w:rFonts w:ascii="Verdana" w:hAnsi="Verdana" w:cs="Arial"/>
          <w:sz w:val="18"/>
          <w:szCs w:val="18"/>
        </w:rPr>
        <w:t>de herziening van de</w:t>
      </w:r>
      <w:r w:rsidRPr="003350D7" w:rsidR="00955D08">
        <w:rPr>
          <w:rFonts w:ascii="Verdana" w:hAnsi="Verdana" w:cs="Arial"/>
          <w:sz w:val="18"/>
          <w:szCs w:val="18"/>
        </w:rPr>
        <w:t xml:space="preserve"> Europese </w:t>
      </w:r>
      <w:r w:rsidRPr="003350D7" w:rsidR="00807E71">
        <w:rPr>
          <w:rFonts w:ascii="Verdana" w:hAnsi="Verdana" w:cs="Arial"/>
          <w:sz w:val="18"/>
          <w:szCs w:val="18"/>
        </w:rPr>
        <w:t>screeningsverordening buitenlandse directe investeringen</w:t>
      </w:r>
      <w:r w:rsidR="000C61C9">
        <w:rPr>
          <w:rFonts w:ascii="Verdana" w:hAnsi="Verdana" w:cs="Arial"/>
          <w:sz w:val="18"/>
          <w:szCs w:val="18"/>
        </w:rPr>
        <w:t>.</w:t>
      </w:r>
      <w:r w:rsidRPr="003350D7" w:rsidR="00FE36BF">
        <w:rPr>
          <w:rStyle w:val="Voetnootmarkering"/>
          <w:rFonts w:ascii="Verdana" w:hAnsi="Verdana" w:cs="Arial"/>
          <w:sz w:val="18"/>
          <w:szCs w:val="18"/>
        </w:rPr>
        <w:footnoteReference w:id="4"/>
      </w:r>
      <w:r w:rsidRPr="003350D7" w:rsidR="00D37FD1">
        <w:rPr>
          <w:rFonts w:ascii="Verdana" w:hAnsi="Verdana" w:cs="Arial"/>
          <w:sz w:val="18"/>
          <w:szCs w:val="18"/>
        </w:rPr>
        <w:t xml:space="preserve"> Over deze herziening is</w:t>
      </w:r>
      <w:r w:rsidRPr="003350D7" w:rsidR="00344D23">
        <w:rPr>
          <w:rFonts w:ascii="Verdana" w:hAnsi="Verdana" w:cs="Arial"/>
          <w:sz w:val="18"/>
          <w:szCs w:val="18"/>
        </w:rPr>
        <w:t xml:space="preserve"> een politiek akkoord tussen de Raad van Ministers en het Europees Parlement bereikt</w:t>
      </w:r>
      <w:r w:rsidRPr="003350D7" w:rsidR="00FE36BF">
        <w:rPr>
          <w:rStyle w:val="Voetnootmarkering"/>
          <w:rFonts w:ascii="Verdana" w:hAnsi="Verdana" w:cs="Arial"/>
          <w:sz w:val="18"/>
          <w:szCs w:val="18"/>
        </w:rPr>
        <w:footnoteReference w:id="5"/>
      </w:r>
      <w:r w:rsidRPr="003350D7" w:rsidR="008E1F2E">
        <w:rPr>
          <w:rFonts w:ascii="Verdana" w:hAnsi="Verdana" w:cs="Arial"/>
          <w:sz w:val="18"/>
          <w:szCs w:val="18"/>
        </w:rPr>
        <w:t xml:space="preserve"> (hierna verder te noemen: de </w:t>
      </w:r>
      <w:r w:rsidRPr="006424AD" w:rsidR="008E1F2E">
        <w:rPr>
          <w:rFonts w:ascii="Verdana" w:hAnsi="Verdana" w:cs="Arial"/>
          <w:b/>
          <w:bCs/>
          <w:sz w:val="16"/>
          <w:szCs w:val="16"/>
        </w:rPr>
        <w:t>[</w:t>
      </w:r>
      <w:r w:rsidRPr="006424AD" w:rsidR="008E1F2E">
        <w:rPr>
          <w:rFonts w:ascii="Verdana" w:hAnsi="Verdana" w:cs="Arial"/>
          <w:sz w:val="16"/>
          <w:szCs w:val="16"/>
        </w:rPr>
        <w:t>voorgestelde</w:t>
      </w:r>
      <w:r w:rsidRPr="006424AD" w:rsidR="008E1F2E">
        <w:rPr>
          <w:rFonts w:ascii="Verdana" w:hAnsi="Verdana" w:cs="Arial"/>
          <w:b/>
          <w:bCs/>
          <w:sz w:val="16"/>
          <w:szCs w:val="16"/>
        </w:rPr>
        <w:t>]</w:t>
      </w:r>
      <w:r w:rsidRPr="003350D7" w:rsidR="008E1F2E">
        <w:rPr>
          <w:rFonts w:ascii="Verdana" w:hAnsi="Verdana" w:cs="Arial"/>
          <w:b/>
          <w:bCs/>
          <w:sz w:val="18"/>
          <w:szCs w:val="18"/>
        </w:rPr>
        <w:t xml:space="preserve"> </w:t>
      </w:r>
      <w:r w:rsidRPr="003350D7" w:rsidR="008E1F2E">
        <w:rPr>
          <w:rFonts w:ascii="Verdana" w:hAnsi="Verdana" w:cs="Arial"/>
          <w:sz w:val="18"/>
          <w:szCs w:val="18"/>
        </w:rPr>
        <w:t>herziene EU-verordening</w:t>
      </w:r>
      <w:r w:rsidRPr="003350D7" w:rsidR="00CD1371">
        <w:rPr>
          <w:rFonts w:ascii="Verdana" w:hAnsi="Verdana" w:cs="Arial"/>
          <w:sz w:val="18"/>
          <w:szCs w:val="18"/>
        </w:rPr>
        <w:t xml:space="preserve"> of de verordening</w:t>
      </w:r>
      <w:r w:rsidRPr="003350D7" w:rsidR="008E1F2E">
        <w:rPr>
          <w:rFonts w:ascii="Verdana" w:hAnsi="Verdana" w:cs="Arial"/>
          <w:sz w:val="18"/>
          <w:szCs w:val="18"/>
        </w:rPr>
        <w:t>)</w:t>
      </w:r>
      <w:r w:rsidRPr="003350D7" w:rsidR="00C2520E">
        <w:rPr>
          <w:rFonts w:ascii="Verdana" w:hAnsi="Verdana" w:cs="Arial"/>
          <w:sz w:val="18"/>
          <w:szCs w:val="18"/>
        </w:rPr>
        <w:t>.</w:t>
      </w:r>
      <w:r w:rsidRPr="006424AD" w:rsidR="008E1F2E">
        <w:rPr>
          <w:rFonts w:ascii="Verdana" w:hAnsi="Verdana" w:cs="Arial"/>
          <w:b/>
          <w:bCs/>
          <w:sz w:val="16"/>
          <w:szCs w:val="16"/>
        </w:rPr>
        <w:t xml:space="preserve"> [</w:t>
      </w:r>
      <w:r w:rsidRPr="006424AD" w:rsidR="008E1F2E">
        <w:rPr>
          <w:rFonts w:ascii="Verdana" w:hAnsi="Verdana" w:cs="Arial"/>
          <w:sz w:val="16"/>
          <w:szCs w:val="16"/>
        </w:rPr>
        <w:t xml:space="preserve">Indien het voorstel voor de herziening van de EU-verordening definitief is vastgesteld, wordt de vorige zin daarop aangepast door </w:t>
      </w:r>
      <w:r w:rsidRPr="006424AD" w:rsidR="003B2F76">
        <w:rPr>
          <w:rFonts w:ascii="Verdana" w:hAnsi="Verdana" w:cs="Arial"/>
          <w:sz w:val="16"/>
          <w:szCs w:val="16"/>
        </w:rPr>
        <w:t xml:space="preserve">te </w:t>
      </w:r>
      <w:r w:rsidRPr="006424AD" w:rsidR="008E1F2E">
        <w:rPr>
          <w:rFonts w:ascii="Verdana" w:hAnsi="Verdana" w:cs="Arial"/>
          <w:sz w:val="16"/>
          <w:szCs w:val="16"/>
        </w:rPr>
        <w:t>verwijzen naar de vastgestelde nieuwe verordening</w:t>
      </w:r>
      <w:r w:rsidRPr="006424AD" w:rsidR="008E1F2E">
        <w:rPr>
          <w:rFonts w:ascii="Verdana" w:hAnsi="Verdana" w:cs="Arial"/>
          <w:b/>
          <w:bCs/>
          <w:sz w:val="16"/>
          <w:szCs w:val="16"/>
        </w:rPr>
        <w:t>]</w:t>
      </w:r>
      <w:r w:rsidRPr="006424AD" w:rsidR="003B2F76">
        <w:rPr>
          <w:rFonts w:ascii="Verdana" w:hAnsi="Verdana" w:cs="Arial"/>
          <w:sz w:val="16"/>
          <w:szCs w:val="16"/>
        </w:rPr>
        <w:t xml:space="preserve">. </w:t>
      </w:r>
      <w:r w:rsidRPr="003350D7" w:rsidR="007856F1">
        <w:rPr>
          <w:rFonts w:ascii="Verdana" w:hAnsi="Verdana" w:cs="Arial"/>
          <w:sz w:val="18"/>
          <w:szCs w:val="18"/>
        </w:rPr>
        <w:t xml:space="preserve">Vrijwel alle </w:t>
      </w:r>
      <w:r w:rsidRPr="003350D7" w:rsidR="00006FE5">
        <w:rPr>
          <w:rFonts w:ascii="Verdana" w:hAnsi="Verdana" w:cs="Arial"/>
          <w:sz w:val="18"/>
          <w:szCs w:val="18"/>
        </w:rPr>
        <w:t>technologieën die door middel van dit wijzigingsbesluit onder het toepassingsbereik van de Wet vifo</w:t>
      </w:r>
      <w:r w:rsidRPr="003350D7">
        <w:rPr>
          <w:rFonts w:ascii="Verdana" w:hAnsi="Verdana" w:cs="Arial"/>
          <w:sz w:val="18"/>
          <w:szCs w:val="18"/>
        </w:rPr>
        <w:t xml:space="preserve"> vallen</w:t>
      </w:r>
      <w:r w:rsidRPr="003350D7" w:rsidR="00006FE5">
        <w:rPr>
          <w:rFonts w:ascii="Verdana" w:hAnsi="Verdana" w:cs="Arial"/>
          <w:sz w:val="18"/>
          <w:szCs w:val="18"/>
        </w:rPr>
        <w:t xml:space="preserve">, </w:t>
      </w:r>
      <w:r w:rsidRPr="003350D7">
        <w:rPr>
          <w:rFonts w:ascii="Verdana" w:hAnsi="Verdana" w:cs="Arial"/>
          <w:sz w:val="18"/>
          <w:szCs w:val="18"/>
        </w:rPr>
        <w:t>liggen</w:t>
      </w:r>
      <w:r w:rsidRPr="003350D7" w:rsidR="00D37FD1">
        <w:rPr>
          <w:rFonts w:ascii="Verdana" w:hAnsi="Verdana" w:cs="Arial"/>
          <w:sz w:val="18"/>
          <w:szCs w:val="18"/>
        </w:rPr>
        <w:t xml:space="preserve"> </w:t>
      </w:r>
      <w:r w:rsidRPr="003350D7" w:rsidR="00CD1371">
        <w:rPr>
          <w:rFonts w:ascii="Verdana" w:hAnsi="Verdana" w:cs="Arial"/>
          <w:sz w:val="18"/>
          <w:szCs w:val="18"/>
        </w:rPr>
        <w:t xml:space="preserve">buiten </w:t>
      </w:r>
      <w:r w:rsidRPr="003350D7" w:rsidR="00006FE5">
        <w:rPr>
          <w:rFonts w:ascii="Verdana" w:hAnsi="Verdana" w:cs="Arial"/>
          <w:sz w:val="18"/>
          <w:szCs w:val="18"/>
        </w:rPr>
        <w:t>het</w:t>
      </w:r>
      <w:r w:rsidRPr="003350D7" w:rsidR="00CD1371">
        <w:rPr>
          <w:rFonts w:ascii="Verdana" w:hAnsi="Verdana" w:cs="Arial"/>
          <w:sz w:val="18"/>
          <w:szCs w:val="18"/>
        </w:rPr>
        <w:t xml:space="preserve"> verplichte</w:t>
      </w:r>
      <w:r w:rsidRPr="003350D7" w:rsidR="00006FE5">
        <w:rPr>
          <w:rFonts w:ascii="Verdana" w:hAnsi="Verdana" w:cs="Arial"/>
          <w:sz w:val="18"/>
          <w:szCs w:val="18"/>
        </w:rPr>
        <w:t xml:space="preserve"> minimumtoepassingsbereik van de</w:t>
      </w:r>
      <w:r w:rsidRPr="003350D7">
        <w:rPr>
          <w:rFonts w:ascii="Verdana" w:hAnsi="Verdana" w:cs="Arial"/>
          <w:sz w:val="18"/>
          <w:szCs w:val="18"/>
        </w:rPr>
        <w:t xml:space="preserve"> verordening</w:t>
      </w:r>
      <w:r w:rsidRPr="003350D7" w:rsidR="00006FE5">
        <w:rPr>
          <w:rFonts w:ascii="Verdana" w:hAnsi="Verdana" w:cs="Arial"/>
          <w:sz w:val="18"/>
          <w:szCs w:val="18"/>
        </w:rPr>
        <w:t>.</w:t>
      </w:r>
      <w:r w:rsidRPr="003350D7" w:rsidR="00D37FD1">
        <w:rPr>
          <w:rFonts w:ascii="Verdana" w:hAnsi="Verdana" w:cs="Arial"/>
          <w:sz w:val="18"/>
          <w:szCs w:val="18"/>
        </w:rPr>
        <w:t xml:space="preserve"> </w:t>
      </w:r>
      <w:r w:rsidRPr="003350D7" w:rsidR="00E0445C">
        <w:rPr>
          <w:rFonts w:ascii="Verdana" w:hAnsi="Verdana" w:cs="Arial"/>
          <w:sz w:val="18"/>
          <w:szCs w:val="18"/>
        </w:rPr>
        <w:t xml:space="preserve">De verordening verzet zich er niet tegen dat lidstaten sectoren en technologieën onder hun nationale stelsel </w:t>
      </w:r>
      <w:r w:rsidRPr="003350D7" w:rsidR="001168DC">
        <w:rPr>
          <w:rFonts w:ascii="Verdana" w:hAnsi="Verdana" w:cs="Arial"/>
          <w:sz w:val="18"/>
          <w:szCs w:val="18"/>
        </w:rPr>
        <w:t xml:space="preserve">van veiligheidstoetsing </w:t>
      </w:r>
      <w:r w:rsidRPr="003350D7" w:rsidR="00E0445C">
        <w:rPr>
          <w:rFonts w:ascii="Verdana" w:hAnsi="Verdana" w:cs="Arial"/>
          <w:sz w:val="18"/>
          <w:szCs w:val="18"/>
        </w:rPr>
        <w:t xml:space="preserve">brengen die buiten </w:t>
      </w:r>
      <w:r w:rsidRPr="003350D7" w:rsidR="00D37FD1">
        <w:rPr>
          <w:rFonts w:ascii="Verdana" w:hAnsi="Verdana" w:cs="Arial"/>
          <w:sz w:val="18"/>
          <w:szCs w:val="18"/>
        </w:rPr>
        <w:t>het</w:t>
      </w:r>
      <w:r w:rsidRPr="003350D7" w:rsidR="00E0445C">
        <w:rPr>
          <w:rFonts w:ascii="Verdana" w:hAnsi="Verdana" w:cs="Arial"/>
          <w:sz w:val="18"/>
          <w:szCs w:val="18"/>
        </w:rPr>
        <w:t xml:space="preserve"> verplichte minimumbereik vallen. </w:t>
      </w:r>
      <w:r w:rsidRPr="003350D7" w:rsidR="00D37FD1">
        <w:rPr>
          <w:rFonts w:ascii="Verdana" w:hAnsi="Verdana" w:cs="Arial"/>
          <w:sz w:val="18"/>
          <w:szCs w:val="18"/>
        </w:rPr>
        <w:t xml:space="preserve">De </w:t>
      </w:r>
      <w:r w:rsidRPr="006424AD" w:rsidR="001753CB">
        <w:rPr>
          <w:rFonts w:ascii="Verdana" w:hAnsi="Verdana" w:cs="Arial"/>
          <w:b/>
          <w:bCs/>
          <w:sz w:val="16"/>
          <w:szCs w:val="16"/>
        </w:rPr>
        <w:t>[</w:t>
      </w:r>
      <w:r w:rsidRPr="006424AD" w:rsidR="001753CB">
        <w:rPr>
          <w:rFonts w:ascii="Verdana" w:hAnsi="Verdana" w:cs="Arial"/>
          <w:sz w:val="16"/>
          <w:szCs w:val="16"/>
        </w:rPr>
        <w:t>voorgestelde</w:t>
      </w:r>
      <w:r w:rsidRPr="006424AD" w:rsidR="001753CB">
        <w:rPr>
          <w:rFonts w:ascii="Verdana" w:hAnsi="Verdana" w:cs="Arial"/>
          <w:b/>
          <w:bCs/>
          <w:sz w:val="16"/>
          <w:szCs w:val="16"/>
        </w:rPr>
        <w:t>]</w:t>
      </w:r>
      <w:r w:rsidRPr="003350D7" w:rsidR="001753CB">
        <w:rPr>
          <w:rFonts w:ascii="Verdana" w:hAnsi="Verdana" w:cs="Arial"/>
          <w:b/>
          <w:bCs/>
          <w:sz w:val="18"/>
          <w:szCs w:val="18"/>
        </w:rPr>
        <w:t xml:space="preserve"> </w:t>
      </w:r>
      <w:r w:rsidRPr="003350D7" w:rsidR="001753CB">
        <w:rPr>
          <w:rFonts w:ascii="Verdana" w:hAnsi="Verdana" w:cs="Arial"/>
          <w:sz w:val="18"/>
          <w:szCs w:val="18"/>
        </w:rPr>
        <w:t xml:space="preserve">herziene EU-verordening </w:t>
      </w:r>
      <w:r w:rsidRPr="003350D7" w:rsidR="00E0445C">
        <w:rPr>
          <w:rFonts w:ascii="Verdana" w:hAnsi="Verdana" w:cs="Arial"/>
          <w:sz w:val="18"/>
          <w:szCs w:val="18"/>
        </w:rPr>
        <w:t>biedt</w:t>
      </w:r>
      <w:r w:rsidRPr="003350D7">
        <w:rPr>
          <w:rFonts w:ascii="Verdana" w:hAnsi="Verdana" w:cs="Arial"/>
          <w:sz w:val="18"/>
          <w:szCs w:val="18"/>
        </w:rPr>
        <w:t xml:space="preserve"> </w:t>
      </w:r>
      <w:r w:rsidRPr="003350D7" w:rsidR="00CD1371">
        <w:rPr>
          <w:rFonts w:ascii="Verdana" w:hAnsi="Verdana" w:cs="Arial"/>
          <w:sz w:val="18"/>
          <w:szCs w:val="18"/>
        </w:rPr>
        <w:t xml:space="preserve">lidstaten </w:t>
      </w:r>
      <w:r w:rsidRPr="003350D7" w:rsidR="00E0445C">
        <w:rPr>
          <w:rFonts w:ascii="Verdana" w:hAnsi="Verdana" w:cs="Arial"/>
          <w:sz w:val="18"/>
          <w:szCs w:val="18"/>
        </w:rPr>
        <w:t xml:space="preserve">juist </w:t>
      </w:r>
      <w:r w:rsidRPr="003350D7">
        <w:rPr>
          <w:rFonts w:ascii="Verdana" w:hAnsi="Verdana" w:cs="Arial"/>
          <w:sz w:val="18"/>
          <w:szCs w:val="18"/>
        </w:rPr>
        <w:t>nadrukkelijk</w:t>
      </w:r>
      <w:r w:rsidRPr="003350D7" w:rsidR="00E0445C">
        <w:rPr>
          <w:rFonts w:ascii="Verdana" w:hAnsi="Verdana" w:cs="Arial"/>
          <w:sz w:val="18"/>
          <w:szCs w:val="18"/>
        </w:rPr>
        <w:t xml:space="preserve"> de ruimte</w:t>
      </w:r>
      <w:r w:rsidRPr="003350D7" w:rsidR="00D37FD1">
        <w:rPr>
          <w:rFonts w:ascii="Verdana" w:hAnsi="Verdana" w:cs="Arial"/>
          <w:sz w:val="18"/>
          <w:szCs w:val="18"/>
        </w:rPr>
        <w:t xml:space="preserve"> daarvoor</w:t>
      </w:r>
      <w:r w:rsidRPr="003350D7" w:rsidR="00CD1371">
        <w:rPr>
          <w:rFonts w:ascii="Verdana" w:hAnsi="Verdana" w:cs="Arial"/>
          <w:sz w:val="18"/>
          <w:szCs w:val="18"/>
        </w:rPr>
        <w:t>.</w:t>
      </w:r>
      <w:r w:rsidRPr="003350D7" w:rsidR="00D37FD1">
        <w:rPr>
          <w:rFonts w:ascii="Verdana" w:hAnsi="Verdana" w:cs="Arial"/>
          <w:sz w:val="18"/>
          <w:szCs w:val="18"/>
        </w:rPr>
        <w:t xml:space="preserve"> </w:t>
      </w:r>
      <w:r w:rsidRPr="003350D7" w:rsidR="00CD1371">
        <w:rPr>
          <w:rFonts w:ascii="Verdana" w:hAnsi="Verdana" w:cs="Arial"/>
          <w:sz w:val="18"/>
          <w:szCs w:val="18"/>
        </w:rPr>
        <w:t xml:space="preserve">Dit wijzigingsbesluit </w:t>
      </w:r>
      <w:r w:rsidRPr="003350D7" w:rsidR="001753CB">
        <w:rPr>
          <w:rFonts w:ascii="Verdana" w:hAnsi="Verdana" w:cs="Arial"/>
          <w:sz w:val="18"/>
          <w:szCs w:val="18"/>
        </w:rPr>
        <w:t xml:space="preserve">is </w:t>
      </w:r>
      <w:r w:rsidRPr="003350D7" w:rsidR="00A6699D">
        <w:rPr>
          <w:rFonts w:ascii="Verdana" w:hAnsi="Verdana" w:cs="Arial"/>
          <w:sz w:val="18"/>
          <w:szCs w:val="18"/>
        </w:rPr>
        <w:t xml:space="preserve">voorts </w:t>
      </w:r>
      <w:r w:rsidRPr="003350D7" w:rsidR="00D37FD1">
        <w:rPr>
          <w:rFonts w:ascii="Verdana" w:hAnsi="Verdana" w:cs="Arial"/>
          <w:sz w:val="18"/>
          <w:szCs w:val="18"/>
        </w:rPr>
        <w:t xml:space="preserve">te onderscheiden van de </w:t>
      </w:r>
      <w:r w:rsidRPr="003350D7" w:rsidR="001753CB">
        <w:rPr>
          <w:rFonts w:ascii="Verdana" w:hAnsi="Verdana" w:cs="Arial"/>
          <w:sz w:val="18"/>
          <w:szCs w:val="18"/>
        </w:rPr>
        <w:t>implementatie van de</w:t>
      </w:r>
      <w:r w:rsidRPr="003350D7" w:rsidR="00A200E9">
        <w:rPr>
          <w:rFonts w:ascii="Verdana" w:hAnsi="Verdana" w:cs="Arial"/>
          <w:sz w:val="18"/>
          <w:szCs w:val="18"/>
        </w:rPr>
        <w:t xml:space="preserve"> verordening</w:t>
      </w:r>
      <w:r w:rsidRPr="003350D7" w:rsidR="00D37FD1">
        <w:rPr>
          <w:rFonts w:ascii="Verdana" w:hAnsi="Verdana" w:cs="Arial"/>
          <w:sz w:val="18"/>
          <w:szCs w:val="18"/>
        </w:rPr>
        <w:t xml:space="preserve">. Want </w:t>
      </w:r>
      <w:r w:rsidRPr="003350D7" w:rsidR="00A200E9">
        <w:rPr>
          <w:rFonts w:ascii="Verdana" w:hAnsi="Verdana" w:cs="Arial"/>
          <w:sz w:val="18"/>
          <w:szCs w:val="18"/>
        </w:rPr>
        <w:t>daaraan zal</w:t>
      </w:r>
      <w:r w:rsidRPr="003350D7" w:rsidR="001753CB">
        <w:rPr>
          <w:rFonts w:ascii="Verdana" w:hAnsi="Verdana" w:cs="Arial"/>
          <w:sz w:val="18"/>
          <w:szCs w:val="18"/>
        </w:rPr>
        <w:t xml:space="preserve"> </w:t>
      </w:r>
      <w:r w:rsidRPr="003350D7" w:rsidR="00A200E9">
        <w:rPr>
          <w:rFonts w:ascii="Verdana" w:hAnsi="Verdana" w:cs="Arial"/>
          <w:sz w:val="18"/>
          <w:szCs w:val="18"/>
        </w:rPr>
        <w:t xml:space="preserve">uitvoering worden gegeven </w:t>
      </w:r>
      <w:r w:rsidRPr="003350D7">
        <w:rPr>
          <w:rFonts w:ascii="Verdana" w:hAnsi="Verdana" w:cs="Arial"/>
          <w:sz w:val="18"/>
          <w:szCs w:val="18"/>
        </w:rPr>
        <w:t xml:space="preserve">door middel van een </w:t>
      </w:r>
      <w:r w:rsidRPr="003350D7" w:rsidR="00B761B0">
        <w:rPr>
          <w:rFonts w:ascii="Verdana" w:hAnsi="Verdana" w:cs="Arial"/>
          <w:sz w:val="18"/>
          <w:szCs w:val="18"/>
        </w:rPr>
        <w:t xml:space="preserve">separaat </w:t>
      </w:r>
      <w:r w:rsidRPr="003350D7">
        <w:rPr>
          <w:rFonts w:ascii="Verdana" w:hAnsi="Verdana" w:cs="Arial"/>
          <w:sz w:val="18"/>
          <w:szCs w:val="18"/>
        </w:rPr>
        <w:t>traject.</w:t>
      </w:r>
      <w:r w:rsidRPr="003350D7" w:rsidR="00CD1371">
        <w:rPr>
          <w:rFonts w:ascii="Verdana" w:hAnsi="Verdana" w:cs="Arial"/>
          <w:sz w:val="18"/>
          <w:szCs w:val="18"/>
        </w:rPr>
        <w:t xml:space="preserve"> </w:t>
      </w:r>
      <w:r w:rsidRPr="003350D7" w:rsidR="007856F1">
        <w:rPr>
          <w:rFonts w:ascii="Verdana" w:hAnsi="Verdana" w:cs="Arial"/>
          <w:sz w:val="18"/>
          <w:szCs w:val="18"/>
        </w:rPr>
        <w:t xml:space="preserve">Op de verhouding van dit wijzigingsbesluit tot de herziening van de verordening wordt, voor zover nodig, voor specifieke technologieën in paragraaf 4 </w:t>
      </w:r>
      <w:r w:rsidRPr="003350D7" w:rsidR="00A6699D">
        <w:rPr>
          <w:rFonts w:ascii="Verdana" w:hAnsi="Verdana" w:cs="Arial"/>
          <w:sz w:val="18"/>
          <w:szCs w:val="18"/>
        </w:rPr>
        <w:t xml:space="preserve">van deze nota van toelichting </w:t>
      </w:r>
      <w:r w:rsidRPr="003350D7" w:rsidR="007856F1">
        <w:rPr>
          <w:rFonts w:ascii="Verdana" w:hAnsi="Verdana" w:cs="Arial"/>
          <w:sz w:val="18"/>
          <w:szCs w:val="18"/>
        </w:rPr>
        <w:t>ingegaan. Zie voorts ook paragraaf 5 over Europese ontwikkelingen.</w:t>
      </w:r>
    </w:p>
    <w:p w:rsidRPr="003350D7" w:rsidR="002531AD" w:rsidP="006424AD" w:rsidRDefault="002531AD" w14:paraId="5EB63588" w14:textId="77777777">
      <w:pPr>
        <w:spacing w:after="0" w:line="240" w:lineRule="atLeast"/>
        <w:rPr>
          <w:rFonts w:ascii="Verdana" w:hAnsi="Verdana" w:cs="Arial"/>
          <w:sz w:val="18"/>
          <w:szCs w:val="18"/>
        </w:rPr>
      </w:pPr>
    </w:p>
    <w:p w:rsidRPr="003350D7" w:rsidR="002531AD" w:rsidP="006424AD" w:rsidRDefault="002531AD" w14:paraId="0F308996" w14:textId="77777777">
      <w:pPr>
        <w:spacing w:after="0" w:line="240" w:lineRule="atLeast"/>
        <w:rPr>
          <w:rFonts w:ascii="Verdana" w:hAnsi="Verdana" w:cs="Arial"/>
          <w:b/>
          <w:bCs/>
          <w:sz w:val="18"/>
          <w:szCs w:val="18"/>
        </w:rPr>
      </w:pPr>
      <w:r w:rsidRPr="003350D7">
        <w:rPr>
          <w:rFonts w:ascii="Verdana" w:hAnsi="Verdana" w:cs="Arial"/>
          <w:b/>
          <w:bCs/>
          <w:sz w:val="18"/>
          <w:szCs w:val="18"/>
        </w:rPr>
        <w:t>3. Analyse en uitgangspunten voor toe te voegen zeer sensitieve technologieën</w:t>
      </w:r>
    </w:p>
    <w:p w:rsidRPr="003350D7" w:rsidR="002531AD" w:rsidP="006424AD" w:rsidRDefault="002531AD" w14:paraId="541AF78A" w14:textId="572CE6F7">
      <w:pPr>
        <w:spacing w:after="0" w:line="240" w:lineRule="atLeast"/>
        <w:rPr>
          <w:rFonts w:ascii="Verdana" w:hAnsi="Verdana" w:cs="Arial"/>
          <w:sz w:val="18"/>
          <w:szCs w:val="18"/>
        </w:rPr>
      </w:pPr>
      <w:r w:rsidRPr="003350D7">
        <w:rPr>
          <w:rFonts w:ascii="Verdana" w:hAnsi="Verdana" w:cs="Arial"/>
          <w:sz w:val="18"/>
          <w:szCs w:val="18"/>
        </w:rPr>
        <w:t xml:space="preserve">Het hierboven genoemde vervolgonderzoek door TNO in opdracht van het Ministerie van Economische Zaken en het Ministerie van Onderwijs, Cultuur en Wetenschappen had tot doel op gestructureerde en wetenschappelijke wijze sensitieve technologieën in het kader van nationale veiligheid in kaart te brengen. Dit resulteerde in een geclassificeerde </w:t>
      </w:r>
      <w:r w:rsidRPr="003350D7" w:rsidR="00DF6132">
        <w:rPr>
          <w:rFonts w:ascii="Verdana" w:hAnsi="Verdana" w:cs="Arial"/>
          <w:sz w:val="18"/>
          <w:szCs w:val="18"/>
        </w:rPr>
        <w:t>‘</w:t>
      </w:r>
      <w:r w:rsidRPr="003350D7">
        <w:rPr>
          <w:rFonts w:ascii="Verdana" w:hAnsi="Verdana" w:cs="Arial"/>
          <w:sz w:val="18"/>
          <w:szCs w:val="18"/>
        </w:rPr>
        <w:t>basislijst sensitieve technologie</w:t>
      </w:r>
      <w:r w:rsidRPr="003350D7" w:rsidR="00DF6132">
        <w:rPr>
          <w:rFonts w:ascii="Verdana" w:hAnsi="Verdana" w:cs="Arial"/>
          <w:sz w:val="18"/>
          <w:szCs w:val="18"/>
        </w:rPr>
        <w:t>’</w:t>
      </w:r>
      <w:r w:rsidRPr="003350D7">
        <w:rPr>
          <w:rFonts w:ascii="Verdana" w:hAnsi="Verdana" w:cs="Arial"/>
          <w:sz w:val="18"/>
          <w:szCs w:val="18"/>
        </w:rPr>
        <w:t xml:space="preserve"> van technologiegebieden en sub-technologieën die sensitief zijn voor de nationale veiligheid. Deze lijst dient als input voor meerdere beleidsvormingstrajecten op verschillende deelterreinen van nationale en economische veiligheid. </w:t>
      </w:r>
    </w:p>
    <w:p w:rsidRPr="003350D7" w:rsidR="002531AD" w:rsidP="006424AD" w:rsidRDefault="002531AD" w14:paraId="29973DE1" w14:textId="77777777">
      <w:pPr>
        <w:spacing w:after="0" w:line="240" w:lineRule="atLeast"/>
        <w:rPr>
          <w:rFonts w:ascii="Verdana" w:hAnsi="Verdana" w:cs="Arial"/>
          <w:sz w:val="18"/>
          <w:szCs w:val="18"/>
        </w:rPr>
      </w:pPr>
    </w:p>
    <w:bookmarkEnd w:id="0"/>
    <w:p w:rsidRPr="003350D7" w:rsidR="00BF3B6F" w:rsidP="006424AD" w:rsidRDefault="00250C88" w14:paraId="4F520F91" w14:textId="0F396B00">
      <w:pPr>
        <w:spacing w:after="0" w:line="240" w:lineRule="atLeast"/>
        <w:rPr>
          <w:rFonts w:ascii="Verdana" w:hAnsi="Verdana" w:cs="Arial"/>
          <w:sz w:val="18"/>
          <w:szCs w:val="18"/>
        </w:rPr>
      </w:pPr>
      <w:r w:rsidRPr="003350D7">
        <w:rPr>
          <w:rFonts w:ascii="Verdana" w:hAnsi="Verdana" w:cs="Arial"/>
          <w:sz w:val="18"/>
          <w:szCs w:val="18"/>
        </w:rPr>
        <w:t>Voor de</w:t>
      </w:r>
      <w:r w:rsidRPr="003350D7" w:rsidR="008458FF">
        <w:rPr>
          <w:rFonts w:ascii="Verdana" w:hAnsi="Verdana" w:cs="Arial"/>
          <w:sz w:val="18"/>
          <w:szCs w:val="18"/>
        </w:rPr>
        <w:t xml:space="preserve"> verruiming </w:t>
      </w:r>
      <w:r w:rsidRPr="003350D7" w:rsidR="00A03B0C">
        <w:rPr>
          <w:rFonts w:ascii="Verdana" w:hAnsi="Verdana" w:cs="Arial"/>
          <w:sz w:val="18"/>
          <w:szCs w:val="18"/>
        </w:rPr>
        <w:t xml:space="preserve">door middel van dit wijzigingsbesluit </w:t>
      </w:r>
      <w:r w:rsidRPr="003350D7" w:rsidR="002D4BCC">
        <w:rPr>
          <w:rFonts w:ascii="Verdana" w:hAnsi="Verdana" w:cs="Arial"/>
          <w:sz w:val="18"/>
          <w:szCs w:val="18"/>
        </w:rPr>
        <w:t xml:space="preserve">is eerst een selectie gemaakt van de </w:t>
      </w:r>
      <w:r w:rsidRPr="003350D7" w:rsidR="002531AD">
        <w:rPr>
          <w:rFonts w:ascii="Verdana" w:hAnsi="Verdana" w:cs="Arial"/>
          <w:sz w:val="18"/>
          <w:szCs w:val="18"/>
        </w:rPr>
        <w:t xml:space="preserve">technologieën uit de basislijst die het meest in aanmerking komen om onder het bereik van </w:t>
      </w:r>
      <w:r w:rsidRPr="003350D7" w:rsidR="002D4BCC">
        <w:rPr>
          <w:rFonts w:ascii="Verdana" w:hAnsi="Verdana" w:cs="Arial"/>
          <w:sz w:val="18"/>
          <w:szCs w:val="18"/>
        </w:rPr>
        <w:t xml:space="preserve">de Wet vifo te </w:t>
      </w:r>
      <w:r w:rsidRPr="003350D7" w:rsidR="002531AD">
        <w:rPr>
          <w:rFonts w:ascii="Verdana" w:hAnsi="Verdana" w:cs="Arial"/>
          <w:sz w:val="18"/>
          <w:szCs w:val="18"/>
        </w:rPr>
        <w:t xml:space="preserve">worden gebracht. Vervolgens is TNO gevraagd de mogelijkheden te verkennen om, op een methodologisch verantwoorde wijze, te komen tot een nadere specificatie en duiding van enkele van </w:t>
      </w:r>
      <w:r w:rsidRPr="003350D7" w:rsidR="002D4BCC">
        <w:rPr>
          <w:rFonts w:ascii="Verdana" w:hAnsi="Verdana" w:cs="Arial"/>
          <w:sz w:val="18"/>
          <w:szCs w:val="18"/>
        </w:rPr>
        <w:t>deze</w:t>
      </w:r>
      <w:r w:rsidRPr="003350D7" w:rsidR="002531AD">
        <w:rPr>
          <w:rFonts w:ascii="Verdana" w:hAnsi="Verdana" w:cs="Arial"/>
          <w:sz w:val="18"/>
          <w:szCs w:val="18"/>
        </w:rPr>
        <w:t xml:space="preserve"> technologieën. In </w:t>
      </w:r>
      <w:r w:rsidRPr="003350D7" w:rsidR="002D4BCC">
        <w:rPr>
          <w:rFonts w:ascii="Verdana" w:hAnsi="Verdana" w:cs="Arial"/>
          <w:sz w:val="18"/>
          <w:szCs w:val="18"/>
        </w:rPr>
        <w:t xml:space="preserve">dit </w:t>
      </w:r>
      <w:r w:rsidRPr="003350D7" w:rsidR="002531AD">
        <w:rPr>
          <w:rFonts w:ascii="Verdana" w:hAnsi="Verdana" w:cs="Arial"/>
          <w:sz w:val="18"/>
          <w:szCs w:val="18"/>
        </w:rPr>
        <w:t xml:space="preserve">aanvullend onderzoek heeft TNO </w:t>
      </w:r>
      <w:r w:rsidRPr="003350D7" w:rsidR="00CA7CE1">
        <w:rPr>
          <w:rFonts w:ascii="Verdana" w:hAnsi="Verdana" w:cs="Arial"/>
          <w:sz w:val="18"/>
          <w:szCs w:val="18"/>
        </w:rPr>
        <w:t>nader</w:t>
      </w:r>
      <w:r w:rsidRPr="003350D7" w:rsidR="002531AD">
        <w:rPr>
          <w:rFonts w:ascii="Verdana" w:hAnsi="Verdana" w:cs="Arial"/>
          <w:sz w:val="18"/>
          <w:szCs w:val="18"/>
        </w:rPr>
        <w:t xml:space="preserve"> verkend </w:t>
      </w:r>
      <w:r w:rsidRPr="003350D7" w:rsidR="00CA7CE1">
        <w:rPr>
          <w:rFonts w:ascii="Verdana" w:hAnsi="Verdana" w:cs="Arial"/>
          <w:sz w:val="18"/>
          <w:szCs w:val="18"/>
        </w:rPr>
        <w:t>hoe deze technologieën verder gespecificeerd kunnen worden</w:t>
      </w:r>
      <w:r w:rsidRPr="003350D7" w:rsidR="001672C9">
        <w:rPr>
          <w:rFonts w:ascii="Verdana" w:hAnsi="Verdana" w:cs="Arial"/>
          <w:sz w:val="18"/>
          <w:szCs w:val="18"/>
        </w:rPr>
        <w:t xml:space="preserve"> in de context van de Wet vifo</w:t>
      </w:r>
      <w:r w:rsidRPr="003350D7" w:rsidR="00CA7CE1">
        <w:rPr>
          <w:rFonts w:ascii="Verdana" w:hAnsi="Verdana" w:cs="Arial"/>
          <w:sz w:val="18"/>
          <w:szCs w:val="18"/>
        </w:rPr>
        <w:t xml:space="preserve"> </w:t>
      </w:r>
      <w:r w:rsidRPr="003350D7" w:rsidR="002531AD">
        <w:rPr>
          <w:rFonts w:ascii="Verdana" w:hAnsi="Verdana" w:cs="Arial"/>
          <w:sz w:val="18"/>
          <w:szCs w:val="18"/>
        </w:rPr>
        <w:t xml:space="preserve">aan de hand van risico’s en toepassingen. </w:t>
      </w:r>
      <w:r w:rsidRPr="003350D7" w:rsidR="001672C9">
        <w:rPr>
          <w:rFonts w:ascii="Verdana" w:hAnsi="Verdana" w:cs="Arial"/>
          <w:sz w:val="18"/>
          <w:szCs w:val="18"/>
        </w:rPr>
        <w:t>Dit leidde echter niet tot een praktisch bruikbare methode voor specificatie van technologieën voor toepassing van de We</w:t>
      </w:r>
      <w:r w:rsidRPr="003350D7" w:rsidR="00A03B0C">
        <w:rPr>
          <w:rFonts w:ascii="Verdana" w:hAnsi="Verdana" w:cs="Arial"/>
          <w:sz w:val="18"/>
          <w:szCs w:val="18"/>
        </w:rPr>
        <w:t>t</w:t>
      </w:r>
      <w:r w:rsidRPr="003350D7" w:rsidR="001672C9">
        <w:rPr>
          <w:rFonts w:ascii="Verdana" w:hAnsi="Verdana" w:cs="Arial"/>
          <w:sz w:val="18"/>
          <w:szCs w:val="18"/>
        </w:rPr>
        <w:t xml:space="preserve"> vifo</w:t>
      </w:r>
      <w:r w:rsidRPr="003350D7" w:rsidR="002531AD">
        <w:rPr>
          <w:rFonts w:ascii="Verdana" w:hAnsi="Verdana" w:cs="Arial"/>
          <w:sz w:val="18"/>
          <w:szCs w:val="18"/>
        </w:rPr>
        <w:t>.</w:t>
      </w:r>
      <w:r w:rsidRPr="003350D7" w:rsidR="00566CF3">
        <w:rPr>
          <w:rFonts w:ascii="Verdana" w:hAnsi="Verdana" w:cs="Arial"/>
          <w:sz w:val="18"/>
          <w:szCs w:val="18"/>
        </w:rPr>
        <w:t xml:space="preserve"> Om deze reden en </w:t>
      </w:r>
      <w:r w:rsidRPr="003350D7" w:rsidR="002531AD">
        <w:rPr>
          <w:rFonts w:ascii="Verdana" w:hAnsi="Verdana" w:cs="Arial"/>
          <w:sz w:val="18"/>
          <w:szCs w:val="18"/>
        </w:rPr>
        <w:t>om zorgen te adresseren over de breedte van de afbakening van enkele aan het Besluit sensitief nieuw toe te voegen technologieën</w:t>
      </w:r>
      <w:r w:rsidRPr="003350D7" w:rsidR="002531AD">
        <w:rPr>
          <w:rStyle w:val="Voetnootmarkering"/>
          <w:rFonts w:ascii="Verdana" w:hAnsi="Verdana" w:cs="Arial"/>
          <w:sz w:val="18"/>
          <w:szCs w:val="18"/>
        </w:rPr>
        <w:footnoteReference w:id="6"/>
      </w:r>
      <w:r w:rsidRPr="003350D7" w:rsidR="002531AD">
        <w:rPr>
          <w:rFonts w:ascii="Verdana" w:hAnsi="Verdana" w:cs="Arial"/>
          <w:sz w:val="18"/>
          <w:szCs w:val="18"/>
        </w:rPr>
        <w:t xml:space="preserve"> zijn door het Ministerie van Economische Zaken </w:t>
      </w:r>
      <w:r w:rsidRPr="003350D7" w:rsidR="00850FAD">
        <w:rPr>
          <w:rFonts w:ascii="Verdana" w:hAnsi="Verdana" w:cs="Arial"/>
          <w:sz w:val="18"/>
          <w:szCs w:val="18"/>
        </w:rPr>
        <w:t xml:space="preserve">(inmiddels het Ministerie van Economische Zaken en Klimaat) </w:t>
      </w:r>
      <w:r w:rsidRPr="003350D7" w:rsidR="002531AD">
        <w:rPr>
          <w:rFonts w:ascii="Verdana" w:hAnsi="Verdana" w:cs="Arial"/>
          <w:sz w:val="18"/>
          <w:szCs w:val="18"/>
        </w:rPr>
        <w:t>met ondersteuning van TNO sessies met experts georganiseerd. Aan deze sessie</w:t>
      </w:r>
      <w:r w:rsidRPr="003350D7" w:rsidR="00566CF3">
        <w:rPr>
          <w:rFonts w:ascii="Verdana" w:hAnsi="Verdana" w:cs="Arial"/>
          <w:sz w:val="18"/>
          <w:szCs w:val="18"/>
        </w:rPr>
        <w:t>s</w:t>
      </w:r>
      <w:r w:rsidRPr="003350D7" w:rsidR="002531AD">
        <w:rPr>
          <w:rFonts w:ascii="Verdana" w:hAnsi="Verdana" w:cs="Arial"/>
          <w:sz w:val="18"/>
          <w:szCs w:val="18"/>
        </w:rPr>
        <w:t xml:space="preserve"> namen vertegenwoordigers deel van onder meer brancheorganisaties, </w:t>
      </w:r>
      <w:r w:rsidRPr="003350D7" w:rsidR="00FD1FA3">
        <w:rPr>
          <w:rFonts w:ascii="Verdana" w:hAnsi="Verdana" w:cs="Arial"/>
          <w:sz w:val="18"/>
          <w:szCs w:val="18"/>
        </w:rPr>
        <w:t>ondernemingen</w:t>
      </w:r>
      <w:r w:rsidRPr="003350D7" w:rsidR="002531AD">
        <w:rPr>
          <w:rFonts w:ascii="Verdana" w:hAnsi="Verdana" w:cs="Arial"/>
          <w:sz w:val="18"/>
          <w:szCs w:val="18"/>
        </w:rPr>
        <w:t xml:space="preserve">, kennisinstellingen en de overheid. Dit heeft tot een aantal </w:t>
      </w:r>
      <w:r w:rsidRPr="003350D7" w:rsidR="002531AD">
        <w:rPr>
          <w:rFonts w:ascii="Verdana" w:hAnsi="Verdana" w:cs="Arial"/>
          <w:sz w:val="18"/>
          <w:szCs w:val="18"/>
        </w:rPr>
        <w:lastRenderedPageBreak/>
        <w:t xml:space="preserve">suggesties geleid om tot een nadere specificatie, en daarmee enige verenging, van de afbakening van </w:t>
      </w:r>
      <w:r w:rsidRPr="003350D7" w:rsidR="00566CF3">
        <w:rPr>
          <w:rFonts w:ascii="Verdana" w:hAnsi="Verdana" w:cs="Arial"/>
          <w:sz w:val="18"/>
          <w:szCs w:val="18"/>
        </w:rPr>
        <w:t xml:space="preserve">de toe te voegen </w:t>
      </w:r>
      <w:r w:rsidRPr="003350D7" w:rsidR="002531AD">
        <w:rPr>
          <w:rFonts w:ascii="Verdana" w:hAnsi="Verdana" w:cs="Arial"/>
          <w:sz w:val="18"/>
          <w:szCs w:val="18"/>
        </w:rPr>
        <w:t xml:space="preserve">technologieën te komen. Het bleek echter niet goed haalbaar </w:t>
      </w:r>
      <w:r w:rsidRPr="003350D7" w:rsidR="00586F12">
        <w:rPr>
          <w:rFonts w:ascii="Verdana" w:hAnsi="Verdana" w:cs="Arial"/>
          <w:sz w:val="18"/>
          <w:szCs w:val="18"/>
        </w:rPr>
        <w:t xml:space="preserve">op deze manier voor </w:t>
      </w:r>
      <w:r w:rsidRPr="003350D7" w:rsidR="002531AD">
        <w:rPr>
          <w:rFonts w:ascii="Verdana" w:hAnsi="Verdana" w:cs="Arial"/>
          <w:sz w:val="18"/>
          <w:szCs w:val="18"/>
        </w:rPr>
        <w:t xml:space="preserve">een verdergaande </w:t>
      </w:r>
      <w:r w:rsidRPr="003350D7" w:rsidR="00850FAD">
        <w:rPr>
          <w:rFonts w:ascii="Verdana" w:hAnsi="Verdana" w:cs="Arial"/>
          <w:sz w:val="18"/>
          <w:szCs w:val="18"/>
        </w:rPr>
        <w:t xml:space="preserve">afbakening </w:t>
      </w:r>
      <w:r w:rsidRPr="003350D7" w:rsidR="00586F12">
        <w:rPr>
          <w:rFonts w:ascii="Verdana" w:hAnsi="Verdana" w:cs="Arial"/>
          <w:sz w:val="18"/>
          <w:szCs w:val="18"/>
        </w:rPr>
        <w:t xml:space="preserve">te zorgen </w:t>
      </w:r>
      <w:r w:rsidRPr="003350D7" w:rsidR="002531AD">
        <w:rPr>
          <w:rFonts w:ascii="Verdana" w:hAnsi="Verdana" w:cs="Arial"/>
          <w:sz w:val="18"/>
          <w:szCs w:val="18"/>
        </w:rPr>
        <w:t>die methodologisch</w:t>
      </w:r>
      <w:r w:rsidRPr="003350D7" w:rsidR="002531AD">
        <w:rPr>
          <w:rFonts w:ascii="Verdana" w:hAnsi="Verdana" w:cs="Arial"/>
          <w:i/>
          <w:iCs/>
          <w:sz w:val="18"/>
          <w:szCs w:val="18"/>
        </w:rPr>
        <w:t xml:space="preserve"> </w:t>
      </w:r>
      <w:r w:rsidRPr="003350D7" w:rsidR="00566CF3">
        <w:rPr>
          <w:rFonts w:ascii="Verdana" w:hAnsi="Verdana" w:cs="Arial"/>
          <w:sz w:val="18"/>
          <w:szCs w:val="18"/>
        </w:rPr>
        <w:t>onderbouwd</w:t>
      </w:r>
      <w:r w:rsidRPr="003350D7" w:rsidR="002531AD">
        <w:rPr>
          <w:rFonts w:ascii="Verdana" w:hAnsi="Verdana" w:cs="Arial"/>
          <w:sz w:val="18"/>
          <w:szCs w:val="18"/>
        </w:rPr>
        <w:t xml:space="preserve"> of</w:t>
      </w:r>
      <w:r w:rsidRPr="003350D7" w:rsidR="002531AD">
        <w:rPr>
          <w:rFonts w:ascii="Verdana" w:hAnsi="Verdana" w:cs="Arial"/>
          <w:i/>
          <w:iCs/>
          <w:sz w:val="18"/>
          <w:szCs w:val="18"/>
        </w:rPr>
        <w:t xml:space="preserve"> evidence based</w:t>
      </w:r>
      <w:r w:rsidRPr="003350D7" w:rsidR="002531AD">
        <w:rPr>
          <w:rFonts w:ascii="Verdana" w:hAnsi="Verdana" w:cs="Arial"/>
          <w:sz w:val="18"/>
          <w:szCs w:val="18"/>
        </w:rPr>
        <w:t xml:space="preserve"> is. </w:t>
      </w:r>
    </w:p>
    <w:p w:rsidRPr="003350D7" w:rsidR="00BF3B6F" w:rsidP="006424AD" w:rsidRDefault="00BF3B6F" w14:paraId="0EF5F753" w14:textId="77777777">
      <w:pPr>
        <w:spacing w:after="0" w:line="240" w:lineRule="atLeast"/>
        <w:rPr>
          <w:rFonts w:ascii="Verdana" w:hAnsi="Verdana" w:cs="Arial"/>
          <w:sz w:val="18"/>
          <w:szCs w:val="18"/>
        </w:rPr>
      </w:pPr>
    </w:p>
    <w:p w:rsidRPr="003350D7" w:rsidR="002531AD" w:rsidP="006424AD" w:rsidRDefault="00BF3B6F" w14:paraId="76A80BE2" w14:textId="064D399D">
      <w:pPr>
        <w:spacing w:after="0" w:line="240" w:lineRule="atLeast"/>
        <w:rPr>
          <w:rFonts w:ascii="Verdana" w:hAnsi="Verdana" w:cs="Arial"/>
          <w:sz w:val="18"/>
          <w:szCs w:val="18"/>
        </w:rPr>
      </w:pPr>
      <w:r w:rsidRPr="003350D7">
        <w:rPr>
          <w:rFonts w:ascii="Verdana" w:hAnsi="Verdana" w:cs="Arial"/>
          <w:sz w:val="18"/>
          <w:szCs w:val="18"/>
        </w:rPr>
        <w:t xml:space="preserve">Om deze reden </w:t>
      </w:r>
      <w:r w:rsidRPr="003350D7" w:rsidR="00566CF3">
        <w:rPr>
          <w:rFonts w:ascii="Verdana" w:hAnsi="Verdana" w:cs="Arial"/>
          <w:sz w:val="18"/>
          <w:szCs w:val="18"/>
        </w:rPr>
        <w:t xml:space="preserve">is een </w:t>
      </w:r>
      <w:r w:rsidRPr="003350D7" w:rsidR="002531AD">
        <w:rPr>
          <w:rFonts w:ascii="Verdana" w:hAnsi="Verdana" w:cs="Arial"/>
          <w:sz w:val="18"/>
          <w:szCs w:val="18"/>
        </w:rPr>
        <w:t xml:space="preserve">beleidsmatige </w:t>
      </w:r>
      <w:r w:rsidRPr="003350D7" w:rsidR="00262543">
        <w:rPr>
          <w:rFonts w:ascii="Verdana" w:hAnsi="Verdana" w:cs="Arial"/>
          <w:sz w:val="18"/>
          <w:szCs w:val="18"/>
        </w:rPr>
        <w:t xml:space="preserve">afweging gemaakt voor </w:t>
      </w:r>
      <w:r w:rsidRPr="003350D7" w:rsidR="002531AD">
        <w:rPr>
          <w:rFonts w:ascii="Verdana" w:hAnsi="Verdana" w:cs="Arial"/>
          <w:sz w:val="18"/>
          <w:szCs w:val="18"/>
        </w:rPr>
        <w:t xml:space="preserve">nadere specificatie om recht te doen aan een evenwichtige verhouding tussen economische belangen enerzijds (in de vorm van het tegengaan van onnodige bureaucratische last voor Nederlandse </w:t>
      </w:r>
      <w:r w:rsidRPr="003350D7" w:rsidR="00FD1FA3">
        <w:rPr>
          <w:rFonts w:ascii="Verdana" w:hAnsi="Verdana" w:cs="Arial"/>
          <w:sz w:val="18"/>
          <w:szCs w:val="18"/>
        </w:rPr>
        <w:t xml:space="preserve">ondernemingen </w:t>
      </w:r>
      <w:r w:rsidRPr="003350D7" w:rsidR="002531AD">
        <w:rPr>
          <w:rFonts w:ascii="Verdana" w:hAnsi="Verdana" w:cs="Arial"/>
          <w:sz w:val="18"/>
          <w:szCs w:val="18"/>
        </w:rPr>
        <w:t>en</w:t>
      </w:r>
      <w:r w:rsidRPr="003350D7" w:rsidR="0032347A">
        <w:rPr>
          <w:rFonts w:ascii="Verdana" w:hAnsi="Verdana" w:cs="Arial"/>
          <w:sz w:val="18"/>
          <w:szCs w:val="18"/>
        </w:rPr>
        <w:t xml:space="preserve"> een</w:t>
      </w:r>
      <w:r w:rsidRPr="003350D7" w:rsidR="002531AD">
        <w:rPr>
          <w:rFonts w:ascii="Verdana" w:hAnsi="Verdana" w:cs="Arial"/>
          <w:sz w:val="18"/>
          <w:szCs w:val="18"/>
        </w:rPr>
        <w:t xml:space="preserve"> </w:t>
      </w:r>
      <w:r w:rsidRPr="003350D7" w:rsidR="0032347A">
        <w:rPr>
          <w:rFonts w:ascii="Verdana" w:hAnsi="Verdana" w:cs="Arial"/>
          <w:sz w:val="18"/>
          <w:szCs w:val="18"/>
        </w:rPr>
        <w:t xml:space="preserve">negatief </w:t>
      </w:r>
      <w:r w:rsidRPr="003350D7" w:rsidR="002531AD">
        <w:rPr>
          <w:rFonts w:ascii="Verdana" w:hAnsi="Verdana" w:cs="Arial"/>
          <w:sz w:val="18"/>
          <w:szCs w:val="18"/>
        </w:rPr>
        <w:t>effect op het investerings- en vestigingsklimaat in Nederland) en veiligheidsbelangen anderzijds (in de vorm van het beter beheersen van risico</w:t>
      </w:r>
      <w:r w:rsidRPr="003350D7" w:rsidR="0032347A">
        <w:rPr>
          <w:rFonts w:ascii="Verdana" w:hAnsi="Verdana" w:cs="Arial"/>
          <w:sz w:val="18"/>
          <w:szCs w:val="18"/>
        </w:rPr>
        <w:t>’</w:t>
      </w:r>
      <w:r w:rsidRPr="003350D7" w:rsidR="002531AD">
        <w:rPr>
          <w:rFonts w:ascii="Verdana" w:hAnsi="Verdana" w:cs="Arial"/>
          <w:sz w:val="18"/>
          <w:szCs w:val="18"/>
        </w:rPr>
        <w:t xml:space="preserve">s </w:t>
      </w:r>
      <w:r w:rsidRPr="003350D7" w:rsidR="0032347A">
        <w:rPr>
          <w:rFonts w:ascii="Verdana" w:hAnsi="Verdana" w:cs="Arial"/>
          <w:sz w:val="18"/>
          <w:szCs w:val="18"/>
        </w:rPr>
        <w:t xml:space="preserve">die verband houden met </w:t>
      </w:r>
      <w:r w:rsidRPr="003350D7" w:rsidR="002531AD">
        <w:rPr>
          <w:rFonts w:ascii="Verdana" w:hAnsi="Verdana" w:cs="Arial"/>
          <w:sz w:val="18"/>
          <w:szCs w:val="18"/>
        </w:rPr>
        <w:t xml:space="preserve">technologiegebieden die </w:t>
      </w:r>
      <w:r w:rsidRPr="003350D7" w:rsidR="0032347A">
        <w:rPr>
          <w:rFonts w:ascii="Verdana" w:hAnsi="Verdana" w:cs="Arial"/>
          <w:sz w:val="18"/>
          <w:szCs w:val="18"/>
        </w:rPr>
        <w:t xml:space="preserve">niet vallen </w:t>
      </w:r>
      <w:r w:rsidRPr="003350D7" w:rsidR="002531AD">
        <w:rPr>
          <w:rFonts w:ascii="Verdana" w:hAnsi="Verdana" w:cs="Arial"/>
          <w:sz w:val="18"/>
          <w:szCs w:val="18"/>
        </w:rPr>
        <w:t>onder de huidige Wet vifo).</w:t>
      </w:r>
      <w:r w:rsidRPr="003350D7" w:rsidR="006D3977">
        <w:rPr>
          <w:rFonts w:ascii="Verdana" w:hAnsi="Verdana" w:cs="Arial"/>
          <w:sz w:val="18"/>
          <w:szCs w:val="18"/>
        </w:rPr>
        <w:t xml:space="preserve"> </w:t>
      </w:r>
      <w:r w:rsidRPr="003350D7" w:rsidR="002531AD">
        <w:rPr>
          <w:rFonts w:ascii="Verdana" w:hAnsi="Verdana" w:cs="Arial"/>
          <w:sz w:val="18"/>
          <w:szCs w:val="18"/>
        </w:rPr>
        <w:t>Het TNO</w:t>
      </w:r>
      <w:r w:rsidRPr="003350D7" w:rsidR="004E717B">
        <w:rPr>
          <w:rFonts w:ascii="Verdana" w:hAnsi="Verdana" w:cs="Arial"/>
          <w:sz w:val="18"/>
          <w:szCs w:val="18"/>
        </w:rPr>
        <w:t>-</w:t>
      </w:r>
      <w:r w:rsidRPr="003350D7" w:rsidR="002531AD">
        <w:rPr>
          <w:rFonts w:ascii="Verdana" w:hAnsi="Verdana" w:cs="Arial"/>
          <w:sz w:val="18"/>
          <w:szCs w:val="18"/>
        </w:rPr>
        <w:t>rapport heeft behalve technologieën die naar hun aard eerder geschikt zijn voor specifieke</w:t>
      </w:r>
      <w:r w:rsidRPr="003350D7" w:rsidR="006D3977">
        <w:rPr>
          <w:rFonts w:ascii="Verdana" w:hAnsi="Verdana" w:cs="Arial"/>
          <w:sz w:val="18"/>
          <w:szCs w:val="18"/>
        </w:rPr>
        <w:t xml:space="preserve"> </w:t>
      </w:r>
      <w:r w:rsidRPr="003350D7" w:rsidR="002531AD">
        <w:rPr>
          <w:rFonts w:ascii="Verdana" w:hAnsi="Verdana" w:cs="Arial"/>
          <w:sz w:val="18"/>
          <w:szCs w:val="18"/>
        </w:rPr>
        <w:t>toepassingen, ook technologieën geïdentificeerd die generiek en/of breed beschikbaar zijn voor vele toepassingen. Voor deze technologieën is de sensitiviteit daarvan enkel gelegen in bepaalde specifieke mogelijke toepassingen van de technologie en/of de ge</w:t>
      </w:r>
      <w:r w:rsidRPr="003350D7" w:rsidR="00586F12">
        <w:rPr>
          <w:rFonts w:ascii="Verdana" w:hAnsi="Verdana" w:cs="Arial"/>
          <w:sz w:val="18"/>
          <w:szCs w:val="18"/>
        </w:rPr>
        <w:t>ge</w:t>
      </w:r>
      <w:r w:rsidRPr="003350D7" w:rsidR="002531AD">
        <w:rPr>
          <w:rFonts w:ascii="Verdana" w:hAnsi="Verdana" w:cs="Arial"/>
          <w:sz w:val="18"/>
          <w:szCs w:val="18"/>
        </w:rPr>
        <w:t xml:space="preserve">nereerde data. Ook dit aspect is in de </w:t>
      </w:r>
      <w:r w:rsidRPr="003350D7" w:rsidR="00586F12">
        <w:rPr>
          <w:rFonts w:ascii="Verdana" w:hAnsi="Verdana" w:cs="Arial"/>
          <w:sz w:val="18"/>
          <w:szCs w:val="18"/>
        </w:rPr>
        <w:t xml:space="preserve">voornoemde </w:t>
      </w:r>
      <w:r w:rsidRPr="003350D7" w:rsidR="002531AD">
        <w:rPr>
          <w:rFonts w:ascii="Verdana" w:hAnsi="Verdana" w:cs="Arial"/>
          <w:sz w:val="18"/>
          <w:szCs w:val="18"/>
        </w:rPr>
        <w:t>beleidsmatige afwegingen meegenomen.</w:t>
      </w:r>
      <w:r w:rsidRPr="003350D7" w:rsidR="00CD223D">
        <w:rPr>
          <w:rFonts w:ascii="Verdana" w:hAnsi="Verdana" w:cs="Arial"/>
          <w:sz w:val="18"/>
          <w:szCs w:val="18"/>
        </w:rPr>
        <w:t xml:space="preserve"> Bij deze beleidsmatige afwegingen ten aanzien van deze brede/generieke technologieën </w:t>
      </w:r>
      <w:r w:rsidR="00CF249E">
        <w:rPr>
          <w:rFonts w:ascii="Verdana" w:hAnsi="Verdana" w:cs="Arial"/>
          <w:sz w:val="18"/>
          <w:szCs w:val="18"/>
        </w:rPr>
        <w:t>is tevens</w:t>
      </w:r>
      <w:r w:rsidRPr="00D86A2D" w:rsidR="00CF249E">
        <w:rPr>
          <w:rFonts w:ascii="Verdana" w:hAnsi="Verdana" w:cs="Arial"/>
          <w:sz w:val="18"/>
          <w:szCs w:val="18"/>
        </w:rPr>
        <w:t xml:space="preserve"> </w:t>
      </w:r>
      <w:r w:rsidRPr="003350D7" w:rsidR="00CF249E">
        <w:rPr>
          <w:rFonts w:ascii="Verdana" w:hAnsi="Verdana" w:cs="Arial"/>
          <w:sz w:val="18"/>
          <w:szCs w:val="18"/>
        </w:rPr>
        <w:t xml:space="preserve">de </w:t>
      </w:r>
      <w:r w:rsidR="00CF249E">
        <w:rPr>
          <w:rFonts w:ascii="Verdana" w:hAnsi="Verdana" w:cs="Arial"/>
          <w:sz w:val="18"/>
          <w:szCs w:val="18"/>
        </w:rPr>
        <w:t xml:space="preserve">inhoud van </w:t>
      </w:r>
      <w:r w:rsidRPr="008E5F3A" w:rsidR="00CF249E">
        <w:rPr>
          <w:rFonts w:ascii="Verdana" w:hAnsi="Verdana" w:cs="Arial"/>
          <w:b/>
          <w:bCs/>
          <w:sz w:val="16"/>
          <w:szCs w:val="16"/>
        </w:rPr>
        <w:t>[</w:t>
      </w:r>
      <w:r w:rsidRPr="008E5F3A" w:rsidR="00CF249E">
        <w:rPr>
          <w:rFonts w:ascii="Verdana" w:hAnsi="Verdana" w:cs="Arial"/>
          <w:sz w:val="16"/>
          <w:szCs w:val="16"/>
        </w:rPr>
        <w:t>voorgestelde</w:t>
      </w:r>
      <w:r w:rsidRPr="008E5F3A" w:rsidR="00CF249E">
        <w:rPr>
          <w:rFonts w:ascii="Verdana" w:hAnsi="Verdana" w:cs="Arial"/>
          <w:b/>
          <w:bCs/>
          <w:sz w:val="16"/>
          <w:szCs w:val="16"/>
        </w:rPr>
        <w:t>]</w:t>
      </w:r>
      <w:r w:rsidRPr="003350D7" w:rsidR="00CF249E">
        <w:rPr>
          <w:rFonts w:ascii="Verdana" w:hAnsi="Verdana" w:cs="Arial"/>
          <w:b/>
          <w:bCs/>
          <w:sz w:val="18"/>
          <w:szCs w:val="18"/>
        </w:rPr>
        <w:t xml:space="preserve"> </w:t>
      </w:r>
      <w:r w:rsidRPr="003350D7" w:rsidR="00CF249E">
        <w:rPr>
          <w:rFonts w:ascii="Verdana" w:hAnsi="Verdana" w:cs="Arial"/>
          <w:sz w:val="18"/>
          <w:szCs w:val="18"/>
        </w:rPr>
        <w:t>herziene EU-verordening</w:t>
      </w:r>
      <w:r w:rsidR="00CF249E">
        <w:rPr>
          <w:rFonts w:ascii="Verdana" w:hAnsi="Verdana" w:cs="Arial"/>
          <w:sz w:val="18"/>
          <w:szCs w:val="18"/>
        </w:rPr>
        <w:t xml:space="preserve"> betrokken.</w:t>
      </w:r>
      <w:r w:rsidRPr="003350D7" w:rsidDel="00CF249E" w:rsidR="00CF249E">
        <w:rPr>
          <w:rFonts w:ascii="Verdana" w:hAnsi="Verdana" w:cs="Arial"/>
          <w:sz w:val="18"/>
          <w:szCs w:val="18"/>
        </w:rPr>
        <w:t xml:space="preserve"> </w:t>
      </w:r>
      <w:r w:rsidRPr="003350D7" w:rsidR="00EA030E">
        <w:rPr>
          <w:rFonts w:ascii="Verdana" w:hAnsi="Verdana" w:cs="Arial"/>
          <w:sz w:val="18"/>
          <w:szCs w:val="18"/>
        </w:rPr>
        <w:t>Deze beleidsmatige afwegingen hebben uiteindelijk geleid tot de keuze de specifieke</w:t>
      </w:r>
      <w:r w:rsidRPr="003350D7" w:rsidR="00AC067C">
        <w:rPr>
          <w:rFonts w:ascii="Verdana" w:hAnsi="Verdana" w:cs="Arial"/>
          <w:sz w:val="18"/>
          <w:szCs w:val="18"/>
        </w:rPr>
        <w:t xml:space="preserve"> voorliggende technologieën toe te voegen aan het Besluit sensitief.</w:t>
      </w:r>
    </w:p>
    <w:p w:rsidRPr="003350D7" w:rsidR="002531AD" w:rsidP="006424AD" w:rsidRDefault="002531AD" w14:paraId="27DCD810" w14:textId="77777777">
      <w:pPr>
        <w:spacing w:after="0" w:line="240" w:lineRule="atLeast"/>
        <w:rPr>
          <w:rFonts w:ascii="Verdana" w:hAnsi="Verdana" w:cs="Arial"/>
          <w:b/>
          <w:bCs/>
          <w:sz w:val="18"/>
          <w:szCs w:val="18"/>
        </w:rPr>
      </w:pPr>
    </w:p>
    <w:p w:rsidRPr="003350D7" w:rsidR="002531AD" w:rsidP="006424AD" w:rsidRDefault="002531AD" w14:paraId="5E599422" w14:textId="77777777">
      <w:pPr>
        <w:spacing w:after="0" w:line="240" w:lineRule="atLeast"/>
        <w:rPr>
          <w:rFonts w:ascii="Verdana" w:hAnsi="Verdana" w:cs="Arial"/>
          <w:sz w:val="18"/>
          <w:szCs w:val="18"/>
        </w:rPr>
      </w:pPr>
      <w:r w:rsidRPr="003350D7">
        <w:rPr>
          <w:rFonts w:ascii="Verdana" w:hAnsi="Verdana" w:cs="Arial"/>
          <w:b/>
          <w:bCs/>
          <w:sz w:val="18"/>
          <w:szCs w:val="18"/>
        </w:rPr>
        <w:t>4. Toevoegen als zeer sensitieve technologie</w:t>
      </w:r>
      <w:r w:rsidRPr="003350D7">
        <w:rPr>
          <w:rFonts w:ascii="Verdana" w:hAnsi="Verdana" w:cs="Arial"/>
          <w:sz w:val="18"/>
          <w:szCs w:val="18"/>
        </w:rPr>
        <w:t xml:space="preserve"> </w:t>
      </w:r>
    </w:p>
    <w:p w:rsidRPr="003350D7" w:rsidR="002531AD" w:rsidP="00862C2E" w:rsidRDefault="002531AD" w14:paraId="2D94D0A4" w14:textId="498F7A8C">
      <w:pPr>
        <w:spacing w:after="0" w:line="240" w:lineRule="atLeast"/>
        <w:rPr>
          <w:rFonts w:ascii="Verdana" w:hAnsi="Verdana" w:cs="Arial"/>
          <w:sz w:val="18"/>
          <w:szCs w:val="18"/>
        </w:rPr>
      </w:pPr>
      <w:r w:rsidRPr="003350D7">
        <w:rPr>
          <w:rFonts w:ascii="Verdana" w:hAnsi="Verdana" w:cs="Arial"/>
          <w:sz w:val="18"/>
          <w:szCs w:val="18"/>
        </w:rPr>
        <w:t>Hieronder word</w:t>
      </w:r>
      <w:r w:rsidRPr="003350D7" w:rsidR="00FB1958">
        <w:rPr>
          <w:rFonts w:ascii="Verdana" w:hAnsi="Verdana" w:cs="Arial"/>
          <w:sz w:val="18"/>
          <w:szCs w:val="18"/>
        </w:rPr>
        <w:t>en</w:t>
      </w:r>
      <w:r w:rsidRPr="003350D7">
        <w:rPr>
          <w:rFonts w:ascii="Verdana" w:hAnsi="Verdana" w:cs="Arial"/>
          <w:sz w:val="18"/>
          <w:szCs w:val="18"/>
        </w:rPr>
        <w:t xml:space="preserve"> </w:t>
      </w:r>
      <w:r w:rsidRPr="003350D7" w:rsidR="00FB1958">
        <w:rPr>
          <w:rFonts w:ascii="Verdana" w:hAnsi="Verdana" w:cs="Arial"/>
          <w:sz w:val="18"/>
          <w:szCs w:val="18"/>
        </w:rPr>
        <w:t>eerst zes</w:t>
      </w:r>
      <w:r w:rsidRPr="003350D7">
        <w:rPr>
          <w:rFonts w:ascii="Verdana" w:hAnsi="Verdana" w:cs="Arial"/>
          <w:sz w:val="18"/>
          <w:szCs w:val="18"/>
        </w:rPr>
        <w:t xml:space="preserve"> technologieën </w:t>
      </w:r>
      <w:r w:rsidRPr="003350D7" w:rsidR="00FB1958">
        <w:rPr>
          <w:rFonts w:ascii="Verdana" w:hAnsi="Verdana" w:cs="Arial"/>
          <w:sz w:val="18"/>
          <w:szCs w:val="18"/>
        </w:rPr>
        <w:t xml:space="preserve">beschreven die </w:t>
      </w:r>
      <w:r w:rsidRPr="003350D7" w:rsidR="00862C2E">
        <w:rPr>
          <w:rFonts w:ascii="Verdana" w:hAnsi="Verdana" w:cs="Arial"/>
          <w:sz w:val="18"/>
          <w:szCs w:val="18"/>
        </w:rPr>
        <w:t xml:space="preserve">door </w:t>
      </w:r>
      <w:r w:rsidRPr="003350D7" w:rsidR="00682202">
        <w:rPr>
          <w:rFonts w:ascii="Verdana" w:hAnsi="Verdana" w:cs="Arial"/>
          <w:sz w:val="18"/>
          <w:szCs w:val="18"/>
        </w:rPr>
        <w:t xml:space="preserve">middel van </w:t>
      </w:r>
      <w:r w:rsidRPr="003350D7">
        <w:rPr>
          <w:rFonts w:ascii="Verdana" w:hAnsi="Verdana" w:cs="Arial"/>
          <w:sz w:val="18"/>
          <w:szCs w:val="18"/>
        </w:rPr>
        <w:t>het wijzigingsbesluit</w:t>
      </w:r>
      <w:r w:rsidRPr="003350D7" w:rsidR="00EA564A">
        <w:rPr>
          <w:rFonts w:ascii="Verdana" w:hAnsi="Verdana" w:cs="Arial"/>
          <w:sz w:val="18"/>
          <w:szCs w:val="18"/>
        </w:rPr>
        <w:t xml:space="preserve"> </w:t>
      </w:r>
      <w:r w:rsidRPr="003350D7" w:rsidR="00862C2E">
        <w:rPr>
          <w:rFonts w:ascii="Verdana" w:hAnsi="Verdana" w:cs="Arial"/>
          <w:sz w:val="18"/>
          <w:szCs w:val="18"/>
        </w:rPr>
        <w:t xml:space="preserve">onder </w:t>
      </w:r>
      <w:r w:rsidRPr="003350D7" w:rsidR="00EA564A">
        <w:rPr>
          <w:rFonts w:ascii="Verdana" w:hAnsi="Verdana" w:cs="Arial"/>
          <w:sz w:val="18"/>
          <w:szCs w:val="18"/>
        </w:rPr>
        <w:t xml:space="preserve">het toepassingsbereik van de Wet vifo </w:t>
      </w:r>
      <w:r w:rsidRPr="003350D7" w:rsidR="00862C2E">
        <w:rPr>
          <w:rFonts w:ascii="Verdana" w:hAnsi="Verdana" w:cs="Arial"/>
          <w:sz w:val="18"/>
          <w:szCs w:val="18"/>
        </w:rPr>
        <w:t>vallen</w:t>
      </w:r>
      <w:r w:rsidRPr="003350D7" w:rsidR="00FB1958">
        <w:rPr>
          <w:rFonts w:ascii="Verdana" w:hAnsi="Verdana" w:cs="Arial"/>
          <w:sz w:val="18"/>
          <w:szCs w:val="18"/>
        </w:rPr>
        <w:t xml:space="preserve">, </w:t>
      </w:r>
      <w:r w:rsidRPr="003350D7" w:rsidR="004058DC">
        <w:rPr>
          <w:rFonts w:ascii="Verdana" w:hAnsi="Verdana" w:cs="Arial"/>
          <w:sz w:val="18"/>
          <w:szCs w:val="18"/>
        </w:rPr>
        <w:t xml:space="preserve">welke </w:t>
      </w:r>
      <w:r w:rsidRPr="003350D7" w:rsidR="00FB1958">
        <w:rPr>
          <w:rFonts w:ascii="Verdana" w:hAnsi="Verdana" w:cs="Arial"/>
          <w:sz w:val="18"/>
          <w:szCs w:val="18"/>
        </w:rPr>
        <w:t xml:space="preserve">alle </w:t>
      </w:r>
      <w:r w:rsidRPr="003350D7" w:rsidR="00EA564A">
        <w:rPr>
          <w:rFonts w:ascii="Verdana" w:hAnsi="Verdana" w:cs="Arial"/>
          <w:sz w:val="18"/>
          <w:szCs w:val="18"/>
        </w:rPr>
        <w:t>tevens</w:t>
      </w:r>
      <w:r w:rsidRPr="003350D7">
        <w:rPr>
          <w:rFonts w:ascii="Verdana" w:hAnsi="Verdana" w:cs="Arial"/>
          <w:sz w:val="18"/>
          <w:szCs w:val="18"/>
        </w:rPr>
        <w:t xml:space="preserve"> als zeer sensitief categoriser</w:t>
      </w:r>
      <w:r w:rsidRPr="003350D7" w:rsidR="00682202">
        <w:rPr>
          <w:rFonts w:ascii="Verdana" w:hAnsi="Verdana" w:cs="Arial"/>
          <w:sz w:val="18"/>
          <w:szCs w:val="18"/>
        </w:rPr>
        <w:t>en</w:t>
      </w:r>
      <w:r w:rsidRPr="003350D7">
        <w:rPr>
          <w:rFonts w:ascii="Verdana" w:hAnsi="Verdana" w:cs="Arial"/>
          <w:sz w:val="18"/>
          <w:szCs w:val="18"/>
        </w:rPr>
        <w:t xml:space="preserve">. </w:t>
      </w:r>
      <w:r w:rsidRPr="003350D7" w:rsidR="00FB1958">
        <w:rPr>
          <w:rFonts w:ascii="Verdana" w:hAnsi="Verdana" w:cs="Arial"/>
          <w:sz w:val="18"/>
          <w:szCs w:val="18"/>
        </w:rPr>
        <w:t xml:space="preserve">Vervolgens komen </w:t>
      </w:r>
      <w:r w:rsidRPr="003350D7" w:rsidR="001D60AF">
        <w:rPr>
          <w:rFonts w:ascii="Verdana" w:hAnsi="Verdana" w:cs="Arial"/>
          <w:sz w:val="18"/>
          <w:szCs w:val="18"/>
        </w:rPr>
        <w:t xml:space="preserve">als laatste </w:t>
      </w:r>
      <w:r w:rsidRPr="003350D7" w:rsidR="00FB1958">
        <w:rPr>
          <w:rFonts w:ascii="Verdana" w:hAnsi="Verdana" w:cs="Arial"/>
          <w:sz w:val="18"/>
          <w:szCs w:val="18"/>
        </w:rPr>
        <w:t xml:space="preserve">enkele technologieën aan bod die uit hoofde van de </w:t>
      </w:r>
      <w:r w:rsidRPr="003350D7" w:rsidR="002A0559">
        <w:rPr>
          <w:rFonts w:ascii="Verdana" w:hAnsi="Verdana" w:cs="Arial"/>
          <w:sz w:val="18"/>
          <w:szCs w:val="18"/>
        </w:rPr>
        <w:t>w</w:t>
      </w:r>
      <w:r w:rsidRPr="003350D7" w:rsidR="00FB1958">
        <w:rPr>
          <w:rFonts w:ascii="Verdana" w:hAnsi="Verdana" w:cs="Arial"/>
          <w:sz w:val="18"/>
          <w:szCs w:val="18"/>
        </w:rPr>
        <w:t xml:space="preserve">et </w:t>
      </w:r>
      <w:r w:rsidRPr="003350D7" w:rsidR="002A0559">
        <w:rPr>
          <w:rFonts w:ascii="Verdana" w:hAnsi="Verdana" w:cs="Arial"/>
          <w:sz w:val="18"/>
          <w:szCs w:val="18"/>
        </w:rPr>
        <w:t>V</w:t>
      </w:r>
      <w:r w:rsidRPr="003350D7" w:rsidR="00FB1958">
        <w:rPr>
          <w:rFonts w:ascii="Verdana" w:hAnsi="Verdana" w:cs="Arial"/>
          <w:sz w:val="18"/>
          <w:szCs w:val="18"/>
        </w:rPr>
        <w:t>ifo al sensitief zijn en die door middel van dit besluit als zeer sensitief categoriseren.</w:t>
      </w:r>
    </w:p>
    <w:p w:rsidRPr="003350D7" w:rsidR="00862C2E" w:rsidP="006424AD" w:rsidRDefault="00862C2E" w14:paraId="4C3528AD" w14:textId="77777777">
      <w:pPr>
        <w:spacing w:after="0" w:line="240" w:lineRule="atLeast"/>
        <w:rPr>
          <w:rFonts w:ascii="Verdana" w:hAnsi="Verdana" w:cs="Arial"/>
          <w:sz w:val="18"/>
          <w:szCs w:val="18"/>
        </w:rPr>
      </w:pPr>
    </w:p>
    <w:p w:rsidRPr="003350D7" w:rsidR="002531AD" w:rsidP="006424AD" w:rsidRDefault="002531AD" w14:paraId="4114F9D2" w14:textId="77777777">
      <w:pPr>
        <w:spacing w:after="0" w:line="240" w:lineRule="atLeast"/>
        <w:rPr>
          <w:rFonts w:ascii="Verdana" w:hAnsi="Verdana" w:cs="Arial"/>
          <w:sz w:val="18"/>
          <w:szCs w:val="18"/>
          <w:u w:val="single"/>
        </w:rPr>
      </w:pPr>
      <w:r w:rsidRPr="003350D7">
        <w:rPr>
          <w:rFonts w:ascii="Verdana" w:hAnsi="Verdana" w:cs="Arial"/>
          <w:sz w:val="18"/>
          <w:szCs w:val="18"/>
          <w:u w:val="single"/>
        </w:rPr>
        <w:t xml:space="preserve">Biotechnologie </w:t>
      </w:r>
    </w:p>
    <w:p w:rsidRPr="003350D7" w:rsidR="00EE52E2" w:rsidP="006424AD" w:rsidRDefault="002531AD" w14:paraId="78DF987C" w14:textId="1FDD6AF7">
      <w:pPr>
        <w:spacing w:line="240" w:lineRule="atLeast"/>
        <w:rPr>
          <w:rFonts w:ascii="Verdana" w:hAnsi="Verdana" w:cs="Arial"/>
          <w:sz w:val="18"/>
          <w:szCs w:val="18"/>
        </w:rPr>
      </w:pPr>
      <w:r w:rsidRPr="003350D7">
        <w:rPr>
          <w:rFonts w:ascii="Verdana" w:hAnsi="Verdana" w:cs="Arial"/>
          <w:sz w:val="18"/>
          <w:szCs w:val="18"/>
        </w:rPr>
        <w:t xml:space="preserve">In de Trendanalyse Nationale Veiligheid 2024 wordt beschreven dat biotechnologie zowel voor civiele als militaire toepassingen veiligheidsrisico’s kent. </w:t>
      </w:r>
      <w:r w:rsidRPr="003350D7" w:rsidR="00AC1EBC">
        <w:rPr>
          <w:rFonts w:ascii="Verdana" w:hAnsi="Verdana" w:cs="Arial"/>
          <w:sz w:val="18"/>
          <w:szCs w:val="18"/>
        </w:rPr>
        <w:t>De risico’s voor de nationale veiligheid van biotechnologie kunnen betrekking hebben op de voedselzekerheid, toegang tot medicijnen en toepassing in het militaire domein.</w:t>
      </w:r>
      <w:r w:rsidRPr="003350D7" w:rsidR="00140D8E">
        <w:rPr>
          <w:rFonts w:ascii="Verdana" w:hAnsi="Verdana" w:cs="Arial"/>
          <w:sz w:val="18"/>
          <w:szCs w:val="18"/>
        </w:rPr>
        <w:t xml:space="preserve"> </w:t>
      </w:r>
      <w:r w:rsidRPr="003350D7">
        <w:rPr>
          <w:rFonts w:ascii="Verdana" w:hAnsi="Verdana" w:cs="Arial"/>
          <w:sz w:val="18"/>
          <w:szCs w:val="18"/>
        </w:rPr>
        <w:t xml:space="preserve">Dit is de reden voor TNO om het hele technologiegebied </w:t>
      </w:r>
      <w:r w:rsidRPr="003350D7" w:rsidR="00B23320">
        <w:rPr>
          <w:rFonts w:ascii="Verdana" w:hAnsi="Verdana" w:cs="Arial"/>
          <w:sz w:val="18"/>
          <w:szCs w:val="18"/>
        </w:rPr>
        <w:t xml:space="preserve">‘biotech’ </w:t>
      </w:r>
      <w:r w:rsidRPr="003350D7">
        <w:rPr>
          <w:rFonts w:ascii="Verdana" w:hAnsi="Verdana" w:cs="Arial"/>
          <w:sz w:val="18"/>
          <w:szCs w:val="18"/>
        </w:rPr>
        <w:t xml:space="preserve">als sensitief te categoriseren. </w:t>
      </w:r>
      <w:r w:rsidRPr="003350D7" w:rsidR="00EE52E2">
        <w:rPr>
          <w:rFonts w:ascii="Verdana" w:hAnsi="Verdana" w:cs="Arial"/>
          <w:sz w:val="18"/>
          <w:szCs w:val="18"/>
        </w:rPr>
        <w:t>Kenmerkend voor de biotechnologiesector is dat die sterk afhankelijk is van investeringen in innovatie en startups. De verwachting is dat daardoor het toetsen van álle investeringen in dit technologiegebied een te grote impact kan hebben op het investeringsklimaat en daarmee de ontwikkeling van biotechnologie belemmert. In de verdiepingssessies met experts is onderzocht of het deel van biotechnologie wat onder de reikwijdte van de Wet vifo moet worden gebracht nader gespecificeerd kon worden, bijvoorbeeld door risico’s toe te wijzen aan één specifieke sub-technologie. Dit bleek echter niet mogelijk door onder meer de samenhang tussen de verschillende technologieën.</w:t>
      </w:r>
    </w:p>
    <w:p w:rsidRPr="003350D7" w:rsidR="00C04FF8" w:rsidP="006424AD" w:rsidRDefault="00AB538D" w14:paraId="0E84EB0F" w14:textId="052ECFF6">
      <w:pPr>
        <w:spacing w:line="240" w:lineRule="atLeast"/>
        <w:rPr>
          <w:rFonts w:ascii="Verdana" w:hAnsi="Verdana" w:cs="Arial"/>
          <w:sz w:val="18"/>
          <w:szCs w:val="18"/>
        </w:rPr>
      </w:pPr>
      <w:r w:rsidRPr="003350D7">
        <w:rPr>
          <w:rFonts w:ascii="Verdana" w:hAnsi="Verdana" w:cs="Arial"/>
          <w:sz w:val="18"/>
          <w:szCs w:val="18"/>
        </w:rPr>
        <w:t>K</w:t>
      </w:r>
      <w:r w:rsidRPr="003350D7" w:rsidR="002531AD">
        <w:rPr>
          <w:rFonts w:ascii="Verdana" w:hAnsi="Verdana" w:cs="Arial"/>
          <w:sz w:val="18"/>
          <w:szCs w:val="18"/>
        </w:rPr>
        <w:t xml:space="preserve">rachtens dit besluit </w:t>
      </w:r>
      <w:r w:rsidRPr="003350D7">
        <w:rPr>
          <w:rFonts w:ascii="Verdana" w:hAnsi="Verdana" w:cs="Arial"/>
          <w:sz w:val="18"/>
          <w:szCs w:val="18"/>
        </w:rPr>
        <w:t>worden</w:t>
      </w:r>
      <w:r w:rsidRPr="003350D7" w:rsidR="00E31007">
        <w:rPr>
          <w:rFonts w:ascii="Verdana" w:hAnsi="Verdana" w:cs="Arial"/>
          <w:sz w:val="18"/>
          <w:szCs w:val="18"/>
        </w:rPr>
        <w:t xml:space="preserve"> daarom</w:t>
      </w:r>
      <w:r w:rsidRPr="003350D7">
        <w:rPr>
          <w:rFonts w:ascii="Verdana" w:hAnsi="Verdana" w:cs="Arial"/>
          <w:sz w:val="18"/>
          <w:szCs w:val="18"/>
        </w:rPr>
        <w:t xml:space="preserve"> enkel</w:t>
      </w:r>
      <w:r w:rsidRPr="003350D7" w:rsidR="00E31007">
        <w:rPr>
          <w:rFonts w:ascii="Verdana" w:hAnsi="Verdana" w:cs="Arial"/>
          <w:sz w:val="18"/>
          <w:szCs w:val="18"/>
        </w:rPr>
        <w:t>e</w:t>
      </w:r>
      <w:r w:rsidRPr="003350D7">
        <w:rPr>
          <w:rFonts w:ascii="Verdana" w:hAnsi="Verdana" w:cs="Arial"/>
          <w:sz w:val="18"/>
          <w:szCs w:val="18"/>
        </w:rPr>
        <w:t xml:space="preserve"> specifieke </w:t>
      </w:r>
      <w:r w:rsidRPr="003350D7" w:rsidR="000D117D">
        <w:rPr>
          <w:rFonts w:ascii="Verdana" w:hAnsi="Verdana" w:cs="Arial"/>
          <w:sz w:val="18"/>
          <w:szCs w:val="18"/>
        </w:rPr>
        <w:t xml:space="preserve">deelgebieden </w:t>
      </w:r>
      <w:r w:rsidRPr="003350D7">
        <w:rPr>
          <w:rFonts w:ascii="Verdana" w:hAnsi="Verdana" w:cs="Arial"/>
          <w:sz w:val="18"/>
          <w:szCs w:val="18"/>
        </w:rPr>
        <w:t xml:space="preserve">van biotechnologie </w:t>
      </w:r>
      <w:r w:rsidRPr="003350D7" w:rsidR="002531AD">
        <w:rPr>
          <w:rFonts w:ascii="Verdana" w:hAnsi="Verdana" w:cs="Arial"/>
          <w:sz w:val="18"/>
          <w:szCs w:val="18"/>
        </w:rPr>
        <w:t>aangewezen als zeer sensitieve technologie</w:t>
      </w:r>
      <w:r w:rsidRPr="003350D7" w:rsidR="00227BB7">
        <w:rPr>
          <w:rFonts w:ascii="Verdana" w:hAnsi="Verdana" w:cs="Arial"/>
          <w:sz w:val="18"/>
          <w:szCs w:val="18"/>
        </w:rPr>
        <w:t xml:space="preserve">. </w:t>
      </w:r>
      <w:r w:rsidRPr="003350D7" w:rsidR="000150D9">
        <w:rPr>
          <w:rFonts w:ascii="Verdana" w:hAnsi="Verdana" w:cs="Arial"/>
          <w:sz w:val="18"/>
          <w:szCs w:val="18"/>
        </w:rPr>
        <w:t>Er is gekozen om de afbakening zoals beschreven in de Nationale Technologie Strategie hierbij als uitgangspunt te nemen.</w:t>
      </w:r>
      <w:r w:rsidRPr="003350D7" w:rsidR="000150D9">
        <w:rPr>
          <w:rStyle w:val="Voetnootmarkering"/>
          <w:rFonts w:ascii="Verdana" w:hAnsi="Verdana" w:cs="Arial"/>
          <w:sz w:val="18"/>
          <w:szCs w:val="18"/>
        </w:rPr>
        <w:footnoteReference w:id="7"/>
      </w:r>
      <w:r w:rsidRPr="003350D7" w:rsidR="00EA73AE">
        <w:rPr>
          <w:rFonts w:ascii="Verdana" w:hAnsi="Verdana" w:cs="Arial"/>
          <w:sz w:val="18"/>
          <w:szCs w:val="18"/>
        </w:rPr>
        <w:t xml:space="preserve"> </w:t>
      </w:r>
      <w:r w:rsidRPr="003350D7" w:rsidR="00227BB7">
        <w:rPr>
          <w:rFonts w:ascii="Verdana" w:hAnsi="Verdana" w:cs="Arial"/>
          <w:sz w:val="18"/>
          <w:szCs w:val="18"/>
        </w:rPr>
        <w:t xml:space="preserve">Het betreft synthetische celtechnologie voor het kunstmatig ontwikkelen van levende cellen, stamceltechnologie voor het kweken en manipuleren van stamcellen, </w:t>
      </w:r>
      <w:r w:rsidRPr="006424AD" w:rsidR="00227BB7">
        <w:rPr>
          <w:rFonts w:ascii="Verdana" w:hAnsi="Verdana" w:cs="Arial"/>
          <w:i/>
          <w:iCs/>
          <w:sz w:val="18"/>
          <w:szCs w:val="18"/>
        </w:rPr>
        <w:t>gene editing</w:t>
      </w:r>
      <w:r w:rsidRPr="003350D7" w:rsidR="00227BB7">
        <w:rPr>
          <w:rFonts w:ascii="Verdana" w:hAnsi="Verdana" w:cs="Arial"/>
          <w:sz w:val="18"/>
          <w:szCs w:val="18"/>
        </w:rPr>
        <w:t xml:space="preserve"> (het doelbewust aanbrengen van zeer specifieke veranderingen in de DNA-sequentie van levende organismen waarbij de genetische samenstelling wordt aangepast) en om inzicht te krijgen in de manier waarop erfelijke eigenschappen zich vertalen naar het functioneren van een cel, en uiteindelijk een heel organisme</w:t>
      </w:r>
      <w:r w:rsidRPr="003350D7" w:rsidR="000150D9">
        <w:rPr>
          <w:rFonts w:ascii="Verdana" w:hAnsi="Verdana" w:cs="Arial"/>
          <w:sz w:val="18"/>
          <w:szCs w:val="18"/>
        </w:rPr>
        <w:t>. Deze specifieke deelgebieden worden opgenomen in het Besluit sensitief</w:t>
      </w:r>
      <w:r w:rsidRPr="003350D7" w:rsidR="002531AD">
        <w:rPr>
          <w:rFonts w:ascii="Verdana" w:hAnsi="Verdana" w:cs="Arial"/>
          <w:sz w:val="18"/>
          <w:szCs w:val="18"/>
        </w:rPr>
        <w:t xml:space="preserve"> vanwege het risico op ontstaan van risicovolle afhankelijkheden en ongewenste kennisoverdracht met potentieel grootschalige en catastrofale effecten. Dergelijke effecten kunnen zowel doelgericht als minder doelgericht ontstaan als bepaalde kennis in handen komt van personen of instellingen die hier</w:t>
      </w:r>
      <w:r w:rsidRPr="003350D7" w:rsidR="007F7527">
        <w:rPr>
          <w:rFonts w:ascii="Verdana" w:hAnsi="Verdana" w:cs="Arial"/>
          <w:sz w:val="18"/>
          <w:szCs w:val="18"/>
        </w:rPr>
        <w:t xml:space="preserve"> kwaadwillend of</w:t>
      </w:r>
      <w:r w:rsidRPr="003350D7" w:rsidR="002531AD">
        <w:rPr>
          <w:rFonts w:ascii="Verdana" w:hAnsi="Verdana" w:cs="Arial"/>
          <w:sz w:val="18"/>
          <w:szCs w:val="18"/>
        </w:rPr>
        <w:t xml:space="preserve"> onzorgvuldig mee omgaan.  </w:t>
      </w:r>
      <w:r w:rsidRPr="003350D7" w:rsidR="00D11F9D">
        <w:rPr>
          <w:rFonts w:ascii="Verdana" w:hAnsi="Verdana" w:cs="Arial"/>
          <w:sz w:val="18"/>
          <w:szCs w:val="18"/>
        </w:rPr>
        <w:t xml:space="preserve"> </w:t>
      </w:r>
    </w:p>
    <w:p w:rsidRPr="003350D7" w:rsidR="00C04FF8" w:rsidP="006424AD" w:rsidRDefault="002531AD" w14:paraId="2903B0B6" w14:textId="1048F661">
      <w:pPr>
        <w:spacing w:line="240" w:lineRule="atLeast"/>
        <w:rPr>
          <w:rFonts w:ascii="Verdana" w:hAnsi="Verdana" w:cs="Arial"/>
          <w:sz w:val="18"/>
          <w:szCs w:val="18"/>
        </w:rPr>
      </w:pPr>
      <w:r w:rsidRPr="003350D7">
        <w:rPr>
          <w:rFonts w:ascii="Verdana" w:hAnsi="Verdana" w:cs="Arial"/>
          <w:sz w:val="18"/>
          <w:szCs w:val="18"/>
        </w:rPr>
        <w:lastRenderedPageBreak/>
        <w:t xml:space="preserve">Met deze afbakening van biotechnologie worden de Nederlandse technologie (R&amp;D) georiënteerde </w:t>
      </w:r>
      <w:r w:rsidRPr="003350D7" w:rsidR="00FD1FA3">
        <w:rPr>
          <w:rFonts w:ascii="Verdana" w:hAnsi="Verdana" w:cs="Arial"/>
          <w:sz w:val="18"/>
          <w:szCs w:val="18"/>
        </w:rPr>
        <w:t xml:space="preserve">ondernemingen </w:t>
      </w:r>
      <w:r w:rsidRPr="003350D7">
        <w:rPr>
          <w:rFonts w:ascii="Verdana" w:hAnsi="Verdana" w:cs="Arial"/>
          <w:sz w:val="18"/>
          <w:szCs w:val="18"/>
        </w:rPr>
        <w:t>in de groente- en zaadveredeling onder de reikwijdte van de Wet vifo gebracht.</w:t>
      </w:r>
      <w:r w:rsidRPr="003350D7" w:rsidR="00D0672B">
        <w:rPr>
          <w:rFonts w:ascii="Verdana" w:hAnsi="Verdana" w:cs="Arial"/>
          <w:sz w:val="18"/>
          <w:szCs w:val="18"/>
        </w:rPr>
        <w:t xml:space="preserve"> </w:t>
      </w:r>
      <w:r w:rsidRPr="003350D7" w:rsidR="00C04FF8">
        <w:rPr>
          <w:rFonts w:ascii="Verdana" w:hAnsi="Verdana" w:cs="Arial"/>
          <w:sz w:val="18"/>
          <w:szCs w:val="18"/>
        </w:rPr>
        <w:t>Hiermee wordt tegemoetgekomen aan de motie Meulenkamp</w:t>
      </w:r>
      <w:r w:rsidRPr="003350D7" w:rsidR="00C04FF8">
        <w:rPr>
          <w:rStyle w:val="Voetnootmarkering"/>
          <w:rFonts w:ascii="Verdana" w:hAnsi="Verdana" w:cs="Arial"/>
          <w:sz w:val="18"/>
          <w:szCs w:val="18"/>
        </w:rPr>
        <w:footnoteReference w:id="8"/>
      </w:r>
      <w:r w:rsidRPr="003350D7" w:rsidR="00C04FF8">
        <w:rPr>
          <w:rFonts w:ascii="Verdana" w:hAnsi="Verdana" w:cs="Arial"/>
          <w:sz w:val="18"/>
          <w:szCs w:val="18"/>
        </w:rPr>
        <w:t xml:space="preserve">. </w:t>
      </w:r>
    </w:p>
    <w:p w:rsidRPr="003350D7" w:rsidR="00D0672B" w:rsidP="006424AD" w:rsidRDefault="00D0672B" w14:paraId="4CBCA924" w14:textId="3AF7E2DC">
      <w:pPr>
        <w:spacing w:line="240" w:lineRule="atLeast"/>
        <w:rPr>
          <w:rFonts w:ascii="Verdana" w:hAnsi="Verdana" w:cs="Arial"/>
          <w:sz w:val="18"/>
          <w:szCs w:val="18"/>
        </w:rPr>
      </w:pPr>
      <w:r w:rsidRPr="003350D7">
        <w:rPr>
          <w:rFonts w:ascii="Verdana" w:hAnsi="Verdana" w:cs="Arial"/>
          <w:sz w:val="18"/>
          <w:szCs w:val="18"/>
        </w:rPr>
        <w:t xml:space="preserve">Deze uitbreiding valt niet onder het verplichte </w:t>
      </w:r>
      <w:r w:rsidRPr="003350D7" w:rsidR="00EE2F0E">
        <w:rPr>
          <w:rFonts w:ascii="Verdana" w:hAnsi="Verdana" w:cs="Arial"/>
          <w:sz w:val="18"/>
          <w:szCs w:val="18"/>
        </w:rPr>
        <w:t>minimum</w:t>
      </w:r>
      <w:r w:rsidRPr="003350D7">
        <w:rPr>
          <w:rFonts w:ascii="Verdana" w:hAnsi="Verdana" w:cs="Arial"/>
          <w:sz w:val="18"/>
          <w:szCs w:val="18"/>
        </w:rPr>
        <w:t>toepassingsbereik</w:t>
      </w:r>
      <w:r w:rsidRPr="003350D7" w:rsidR="0045506C">
        <w:rPr>
          <w:rStyle w:val="Voetnootmarkering"/>
          <w:rFonts w:ascii="Verdana" w:hAnsi="Verdana" w:cs="Arial"/>
          <w:sz w:val="18"/>
          <w:szCs w:val="18"/>
        </w:rPr>
        <w:footnoteReference w:id="9"/>
      </w:r>
      <w:r w:rsidRPr="003350D7">
        <w:rPr>
          <w:rFonts w:ascii="Verdana" w:hAnsi="Verdana" w:cs="Arial"/>
          <w:sz w:val="18"/>
          <w:szCs w:val="18"/>
        </w:rPr>
        <w:t xml:space="preserve"> van de</w:t>
      </w:r>
      <w:r w:rsidRPr="003350D7" w:rsidR="001376D4">
        <w:rPr>
          <w:rFonts w:ascii="Verdana" w:hAnsi="Verdana" w:cs="Arial"/>
          <w:sz w:val="18"/>
          <w:szCs w:val="18"/>
        </w:rPr>
        <w:t xml:space="preserve"> </w:t>
      </w:r>
      <w:r w:rsidRPr="006424AD" w:rsidR="00232A93">
        <w:rPr>
          <w:rFonts w:ascii="Verdana" w:hAnsi="Verdana" w:cs="Arial"/>
          <w:b/>
          <w:bCs/>
          <w:sz w:val="16"/>
          <w:szCs w:val="16"/>
        </w:rPr>
        <w:t>[</w:t>
      </w:r>
      <w:r w:rsidRPr="006424AD" w:rsidR="00232A93">
        <w:rPr>
          <w:rFonts w:ascii="Verdana" w:hAnsi="Verdana" w:cs="Arial"/>
          <w:sz w:val="16"/>
          <w:szCs w:val="16"/>
        </w:rPr>
        <w:t>voorgestelde</w:t>
      </w:r>
      <w:r w:rsidRPr="006424AD" w:rsidR="00232A93">
        <w:rPr>
          <w:rFonts w:ascii="Verdana" w:hAnsi="Verdana" w:cs="Arial"/>
          <w:b/>
          <w:bCs/>
          <w:sz w:val="16"/>
          <w:szCs w:val="16"/>
        </w:rPr>
        <w:t xml:space="preserve">] </w:t>
      </w:r>
      <w:r w:rsidRPr="003350D7" w:rsidR="001376D4">
        <w:rPr>
          <w:rFonts w:ascii="Verdana" w:hAnsi="Verdana" w:cs="Arial"/>
          <w:sz w:val="18"/>
          <w:szCs w:val="18"/>
        </w:rPr>
        <w:t xml:space="preserve">herziene </w:t>
      </w:r>
      <w:r w:rsidRPr="003350D7" w:rsidR="0047359A">
        <w:rPr>
          <w:rFonts w:ascii="Verdana" w:hAnsi="Verdana" w:cs="Arial"/>
          <w:sz w:val="18"/>
          <w:szCs w:val="18"/>
        </w:rPr>
        <w:t>EU-</w:t>
      </w:r>
      <w:r w:rsidRPr="003350D7" w:rsidR="008125E8">
        <w:rPr>
          <w:rFonts w:ascii="Verdana" w:hAnsi="Verdana" w:cs="Arial"/>
          <w:sz w:val="18"/>
          <w:szCs w:val="18"/>
        </w:rPr>
        <w:t>v</w:t>
      </w:r>
      <w:r w:rsidRPr="003350D7" w:rsidR="001376D4">
        <w:rPr>
          <w:rFonts w:ascii="Verdana" w:hAnsi="Verdana" w:cs="Arial"/>
          <w:sz w:val="18"/>
          <w:szCs w:val="18"/>
        </w:rPr>
        <w:t>erordenin</w:t>
      </w:r>
      <w:r w:rsidRPr="003350D7">
        <w:rPr>
          <w:rFonts w:ascii="Verdana" w:hAnsi="Verdana" w:cs="Arial"/>
          <w:sz w:val="18"/>
          <w:szCs w:val="18"/>
        </w:rPr>
        <w:t>g. Biotechnologie wordt daarin wel aangehaald in het kader van beoordeling van investeringen.</w:t>
      </w:r>
      <w:r w:rsidRPr="003350D7">
        <w:rPr>
          <w:rStyle w:val="Voetnootmarkering"/>
          <w:rFonts w:ascii="Verdana" w:hAnsi="Verdana" w:cs="Arial"/>
          <w:sz w:val="18"/>
          <w:szCs w:val="18"/>
        </w:rPr>
        <w:footnoteReference w:id="10"/>
      </w:r>
      <w:r w:rsidRPr="003350D7">
        <w:rPr>
          <w:rFonts w:ascii="Verdana" w:hAnsi="Verdana" w:cs="Arial"/>
          <w:sz w:val="18"/>
          <w:szCs w:val="18"/>
        </w:rPr>
        <w:t xml:space="preserve"> </w:t>
      </w:r>
    </w:p>
    <w:p w:rsidRPr="003350D7" w:rsidR="002531AD" w:rsidP="006424AD" w:rsidRDefault="002531AD" w14:paraId="6B08AA22" w14:textId="77777777">
      <w:pPr>
        <w:spacing w:line="240" w:lineRule="atLeast"/>
        <w:rPr>
          <w:rFonts w:ascii="Verdana" w:hAnsi="Verdana" w:cs="Arial"/>
          <w:sz w:val="18"/>
          <w:szCs w:val="18"/>
          <w:u w:val="single"/>
        </w:rPr>
      </w:pPr>
      <w:r w:rsidRPr="003350D7">
        <w:rPr>
          <w:rFonts w:ascii="Verdana" w:hAnsi="Verdana" w:cs="Arial"/>
          <w:sz w:val="18"/>
          <w:szCs w:val="18"/>
          <w:u w:val="single"/>
        </w:rPr>
        <w:t>Artificiële intelligentie (AI)</w:t>
      </w:r>
    </w:p>
    <w:p w:rsidRPr="003350D7" w:rsidR="00B74BFD" w:rsidRDefault="00D824DE" w14:paraId="56F151E9" w14:textId="13E795CF">
      <w:pPr>
        <w:spacing w:line="240" w:lineRule="atLeast"/>
        <w:rPr>
          <w:rFonts w:ascii="Verdana" w:hAnsi="Verdana" w:cs="Arial"/>
          <w:sz w:val="18"/>
          <w:szCs w:val="18"/>
        </w:rPr>
      </w:pPr>
      <w:r w:rsidRPr="003350D7">
        <w:rPr>
          <w:rFonts w:ascii="Verdana" w:hAnsi="Verdana" w:cs="Arial"/>
          <w:sz w:val="18"/>
          <w:szCs w:val="18"/>
        </w:rPr>
        <w:t>A</w:t>
      </w:r>
      <w:r w:rsidRPr="003350D7" w:rsidR="002531AD">
        <w:rPr>
          <w:rFonts w:ascii="Verdana" w:hAnsi="Verdana" w:cs="Arial"/>
          <w:sz w:val="18"/>
          <w:szCs w:val="18"/>
        </w:rPr>
        <w:t xml:space="preserve">rtificiële </w:t>
      </w:r>
      <w:r w:rsidRPr="003350D7" w:rsidR="00C0516A">
        <w:rPr>
          <w:rFonts w:ascii="Verdana" w:hAnsi="Verdana" w:cs="Arial"/>
          <w:sz w:val="18"/>
          <w:szCs w:val="18"/>
        </w:rPr>
        <w:t>i</w:t>
      </w:r>
      <w:r w:rsidRPr="003350D7" w:rsidR="002531AD">
        <w:rPr>
          <w:rFonts w:ascii="Verdana" w:hAnsi="Verdana" w:cs="Arial"/>
          <w:sz w:val="18"/>
          <w:szCs w:val="18"/>
        </w:rPr>
        <w:t xml:space="preserve">ntelligentie (AI) </w:t>
      </w:r>
      <w:r w:rsidRPr="003350D7" w:rsidR="002A0559">
        <w:rPr>
          <w:rFonts w:ascii="Verdana" w:hAnsi="Verdana" w:cs="Arial"/>
          <w:sz w:val="18"/>
          <w:szCs w:val="18"/>
        </w:rPr>
        <w:t xml:space="preserve">is door middel van </w:t>
      </w:r>
      <w:r w:rsidRPr="003350D7">
        <w:rPr>
          <w:rFonts w:ascii="Verdana" w:hAnsi="Verdana" w:cs="Arial"/>
          <w:sz w:val="18"/>
          <w:szCs w:val="18"/>
        </w:rPr>
        <w:t xml:space="preserve">het wijzigingsbesluit onder het toepassingsbereik van de Wet vifo gebracht. </w:t>
      </w:r>
      <w:r w:rsidRPr="003350D7" w:rsidR="00D24AF9">
        <w:rPr>
          <w:rFonts w:ascii="Verdana" w:hAnsi="Verdana" w:cs="Arial"/>
          <w:sz w:val="18"/>
          <w:szCs w:val="18"/>
        </w:rPr>
        <w:t xml:space="preserve">AI is onderdeel van het verplichte minimum toepassingsbereik van het screeningsmechanisme (de ‘veiligheidstoets’) waarin lidstaten krachtens de </w:t>
      </w:r>
      <w:r w:rsidRPr="006424AD" w:rsidR="00D24AF9">
        <w:rPr>
          <w:rFonts w:ascii="Verdana" w:hAnsi="Verdana" w:cs="Arial"/>
          <w:b/>
          <w:bCs/>
          <w:sz w:val="16"/>
          <w:szCs w:val="16"/>
        </w:rPr>
        <w:t>[</w:t>
      </w:r>
      <w:r w:rsidRPr="006424AD" w:rsidR="00D24AF9">
        <w:rPr>
          <w:rFonts w:ascii="Verdana" w:hAnsi="Verdana" w:cs="Arial"/>
          <w:sz w:val="16"/>
          <w:szCs w:val="16"/>
        </w:rPr>
        <w:t>voorgestelde</w:t>
      </w:r>
      <w:r w:rsidRPr="006424AD" w:rsidR="00D24AF9">
        <w:rPr>
          <w:rFonts w:ascii="Verdana" w:hAnsi="Verdana" w:cs="Arial"/>
          <w:b/>
          <w:bCs/>
          <w:sz w:val="16"/>
          <w:szCs w:val="16"/>
        </w:rPr>
        <w:t>]</w:t>
      </w:r>
      <w:r w:rsidRPr="003350D7" w:rsidR="00D24AF9">
        <w:rPr>
          <w:rFonts w:ascii="Verdana" w:hAnsi="Verdana" w:cs="Arial"/>
          <w:b/>
          <w:bCs/>
          <w:sz w:val="18"/>
          <w:szCs w:val="18"/>
        </w:rPr>
        <w:t xml:space="preserve"> </w:t>
      </w:r>
      <w:r w:rsidRPr="003350D7" w:rsidR="00D24AF9">
        <w:rPr>
          <w:rFonts w:ascii="Verdana" w:hAnsi="Verdana" w:cs="Arial"/>
          <w:sz w:val="18"/>
          <w:szCs w:val="18"/>
        </w:rPr>
        <w:t xml:space="preserve">herziene EU-verordening moeten voorzien. </w:t>
      </w:r>
      <w:r w:rsidRPr="003350D7" w:rsidR="00B74BFD">
        <w:rPr>
          <w:rFonts w:ascii="Verdana" w:hAnsi="Verdana" w:cs="Arial"/>
          <w:sz w:val="18"/>
          <w:szCs w:val="18"/>
        </w:rPr>
        <w:t xml:space="preserve">Deze </w:t>
      </w:r>
      <w:r w:rsidRPr="006424AD" w:rsidR="00B74BFD">
        <w:rPr>
          <w:rFonts w:ascii="Verdana" w:hAnsi="Verdana" w:cs="Arial"/>
          <w:b/>
          <w:bCs/>
          <w:sz w:val="16"/>
          <w:szCs w:val="16"/>
        </w:rPr>
        <w:t>[</w:t>
      </w:r>
      <w:r w:rsidRPr="006424AD" w:rsidR="00B74BFD">
        <w:rPr>
          <w:rFonts w:ascii="Verdana" w:hAnsi="Verdana" w:cs="Arial"/>
          <w:sz w:val="16"/>
          <w:szCs w:val="16"/>
        </w:rPr>
        <w:t>voorgestelde</w:t>
      </w:r>
      <w:r w:rsidRPr="006424AD" w:rsidR="00B74BFD">
        <w:rPr>
          <w:rFonts w:ascii="Verdana" w:hAnsi="Verdana" w:cs="Arial"/>
          <w:b/>
          <w:bCs/>
          <w:sz w:val="16"/>
          <w:szCs w:val="16"/>
        </w:rPr>
        <w:t>]</w:t>
      </w:r>
      <w:r w:rsidRPr="003350D7" w:rsidR="00B74BFD">
        <w:rPr>
          <w:rFonts w:ascii="Verdana" w:hAnsi="Verdana" w:cs="Arial"/>
          <w:b/>
          <w:bCs/>
          <w:sz w:val="18"/>
          <w:szCs w:val="18"/>
        </w:rPr>
        <w:t xml:space="preserve"> </w:t>
      </w:r>
      <w:r w:rsidRPr="003350D7" w:rsidR="00B74BFD">
        <w:rPr>
          <w:rFonts w:ascii="Verdana" w:hAnsi="Verdana" w:cs="Arial"/>
          <w:sz w:val="18"/>
          <w:szCs w:val="18"/>
        </w:rPr>
        <w:t xml:space="preserve">verordening bevat een omschrijving van AI met een nadere toepassingsafbakening daarvan waar het screeningsmechanisme van de lidstaten zich minimaal over moet gaan uitstrekken. </w:t>
      </w:r>
    </w:p>
    <w:p w:rsidRPr="003350D7" w:rsidR="00B81317" w:rsidP="006424AD" w:rsidRDefault="00964A58" w14:paraId="34FD5621" w14:textId="10905D01">
      <w:pPr>
        <w:spacing w:after="0" w:line="240" w:lineRule="atLeast"/>
        <w:rPr>
          <w:rFonts w:ascii="Verdana" w:hAnsi="Verdana" w:cs="Arial"/>
          <w:sz w:val="18"/>
          <w:szCs w:val="18"/>
        </w:rPr>
      </w:pPr>
      <w:r w:rsidRPr="003350D7">
        <w:rPr>
          <w:rFonts w:ascii="Verdana" w:hAnsi="Verdana" w:cs="Arial"/>
          <w:sz w:val="18"/>
          <w:szCs w:val="18"/>
        </w:rPr>
        <w:t xml:space="preserve">Voor AI wordt het </w:t>
      </w:r>
      <w:r w:rsidRPr="003350D7" w:rsidR="00B81317">
        <w:rPr>
          <w:rFonts w:ascii="Verdana" w:hAnsi="Verdana" w:cs="Arial"/>
          <w:sz w:val="18"/>
          <w:szCs w:val="18"/>
        </w:rPr>
        <w:t xml:space="preserve">evenwel </w:t>
      </w:r>
      <w:r w:rsidRPr="003350D7">
        <w:rPr>
          <w:rFonts w:ascii="Verdana" w:hAnsi="Verdana" w:cs="Arial"/>
          <w:sz w:val="18"/>
          <w:szCs w:val="18"/>
        </w:rPr>
        <w:t xml:space="preserve">niet opportuun geacht om implementatie </w:t>
      </w:r>
      <w:r w:rsidRPr="003350D7" w:rsidR="00542C12">
        <w:rPr>
          <w:rFonts w:ascii="Verdana" w:hAnsi="Verdana" w:cs="Arial"/>
          <w:sz w:val="18"/>
          <w:szCs w:val="18"/>
        </w:rPr>
        <w:t>hiervan</w:t>
      </w:r>
      <w:r w:rsidRPr="003350D7">
        <w:rPr>
          <w:rFonts w:ascii="Verdana" w:hAnsi="Verdana" w:cs="Arial"/>
          <w:sz w:val="18"/>
          <w:szCs w:val="18"/>
        </w:rPr>
        <w:t xml:space="preserve"> in nationale wet-</w:t>
      </w:r>
      <w:r w:rsidR="00F95949">
        <w:rPr>
          <w:rFonts w:ascii="Verdana" w:hAnsi="Verdana" w:cs="Arial"/>
          <w:sz w:val="18"/>
          <w:szCs w:val="18"/>
        </w:rPr>
        <w:t xml:space="preserve"> </w:t>
      </w:r>
      <w:r w:rsidRPr="003350D7">
        <w:rPr>
          <w:rFonts w:ascii="Verdana" w:hAnsi="Verdana" w:cs="Arial"/>
          <w:sz w:val="18"/>
          <w:szCs w:val="18"/>
        </w:rPr>
        <w:t xml:space="preserve">en regelgeving af te wachten, wegens reeds op nationaal niveau geïdentificeerde risico’s van deze technologie en de bestaande wens (ontstaan los van de </w:t>
      </w:r>
      <w:r w:rsidRPr="006424AD" w:rsidR="00D24AF9">
        <w:rPr>
          <w:rFonts w:ascii="Verdana" w:hAnsi="Verdana" w:cs="Arial"/>
          <w:b/>
          <w:bCs/>
          <w:sz w:val="16"/>
          <w:szCs w:val="16"/>
        </w:rPr>
        <w:t>[</w:t>
      </w:r>
      <w:r w:rsidRPr="006424AD" w:rsidR="00D24AF9">
        <w:rPr>
          <w:rFonts w:ascii="Verdana" w:hAnsi="Verdana" w:cs="Arial"/>
          <w:sz w:val="16"/>
          <w:szCs w:val="16"/>
        </w:rPr>
        <w:t>voorgestelde</w:t>
      </w:r>
      <w:r w:rsidRPr="006424AD" w:rsidR="00D24AF9">
        <w:rPr>
          <w:rFonts w:ascii="Verdana" w:hAnsi="Verdana" w:cs="Arial"/>
          <w:b/>
          <w:bCs/>
          <w:sz w:val="16"/>
          <w:szCs w:val="16"/>
        </w:rPr>
        <w:t>]</w:t>
      </w:r>
      <w:r w:rsidRPr="003350D7" w:rsidR="00D24AF9">
        <w:rPr>
          <w:rFonts w:ascii="Verdana" w:hAnsi="Verdana" w:cs="Arial"/>
          <w:b/>
          <w:bCs/>
          <w:sz w:val="18"/>
          <w:szCs w:val="18"/>
        </w:rPr>
        <w:t xml:space="preserve"> </w:t>
      </w:r>
      <w:r w:rsidRPr="003350D7" w:rsidR="00D24AF9">
        <w:rPr>
          <w:rFonts w:ascii="Verdana" w:hAnsi="Verdana" w:cs="Arial"/>
          <w:sz w:val="18"/>
          <w:szCs w:val="18"/>
        </w:rPr>
        <w:t>herziene EU-v</w:t>
      </w:r>
      <w:r w:rsidRPr="003350D7">
        <w:rPr>
          <w:rFonts w:ascii="Verdana" w:hAnsi="Verdana" w:cs="Arial"/>
          <w:sz w:val="18"/>
          <w:szCs w:val="18"/>
        </w:rPr>
        <w:t xml:space="preserve">erordening) specifieke toepassingen van AI onder de Wet vifo te brengen. </w:t>
      </w:r>
      <w:r w:rsidRPr="003350D7" w:rsidR="00740035">
        <w:rPr>
          <w:rFonts w:ascii="Verdana" w:hAnsi="Verdana" w:cs="Arial"/>
          <w:sz w:val="18"/>
          <w:szCs w:val="18"/>
        </w:rPr>
        <w:t xml:space="preserve">Wel sluit het wijzigingsbesluit </w:t>
      </w:r>
      <w:r w:rsidRPr="003350D7" w:rsidR="00542C12">
        <w:rPr>
          <w:rFonts w:ascii="Verdana" w:hAnsi="Verdana" w:cs="Arial"/>
          <w:sz w:val="18"/>
          <w:szCs w:val="18"/>
        </w:rPr>
        <w:t xml:space="preserve">alvast </w:t>
      </w:r>
      <w:r w:rsidRPr="003350D7" w:rsidR="00A6699D">
        <w:rPr>
          <w:rFonts w:ascii="Verdana" w:hAnsi="Verdana" w:cs="Arial"/>
          <w:sz w:val="18"/>
          <w:szCs w:val="18"/>
        </w:rPr>
        <w:t xml:space="preserve">één op één </w:t>
      </w:r>
      <w:r w:rsidRPr="003350D7" w:rsidR="00740035">
        <w:rPr>
          <w:rFonts w:ascii="Verdana" w:hAnsi="Verdana" w:cs="Arial"/>
          <w:sz w:val="18"/>
          <w:szCs w:val="18"/>
        </w:rPr>
        <w:t xml:space="preserve">aan op </w:t>
      </w:r>
      <w:r w:rsidRPr="003350D7" w:rsidR="00542C12">
        <w:rPr>
          <w:rFonts w:ascii="Verdana" w:hAnsi="Verdana" w:cs="Arial"/>
          <w:sz w:val="18"/>
          <w:szCs w:val="18"/>
        </w:rPr>
        <w:t xml:space="preserve">de </w:t>
      </w:r>
      <w:r w:rsidRPr="003350D7" w:rsidR="00FC55FA">
        <w:rPr>
          <w:rFonts w:ascii="Verdana" w:hAnsi="Verdana" w:cs="Arial"/>
          <w:sz w:val="18"/>
          <w:szCs w:val="18"/>
        </w:rPr>
        <w:t xml:space="preserve">definitie van </w:t>
      </w:r>
      <w:r w:rsidRPr="003350D7" w:rsidR="00542C12">
        <w:rPr>
          <w:rFonts w:ascii="Verdana" w:hAnsi="Verdana" w:cs="Arial"/>
          <w:sz w:val="18"/>
          <w:szCs w:val="18"/>
        </w:rPr>
        <w:t xml:space="preserve">artificiële-intelligentietechnologieën (AI) uit de </w:t>
      </w:r>
      <w:r w:rsidRPr="003350D7" w:rsidR="00542C12">
        <w:rPr>
          <w:rFonts w:ascii="Verdana" w:hAnsi="Verdana" w:cs="Arial"/>
          <w:b/>
          <w:bCs/>
          <w:sz w:val="18"/>
          <w:szCs w:val="18"/>
        </w:rPr>
        <w:t>[</w:t>
      </w:r>
      <w:r w:rsidRPr="003350D7" w:rsidR="00542C12">
        <w:rPr>
          <w:rFonts w:ascii="Verdana" w:hAnsi="Verdana" w:cs="Arial"/>
          <w:sz w:val="18"/>
          <w:szCs w:val="18"/>
        </w:rPr>
        <w:t>voorgestelde</w:t>
      </w:r>
      <w:r w:rsidRPr="003350D7" w:rsidR="00542C12">
        <w:rPr>
          <w:rFonts w:ascii="Verdana" w:hAnsi="Verdana" w:cs="Arial"/>
          <w:b/>
          <w:bCs/>
          <w:sz w:val="18"/>
          <w:szCs w:val="18"/>
        </w:rPr>
        <w:t xml:space="preserve">] </w:t>
      </w:r>
      <w:r w:rsidRPr="003350D7" w:rsidR="00542C12">
        <w:rPr>
          <w:rFonts w:ascii="Verdana" w:hAnsi="Verdana" w:cs="Arial"/>
          <w:sz w:val="18"/>
          <w:szCs w:val="18"/>
        </w:rPr>
        <w:t>herziene EU-verordening door daar</w:t>
      </w:r>
      <w:r w:rsidRPr="003350D7" w:rsidR="00FC55FA">
        <w:rPr>
          <w:rFonts w:ascii="Verdana" w:hAnsi="Verdana" w:cs="Arial"/>
          <w:sz w:val="18"/>
          <w:szCs w:val="18"/>
        </w:rPr>
        <w:t xml:space="preserve">naar </w:t>
      </w:r>
      <w:r w:rsidRPr="003350D7" w:rsidR="00113DC7">
        <w:rPr>
          <w:rFonts w:ascii="Verdana" w:hAnsi="Verdana" w:cs="Arial"/>
          <w:sz w:val="18"/>
          <w:szCs w:val="18"/>
        </w:rPr>
        <w:t>te verwijzen</w:t>
      </w:r>
      <w:r w:rsidRPr="003350D7" w:rsidR="00FC55FA">
        <w:rPr>
          <w:rFonts w:ascii="Verdana" w:hAnsi="Verdana" w:cs="Arial"/>
          <w:sz w:val="18"/>
          <w:szCs w:val="18"/>
        </w:rPr>
        <w:t>.</w:t>
      </w:r>
      <w:r w:rsidRPr="003350D7" w:rsidR="00B81317">
        <w:rPr>
          <w:rFonts w:ascii="Verdana" w:hAnsi="Verdana" w:cs="Arial"/>
          <w:sz w:val="18"/>
          <w:szCs w:val="18"/>
        </w:rPr>
        <w:t xml:space="preserve"> </w:t>
      </w:r>
      <w:r w:rsidRPr="003350D7" w:rsidR="00542C12">
        <w:rPr>
          <w:rFonts w:ascii="Verdana" w:hAnsi="Verdana" w:cs="Arial"/>
          <w:sz w:val="18"/>
          <w:szCs w:val="18"/>
        </w:rPr>
        <w:t xml:space="preserve">AI wordt daarin </w:t>
      </w:r>
      <w:r w:rsidRPr="003350D7" w:rsidR="00B81317">
        <w:rPr>
          <w:rFonts w:ascii="Verdana" w:hAnsi="Verdana" w:cs="Arial"/>
          <w:sz w:val="18"/>
          <w:szCs w:val="18"/>
        </w:rPr>
        <w:t>omschreven als:</w:t>
      </w:r>
    </w:p>
    <w:p w:rsidRPr="006424AD" w:rsidR="00BD7343" w:rsidP="006424AD" w:rsidRDefault="00BD7343" w14:paraId="5358ECD9" w14:textId="7B90D3A3">
      <w:pPr>
        <w:spacing w:after="0" w:line="240" w:lineRule="atLeast"/>
        <w:ind w:left="284" w:firstLine="283"/>
        <w:rPr>
          <w:rFonts w:ascii="Verdana" w:hAnsi="Verdana" w:cs="Arial"/>
          <w:i/>
          <w:iCs/>
          <w:sz w:val="18"/>
          <w:szCs w:val="18"/>
        </w:rPr>
      </w:pPr>
      <w:r w:rsidRPr="006424AD">
        <w:rPr>
          <w:rFonts w:ascii="Verdana" w:hAnsi="Verdana" w:cs="Arial"/>
          <w:i/>
          <w:iCs/>
          <w:sz w:val="18"/>
          <w:szCs w:val="18"/>
        </w:rPr>
        <w:t>elke technologie of knowhow die specifiek verband houdt met een geautomatiseerd systeem dat is ontworpen om met verschillende niveaus van autonomie te werken en dat na het inzetten ervan aanpassingsvermogen kan vertonen, en dat, voor expliciete of impliciete doelstellingen, uit de ontvangen input afleidt hoe output te genereren zoals voorspellingen, inhoud, aanbevelingen of beslissingen die van invloed kunnen zijn op fysieke of virtuele omgevingen (“AI-systeem”), die worden gebruikt voor:</w:t>
      </w:r>
    </w:p>
    <w:p w:rsidRPr="006424AD" w:rsidR="00BD7343" w:rsidP="006424AD" w:rsidRDefault="007E0D17" w14:paraId="15833473" w14:textId="6C795ECC">
      <w:pPr>
        <w:tabs>
          <w:tab w:val="left" w:pos="426"/>
        </w:tabs>
        <w:spacing w:after="0" w:line="240" w:lineRule="atLeast"/>
        <w:ind w:left="284" w:firstLine="283"/>
        <w:rPr>
          <w:rFonts w:ascii="Verdana" w:hAnsi="Verdana" w:cs="Arial"/>
          <w:i/>
          <w:iCs/>
          <w:sz w:val="18"/>
          <w:szCs w:val="18"/>
        </w:rPr>
      </w:pPr>
      <w:r w:rsidRPr="006424AD">
        <w:rPr>
          <w:rFonts w:ascii="Verdana" w:hAnsi="Verdana" w:cs="Arial"/>
          <w:i/>
          <w:iCs/>
          <w:sz w:val="18"/>
          <w:szCs w:val="18"/>
        </w:rPr>
        <w:t xml:space="preserve">  </w:t>
      </w:r>
      <w:r w:rsidRPr="006424AD" w:rsidR="00BD7343">
        <w:rPr>
          <w:rFonts w:ascii="Verdana" w:hAnsi="Verdana" w:cs="Arial"/>
          <w:i/>
          <w:iCs/>
          <w:sz w:val="18"/>
          <w:szCs w:val="18"/>
        </w:rPr>
        <w:t>i)</w:t>
      </w:r>
      <w:r w:rsidRPr="006424AD" w:rsidR="00C9584B">
        <w:rPr>
          <w:rFonts w:ascii="Verdana" w:hAnsi="Verdana" w:cs="Arial"/>
          <w:i/>
          <w:iCs/>
          <w:sz w:val="18"/>
          <w:szCs w:val="18"/>
        </w:rPr>
        <w:t xml:space="preserve"> </w:t>
      </w:r>
      <w:r w:rsidRPr="006424AD" w:rsidR="00BD7343">
        <w:rPr>
          <w:rFonts w:ascii="Verdana" w:hAnsi="Verdana" w:cs="Arial"/>
          <w:i/>
          <w:iCs/>
          <w:sz w:val="18"/>
          <w:szCs w:val="18"/>
        </w:rPr>
        <w:t>AI-modellen voor algemene doeleinden zoals gedefinieerd in artikel 3, punt 63), van Verordening (EU) 2024/1689 van het Europees Parlement en de Raad</w:t>
      </w:r>
      <w:r w:rsidRPr="006424AD" w:rsidR="00C9584B">
        <w:rPr>
          <w:rFonts w:ascii="Verdana" w:hAnsi="Verdana" w:cs="Arial"/>
          <w:i/>
          <w:iCs/>
          <w:sz w:val="18"/>
          <w:szCs w:val="18"/>
        </w:rPr>
        <w:t xml:space="preserve"> </w:t>
      </w:r>
      <w:r w:rsidRPr="006424AD" w:rsidR="00C9584B">
        <w:rPr>
          <w:rFonts w:ascii="Verdana" w:hAnsi="Verdana" w:cs="Arial"/>
          <w:i/>
          <w:iCs/>
          <w:sz w:val="18"/>
          <w:szCs w:val="18"/>
          <w:vertAlign w:val="superscript"/>
          <w:lang w:val="en-US"/>
        </w:rPr>
        <w:footnoteReference w:id="11"/>
      </w:r>
      <w:r w:rsidRPr="006424AD" w:rsidR="00BD7343">
        <w:rPr>
          <w:rFonts w:ascii="Verdana" w:hAnsi="Verdana" w:cs="Arial"/>
          <w:i/>
          <w:iCs/>
          <w:sz w:val="18"/>
          <w:szCs w:val="18"/>
        </w:rPr>
        <w:t xml:space="preserve"> of AI-systemen die op dergelijke modellen zijn gebaseerd en die geschikt zijn voor de ontwikkeling van ruimtevaart- of defensietoepassingen; of </w:t>
      </w:r>
    </w:p>
    <w:p w:rsidRPr="006424AD" w:rsidR="00BD7343" w:rsidP="006424AD" w:rsidRDefault="007E0D17" w14:paraId="737F8116" w14:textId="1E5E78FF">
      <w:pPr>
        <w:spacing w:after="0" w:line="240" w:lineRule="atLeast"/>
        <w:ind w:left="284" w:firstLine="283"/>
        <w:rPr>
          <w:rFonts w:ascii="Verdana" w:hAnsi="Verdana" w:cs="Arial"/>
          <w:i/>
          <w:iCs/>
          <w:sz w:val="18"/>
          <w:szCs w:val="18"/>
        </w:rPr>
      </w:pPr>
      <w:r w:rsidRPr="006424AD">
        <w:rPr>
          <w:rFonts w:ascii="Verdana" w:hAnsi="Verdana" w:cs="Arial"/>
          <w:i/>
          <w:iCs/>
          <w:sz w:val="18"/>
          <w:szCs w:val="18"/>
        </w:rPr>
        <w:t xml:space="preserve">  </w:t>
      </w:r>
      <w:r w:rsidRPr="006424AD" w:rsidR="00BD7343">
        <w:rPr>
          <w:rFonts w:ascii="Verdana" w:hAnsi="Verdana" w:cs="Arial"/>
          <w:i/>
          <w:iCs/>
          <w:sz w:val="18"/>
          <w:szCs w:val="18"/>
        </w:rPr>
        <w:t>ii)</w:t>
      </w:r>
      <w:r w:rsidRPr="006424AD" w:rsidR="00C9584B">
        <w:rPr>
          <w:rFonts w:ascii="Verdana" w:hAnsi="Verdana" w:cs="Arial"/>
          <w:i/>
          <w:iCs/>
          <w:sz w:val="18"/>
          <w:szCs w:val="18"/>
        </w:rPr>
        <w:t xml:space="preserve"> </w:t>
      </w:r>
      <w:r w:rsidRPr="006424AD" w:rsidR="00BD7343">
        <w:rPr>
          <w:rFonts w:ascii="Verdana" w:hAnsi="Verdana" w:cs="Arial"/>
          <w:i/>
          <w:iCs/>
          <w:sz w:val="18"/>
          <w:szCs w:val="18"/>
        </w:rPr>
        <w:t>AI-modellen voor algemene doeleinden met een systeemrisico in de zin van artikel 51 van Verordening (EU) 2024/1689 of AI-systemen die op dergelijke modellen zijn gebaseerd.</w:t>
      </w:r>
    </w:p>
    <w:p w:rsidRPr="003350D7" w:rsidR="00BD7343" w:rsidP="00B81317" w:rsidRDefault="007E7189" w14:paraId="2947B5CC" w14:textId="2D9892FF">
      <w:pPr>
        <w:spacing w:after="0" w:line="240" w:lineRule="atLeast"/>
        <w:rPr>
          <w:rFonts w:ascii="Verdana" w:hAnsi="Verdana" w:cs="Arial"/>
          <w:sz w:val="18"/>
          <w:szCs w:val="18"/>
        </w:rPr>
      </w:pPr>
      <w:r w:rsidRPr="003350D7">
        <w:rPr>
          <w:rFonts w:ascii="Verdana" w:hAnsi="Verdana" w:cs="Arial"/>
          <w:sz w:val="18"/>
          <w:szCs w:val="18"/>
        </w:rPr>
        <w:t xml:space="preserve">Indien </w:t>
      </w:r>
      <w:r w:rsidRPr="003350D7" w:rsidR="00542C12">
        <w:rPr>
          <w:rFonts w:ascii="Verdana" w:hAnsi="Verdana" w:cs="Arial"/>
          <w:sz w:val="18"/>
          <w:szCs w:val="18"/>
        </w:rPr>
        <w:t xml:space="preserve">gedurende de voorbereiding van de </w:t>
      </w:r>
      <w:r w:rsidRPr="003350D7" w:rsidR="005E6DD3">
        <w:rPr>
          <w:rFonts w:ascii="Verdana" w:hAnsi="Verdana" w:cs="Arial"/>
          <w:sz w:val="18"/>
          <w:szCs w:val="18"/>
        </w:rPr>
        <w:t xml:space="preserve">omzetting van de </w:t>
      </w:r>
      <w:r w:rsidRPr="006424AD" w:rsidR="005E6DD3">
        <w:rPr>
          <w:rFonts w:ascii="Verdana" w:hAnsi="Verdana" w:cs="Arial"/>
          <w:b/>
          <w:bCs/>
          <w:sz w:val="16"/>
          <w:szCs w:val="16"/>
        </w:rPr>
        <w:t>[</w:t>
      </w:r>
      <w:r w:rsidRPr="006424AD" w:rsidR="005E6DD3">
        <w:rPr>
          <w:rFonts w:ascii="Verdana" w:hAnsi="Verdana" w:cs="Arial"/>
          <w:sz w:val="16"/>
          <w:szCs w:val="16"/>
        </w:rPr>
        <w:t>voorgestelde</w:t>
      </w:r>
      <w:r w:rsidRPr="006424AD" w:rsidR="005E6DD3">
        <w:rPr>
          <w:rFonts w:ascii="Verdana" w:hAnsi="Verdana" w:cs="Arial"/>
          <w:b/>
          <w:bCs/>
          <w:sz w:val="16"/>
          <w:szCs w:val="16"/>
        </w:rPr>
        <w:t>]</w:t>
      </w:r>
      <w:r w:rsidRPr="006424AD" w:rsidR="005E6DD3">
        <w:rPr>
          <w:rFonts w:ascii="Verdana" w:hAnsi="Verdana" w:cs="Arial"/>
          <w:b/>
          <w:bCs/>
          <w:sz w:val="18"/>
          <w:szCs w:val="18"/>
        </w:rPr>
        <w:t xml:space="preserve"> </w:t>
      </w:r>
      <w:r w:rsidRPr="003350D7" w:rsidR="005E6DD3">
        <w:rPr>
          <w:rFonts w:ascii="Verdana" w:hAnsi="Verdana" w:cs="Arial"/>
          <w:sz w:val="18"/>
          <w:szCs w:val="18"/>
        </w:rPr>
        <w:t>herziene EU-verordening meer informatie beschikbaar kom</w:t>
      </w:r>
      <w:r w:rsidRPr="003350D7" w:rsidR="003B2F76">
        <w:rPr>
          <w:rFonts w:ascii="Verdana" w:hAnsi="Verdana" w:cs="Arial"/>
          <w:sz w:val="18"/>
          <w:szCs w:val="18"/>
        </w:rPr>
        <w:t>t</w:t>
      </w:r>
      <w:r w:rsidRPr="003350D7" w:rsidR="005E6DD3">
        <w:rPr>
          <w:rFonts w:ascii="Verdana" w:hAnsi="Verdana" w:cs="Arial"/>
          <w:sz w:val="18"/>
          <w:szCs w:val="18"/>
        </w:rPr>
        <w:t xml:space="preserve"> die dienstbaar is aan de uitleg van deze definitie, </w:t>
      </w:r>
      <w:r w:rsidRPr="003350D7" w:rsidR="00542C12">
        <w:rPr>
          <w:rFonts w:ascii="Verdana" w:hAnsi="Verdana" w:cs="Arial"/>
          <w:sz w:val="18"/>
          <w:szCs w:val="18"/>
        </w:rPr>
        <w:t xml:space="preserve">zal het </w:t>
      </w:r>
      <w:r w:rsidRPr="003350D7" w:rsidR="005E6DD3">
        <w:rPr>
          <w:rFonts w:ascii="Verdana" w:hAnsi="Verdana" w:cs="Arial"/>
          <w:sz w:val="18"/>
          <w:szCs w:val="18"/>
        </w:rPr>
        <w:t xml:space="preserve">Bureau Toetsing Investeringen (hierna verder te noemen: </w:t>
      </w:r>
      <w:r w:rsidR="00194F5B">
        <w:rPr>
          <w:rFonts w:ascii="Verdana" w:hAnsi="Verdana" w:cs="Arial"/>
          <w:sz w:val="18"/>
          <w:szCs w:val="18"/>
        </w:rPr>
        <w:t xml:space="preserve">het </w:t>
      </w:r>
      <w:r w:rsidRPr="003350D7" w:rsidR="005E6DD3">
        <w:rPr>
          <w:rFonts w:ascii="Verdana" w:hAnsi="Verdana" w:cs="Arial"/>
          <w:sz w:val="18"/>
          <w:szCs w:val="18"/>
        </w:rPr>
        <w:t xml:space="preserve">BTI) </w:t>
      </w:r>
      <w:r w:rsidRPr="003350D7" w:rsidR="00235F5D">
        <w:rPr>
          <w:rFonts w:ascii="Verdana" w:hAnsi="Verdana" w:cs="Arial"/>
          <w:sz w:val="18"/>
          <w:szCs w:val="18"/>
        </w:rPr>
        <w:t xml:space="preserve">die zo nodig </w:t>
      </w:r>
      <w:r w:rsidRPr="003350D7">
        <w:rPr>
          <w:rFonts w:ascii="Verdana" w:hAnsi="Verdana" w:cs="Arial"/>
          <w:sz w:val="18"/>
          <w:szCs w:val="18"/>
        </w:rPr>
        <w:t xml:space="preserve">actief </w:t>
      </w:r>
      <w:r w:rsidRPr="003350D7" w:rsidR="00235F5D">
        <w:rPr>
          <w:rFonts w:ascii="Verdana" w:hAnsi="Verdana" w:cs="Arial"/>
          <w:sz w:val="18"/>
          <w:szCs w:val="18"/>
        </w:rPr>
        <w:t>openbaar maken</w:t>
      </w:r>
      <w:r w:rsidRPr="003350D7" w:rsidR="00542C12">
        <w:rPr>
          <w:rFonts w:ascii="Verdana" w:hAnsi="Verdana" w:cs="Arial"/>
          <w:sz w:val="18"/>
          <w:szCs w:val="18"/>
        </w:rPr>
        <w:t>.</w:t>
      </w:r>
      <w:r w:rsidRPr="003350D7" w:rsidR="005E6DD3">
        <w:rPr>
          <w:rFonts w:ascii="Verdana" w:hAnsi="Verdana" w:cs="Arial"/>
          <w:sz w:val="18"/>
          <w:szCs w:val="18"/>
        </w:rPr>
        <w:t xml:space="preserve"> </w:t>
      </w:r>
    </w:p>
    <w:p w:rsidRPr="003350D7" w:rsidR="005E6DD3" w:rsidP="006424AD" w:rsidRDefault="005E6DD3" w14:paraId="4E8D03B3" w14:textId="77777777">
      <w:pPr>
        <w:spacing w:after="0" w:line="240" w:lineRule="atLeast"/>
        <w:rPr>
          <w:rFonts w:ascii="Verdana" w:hAnsi="Verdana" w:cs="Arial"/>
          <w:sz w:val="18"/>
          <w:szCs w:val="18"/>
        </w:rPr>
      </w:pPr>
    </w:p>
    <w:p w:rsidRPr="006424AD" w:rsidR="006309AC" w:rsidP="006424AD" w:rsidRDefault="006309AC" w14:paraId="67C5673F" w14:textId="4D8BC94F">
      <w:pPr>
        <w:spacing w:after="0" w:line="240" w:lineRule="atLeast"/>
        <w:rPr>
          <w:rFonts w:ascii="Verdana" w:hAnsi="Verdana" w:cs="Arial"/>
          <w:sz w:val="16"/>
          <w:szCs w:val="16"/>
        </w:rPr>
      </w:pPr>
      <w:r w:rsidRPr="006424AD">
        <w:rPr>
          <w:rFonts w:ascii="Verdana" w:hAnsi="Verdana" w:cs="Arial"/>
          <w:b/>
          <w:bCs/>
          <w:sz w:val="16"/>
          <w:szCs w:val="16"/>
        </w:rPr>
        <w:t>[</w:t>
      </w:r>
      <w:r w:rsidRPr="006424AD">
        <w:rPr>
          <w:rFonts w:ascii="Verdana" w:hAnsi="Verdana" w:cs="Arial"/>
          <w:sz w:val="16"/>
          <w:szCs w:val="16"/>
        </w:rPr>
        <w:t xml:space="preserve">Onderstaande alinea vervalt in het geval </w:t>
      </w:r>
      <w:r w:rsidRPr="006424AD" w:rsidR="00CE5CDB">
        <w:rPr>
          <w:rFonts w:ascii="Verdana" w:hAnsi="Verdana" w:cs="Arial"/>
          <w:sz w:val="16"/>
          <w:szCs w:val="16"/>
        </w:rPr>
        <w:t xml:space="preserve">de ambtelijke diensten van de Europese Commissie </w:t>
      </w:r>
      <w:r w:rsidRPr="006424AD" w:rsidR="00937949">
        <w:rPr>
          <w:rFonts w:ascii="Verdana" w:hAnsi="Verdana" w:cs="Arial"/>
          <w:sz w:val="16"/>
          <w:szCs w:val="16"/>
        </w:rPr>
        <w:t xml:space="preserve">desgevraagd </w:t>
      </w:r>
      <w:r w:rsidRPr="006424AD" w:rsidR="00EC5312">
        <w:rPr>
          <w:rFonts w:ascii="Verdana" w:hAnsi="Verdana" w:cs="Arial"/>
          <w:sz w:val="16"/>
          <w:szCs w:val="16"/>
        </w:rPr>
        <w:t xml:space="preserve">een nadere </w:t>
      </w:r>
      <w:r w:rsidRPr="006424AD" w:rsidR="00BF2782">
        <w:rPr>
          <w:rFonts w:ascii="Verdana" w:hAnsi="Verdana" w:cs="Arial"/>
          <w:sz w:val="16"/>
          <w:szCs w:val="16"/>
        </w:rPr>
        <w:t xml:space="preserve">toelichting </w:t>
      </w:r>
      <w:r w:rsidRPr="006424AD" w:rsidR="00DF05C0">
        <w:rPr>
          <w:rFonts w:ascii="Verdana" w:hAnsi="Verdana" w:cs="Arial"/>
          <w:sz w:val="16"/>
          <w:szCs w:val="16"/>
        </w:rPr>
        <w:t xml:space="preserve">hebben </w:t>
      </w:r>
      <w:r w:rsidRPr="006424AD" w:rsidR="006C4291">
        <w:rPr>
          <w:rFonts w:ascii="Verdana" w:hAnsi="Verdana" w:cs="Arial"/>
          <w:sz w:val="16"/>
          <w:szCs w:val="16"/>
        </w:rPr>
        <w:t xml:space="preserve">kunnen </w:t>
      </w:r>
      <w:r w:rsidRPr="006424AD" w:rsidR="00DF05C0">
        <w:rPr>
          <w:rFonts w:ascii="Verdana" w:hAnsi="Verdana" w:cs="Arial"/>
          <w:sz w:val="16"/>
          <w:szCs w:val="16"/>
        </w:rPr>
        <w:t xml:space="preserve">geven op basis waarvan wordt geconcludeerd </w:t>
      </w:r>
      <w:r w:rsidRPr="006424AD" w:rsidR="00EC5312">
        <w:rPr>
          <w:rFonts w:ascii="Verdana" w:hAnsi="Verdana" w:cs="Arial"/>
          <w:sz w:val="16"/>
          <w:szCs w:val="16"/>
        </w:rPr>
        <w:t xml:space="preserve">dat </w:t>
      </w:r>
      <w:r w:rsidRPr="006424AD" w:rsidR="006C4291">
        <w:rPr>
          <w:rFonts w:ascii="Verdana" w:hAnsi="Verdana" w:cs="Arial"/>
          <w:sz w:val="16"/>
          <w:szCs w:val="16"/>
        </w:rPr>
        <w:t xml:space="preserve">een aantal </w:t>
      </w:r>
      <w:r w:rsidRPr="006424AD" w:rsidR="00CB096E">
        <w:rPr>
          <w:rFonts w:ascii="Verdana" w:hAnsi="Verdana" w:cs="Arial"/>
          <w:sz w:val="16"/>
          <w:szCs w:val="16"/>
        </w:rPr>
        <w:t xml:space="preserve">hieronder aangeduide </w:t>
      </w:r>
      <w:r w:rsidRPr="006424AD">
        <w:rPr>
          <w:rFonts w:ascii="Verdana" w:hAnsi="Verdana" w:cs="Arial"/>
          <w:sz w:val="16"/>
          <w:szCs w:val="16"/>
        </w:rPr>
        <w:t xml:space="preserve">specifieke </w:t>
      </w:r>
      <w:r w:rsidRPr="006424AD" w:rsidR="00CB096E">
        <w:rPr>
          <w:rFonts w:ascii="Verdana" w:hAnsi="Verdana" w:cs="Arial"/>
          <w:sz w:val="16"/>
          <w:szCs w:val="16"/>
        </w:rPr>
        <w:t xml:space="preserve">en </w:t>
      </w:r>
      <w:r w:rsidRPr="006424AD" w:rsidR="00CE5CDB">
        <w:rPr>
          <w:rFonts w:ascii="Verdana" w:hAnsi="Verdana" w:cs="Arial"/>
          <w:sz w:val="16"/>
          <w:szCs w:val="16"/>
        </w:rPr>
        <w:t xml:space="preserve">als </w:t>
      </w:r>
      <w:r w:rsidRPr="006424AD">
        <w:rPr>
          <w:rFonts w:ascii="Verdana" w:hAnsi="Verdana" w:cs="Arial"/>
          <w:sz w:val="16"/>
          <w:szCs w:val="16"/>
        </w:rPr>
        <w:t xml:space="preserve">zeer risicovolle </w:t>
      </w:r>
      <w:r w:rsidRPr="006424AD" w:rsidR="00CE5CDB">
        <w:rPr>
          <w:rFonts w:ascii="Verdana" w:hAnsi="Verdana" w:cs="Arial"/>
          <w:sz w:val="16"/>
          <w:szCs w:val="16"/>
        </w:rPr>
        <w:t xml:space="preserve">te beschouwen </w:t>
      </w:r>
      <w:r w:rsidRPr="006424AD">
        <w:rPr>
          <w:rFonts w:ascii="Verdana" w:hAnsi="Verdana" w:cs="Arial"/>
          <w:sz w:val="16"/>
          <w:szCs w:val="16"/>
        </w:rPr>
        <w:t xml:space="preserve">toepassingen van AI onder voornoemde afbakening van de </w:t>
      </w:r>
      <w:r w:rsidRPr="006424AD">
        <w:rPr>
          <w:rFonts w:ascii="Verdana" w:hAnsi="Verdana" w:cs="Arial"/>
          <w:b/>
          <w:bCs/>
          <w:sz w:val="16"/>
          <w:szCs w:val="16"/>
        </w:rPr>
        <w:t>[</w:t>
      </w:r>
      <w:r w:rsidRPr="006424AD">
        <w:rPr>
          <w:rFonts w:ascii="Verdana" w:hAnsi="Verdana" w:cs="Arial"/>
          <w:sz w:val="16"/>
          <w:szCs w:val="16"/>
        </w:rPr>
        <w:t>voorgestelde</w:t>
      </w:r>
      <w:r w:rsidRPr="006424AD">
        <w:rPr>
          <w:rFonts w:ascii="Verdana" w:hAnsi="Verdana" w:cs="Arial"/>
          <w:b/>
          <w:bCs/>
          <w:sz w:val="16"/>
          <w:szCs w:val="16"/>
        </w:rPr>
        <w:t xml:space="preserve">] </w:t>
      </w:r>
      <w:r w:rsidRPr="006424AD">
        <w:rPr>
          <w:rFonts w:ascii="Verdana" w:hAnsi="Verdana" w:cs="Arial"/>
          <w:sz w:val="16"/>
          <w:szCs w:val="16"/>
        </w:rPr>
        <w:t>herziene EU-verordening vallen.</w:t>
      </w:r>
      <w:r w:rsidRPr="006424AD">
        <w:rPr>
          <w:rFonts w:ascii="Verdana" w:hAnsi="Verdana" w:cs="Arial"/>
          <w:b/>
          <w:bCs/>
          <w:sz w:val="16"/>
          <w:szCs w:val="16"/>
        </w:rPr>
        <w:t>]</w:t>
      </w:r>
      <w:r w:rsidRPr="006424AD">
        <w:rPr>
          <w:rFonts w:ascii="Verdana" w:hAnsi="Verdana" w:cs="Arial"/>
          <w:sz w:val="16"/>
          <w:szCs w:val="16"/>
        </w:rPr>
        <w:t xml:space="preserve"> </w:t>
      </w:r>
    </w:p>
    <w:p w:rsidRPr="003350D7" w:rsidR="006309AC" w:rsidP="006309AC" w:rsidRDefault="008F7513" w14:paraId="7C7C6392" w14:textId="55597238">
      <w:pPr>
        <w:spacing w:line="240" w:lineRule="atLeast"/>
        <w:rPr>
          <w:rFonts w:ascii="Verdana" w:hAnsi="Verdana" w:cs="Arial"/>
          <w:sz w:val="18"/>
          <w:szCs w:val="18"/>
        </w:rPr>
      </w:pPr>
      <w:r w:rsidRPr="003350D7">
        <w:rPr>
          <w:rFonts w:ascii="Verdana" w:hAnsi="Verdana" w:cs="Arial"/>
          <w:sz w:val="18"/>
          <w:szCs w:val="18"/>
        </w:rPr>
        <w:t xml:space="preserve">Daarnaast </w:t>
      </w:r>
      <w:r w:rsidRPr="003350D7" w:rsidR="009D3090">
        <w:rPr>
          <w:rFonts w:ascii="Verdana" w:hAnsi="Verdana" w:cs="Arial"/>
          <w:sz w:val="18"/>
          <w:szCs w:val="18"/>
        </w:rPr>
        <w:t>leiden</w:t>
      </w:r>
      <w:r w:rsidRPr="003350D7">
        <w:rPr>
          <w:rFonts w:ascii="Verdana" w:hAnsi="Verdana" w:cs="Arial"/>
          <w:sz w:val="18"/>
          <w:szCs w:val="18"/>
        </w:rPr>
        <w:t xml:space="preserve"> de </w:t>
      </w:r>
      <w:r w:rsidRPr="003350D7" w:rsidR="009D3090">
        <w:rPr>
          <w:rFonts w:ascii="Verdana" w:hAnsi="Verdana" w:cs="Arial"/>
          <w:sz w:val="18"/>
          <w:szCs w:val="18"/>
        </w:rPr>
        <w:t>eerder genoemde</w:t>
      </w:r>
      <w:r w:rsidRPr="003350D7">
        <w:rPr>
          <w:rFonts w:ascii="Verdana" w:hAnsi="Verdana" w:cs="Arial"/>
          <w:sz w:val="18"/>
          <w:szCs w:val="18"/>
        </w:rPr>
        <w:t xml:space="preserve"> risicoanalyses en beleidsmatige afwegingen op nationaal niveau </w:t>
      </w:r>
      <w:r w:rsidRPr="003350D7" w:rsidR="009D3090">
        <w:rPr>
          <w:rFonts w:ascii="Verdana" w:hAnsi="Verdana" w:cs="Arial"/>
          <w:sz w:val="18"/>
          <w:szCs w:val="18"/>
        </w:rPr>
        <w:t xml:space="preserve">ertoe dat de wens bestaat enkele specifieke </w:t>
      </w:r>
      <w:r w:rsidRPr="003350D7" w:rsidR="00EC5312">
        <w:rPr>
          <w:rFonts w:ascii="Verdana" w:hAnsi="Verdana" w:cs="Arial"/>
          <w:sz w:val="18"/>
          <w:szCs w:val="18"/>
        </w:rPr>
        <w:t xml:space="preserve">als zeer </w:t>
      </w:r>
      <w:r w:rsidRPr="003350D7" w:rsidR="009D3090">
        <w:rPr>
          <w:rFonts w:ascii="Verdana" w:hAnsi="Verdana" w:cs="Arial"/>
          <w:sz w:val="18"/>
          <w:szCs w:val="18"/>
        </w:rPr>
        <w:t>risicovol</w:t>
      </w:r>
      <w:r w:rsidRPr="003350D7" w:rsidR="00EC5312">
        <w:rPr>
          <w:rFonts w:ascii="Verdana" w:hAnsi="Verdana" w:cs="Arial"/>
          <w:sz w:val="18"/>
          <w:szCs w:val="18"/>
        </w:rPr>
        <w:t xml:space="preserve"> te beschouwen</w:t>
      </w:r>
      <w:r w:rsidRPr="003350D7" w:rsidR="009D3090">
        <w:rPr>
          <w:rFonts w:ascii="Verdana" w:hAnsi="Verdana" w:cs="Arial"/>
          <w:sz w:val="18"/>
          <w:szCs w:val="18"/>
        </w:rPr>
        <w:t xml:space="preserve"> toepassingen van AI expliciet </w:t>
      </w:r>
      <w:r w:rsidRPr="003350D7" w:rsidR="0080296B">
        <w:rPr>
          <w:rFonts w:ascii="Verdana" w:hAnsi="Verdana" w:cs="Arial"/>
          <w:sz w:val="18"/>
          <w:szCs w:val="18"/>
        </w:rPr>
        <w:t xml:space="preserve">en afzonderlijk </w:t>
      </w:r>
      <w:r w:rsidRPr="003350D7" w:rsidR="009D3090">
        <w:rPr>
          <w:rFonts w:ascii="Verdana" w:hAnsi="Verdana" w:cs="Arial"/>
          <w:sz w:val="18"/>
          <w:szCs w:val="18"/>
        </w:rPr>
        <w:t>onder het toepassingsbereik van de Wet vifo</w:t>
      </w:r>
      <w:r w:rsidRPr="003350D7" w:rsidR="00EC5312">
        <w:rPr>
          <w:rFonts w:ascii="Verdana" w:hAnsi="Verdana" w:cs="Arial"/>
          <w:sz w:val="18"/>
          <w:szCs w:val="18"/>
        </w:rPr>
        <w:t xml:space="preserve"> te brengen</w:t>
      </w:r>
      <w:r w:rsidRPr="003350D7" w:rsidR="009D3090">
        <w:rPr>
          <w:rFonts w:ascii="Verdana" w:hAnsi="Verdana" w:cs="Arial"/>
          <w:sz w:val="18"/>
          <w:szCs w:val="18"/>
        </w:rPr>
        <w:t>.</w:t>
      </w:r>
      <w:r w:rsidRPr="003350D7">
        <w:rPr>
          <w:rFonts w:ascii="Verdana" w:hAnsi="Verdana" w:cs="Arial"/>
          <w:sz w:val="18"/>
          <w:szCs w:val="18"/>
        </w:rPr>
        <w:t xml:space="preserve"> </w:t>
      </w:r>
      <w:r w:rsidRPr="003350D7" w:rsidR="00EC5312">
        <w:rPr>
          <w:rFonts w:ascii="Verdana" w:hAnsi="Verdana" w:cs="Arial"/>
          <w:sz w:val="18"/>
          <w:szCs w:val="18"/>
        </w:rPr>
        <w:t xml:space="preserve">Het </w:t>
      </w:r>
      <w:r w:rsidRPr="003350D7" w:rsidR="007E7189">
        <w:rPr>
          <w:rFonts w:ascii="Verdana" w:hAnsi="Verdana" w:cs="Arial"/>
          <w:sz w:val="18"/>
          <w:szCs w:val="18"/>
        </w:rPr>
        <w:t xml:space="preserve">is niet duidelijk </w:t>
      </w:r>
      <w:r w:rsidRPr="003350D7" w:rsidR="00BE503E">
        <w:rPr>
          <w:rFonts w:ascii="Verdana" w:hAnsi="Verdana" w:cs="Arial"/>
          <w:sz w:val="18"/>
          <w:szCs w:val="18"/>
        </w:rPr>
        <w:t>in hoeverre</w:t>
      </w:r>
      <w:r w:rsidRPr="003350D7" w:rsidR="009D3090">
        <w:rPr>
          <w:rFonts w:ascii="Verdana" w:hAnsi="Verdana" w:cs="Arial"/>
          <w:sz w:val="18"/>
          <w:szCs w:val="18"/>
        </w:rPr>
        <w:t xml:space="preserve"> deze</w:t>
      </w:r>
      <w:r w:rsidRPr="003350D7" w:rsidR="00BE503E">
        <w:rPr>
          <w:rFonts w:ascii="Verdana" w:hAnsi="Verdana" w:cs="Arial"/>
          <w:sz w:val="18"/>
          <w:szCs w:val="18"/>
        </w:rPr>
        <w:t xml:space="preserve"> </w:t>
      </w:r>
      <w:r w:rsidRPr="003350D7" w:rsidR="00B42887">
        <w:rPr>
          <w:rFonts w:ascii="Verdana" w:hAnsi="Verdana" w:cs="Arial"/>
          <w:sz w:val="18"/>
          <w:szCs w:val="18"/>
        </w:rPr>
        <w:t>specifieke toepassingen van AI-technologie</w:t>
      </w:r>
      <w:r w:rsidRPr="003350D7" w:rsidR="00BE503E">
        <w:rPr>
          <w:rFonts w:ascii="Verdana" w:hAnsi="Verdana" w:cs="Arial"/>
          <w:sz w:val="18"/>
          <w:szCs w:val="18"/>
        </w:rPr>
        <w:t xml:space="preserve"> </w:t>
      </w:r>
      <w:r w:rsidRPr="003350D7" w:rsidR="009D3090">
        <w:rPr>
          <w:rFonts w:ascii="Verdana" w:hAnsi="Verdana" w:cs="Arial"/>
          <w:sz w:val="18"/>
          <w:szCs w:val="18"/>
        </w:rPr>
        <w:t>in all</w:t>
      </w:r>
      <w:r w:rsidRPr="003350D7" w:rsidR="00033114">
        <w:rPr>
          <w:rFonts w:ascii="Verdana" w:hAnsi="Verdana" w:cs="Arial"/>
          <w:sz w:val="18"/>
          <w:szCs w:val="18"/>
        </w:rPr>
        <w:t xml:space="preserve">e gevallen reeds gedekt zijn door </w:t>
      </w:r>
      <w:r w:rsidRPr="003350D7" w:rsidR="0080296B">
        <w:rPr>
          <w:rFonts w:ascii="Verdana" w:hAnsi="Verdana" w:cs="Arial"/>
          <w:sz w:val="18"/>
          <w:szCs w:val="18"/>
        </w:rPr>
        <w:t xml:space="preserve">de hiervoor aangehaalde </w:t>
      </w:r>
      <w:r w:rsidRPr="003350D7" w:rsidR="00033114">
        <w:rPr>
          <w:rFonts w:ascii="Verdana" w:hAnsi="Verdana" w:cs="Arial"/>
          <w:sz w:val="18"/>
          <w:szCs w:val="18"/>
        </w:rPr>
        <w:t>definitie</w:t>
      </w:r>
      <w:r w:rsidRPr="003350D7" w:rsidR="00EC5312">
        <w:rPr>
          <w:rFonts w:ascii="Verdana" w:hAnsi="Verdana" w:cs="Arial"/>
          <w:sz w:val="18"/>
          <w:szCs w:val="18"/>
        </w:rPr>
        <w:t xml:space="preserve">-afbakening </w:t>
      </w:r>
      <w:r w:rsidRPr="003350D7" w:rsidR="00033114">
        <w:rPr>
          <w:rFonts w:ascii="Verdana" w:hAnsi="Verdana" w:cs="Arial"/>
          <w:sz w:val="18"/>
          <w:szCs w:val="18"/>
        </w:rPr>
        <w:t xml:space="preserve">uit de </w:t>
      </w:r>
      <w:r w:rsidRPr="006424AD" w:rsidR="006A1F47">
        <w:rPr>
          <w:rFonts w:ascii="Verdana" w:hAnsi="Verdana" w:cs="Arial"/>
          <w:b/>
          <w:bCs/>
          <w:sz w:val="16"/>
          <w:szCs w:val="16"/>
        </w:rPr>
        <w:t>[</w:t>
      </w:r>
      <w:r w:rsidRPr="006424AD" w:rsidR="006A1F47">
        <w:rPr>
          <w:rFonts w:ascii="Verdana" w:hAnsi="Verdana" w:cs="Arial"/>
          <w:sz w:val="16"/>
          <w:szCs w:val="16"/>
        </w:rPr>
        <w:t>voorgestelde</w:t>
      </w:r>
      <w:r w:rsidRPr="006424AD" w:rsidR="006A1F47">
        <w:rPr>
          <w:rFonts w:ascii="Verdana" w:hAnsi="Verdana" w:cs="Arial"/>
          <w:b/>
          <w:bCs/>
          <w:sz w:val="16"/>
          <w:szCs w:val="16"/>
        </w:rPr>
        <w:t xml:space="preserve">] </w:t>
      </w:r>
      <w:r w:rsidRPr="006424AD" w:rsidR="006A1F47">
        <w:rPr>
          <w:rFonts w:ascii="Verdana" w:hAnsi="Verdana" w:cs="Arial"/>
          <w:sz w:val="18"/>
          <w:szCs w:val="18"/>
        </w:rPr>
        <w:t>herziene EU</w:t>
      </w:r>
      <w:r w:rsidRPr="003350D7" w:rsidR="00033114">
        <w:rPr>
          <w:rFonts w:ascii="Verdana" w:hAnsi="Verdana" w:cs="Arial"/>
          <w:sz w:val="18"/>
          <w:szCs w:val="18"/>
        </w:rPr>
        <w:t>-</w:t>
      </w:r>
      <w:r w:rsidRPr="003350D7" w:rsidR="006A1F47">
        <w:rPr>
          <w:rFonts w:ascii="Verdana" w:hAnsi="Verdana" w:cs="Arial"/>
          <w:sz w:val="18"/>
          <w:szCs w:val="18"/>
        </w:rPr>
        <w:lastRenderedPageBreak/>
        <w:t>v</w:t>
      </w:r>
      <w:r w:rsidRPr="003350D7" w:rsidR="00033114">
        <w:rPr>
          <w:rFonts w:ascii="Verdana" w:hAnsi="Verdana" w:cs="Arial"/>
          <w:sz w:val="18"/>
          <w:szCs w:val="18"/>
        </w:rPr>
        <w:t>erordening</w:t>
      </w:r>
      <w:r w:rsidRPr="003350D7" w:rsidR="00EC5312">
        <w:rPr>
          <w:rFonts w:ascii="Verdana" w:hAnsi="Verdana" w:cs="Arial"/>
          <w:sz w:val="18"/>
          <w:szCs w:val="18"/>
        </w:rPr>
        <w:t xml:space="preserve">, terwijl die </w:t>
      </w:r>
      <w:r w:rsidRPr="003350D7" w:rsidR="00BD23D6">
        <w:rPr>
          <w:rFonts w:ascii="Verdana" w:hAnsi="Verdana" w:cs="Arial"/>
          <w:sz w:val="18"/>
          <w:szCs w:val="18"/>
        </w:rPr>
        <w:t xml:space="preserve">wel </w:t>
      </w:r>
      <w:r w:rsidRPr="003350D7" w:rsidR="00EC5312">
        <w:rPr>
          <w:rFonts w:ascii="Verdana" w:hAnsi="Verdana" w:cs="Arial"/>
          <w:sz w:val="18"/>
          <w:szCs w:val="18"/>
        </w:rPr>
        <w:t xml:space="preserve">bijzondere risico’s voor de nationale veiligheid met zich mee brengen. </w:t>
      </w:r>
      <w:r w:rsidRPr="003350D7" w:rsidR="00420F79">
        <w:rPr>
          <w:rFonts w:ascii="Verdana" w:hAnsi="Verdana" w:cs="Arial"/>
          <w:sz w:val="18"/>
          <w:szCs w:val="18"/>
        </w:rPr>
        <w:t xml:space="preserve">Daarom </w:t>
      </w:r>
      <w:r w:rsidRPr="003350D7" w:rsidR="00BE503E">
        <w:rPr>
          <w:rFonts w:ascii="Verdana" w:hAnsi="Verdana" w:cs="Arial"/>
          <w:sz w:val="18"/>
          <w:szCs w:val="18"/>
        </w:rPr>
        <w:t xml:space="preserve">benoemt dit wijzigingsbesluit </w:t>
      </w:r>
      <w:r w:rsidRPr="003350D7" w:rsidR="00033114">
        <w:rPr>
          <w:rFonts w:ascii="Verdana" w:hAnsi="Verdana" w:cs="Arial"/>
          <w:sz w:val="18"/>
          <w:szCs w:val="18"/>
        </w:rPr>
        <w:t>deze specifieke toepassingen</w:t>
      </w:r>
      <w:r w:rsidRPr="003350D7" w:rsidR="00420F79">
        <w:rPr>
          <w:rFonts w:ascii="Verdana" w:hAnsi="Verdana" w:cs="Arial"/>
          <w:sz w:val="18"/>
          <w:szCs w:val="18"/>
        </w:rPr>
        <w:t xml:space="preserve"> </w:t>
      </w:r>
      <w:r w:rsidRPr="003350D7" w:rsidR="006A1F47">
        <w:rPr>
          <w:rFonts w:ascii="Verdana" w:hAnsi="Verdana" w:cs="Arial"/>
          <w:sz w:val="18"/>
          <w:szCs w:val="18"/>
        </w:rPr>
        <w:t xml:space="preserve">zekerheidshalve </w:t>
      </w:r>
      <w:r w:rsidRPr="003350D7" w:rsidR="00420F79">
        <w:rPr>
          <w:rFonts w:ascii="Verdana" w:hAnsi="Verdana" w:cs="Arial"/>
          <w:sz w:val="18"/>
          <w:szCs w:val="18"/>
        </w:rPr>
        <w:t>zelfstandig in het wijzigingsbesluit</w:t>
      </w:r>
      <w:r w:rsidRPr="003350D7" w:rsidR="00BD23D6">
        <w:rPr>
          <w:rFonts w:ascii="Verdana" w:hAnsi="Verdana" w:cs="Arial"/>
          <w:sz w:val="18"/>
          <w:szCs w:val="18"/>
        </w:rPr>
        <w:t xml:space="preserve"> in voorwaardelijke zin</w:t>
      </w:r>
      <w:r w:rsidRPr="003350D7" w:rsidR="006A1F47">
        <w:rPr>
          <w:rFonts w:ascii="Verdana" w:hAnsi="Verdana" w:cs="Arial"/>
          <w:sz w:val="18"/>
          <w:szCs w:val="18"/>
        </w:rPr>
        <w:t xml:space="preserve">, </w:t>
      </w:r>
      <w:r w:rsidRPr="003350D7" w:rsidR="00BD23D6">
        <w:rPr>
          <w:rFonts w:ascii="Verdana" w:hAnsi="Verdana" w:cs="Arial"/>
          <w:sz w:val="18"/>
          <w:szCs w:val="18"/>
        </w:rPr>
        <w:t xml:space="preserve">namelijk </w:t>
      </w:r>
      <w:r w:rsidRPr="003350D7" w:rsidR="0080296B">
        <w:rPr>
          <w:rFonts w:ascii="Verdana" w:hAnsi="Verdana" w:cs="Arial"/>
          <w:sz w:val="18"/>
          <w:szCs w:val="18"/>
        </w:rPr>
        <w:t xml:space="preserve">uitsluitend </w:t>
      </w:r>
      <w:r w:rsidRPr="003350D7" w:rsidR="00BD23D6">
        <w:rPr>
          <w:rFonts w:ascii="Verdana" w:hAnsi="Verdana" w:cs="Arial"/>
          <w:sz w:val="18"/>
          <w:szCs w:val="18"/>
        </w:rPr>
        <w:t>voor zover die buiten het verplichte minimumbereik van deze verordening zou</w:t>
      </w:r>
      <w:r w:rsidRPr="003350D7" w:rsidR="0009149A">
        <w:rPr>
          <w:rFonts w:ascii="Verdana" w:hAnsi="Verdana" w:cs="Arial"/>
          <w:sz w:val="18"/>
          <w:szCs w:val="18"/>
        </w:rPr>
        <w:t>den</w:t>
      </w:r>
      <w:r w:rsidRPr="003350D7" w:rsidR="00BD23D6">
        <w:rPr>
          <w:rFonts w:ascii="Verdana" w:hAnsi="Verdana" w:cs="Arial"/>
          <w:sz w:val="18"/>
          <w:szCs w:val="18"/>
        </w:rPr>
        <w:t xml:space="preserve"> vallen</w:t>
      </w:r>
      <w:r w:rsidRPr="003350D7" w:rsidR="00033114">
        <w:rPr>
          <w:rFonts w:ascii="Verdana" w:hAnsi="Verdana" w:cs="Arial"/>
          <w:sz w:val="18"/>
          <w:szCs w:val="18"/>
        </w:rPr>
        <w:t>. Het gaat hierbij om</w:t>
      </w:r>
      <w:r w:rsidRPr="003350D7" w:rsidR="002A15EE">
        <w:rPr>
          <w:rFonts w:ascii="Verdana" w:hAnsi="Verdana" w:cs="Arial"/>
          <w:sz w:val="18"/>
          <w:szCs w:val="18"/>
        </w:rPr>
        <w:t xml:space="preserve"> </w:t>
      </w:r>
      <w:r w:rsidRPr="003350D7" w:rsidR="00737C50">
        <w:t>bepaalde</w:t>
      </w:r>
      <w:r w:rsidRPr="003350D7" w:rsidR="002A15EE">
        <w:t xml:space="preserve"> AI-systemen</w:t>
      </w:r>
      <w:r w:rsidRPr="003350D7" w:rsidR="00090716">
        <w:t xml:space="preserve"> </w:t>
      </w:r>
      <w:r w:rsidRPr="003350D7" w:rsidR="002A15EE">
        <w:rPr>
          <w:rFonts w:ascii="Verdana" w:hAnsi="Verdana" w:cs="Arial"/>
          <w:sz w:val="18"/>
          <w:szCs w:val="18"/>
        </w:rPr>
        <w:t xml:space="preserve">die ontworpen zijn voor of gebruikt worden voor identificatie van personen, groepen en objecten of impersonatie van personen. </w:t>
      </w:r>
      <w:r w:rsidRPr="003350D7" w:rsidR="003852A3">
        <w:rPr>
          <w:rFonts w:ascii="Verdana" w:hAnsi="Verdana" w:cs="Arial"/>
          <w:sz w:val="18"/>
          <w:szCs w:val="18"/>
        </w:rPr>
        <w:t xml:space="preserve">Deze specifieke risicovolle AI-toepassingen zijn geïdentificeerd middels een uitgebreide risicoanalyse die is uitgevoerd op nationaal niveau. Deze analyse heeft zich met name gericht op toepassingen die, gelet op hun aard en potentiële impact, bijzondere risico’s met zich meebrengen voor de nationale veiligheid. Uit deze analyse is naar voren gekomen dat AI-systemen die zijn ontworpen voor of worden gebruikt voor </w:t>
      </w:r>
      <w:r w:rsidRPr="006424AD" w:rsidR="003852A3">
        <w:rPr>
          <w:rFonts w:ascii="Verdana" w:hAnsi="Verdana" w:cs="Arial"/>
          <w:sz w:val="18"/>
          <w:szCs w:val="18"/>
        </w:rPr>
        <w:t>identificatie van personen, groepen en objecten</w:t>
      </w:r>
      <w:r w:rsidRPr="003350D7" w:rsidR="003852A3">
        <w:rPr>
          <w:rFonts w:ascii="Verdana" w:hAnsi="Verdana" w:cs="Arial"/>
          <w:sz w:val="18"/>
          <w:szCs w:val="18"/>
        </w:rPr>
        <w:t xml:space="preserve"> en </w:t>
      </w:r>
      <w:r w:rsidRPr="006424AD" w:rsidR="003852A3">
        <w:rPr>
          <w:rFonts w:ascii="Verdana" w:hAnsi="Verdana" w:cs="Arial"/>
          <w:sz w:val="18"/>
          <w:szCs w:val="18"/>
        </w:rPr>
        <w:t>impersonatie van personen</w:t>
      </w:r>
      <w:r w:rsidRPr="003350D7" w:rsidR="003852A3">
        <w:rPr>
          <w:rFonts w:ascii="Verdana" w:hAnsi="Verdana" w:cs="Arial"/>
          <w:sz w:val="18"/>
          <w:szCs w:val="18"/>
        </w:rPr>
        <w:t xml:space="preserve"> een verhoogd risico vormen, met name vanwege de mogelijke inbreuk op fundamentele rechten, de potentiële misbruiksmogelijkheden en de </w:t>
      </w:r>
      <w:r w:rsidRPr="003350D7" w:rsidR="00B702BC">
        <w:rPr>
          <w:rFonts w:ascii="Verdana" w:hAnsi="Verdana" w:cs="Arial"/>
          <w:sz w:val="18"/>
          <w:szCs w:val="18"/>
        </w:rPr>
        <w:t xml:space="preserve">daarmee gepaard gaande </w:t>
      </w:r>
      <w:r w:rsidRPr="003350D7" w:rsidR="003852A3">
        <w:rPr>
          <w:rFonts w:ascii="Verdana" w:hAnsi="Verdana" w:cs="Arial"/>
          <w:sz w:val="18"/>
          <w:szCs w:val="18"/>
        </w:rPr>
        <w:t xml:space="preserve">impact op de veiligheid en stabiliteit van de samenleving. Deze toepassingen worden daarom expliciet </w:t>
      </w:r>
      <w:r w:rsidRPr="003350D7" w:rsidR="00BD23D6">
        <w:rPr>
          <w:rFonts w:ascii="Verdana" w:hAnsi="Verdana" w:cs="Arial"/>
          <w:sz w:val="18"/>
          <w:szCs w:val="18"/>
        </w:rPr>
        <w:t>in het wijzigingsbesluit benoemd</w:t>
      </w:r>
      <w:r w:rsidRPr="003350D7" w:rsidR="005E6DD3">
        <w:rPr>
          <w:rFonts w:ascii="Verdana" w:hAnsi="Verdana" w:cs="Arial"/>
          <w:sz w:val="18"/>
          <w:szCs w:val="18"/>
        </w:rPr>
        <w:t xml:space="preserve"> en zijn eveneens gecategoriseerd als zeer sensitieve technologie</w:t>
      </w:r>
      <w:r w:rsidRPr="003350D7" w:rsidR="003852A3">
        <w:rPr>
          <w:rFonts w:ascii="Verdana" w:hAnsi="Verdana" w:cs="Arial"/>
          <w:sz w:val="18"/>
          <w:szCs w:val="18"/>
        </w:rPr>
        <w:t>.</w:t>
      </w:r>
      <w:r w:rsidRPr="003350D7" w:rsidR="006309AC">
        <w:rPr>
          <w:rFonts w:ascii="Verdana" w:hAnsi="Verdana" w:cs="Arial"/>
          <w:sz w:val="18"/>
          <w:szCs w:val="18"/>
        </w:rPr>
        <w:t xml:space="preserve"> </w:t>
      </w:r>
    </w:p>
    <w:p w:rsidRPr="003350D7" w:rsidR="002531AD" w:rsidP="006424AD" w:rsidRDefault="002531AD" w14:paraId="6D79B047" w14:textId="67BD37E8">
      <w:pPr>
        <w:spacing w:line="240" w:lineRule="atLeast"/>
        <w:rPr>
          <w:rFonts w:ascii="Verdana" w:hAnsi="Verdana" w:cs="Arial"/>
          <w:sz w:val="18"/>
          <w:szCs w:val="18"/>
        </w:rPr>
      </w:pPr>
      <w:r w:rsidRPr="003350D7">
        <w:rPr>
          <w:rFonts w:ascii="Verdana" w:hAnsi="Verdana" w:cs="Arial"/>
          <w:sz w:val="18"/>
          <w:szCs w:val="18"/>
        </w:rPr>
        <w:t>Als gevolg van deze aanwijzing zal een voorgenomen verwervingsactiviteit in een doelonderneming die AI</w:t>
      </w:r>
      <w:r w:rsidRPr="003350D7" w:rsidR="008F06A6">
        <w:rPr>
          <w:rFonts w:ascii="Verdana" w:hAnsi="Verdana" w:cs="Arial"/>
          <w:sz w:val="18"/>
          <w:szCs w:val="18"/>
        </w:rPr>
        <w:t xml:space="preserve">-systemen zoals hiervoor omschreven </w:t>
      </w:r>
      <w:r w:rsidRPr="003350D7">
        <w:rPr>
          <w:rFonts w:ascii="Verdana" w:hAnsi="Verdana" w:cs="Arial"/>
          <w:sz w:val="18"/>
          <w:szCs w:val="18"/>
        </w:rPr>
        <w:t>integreert of ontwikkelt als onderdeel van producten en diensten, gemeld dien</w:t>
      </w:r>
      <w:r w:rsidRPr="003350D7" w:rsidR="00435019">
        <w:rPr>
          <w:rFonts w:ascii="Verdana" w:hAnsi="Verdana" w:cs="Arial"/>
          <w:sz w:val="18"/>
          <w:szCs w:val="18"/>
        </w:rPr>
        <w:t>en</w:t>
      </w:r>
      <w:r w:rsidRPr="003350D7">
        <w:rPr>
          <w:rFonts w:ascii="Verdana" w:hAnsi="Verdana" w:cs="Arial"/>
          <w:sz w:val="18"/>
          <w:szCs w:val="18"/>
        </w:rPr>
        <w:t xml:space="preserve"> te worden onder de Wet vifo indien daarmee significante invloed wordt verkregen of vergroot in dan wel zeggenschap wordt verkregen over die doelonderneming. </w:t>
      </w:r>
    </w:p>
    <w:p w:rsidRPr="003350D7" w:rsidR="002531AD" w:rsidP="006424AD" w:rsidRDefault="002531AD" w14:paraId="706C8FDF" w14:textId="3FF95283">
      <w:pPr>
        <w:spacing w:line="240" w:lineRule="atLeast"/>
        <w:rPr>
          <w:rFonts w:ascii="Verdana" w:hAnsi="Verdana" w:cs="Arial"/>
          <w:sz w:val="18"/>
          <w:szCs w:val="18"/>
          <w:u w:val="single"/>
        </w:rPr>
      </w:pPr>
      <w:r w:rsidRPr="003350D7">
        <w:rPr>
          <w:rFonts w:ascii="Verdana" w:hAnsi="Verdana" w:cs="Arial"/>
          <w:sz w:val="18"/>
          <w:szCs w:val="18"/>
          <w:u w:val="single"/>
        </w:rPr>
        <w:t xml:space="preserve">Geavanceerde </w:t>
      </w:r>
      <w:r w:rsidRPr="003350D7" w:rsidR="00CC3887">
        <w:rPr>
          <w:rFonts w:ascii="Verdana" w:hAnsi="Verdana" w:cs="Arial"/>
          <w:sz w:val="18"/>
          <w:szCs w:val="18"/>
          <w:u w:val="single"/>
        </w:rPr>
        <w:t>m</w:t>
      </w:r>
      <w:r w:rsidRPr="003350D7">
        <w:rPr>
          <w:rFonts w:ascii="Verdana" w:hAnsi="Verdana" w:cs="Arial"/>
          <w:sz w:val="18"/>
          <w:szCs w:val="18"/>
          <w:u w:val="single"/>
        </w:rPr>
        <w:t xml:space="preserve">aterialen en </w:t>
      </w:r>
      <w:r w:rsidRPr="003350D7" w:rsidR="00CC3887">
        <w:rPr>
          <w:rFonts w:ascii="Verdana" w:hAnsi="Verdana" w:cs="Arial"/>
          <w:sz w:val="18"/>
          <w:szCs w:val="18"/>
          <w:u w:val="single"/>
        </w:rPr>
        <w:t>n</w:t>
      </w:r>
      <w:r w:rsidRPr="003350D7">
        <w:rPr>
          <w:rFonts w:ascii="Verdana" w:hAnsi="Verdana" w:cs="Arial"/>
          <w:sz w:val="18"/>
          <w:szCs w:val="18"/>
          <w:u w:val="single"/>
        </w:rPr>
        <w:t xml:space="preserve">anotechnologie </w:t>
      </w:r>
    </w:p>
    <w:p w:rsidRPr="003350D7" w:rsidR="00EA19AC" w:rsidP="006424AD" w:rsidRDefault="002531AD" w14:paraId="42B632A0" w14:textId="5ADF50AB">
      <w:pPr>
        <w:spacing w:line="240" w:lineRule="atLeast"/>
        <w:rPr>
          <w:rFonts w:ascii="Verdana" w:hAnsi="Verdana" w:cs="Arial"/>
          <w:sz w:val="18"/>
          <w:szCs w:val="18"/>
        </w:rPr>
      </w:pPr>
      <w:r w:rsidRPr="003350D7">
        <w:rPr>
          <w:rFonts w:ascii="Verdana" w:hAnsi="Verdana" w:cs="Arial"/>
          <w:sz w:val="18"/>
          <w:szCs w:val="18"/>
        </w:rPr>
        <w:t>Deze twee technologieën hebben nauwe samenhang in technologie en ontwikkeling. Met deze technologieën kunnen unieke eigenschappen van materialen, systemen of gecontroleerde chemische reacties op zeer kleine schaal worden gerealiseerd, waardoor zij worden gezien als sleuteltechnologieën voor de 21</w:t>
      </w:r>
      <w:r w:rsidRPr="003350D7">
        <w:rPr>
          <w:rFonts w:ascii="Verdana" w:hAnsi="Verdana" w:cs="Arial"/>
          <w:sz w:val="18"/>
          <w:szCs w:val="18"/>
          <w:vertAlign w:val="superscript"/>
        </w:rPr>
        <w:t>ste</w:t>
      </w:r>
      <w:r w:rsidRPr="003350D7">
        <w:rPr>
          <w:rFonts w:ascii="Verdana" w:hAnsi="Verdana" w:cs="Arial"/>
          <w:sz w:val="18"/>
          <w:szCs w:val="18"/>
        </w:rPr>
        <w:t xml:space="preserve"> eeuw. Er vindt </w:t>
      </w:r>
      <w:r w:rsidRPr="003350D7" w:rsidR="00741C74">
        <w:rPr>
          <w:rFonts w:ascii="Verdana" w:hAnsi="Verdana" w:cs="Arial"/>
          <w:sz w:val="18"/>
          <w:szCs w:val="18"/>
        </w:rPr>
        <w:t xml:space="preserve">dan ook </w:t>
      </w:r>
      <w:r w:rsidRPr="003350D7">
        <w:rPr>
          <w:rFonts w:ascii="Verdana" w:hAnsi="Verdana" w:cs="Arial"/>
          <w:sz w:val="18"/>
          <w:szCs w:val="18"/>
        </w:rPr>
        <w:t>veel onderzoek in deze technologieën plaats wat een stimulans kan zijn voor cross</w:t>
      </w:r>
      <w:r w:rsidRPr="003350D7" w:rsidR="00A47CE8">
        <w:rPr>
          <w:rFonts w:ascii="Verdana" w:hAnsi="Verdana" w:cs="Arial"/>
          <w:sz w:val="18"/>
          <w:szCs w:val="18"/>
        </w:rPr>
        <w:t>-</w:t>
      </w:r>
      <w:r w:rsidRPr="003350D7">
        <w:rPr>
          <w:rFonts w:ascii="Verdana" w:hAnsi="Verdana" w:cs="Arial"/>
          <w:sz w:val="18"/>
          <w:szCs w:val="18"/>
        </w:rPr>
        <w:t xml:space="preserve">sectorale innovatie en toepassingen. </w:t>
      </w:r>
      <w:r w:rsidRPr="003350D7" w:rsidR="00306EC9">
        <w:rPr>
          <w:rFonts w:ascii="Verdana" w:hAnsi="Verdana" w:cs="Arial"/>
          <w:sz w:val="18"/>
          <w:szCs w:val="18"/>
        </w:rPr>
        <w:t>Over het algemeen betreft het technologieën waarvoor geen alternatief voorhanden is om tot dezelfde resultaten te komen</w:t>
      </w:r>
    </w:p>
    <w:p w:rsidRPr="003350D7" w:rsidR="002531AD" w:rsidP="006424AD" w:rsidRDefault="00741C74" w14:paraId="0FD8566D" w14:textId="04DD23F9">
      <w:pPr>
        <w:spacing w:line="240" w:lineRule="atLeast"/>
        <w:rPr>
          <w:rFonts w:ascii="Verdana" w:hAnsi="Verdana" w:cs="Arial"/>
          <w:sz w:val="18"/>
          <w:szCs w:val="18"/>
        </w:rPr>
      </w:pPr>
      <w:r w:rsidRPr="003350D7">
        <w:rPr>
          <w:rFonts w:ascii="Verdana" w:hAnsi="Verdana" w:cs="Arial"/>
          <w:sz w:val="18"/>
          <w:szCs w:val="18"/>
        </w:rPr>
        <w:t xml:space="preserve">Deze technologieën kunnen </w:t>
      </w:r>
      <w:r w:rsidRPr="003350D7" w:rsidR="002531AD">
        <w:rPr>
          <w:rFonts w:ascii="Verdana" w:hAnsi="Verdana" w:cs="Arial"/>
          <w:sz w:val="18"/>
          <w:szCs w:val="18"/>
        </w:rPr>
        <w:t xml:space="preserve">van grote betekenis zijn voor doorbraken in vitale processen en voor het oplossen van belangrijke maatschappelijke uitdagingen. </w:t>
      </w:r>
      <w:r w:rsidRPr="003350D7">
        <w:rPr>
          <w:rFonts w:ascii="Verdana" w:hAnsi="Verdana" w:cs="Arial"/>
          <w:sz w:val="18"/>
          <w:szCs w:val="18"/>
        </w:rPr>
        <w:t xml:space="preserve">In het civiele domein kan de technologie disruptieve invloed hebben op diverse technologische en maatschappelijke (vitale) processen, zoals de energietransitie. </w:t>
      </w:r>
      <w:r w:rsidRPr="003350D7" w:rsidR="002531AD">
        <w:rPr>
          <w:rFonts w:ascii="Verdana" w:hAnsi="Verdana" w:cs="Arial"/>
          <w:sz w:val="18"/>
          <w:szCs w:val="18"/>
        </w:rPr>
        <w:t>Dit geldt bijvoorbeeld voor geavanceerde energiematerialen die zijn geprioriteerd in Nationale Technologie Strategie vanwege hun cruciale rol in de energietransitie</w:t>
      </w:r>
      <w:r w:rsidRPr="003350D7" w:rsidR="00C26809">
        <w:rPr>
          <w:rFonts w:ascii="Verdana" w:hAnsi="Verdana" w:cs="Arial"/>
          <w:sz w:val="18"/>
          <w:szCs w:val="18"/>
        </w:rPr>
        <w:t>. Deze</w:t>
      </w:r>
      <w:r w:rsidRPr="003350D7" w:rsidR="002531AD">
        <w:rPr>
          <w:rFonts w:ascii="Verdana" w:hAnsi="Verdana" w:cs="Arial"/>
          <w:sz w:val="18"/>
          <w:szCs w:val="18"/>
        </w:rPr>
        <w:t xml:space="preserve"> kennen daarmee ook een strategisch belang. Datzelfde geldt voor tweedimensionale (2D) materiaaltechnologie waarmee ultradunne nanomaterialen kunnen worden ontwikkeld die een belangrijke rol kunnen gaan spelen in de volgende generatie elektronica, waaronder sensoren, kwantumcomputers en zonnecellen. </w:t>
      </w:r>
      <w:r w:rsidRPr="003350D7" w:rsidR="00306EC9">
        <w:rPr>
          <w:rFonts w:ascii="Verdana" w:hAnsi="Verdana" w:cs="Arial"/>
          <w:sz w:val="18"/>
          <w:szCs w:val="18"/>
        </w:rPr>
        <w:t>B</w:t>
      </w:r>
      <w:r w:rsidRPr="003350D7" w:rsidR="002531AD">
        <w:rPr>
          <w:rFonts w:ascii="Verdana" w:hAnsi="Verdana" w:cs="Arial"/>
          <w:sz w:val="18"/>
          <w:szCs w:val="18"/>
        </w:rPr>
        <w:t xml:space="preserve">ij gebruik in het militaire domein kan de </w:t>
      </w:r>
      <w:r w:rsidRPr="003350D7" w:rsidR="00946916">
        <w:rPr>
          <w:rFonts w:ascii="Verdana" w:hAnsi="Verdana" w:cs="Arial"/>
          <w:sz w:val="18"/>
          <w:szCs w:val="18"/>
        </w:rPr>
        <w:t>toepassing van de</w:t>
      </w:r>
      <w:r w:rsidRPr="003350D7" w:rsidR="00306EC9">
        <w:rPr>
          <w:rFonts w:ascii="Verdana" w:hAnsi="Verdana" w:cs="Arial"/>
          <w:sz w:val="18"/>
          <w:szCs w:val="18"/>
        </w:rPr>
        <w:t>ze</w:t>
      </w:r>
      <w:r w:rsidRPr="003350D7" w:rsidR="00946916">
        <w:rPr>
          <w:rFonts w:ascii="Verdana" w:hAnsi="Verdana" w:cs="Arial"/>
          <w:sz w:val="18"/>
          <w:szCs w:val="18"/>
        </w:rPr>
        <w:t xml:space="preserve"> </w:t>
      </w:r>
      <w:r w:rsidRPr="003350D7" w:rsidR="002531AD">
        <w:rPr>
          <w:rFonts w:ascii="Verdana" w:hAnsi="Verdana" w:cs="Arial"/>
          <w:sz w:val="18"/>
          <w:szCs w:val="18"/>
        </w:rPr>
        <w:t>technologie</w:t>
      </w:r>
      <w:r w:rsidRPr="003350D7" w:rsidR="00306EC9">
        <w:rPr>
          <w:rFonts w:ascii="Verdana" w:hAnsi="Verdana" w:cs="Arial"/>
          <w:sz w:val="18"/>
          <w:szCs w:val="18"/>
        </w:rPr>
        <w:t>ën</w:t>
      </w:r>
      <w:r w:rsidRPr="003350D7" w:rsidR="002531AD">
        <w:rPr>
          <w:rFonts w:ascii="Verdana" w:hAnsi="Verdana" w:cs="Arial"/>
          <w:sz w:val="18"/>
          <w:szCs w:val="18"/>
        </w:rPr>
        <w:t xml:space="preserve"> bijvoorbeeld tot betere beschermings-, verdedigings- en aanvalscapaciteiten leiden. Om deze redenen worden krachtens dit besluit deze technologieën </w:t>
      </w:r>
      <w:r w:rsidRPr="003350D7" w:rsidR="00306EC9">
        <w:rPr>
          <w:rFonts w:ascii="Verdana" w:hAnsi="Verdana" w:cs="Arial"/>
          <w:sz w:val="18"/>
          <w:szCs w:val="18"/>
        </w:rPr>
        <w:t xml:space="preserve">gezamenlijk </w:t>
      </w:r>
      <w:r w:rsidRPr="003350D7" w:rsidR="002531AD">
        <w:rPr>
          <w:rFonts w:ascii="Verdana" w:hAnsi="Verdana" w:cs="Arial"/>
          <w:sz w:val="18"/>
          <w:szCs w:val="18"/>
        </w:rPr>
        <w:t xml:space="preserve">aangewezen als sensitieve technologie, die bovendien zeer sensitief is. </w:t>
      </w:r>
    </w:p>
    <w:p w:rsidRPr="003350D7" w:rsidR="00E4661F" w:rsidP="006424AD" w:rsidRDefault="00E4661F" w14:paraId="54025F2B" w14:textId="30D38F35">
      <w:pPr>
        <w:spacing w:line="240" w:lineRule="atLeast"/>
        <w:rPr>
          <w:rFonts w:ascii="Verdana" w:hAnsi="Verdana" w:cs="Arial"/>
          <w:sz w:val="18"/>
          <w:szCs w:val="18"/>
        </w:rPr>
      </w:pPr>
      <w:r w:rsidRPr="003350D7">
        <w:rPr>
          <w:rFonts w:ascii="Verdana" w:hAnsi="Verdana" w:cs="Arial"/>
          <w:sz w:val="18"/>
          <w:szCs w:val="18"/>
        </w:rPr>
        <w:t xml:space="preserve">Deze uitbreiding valt niet onder het verplichte </w:t>
      </w:r>
      <w:r w:rsidRPr="003350D7" w:rsidR="00EE2F0E">
        <w:rPr>
          <w:rFonts w:ascii="Verdana" w:hAnsi="Verdana" w:cs="Arial"/>
          <w:sz w:val="18"/>
          <w:szCs w:val="18"/>
        </w:rPr>
        <w:t>minimum</w:t>
      </w:r>
      <w:r w:rsidRPr="003350D7">
        <w:rPr>
          <w:rFonts w:ascii="Verdana" w:hAnsi="Verdana" w:cs="Arial"/>
          <w:sz w:val="18"/>
          <w:szCs w:val="18"/>
        </w:rPr>
        <w:t xml:space="preserve">toepassingsbereik van de </w:t>
      </w:r>
      <w:r w:rsidRPr="006424AD">
        <w:rPr>
          <w:rFonts w:ascii="Verdana" w:hAnsi="Verdana" w:cs="Arial"/>
          <w:b/>
          <w:bCs/>
          <w:sz w:val="16"/>
          <w:szCs w:val="16"/>
        </w:rPr>
        <w:t>[</w:t>
      </w:r>
      <w:r w:rsidRPr="006424AD">
        <w:rPr>
          <w:rFonts w:ascii="Verdana" w:hAnsi="Verdana" w:cs="Arial"/>
          <w:sz w:val="16"/>
          <w:szCs w:val="16"/>
        </w:rPr>
        <w:t>voorgestelde</w:t>
      </w:r>
      <w:r w:rsidRPr="006424AD">
        <w:rPr>
          <w:rFonts w:ascii="Verdana" w:hAnsi="Verdana" w:cs="Arial"/>
          <w:b/>
          <w:bCs/>
          <w:sz w:val="16"/>
          <w:szCs w:val="16"/>
        </w:rPr>
        <w:t>]</w:t>
      </w:r>
      <w:r w:rsidRPr="003350D7">
        <w:rPr>
          <w:rFonts w:ascii="Verdana" w:hAnsi="Verdana" w:cs="Arial"/>
          <w:b/>
          <w:bCs/>
          <w:sz w:val="18"/>
          <w:szCs w:val="18"/>
        </w:rPr>
        <w:t xml:space="preserve"> </w:t>
      </w:r>
      <w:r w:rsidRPr="003350D7">
        <w:rPr>
          <w:rFonts w:ascii="Verdana" w:hAnsi="Verdana" w:cs="Arial"/>
          <w:sz w:val="18"/>
          <w:szCs w:val="18"/>
        </w:rPr>
        <w:t>herziene FDI-Verordening. Geavanceerde materialen worden daarin wel aangehaald in het kader van beoordeling van investeringen.</w:t>
      </w:r>
      <w:r w:rsidRPr="003350D7" w:rsidR="009030C4">
        <w:rPr>
          <w:rStyle w:val="Voetnootmarkering"/>
          <w:rFonts w:ascii="Verdana" w:hAnsi="Verdana" w:cs="Arial"/>
          <w:sz w:val="18"/>
          <w:szCs w:val="18"/>
        </w:rPr>
        <w:footnoteReference w:id="12"/>
      </w:r>
      <w:r w:rsidRPr="003350D7" w:rsidR="009030C4">
        <w:rPr>
          <w:rFonts w:ascii="Verdana" w:hAnsi="Verdana" w:cs="Arial"/>
          <w:sz w:val="18"/>
          <w:szCs w:val="18"/>
        </w:rPr>
        <w:t xml:space="preserve"> </w:t>
      </w:r>
    </w:p>
    <w:p w:rsidRPr="003350D7" w:rsidR="002531AD" w:rsidP="006424AD" w:rsidRDefault="002531AD" w14:paraId="7978432D" w14:textId="77777777">
      <w:pPr>
        <w:spacing w:line="240" w:lineRule="atLeast"/>
        <w:rPr>
          <w:rFonts w:ascii="Verdana" w:hAnsi="Verdana" w:cs="Arial"/>
          <w:sz w:val="18"/>
          <w:szCs w:val="18"/>
          <w:u w:val="single"/>
        </w:rPr>
      </w:pPr>
      <w:r w:rsidRPr="003350D7">
        <w:rPr>
          <w:rFonts w:ascii="Verdana" w:hAnsi="Verdana" w:cs="Arial"/>
          <w:sz w:val="18"/>
          <w:szCs w:val="18"/>
          <w:u w:val="single"/>
        </w:rPr>
        <w:t xml:space="preserve">Sensor- en navigatietechnologie </w:t>
      </w:r>
    </w:p>
    <w:p w:rsidRPr="003350D7" w:rsidR="009C48A1" w:rsidP="006424AD" w:rsidRDefault="002531AD" w14:paraId="4E9396E9" w14:textId="3F29ADC2">
      <w:pPr>
        <w:spacing w:line="240" w:lineRule="atLeast"/>
        <w:rPr>
          <w:rFonts w:ascii="Verdana" w:hAnsi="Verdana" w:cs="Arial"/>
          <w:sz w:val="18"/>
          <w:szCs w:val="18"/>
        </w:rPr>
      </w:pPr>
      <w:r w:rsidRPr="003350D7">
        <w:rPr>
          <w:rFonts w:ascii="Verdana" w:hAnsi="Verdana" w:cs="Arial"/>
          <w:sz w:val="18"/>
          <w:szCs w:val="18"/>
        </w:rPr>
        <w:t xml:space="preserve">Sensor- en navigatie-technologie </w:t>
      </w:r>
      <w:r w:rsidRPr="003350D7" w:rsidR="007928CC">
        <w:rPr>
          <w:rFonts w:ascii="Verdana" w:hAnsi="Verdana" w:cs="Arial"/>
          <w:sz w:val="18"/>
          <w:szCs w:val="18"/>
        </w:rPr>
        <w:t>worden vaak in combinatie ingeze</w:t>
      </w:r>
      <w:r w:rsidRPr="003350D7" w:rsidR="00183D66">
        <w:rPr>
          <w:rFonts w:ascii="Verdana" w:hAnsi="Verdana" w:cs="Arial"/>
          <w:sz w:val="18"/>
          <w:szCs w:val="18"/>
        </w:rPr>
        <w:t>t. H</w:t>
      </w:r>
      <w:r w:rsidRPr="003350D7" w:rsidR="007928CC">
        <w:rPr>
          <w:rFonts w:ascii="Verdana" w:hAnsi="Verdana" w:cs="Arial"/>
          <w:sz w:val="18"/>
          <w:szCs w:val="18"/>
        </w:rPr>
        <w:t xml:space="preserve">et gaat om enerzijds navigatietechnologie: de technologie die grootheden kan meten en omzetten in een leesbaar signaal, alsook om via verschillende methoden en technieken deze signalen (automatisch) verder te verwerken of aan een menselijke gebruiker aan te bieden. De signalen zijn vervolgens vaak ook </w:t>
      </w:r>
      <w:r w:rsidRPr="003350D7" w:rsidR="007928CC">
        <w:rPr>
          <w:rFonts w:ascii="Verdana" w:hAnsi="Verdana" w:cs="Arial"/>
          <w:sz w:val="18"/>
          <w:szCs w:val="18"/>
        </w:rPr>
        <w:lastRenderedPageBreak/>
        <w:t xml:space="preserve">weer input om via geavanceerde methoden en technieken een eigen actuele positie en oriëntatie te bepalen ten opzichte van een gestandaardiseerd geodetisch model of om systemen de eigen koers aan te laten passen om een bestemming binnen een gestelde termijn te bereiken. Anderzijds betreft het sensor (of </w:t>
      </w:r>
      <w:r w:rsidRPr="006424AD" w:rsidR="007928CC">
        <w:rPr>
          <w:rFonts w:ascii="Verdana" w:hAnsi="Verdana" w:cs="Arial"/>
          <w:i/>
          <w:iCs/>
          <w:sz w:val="18"/>
          <w:szCs w:val="18"/>
        </w:rPr>
        <w:t>sensing</w:t>
      </w:r>
      <w:r w:rsidRPr="003350D7" w:rsidR="007928CC">
        <w:rPr>
          <w:rFonts w:ascii="Verdana" w:hAnsi="Verdana" w:cs="Arial"/>
          <w:sz w:val="18"/>
          <w:szCs w:val="18"/>
        </w:rPr>
        <w:t>) technologie: dit bevat de sensoren die deze grootheden kunnen meten en omzetten in een leesbaar signaal, alsmede verschillende methoden en technieken om deze signalen (automatisch) verder te verwerken en/of aan een menselijke gebruiker aan te bieden</w:t>
      </w:r>
      <w:r w:rsidRPr="003350D7" w:rsidR="00183D66">
        <w:rPr>
          <w:rFonts w:ascii="Verdana" w:hAnsi="Verdana" w:cs="Arial"/>
          <w:sz w:val="18"/>
          <w:szCs w:val="18"/>
        </w:rPr>
        <w:t xml:space="preserve">. </w:t>
      </w:r>
      <w:r w:rsidRPr="003350D7" w:rsidR="009C48A1">
        <w:rPr>
          <w:rFonts w:ascii="Verdana" w:hAnsi="Verdana" w:cs="Arial"/>
          <w:sz w:val="18"/>
          <w:szCs w:val="18"/>
        </w:rPr>
        <w:t xml:space="preserve">Deze </w:t>
      </w:r>
      <w:r w:rsidRPr="003350D7" w:rsidR="00183D66">
        <w:rPr>
          <w:rFonts w:ascii="Verdana" w:hAnsi="Verdana" w:cs="Arial"/>
          <w:sz w:val="18"/>
          <w:szCs w:val="18"/>
        </w:rPr>
        <w:t xml:space="preserve">technologieën </w:t>
      </w:r>
      <w:r w:rsidRPr="003350D7" w:rsidR="009C48A1">
        <w:rPr>
          <w:rFonts w:ascii="Verdana" w:hAnsi="Verdana" w:cs="Arial"/>
          <w:sz w:val="18"/>
          <w:szCs w:val="18"/>
        </w:rPr>
        <w:t xml:space="preserve">zijn </w:t>
      </w:r>
      <w:r w:rsidRPr="003350D7">
        <w:rPr>
          <w:rFonts w:ascii="Verdana" w:hAnsi="Verdana" w:cs="Arial"/>
          <w:sz w:val="18"/>
          <w:szCs w:val="18"/>
        </w:rPr>
        <w:t xml:space="preserve">onmisbaar in de moderne wereld. </w:t>
      </w:r>
      <w:bookmarkStart w:name="_Hlk209430391" w:id="1"/>
    </w:p>
    <w:p w:rsidRPr="003350D7" w:rsidR="008B15A8" w:rsidP="006424AD" w:rsidRDefault="00183D66" w14:paraId="6398C404" w14:textId="3CFBCC96">
      <w:pPr>
        <w:spacing w:line="240" w:lineRule="atLeast"/>
        <w:rPr>
          <w:rFonts w:ascii="Verdana" w:hAnsi="Verdana" w:cs="Arial"/>
          <w:sz w:val="18"/>
          <w:szCs w:val="18"/>
        </w:rPr>
      </w:pPr>
      <w:r w:rsidRPr="003350D7">
        <w:rPr>
          <w:rFonts w:ascii="Verdana" w:hAnsi="Verdana" w:cs="Arial"/>
          <w:sz w:val="18"/>
          <w:szCs w:val="18"/>
        </w:rPr>
        <w:t>Het gecombineerde technologiegebied s</w:t>
      </w:r>
      <w:r w:rsidRPr="003350D7" w:rsidR="009C48A1">
        <w:rPr>
          <w:rFonts w:ascii="Verdana" w:hAnsi="Verdana" w:cs="Arial"/>
          <w:sz w:val="18"/>
          <w:szCs w:val="18"/>
        </w:rPr>
        <w:t xml:space="preserve">ensor- en navigatie-technologie </w:t>
      </w:r>
      <w:r w:rsidRPr="003350D7" w:rsidR="00CA6C3D">
        <w:rPr>
          <w:rFonts w:ascii="Verdana" w:hAnsi="Verdana" w:cs="Arial"/>
          <w:sz w:val="18"/>
          <w:szCs w:val="18"/>
        </w:rPr>
        <w:t xml:space="preserve">heeft een aanjagende en integrale rol in </w:t>
      </w:r>
      <w:r w:rsidRPr="003350D7" w:rsidR="002531AD">
        <w:rPr>
          <w:rFonts w:ascii="Verdana" w:hAnsi="Verdana" w:cs="Arial"/>
          <w:sz w:val="18"/>
          <w:szCs w:val="18"/>
        </w:rPr>
        <w:t>de digitalisering en robotisering van de samenleving</w:t>
      </w:r>
      <w:r w:rsidRPr="003350D7" w:rsidR="00CA6C3D">
        <w:rPr>
          <w:rFonts w:ascii="Verdana" w:hAnsi="Verdana" w:cs="Arial"/>
          <w:sz w:val="18"/>
          <w:szCs w:val="18"/>
        </w:rPr>
        <w:t xml:space="preserve">. Er </w:t>
      </w:r>
      <w:r w:rsidRPr="003350D7" w:rsidR="002531AD">
        <w:rPr>
          <w:rFonts w:ascii="Verdana" w:hAnsi="Verdana" w:cs="Arial"/>
          <w:sz w:val="18"/>
          <w:szCs w:val="18"/>
        </w:rPr>
        <w:t>vindt veel technologieontwikkeling plaats</w:t>
      </w:r>
      <w:r w:rsidRPr="003350D7" w:rsidR="009C48A1">
        <w:rPr>
          <w:rFonts w:ascii="Verdana" w:hAnsi="Verdana" w:cs="Arial"/>
          <w:sz w:val="18"/>
          <w:szCs w:val="18"/>
        </w:rPr>
        <w:t xml:space="preserve"> op dit gebied</w:t>
      </w:r>
      <w:r w:rsidRPr="003350D7" w:rsidR="00CA6C3D">
        <w:rPr>
          <w:rFonts w:ascii="Verdana" w:hAnsi="Verdana" w:cs="Arial"/>
          <w:sz w:val="18"/>
          <w:szCs w:val="18"/>
        </w:rPr>
        <w:t xml:space="preserve"> die </w:t>
      </w:r>
      <w:r w:rsidRPr="003350D7" w:rsidR="00871A91">
        <w:rPr>
          <w:rFonts w:ascii="Verdana" w:hAnsi="Verdana" w:cs="Arial"/>
          <w:sz w:val="18"/>
          <w:szCs w:val="18"/>
        </w:rPr>
        <w:t xml:space="preserve">naast toepassing in consumentenproducten </w:t>
      </w:r>
      <w:r w:rsidRPr="003350D7" w:rsidR="00CA6C3D">
        <w:rPr>
          <w:rFonts w:ascii="Verdana" w:hAnsi="Verdana" w:cs="Arial"/>
          <w:sz w:val="18"/>
          <w:szCs w:val="18"/>
        </w:rPr>
        <w:t xml:space="preserve">ook </w:t>
      </w:r>
      <w:r w:rsidRPr="003350D7" w:rsidR="00871A91">
        <w:rPr>
          <w:rFonts w:ascii="Verdana" w:hAnsi="Verdana" w:cs="Arial"/>
          <w:sz w:val="18"/>
          <w:szCs w:val="18"/>
        </w:rPr>
        <w:t xml:space="preserve">wordt gebruikt </w:t>
      </w:r>
      <w:r w:rsidRPr="003350D7" w:rsidR="002531AD">
        <w:rPr>
          <w:rFonts w:ascii="Verdana" w:hAnsi="Verdana" w:cs="Arial"/>
          <w:sz w:val="18"/>
          <w:szCs w:val="18"/>
        </w:rPr>
        <w:t xml:space="preserve">in het veiligheidsdomein en de vitale infrastructuur. </w:t>
      </w:r>
      <w:bookmarkEnd w:id="1"/>
      <w:r w:rsidRPr="003350D7" w:rsidR="002531AD">
        <w:rPr>
          <w:rFonts w:ascii="Verdana" w:hAnsi="Verdana" w:cs="Arial"/>
          <w:sz w:val="18"/>
          <w:szCs w:val="18"/>
        </w:rPr>
        <w:t xml:space="preserve">Met dit besluit worden </w:t>
      </w:r>
      <w:r w:rsidRPr="003350D7" w:rsidR="009C48A1">
        <w:rPr>
          <w:rFonts w:ascii="Verdana" w:hAnsi="Verdana" w:cs="Arial"/>
          <w:sz w:val="18"/>
          <w:szCs w:val="18"/>
        </w:rPr>
        <w:t xml:space="preserve">enkele specifieke </w:t>
      </w:r>
      <w:r w:rsidRPr="003350D7" w:rsidR="002531AD">
        <w:rPr>
          <w:rFonts w:ascii="Verdana" w:hAnsi="Verdana" w:cs="Arial"/>
          <w:sz w:val="18"/>
          <w:szCs w:val="18"/>
        </w:rPr>
        <w:t xml:space="preserve">sub-technologieën </w:t>
      </w:r>
      <w:r w:rsidRPr="003350D7" w:rsidR="009C48A1">
        <w:rPr>
          <w:rFonts w:ascii="Verdana" w:hAnsi="Verdana" w:cs="Arial"/>
          <w:sz w:val="18"/>
          <w:szCs w:val="18"/>
        </w:rPr>
        <w:t xml:space="preserve">van dit technologiegebied </w:t>
      </w:r>
      <w:r w:rsidRPr="003350D7" w:rsidR="002531AD">
        <w:rPr>
          <w:rFonts w:ascii="Verdana" w:hAnsi="Verdana" w:cs="Arial"/>
          <w:sz w:val="18"/>
          <w:szCs w:val="18"/>
        </w:rPr>
        <w:t>aangewezen die het mogelijk maken</w:t>
      </w:r>
      <w:r w:rsidRPr="003350D7" w:rsidR="002531AD">
        <w:rPr>
          <w:rFonts w:ascii="Verdana" w:hAnsi="Verdana"/>
          <w:sz w:val="18"/>
          <w:szCs w:val="18"/>
        </w:rPr>
        <w:t xml:space="preserve"> om afzonderlijk of in combinatie met andere technologieën kenmerken van de externe omgeving of objecten waar te nemen, deze om te zetten in elektrische signalen en </w:t>
      </w:r>
      <w:r w:rsidRPr="003350D7" w:rsidR="002531AD">
        <w:rPr>
          <w:rFonts w:ascii="Verdana" w:hAnsi="Verdana" w:cs="Arial"/>
          <w:sz w:val="18"/>
          <w:szCs w:val="18"/>
        </w:rPr>
        <w:t>deze data te verzamelen, op te slaan of te verwerken.</w:t>
      </w:r>
      <w:r w:rsidRPr="003350D7" w:rsidR="008B15A8">
        <w:rPr>
          <w:rFonts w:ascii="Verdana" w:hAnsi="Verdana" w:cs="Arial"/>
          <w:sz w:val="18"/>
          <w:szCs w:val="18"/>
        </w:rPr>
        <w:t xml:space="preserve"> Specifiek betreft het: </w:t>
      </w:r>
      <w:r w:rsidRPr="006424AD" w:rsidR="008B15A8">
        <w:rPr>
          <w:rFonts w:ascii="Verdana" w:hAnsi="Verdana" w:cs="Arial"/>
          <w:i/>
          <w:iCs/>
          <w:sz w:val="18"/>
          <w:szCs w:val="18"/>
        </w:rPr>
        <w:t xml:space="preserve">SLAM </w:t>
      </w:r>
      <w:r w:rsidRPr="003350D7" w:rsidR="008B15A8">
        <w:rPr>
          <w:rFonts w:ascii="Verdana" w:hAnsi="Verdana" w:cs="Arial"/>
          <w:sz w:val="18"/>
          <w:szCs w:val="18"/>
        </w:rPr>
        <w:t>(</w:t>
      </w:r>
      <w:r w:rsidRPr="006424AD" w:rsidR="008B15A8">
        <w:rPr>
          <w:rFonts w:ascii="Verdana" w:hAnsi="Verdana" w:cs="Arial"/>
          <w:i/>
          <w:iCs/>
          <w:sz w:val="18"/>
          <w:szCs w:val="18"/>
        </w:rPr>
        <w:t>Simultaneous Localisation and Mapping</w:t>
      </w:r>
      <w:r w:rsidRPr="003350D7" w:rsidR="008B15A8">
        <w:rPr>
          <w:rFonts w:ascii="Verdana" w:hAnsi="Verdana" w:cs="Arial"/>
          <w:sz w:val="18"/>
          <w:szCs w:val="18"/>
        </w:rPr>
        <w:t xml:space="preserve">)-technologie, </w:t>
      </w:r>
      <w:r w:rsidRPr="006424AD" w:rsidR="008B15A8">
        <w:rPr>
          <w:rFonts w:ascii="Verdana" w:hAnsi="Verdana" w:cs="Arial"/>
          <w:i/>
          <w:iCs/>
          <w:sz w:val="18"/>
          <w:szCs w:val="18"/>
        </w:rPr>
        <w:t xml:space="preserve">sensor fusion </w:t>
      </w:r>
      <w:r w:rsidRPr="003350D7" w:rsidR="00F11FDA">
        <w:rPr>
          <w:rFonts w:ascii="Verdana" w:hAnsi="Verdana" w:cs="Arial"/>
          <w:sz w:val="18"/>
          <w:szCs w:val="18"/>
        </w:rPr>
        <w:t>en</w:t>
      </w:r>
      <w:r w:rsidRPr="006424AD" w:rsidR="008B15A8">
        <w:rPr>
          <w:rFonts w:ascii="Verdana" w:hAnsi="Verdana" w:cs="Arial"/>
          <w:i/>
          <w:iCs/>
          <w:sz w:val="18"/>
          <w:szCs w:val="18"/>
        </w:rPr>
        <w:t xml:space="preserve"> array</w:t>
      </w:r>
      <w:r w:rsidRPr="003350D7" w:rsidR="008B15A8">
        <w:rPr>
          <w:rFonts w:ascii="Verdana" w:hAnsi="Verdana" w:cs="Arial"/>
          <w:i/>
          <w:iCs/>
          <w:sz w:val="18"/>
          <w:szCs w:val="18"/>
        </w:rPr>
        <w:t>-</w:t>
      </w:r>
      <w:r w:rsidRPr="003350D7" w:rsidR="008B15A8">
        <w:rPr>
          <w:rFonts w:ascii="Verdana" w:hAnsi="Verdana" w:cs="Arial"/>
          <w:sz w:val="18"/>
          <w:szCs w:val="18"/>
        </w:rPr>
        <w:t xml:space="preserve">technologie, </w:t>
      </w:r>
      <w:r w:rsidRPr="006424AD" w:rsidR="008B15A8">
        <w:rPr>
          <w:rFonts w:ascii="Verdana" w:hAnsi="Verdana" w:cs="Arial"/>
          <w:i/>
          <w:iCs/>
          <w:sz w:val="18"/>
          <w:szCs w:val="18"/>
        </w:rPr>
        <w:t xml:space="preserve">sensor network </w:t>
      </w:r>
      <w:r w:rsidRPr="003350D7" w:rsidR="008B15A8">
        <w:rPr>
          <w:rFonts w:ascii="Verdana" w:hAnsi="Verdana" w:cs="Arial"/>
          <w:sz w:val="18"/>
          <w:szCs w:val="18"/>
        </w:rPr>
        <w:t xml:space="preserve">en </w:t>
      </w:r>
      <w:r w:rsidRPr="006424AD" w:rsidR="008B15A8">
        <w:rPr>
          <w:rFonts w:ascii="Verdana" w:hAnsi="Verdana" w:cs="Arial"/>
          <w:i/>
          <w:iCs/>
          <w:sz w:val="18"/>
          <w:szCs w:val="18"/>
        </w:rPr>
        <w:t>ambient</w:t>
      </w:r>
      <w:r w:rsidRPr="003350D7" w:rsidR="008B15A8">
        <w:rPr>
          <w:rFonts w:ascii="Verdana" w:hAnsi="Verdana" w:cs="Arial"/>
          <w:sz w:val="18"/>
          <w:szCs w:val="18"/>
        </w:rPr>
        <w:t>-technologie</w:t>
      </w:r>
      <w:r w:rsidRPr="003350D7" w:rsidR="00F11FDA">
        <w:rPr>
          <w:rFonts w:ascii="Verdana" w:hAnsi="Verdana" w:cs="Arial"/>
          <w:sz w:val="18"/>
          <w:szCs w:val="18"/>
        </w:rPr>
        <w:t xml:space="preserve"> </w:t>
      </w:r>
      <w:r w:rsidRPr="003350D7" w:rsidR="008B15A8">
        <w:rPr>
          <w:rFonts w:ascii="Verdana" w:hAnsi="Verdana" w:cs="Arial"/>
          <w:sz w:val="18"/>
          <w:szCs w:val="18"/>
        </w:rPr>
        <w:t>maakt het mogelijk om van een groep sensoren waarbij elke sensor gegevens op een andere locatie bewaart (een relevant deel van) die gegevens naar een centrale locatie te zenden voor verdere opslag, weergave en analyse</w:t>
      </w:r>
      <w:r w:rsidRPr="003350D7" w:rsidR="00F11FDA">
        <w:rPr>
          <w:rFonts w:ascii="Verdana" w:hAnsi="Verdana" w:cs="Arial"/>
          <w:sz w:val="18"/>
          <w:szCs w:val="18"/>
        </w:rPr>
        <w:t xml:space="preserve">, en </w:t>
      </w:r>
      <w:r w:rsidRPr="003350D7" w:rsidR="008B15A8">
        <w:rPr>
          <w:rFonts w:ascii="Verdana" w:hAnsi="Verdana" w:cs="Arial"/>
          <w:sz w:val="18"/>
          <w:szCs w:val="18"/>
        </w:rPr>
        <w:t>signatuurmanagement</w:t>
      </w:r>
      <w:r w:rsidRPr="003350D7" w:rsidR="00F11FDA">
        <w:rPr>
          <w:rFonts w:ascii="Verdana" w:hAnsi="Verdana" w:cs="Arial"/>
          <w:sz w:val="18"/>
          <w:szCs w:val="18"/>
        </w:rPr>
        <w:t>-</w:t>
      </w:r>
      <w:r w:rsidRPr="003350D7" w:rsidR="008B15A8">
        <w:rPr>
          <w:rFonts w:ascii="Verdana" w:hAnsi="Verdana" w:cs="Arial"/>
          <w:sz w:val="18"/>
          <w:szCs w:val="18"/>
        </w:rPr>
        <w:t xml:space="preserve"> en patroonherkenningstechnologie.</w:t>
      </w:r>
    </w:p>
    <w:p w:rsidRPr="003350D7" w:rsidR="002531AD" w:rsidP="006424AD" w:rsidRDefault="002531AD" w14:paraId="15B5FC4D" w14:textId="2EB16B81">
      <w:pPr>
        <w:spacing w:line="240" w:lineRule="atLeast"/>
        <w:rPr>
          <w:rFonts w:ascii="Verdana" w:hAnsi="Verdana" w:cs="Arial"/>
          <w:sz w:val="18"/>
          <w:szCs w:val="18"/>
        </w:rPr>
      </w:pPr>
      <w:r w:rsidRPr="003350D7">
        <w:rPr>
          <w:rFonts w:ascii="Verdana" w:hAnsi="Verdana" w:cs="Arial"/>
          <w:sz w:val="18"/>
          <w:szCs w:val="18"/>
        </w:rPr>
        <w:t>Deze technologieën maken het mogelijk om persoonsgegevens, omgevingsinformatie en gegevens die groepen mensen beschrijven, stelselmatig en op grote schaal te verzamelen en te verwerken. Daarnaast kunnen de technologieën ondersteunend zijn aan het zelfstandig (autonoom) laten functioneren van systemen in een omgeving zonder dat er een menselijke operator aan boord is.</w:t>
      </w:r>
      <w:r w:rsidRPr="003350D7">
        <w:rPr>
          <w:rFonts w:ascii="Verdana" w:hAnsi="Verdana"/>
          <w:sz w:val="18"/>
          <w:szCs w:val="18"/>
        </w:rPr>
        <w:t xml:space="preserve"> </w:t>
      </w:r>
      <w:r w:rsidRPr="003350D7">
        <w:rPr>
          <w:rFonts w:ascii="Verdana" w:hAnsi="Verdana" w:cs="Arial"/>
          <w:sz w:val="18"/>
          <w:szCs w:val="18"/>
        </w:rPr>
        <w:t xml:space="preserve">In bijvoorbeeld het </w:t>
      </w:r>
      <w:r w:rsidRPr="003350D7" w:rsidR="00946916">
        <w:rPr>
          <w:rFonts w:ascii="Verdana" w:hAnsi="Verdana" w:cs="Arial"/>
          <w:sz w:val="18"/>
          <w:szCs w:val="18"/>
        </w:rPr>
        <w:t xml:space="preserve">civiele </w:t>
      </w:r>
      <w:r w:rsidRPr="003350D7">
        <w:rPr>
          <w:rFonts w:ascii="Verdana" w:hAnsi="Verdana" w:cs="Arial"/>
          <w:sz w:val="18"/>
          <w:szCs w:val="18"/>
        </w:rPr>
        <w:t xml:space="preserve">en veiligheidsdomein wordt veel geïnnoveerd met deze technologieën voor toepassing in onbemande systemen voor informatievoorziening en het uitvoeren van beveiligingsactiviteiten. </w:t>
      </w:r>
      <w:r w:rsidRPr="006424AD" w:rsidR="006611B9">
        <w:rPr>
          <w:rFonts w:ascii="Verdana" w:hAnsi="Verdana" w:cs="Arial"/>
          <w:sz w:val="18"/>
          <w:szCs w:val="18"/>
        </w:rPr>
        <w:t xml:space="preserve">Deze technologieën maken </w:t>
      </w:r>
      <w:r w:rsidRPr="006424AD" w:rsidR="00F75867">
        <w:rPr>
          <w:rFonts w:ascii="Verdana" w:hAnsi="Verdana" w:cs="Arial"/>
          <w:sz w:val="18"/>
          <w:szCs w:val="18"/>
        </w:rPr>
        <w:t xml:space="preserve">hierdoor </w:t>
      </w:r>
      <w:r w:rsidRPr="006424AD" w:rsidR="006611B9">
        <w:rPr>
          <w:rFonts w:ascii="Verdana" w:hAnsi="Verdana" w:cs="Arial"/>
          <w:sz w:val="18"/>
          <w:szCs w:val="18"/>
        </w:rPr>
        <w:t>niet alleen stelselmatige, grootschalige verzameling en verwerking van persoonsgegevens, omgevingsinformatie en groepsdata mogelijk, maar ook de real-time analyse en koppeling daarvan, wat diepgaande en potentieel intrusieve inzichten oplevert.</w:t>
      </w:r>
      <w:r w:rsidRPr="003350D7" w:rsidR="006611B9">
        <w:rPr>
          <w:rFonts w:ascii="Verdana" w:hAnsi="Verdana" w:cs="Arial"/>
          <w:sz w:val="18"/>
          <w:szCs w:val="18"/>
        </w:rPr>
        <w:t xml:space="preserve"> Daarnaast faciliteren ze de ontwikkeling van </w:t>
      </w:r>
      <w:r w:rsidRPr="006424AD" w:rsidR="006611B9">
        <w:rPr>
          <w:rFonts w:ascii="Verdana" w:hAnsi="Verdana" w:cs="Arial"/>
          <w:sz w:val="18"/>
          <w:szCs w:val="18"/>
        </w:rPr>
        <w:t>volledig autonome systemen</w:t>
      </w:r>
      <w:r w:rsidRPr="003350D7" w:rsidR="006611B9">
        <w:rPr>
          <w:rFonts w:ascii="Verdana" w:hAnsi="Verdana" w:cs="Arial"/>
          <w:sz w:val="18"/>
          <w:szCs w:val="18"/>
        </w:rPr>
        <w:t xml:space="preserve">—zoals onbemande voertuigen, drones en robotica—die zonder menselijke tussenkomst kunnen opereren in complexe omgevingen, met toepassingen variërend van civiele logistiek tot </w:t>
      </w:r>
      <w:r w:rsidRPr="006424AD" w:rsidR="006611B9">
        <w:rPr>
          <w:rFonts w:ascii="Verdana" w:hAnsi="Verdana" w:cs="Arial"/>
          <w:sz w:val="18"/>
          <w:szCs w:val="18"/>
        </w:rPr>
        <w:t>veiligheids- en defensieoperaties</w:t>
      </w:r>
      <w:r w:rsidRPr="003350D7" w:rsidR="006611B9">
        <w:rPr>
          <w:rFonts w:ascii="Verdana" w:hAnsi="Verdana" w:cs="Arial"/>
          <w:sz w:val="18"/>
          <w:szCs w:val="18"/>
        </w:rPr>
        <w:t xml:space="preserve">. </w:t>
      </w:r>
      <w:r w:rsidRPr="003350D7" w:rsidR="00542328">
        <w:rPr>
          <w:rFonts w:ascii="Verdana" w:hAnsi="Verdana" w:cs="Arial"/>
          <w:sz w:val="18"/>
          <w:szCs w:val="18"/>
        </w:rPr>
        <w:t>Gezien het voorgaande</w:t>
      </w:r>
      <w:r w:rsidRPr="003350D7" w:rsidR="006611B9">
        <w:rPr>
          <w:rFonts w:ascii="Verdana" w:hAnsi="Verdana" w:cs="Arial"/>
          <w:sz w:val="18"/>
          <w:szCs w:val="18"/>
        </w:rPr>
        <w:t xml:space="preserve"> vormen deze technologieën niet alleen een strategisch voordeel, maar ook een significant risico voor privacy, veiligheid en maatschappelijke stabiliteit.</w:t>
      </w:r>
      <w:r w:rsidRPr="003350D7" w:rsidR="00542328">
        <w:rPr>
          <w:rFonts w:ascii="Verdana" w:hAnsi="Verdana" w:cs="Arial"/>
          <w:sz w:val="18"/>
          <w:szCs w:val="18"/>
        </w:rPr>
        <w:t xml:space="preserve"> </w:t>
      </w:r>
      <w:r w:rsidRPr="003350D7">
        <w:rPr>
          <w:rFonts w:ascii="Verdana" w:hAnsi="Verdana" w:cs="Arial"/>
          <w:sz w:val="18"/>
          <w:szCs w:val="18"/>
        </w:rPr>
        <w:t>Om deze redenen wordt krachtens dit wijzigingsbesluit sensor- en navigatietechnologie als sensitieve technologie aangewezen, die bovendien zeer sensitief is.</w:t>
      </w:r>
    </w:p>
    <w:p w:rsidRPr="003350D7" w:rsidR="00E4661F" w:rsidP="006424AD" w:rsidRDefault="000162C6" w14:paraId="70BC52DB" w14:textId="05C8E825">
      <w:pPr>
        <w:spacing w:line="240" w:lineRule="atLeast"/>
        <w:rPr>
          <w:rFonts w:ascii="Verdana" w:hAnsi="Verdana" w:cs="Arial"/>
          <w:sz w:val="18"/>
          <w:szCs w:val="18"/>
        </w:rPr>
      </w:pPr>
      <w:r w:rsidRPr="003350D7">
        <w:rPr>
          <w:rFonts w:ascii="Verdana" w:hAnsi="Verdana" w:cs="Arial"/>
          <w:sz w:val="18"/>
          <w:szCs w:val="18"/>
        </w:rPr>
        <w:t xml:space="preserve">Deze uitbreiding valt niet onder het verplichte </w:t>
      </w:r>
      <w:r w:rsidRPr="003350D7" w:rsidR="00EE2F0E">
        <w:rPr>
          <w:rFonts w:ascii="Verdana" w:hAnsi="Verdana" w:cs="Arial"/>
          <w:sz w:val="18"/>
          <w:szCs w:val="18"/>
        </w:rPr>
        <w:t>minimum</w:t>
      </w:r>
      <w:r w:rsidRPr="003350D7">
        <w:rPr>
          <w:rFonts w:ascii="Verdana" w:hAnsi="Verdana" w:cs="Arial"/>
          <w:sz w:val="18"/>
          <w:szCs w:val="18"/>
        </w:rPr>
        <w:t xml:space="preserve">toepassingsbereik van de </w:t>
      </w:r>
      <w:r w:rsidRPr="006424AD">
        <w:rPr>
          <w:rFonts w:ascii="Verdana" w:hAnsi="Verdana" w:cs="Arial"/>
          <w:b/>
          <w:bCs/>
          <w:sz w:val="16"/>
          <w:szCs w:val="16"/>
        </w:rPr>
        <w:t>[</w:t>
      </w:r>
      <w:r w:rsidRPr="006424AD">
        <w:rPr>
          <w:rFonts w:ascii="Verdana" w:hAnsi="Verdana" w:cs="Arial"/>
          <w:sz w:val="16"/>
          <w:szCs w:val="16"/>
        </w:rPr>
        <w:t>voorgestelde</w:t>
      </w:r>
      <w:r w:rsidRPr="006424AD">
        <w:rPr>
          <w:rFonts w:ascii="Verdana" w:hAnsi="Verdana" w:cs="Arial"/>
          <w:b/>
          <w:bCs/>
          <w:sz w:val="16"/>
          <w:szCs w:val="16"/>
        </w:rPr>
        <w:t>]</w:t>
      </w:r>
      <w:r w:rsidRPr="003350D7">
        <w:rPr>
          <w:rFonts w:ascii="Verdana" w:hAnsi="Verdana" w:cs="Arial"/>
          <w:b/>
          <w:bCs/>
          <w:sz w:val="18"/>
          <w:szCs w:val="18"/>
        </w:rPr>
        <w:t xml:space="preserve"> </w:t>
      </w:r>
      <w:r w:rsidRPr="003350D7">
        <w:rPr>
          <w:rFonts w:ascii="Verdana" w:hAnsi="Verdana" w:cs="Arial"/>
          <w:sz w:val="18"/>
          <w:szCs w:val="18"/>
        </w:rPr>
        <w:t>herziene FDI-Verordening. Delen van dit technologiegebied (</w:t>
      </w:r>
      <w:r w:rsidRPr="003350D7">
        <w:rPr>
          <w:rFonts w:ascii="Verdana" w:hAnsi="Verdana" w:cs="Arial"/>
          <w:i/>
          <w:iCs/>
          <w:sz w:val="18"/>
          <w:szCs w:val="18"/>
        </w:rPr>
        <w:t>advanced guidance, navigation and control technologie</w:t>
      </w:r>
      <w:r w:rsidRPr="003350D7" w:rsidR="00115E8D">
        <w:rPr>
          <w:rFonts w:ascii="Verdana" w:hAnsi="Verdana" w:cs="Arial"/>
          <w:i/>
          <w:iCs/>
          <w:sz w:val="18"/>
          <w:szCs w:val="18"/>
        </w:rPr>
        <w:t xml:space="preserve">s </w:t>
      </w:r>
      <w:r w:rsidRPr="003350D7" w:rsidR="00115E8D">
        <w:rPr>
          <w:rFonts w:ascii="Verdana" w:hAnsi="Verdana" w:cs="Arial"/>
          <w:sz w:val="18"/>
          <w:szCs w:val="18"/>
        </w:rPr>
        <w:t xml:space="preserve">en </w:t>
      </w:r>
      <w:r w:rsidRPr="003350D7" w:rsidR="00115E8D">
        <w:rPr>
          <w:rFonts w:ascii="Verdana" w:hAnsi="Verdana" w:cs="Arial"/>
          <w:i/>
          <w:iCs/>
          <w:sz w:val="18"/>
          <w:szCs w:val="18"/>
        </w:rPr>
        <w:t>advanced sensing technologies</w:t>
      </w:r>
      <w:r w:rsidRPr="003350D7" w:rsidR="00115E8D">
        <w:rPr>
          <w:rFonts w:ascii="Verdana" w:hAnsi="Verdana" w:cs="Arial"/>
          <w:sz w:val="18"/>
          <w:szCs w:val="18"/>
        </w:rPr>
        <w:t>)</w:t>
      </w:r>
      <w:r w:rsidRPr="003350D7" w:rsidR="00115E8D">
        <w:rPr>
          <w:rFonts w:ascii="Verdana" w:hAnsi="Verdana" w:cs="Arial"/>
          <w:i/>
          <w:iCs/>
          <w:sz w:val="18"/>
          <w:szCs w:val="18"/>
        </w:rPr>
        <w:t xml:space="preserve"> </w:t>
      </w:r>
      <w:r w:rsidRPr="003350D7">
        <w:rPr>
          <w:rFonts w:ascii="Verdana" w:hAnsi="Verdana" w:cs="Arial"/>
          <w:sz w:val="18"/>
          <w:szCs w:val="18"/>
        </w:rPr>
        <w:t xml:space="preserve">vallen mogelijk wel onder de gebieden die </w:t>
      </w:r>
      <w:r w:rsidRPr="003350D7" w:rsidR="00115E8D">
        <w:rPr>
          <w:rFonts w:ascii="Verdana" w:hAnsi="Verdana" w:cs="Arial"/>
          <w:sz w:val="18"/>
          <w:szCs w:val="18"/>
        </w:rPr>
        <w:t>in de</w:t>
      </w:r>
      <w:r w:rsidR="004D6F4B">
        <w:rPr>
          <w:rFonts w:ascii="Verdana" w:hAnsi="Verdana" w:cs="Arial"/>
          <w:sz w:val="18"/>
          <w:szCs w:val="18"/>
        </w:rPr>
        <w:t xml:space="preserve"> [voorgestelde] herziene</w:t>
      </w:r>
      <w:r w:rsidRPr="003350D7" w:rsidR="00115E8D">
        <w:rPr>
          <w:rFonts w:ascii="Verdana" w:hAnsi="Verdana" w:cs="Arial"/>
          <w:sz w:val="18"/>
          <w:szCs w:val="18"/>
        </w:rPr>
        <w:t xml:space="preserve"> FDI-Verordening </w:t>
      </w:r>
      <w:r w:rsidRPr="003350D7">
        <w:rPr>
          <w:rFonts w:ascii="Verdana" w:hAnsi="Verdana" w:cs="Arial"/>
          <w:sz w:val="18"/>
          <w:szCs w:val="18"/>
        </w:rPr>
        <w:t>worden aangehaald in het kader van beoordeling van investeringen.</w:t>
      </w:r>
      <w:r w:rsidRPr="003350D7">
        <w:rPr>
          <w:rStyle w:val="Voetnootmarkering"/>
          <w:rFonts w:ascii="Verdana" w:hAnsi="Verdana" w:cs="Arial"/>
          <w:sz w:val="18"/>
          <w:szCs w:val="18"/>
        </w:rPr>
        <w:t xml:space="preserve"> </w:t>
      </w:r>
      <w:r w:rsidRPr="003350D7">
        <w:rPr>
          <w:rStyle w:val="Voetnootmarkering"/>
          <w:rFonts w:ascii="Verdana" w:hAnsi="Verdana" w:cs="Arial"/>
          <w:sz w:val="18"/>
          <w:szCs w:val="18"/>
        </w:rPr>
        <w:footnoteReference w:id="13"/>
      </w:r>
      <w:r w:rsidRPr="003350D7">
        <w:rPr>
          <w:rFonts w:ascii="Verdana" w:hAnsi="Verdana" w:cs="Arial"/>
          <w:sz w:val="18"/>
          <w:szCs w:val="18"/>
        </w:rPr>
        <w:t xml:space="preserve"> </w:t>
      </w:r>
      <w:r w:rsidRPr="003350D7" w:rsidR="00115E8D">
        <w:rPr>
          <w:rFonts w:ascii="Verdana" w:hAnsi="Verdana" w:cs="Arial"/>
          <w:sz w:val="18"/>
          <w:szCs w:val="18"/>
        </w:rPr>
        <w:t>De ambtelijke diensten van de Europese Commissie zal om een nadere uitleg van deze afbakening worden verzocht</w:t>
      </w:r>
      <w:r w:rsidRPr="003350D7" w:rsidR="0009149A">
        <w:rPr>
          <w:rFonts w:ascii="Verdana" w:hAnsi="Verdana" w:cs="Arial"/>
          <w:sz w:val="18"/>
          <w:szCs w:val="18"/>
        </w:rPr>
        <w:t xml:space="preserve"> </w:t>
      </w:r>
      <w:r w:rsidRPr="006424AD" w:rsidR="00115E8D">
        <w:rPr>
          <w:rFonts w:ascii="Verdana" w:hAnsi="Verdana" w:cs="Arial"/>
          <w:b/>
          <w:bCs/>
          <w:sz w:val="16"/>
          <w:szCs w:val="16"/>
        </w:rPr>
        <w:t>[</w:t>
      </w:r>
      <w:r w:rsidRPr="006424AD" w:rsidR="00115E8D">
        <w:rPr>
          <w:rFonts w:ascii="Verdana" w:hAnsi="Verdana" w:cs="Arial"/>
          <w:sz w:val="16"/>
          <w:szCs w:val="16"/>
        </w:rPr>
        <w:t xml:space="preserve">, zodra de </w:t>
      </w:r>
      <w:r w:rsidR="004D6F4B">
        <w:rPr>
          <w:rFonts w:ascii="Verdana" w:hAnsi="Verdana" w:cs="Arial"/>
          <w:sz w:val="16"/>
          <w:szCs w:val="16"/>
        </w:rPr>
        <w:t xml:space="preserve">[voorgestelde] </w:t>
      </w:r>
      <w:r w:rsidRPr="006424AD" w:rsidR="00115E8D">
        <w:rPr>
          <w:rFonts w:ascii="Verdana" w:hAnsi="Verdana" w:cs="Arial"/>
          <w:sz w:val="16"/>
          <w:szCs w:val="16"/>
        </w:rPr>
        <w:t>herziene FDI-Verordening definitief is vastgesteld</w:t>
      </w:r>
      <w:r w:rsidRPr="006424AD" w:rsidR="00115E8D">
        <w:rPr>
          <w:rFonts w:ascii="Verdana" w:hAnsi="Verdana" w:cs="Arial"/>
          <w:b/>
          <w:bCs/>
          <w:sz w:val="16"/>
          <w:szCs w:val="16"/>
        </w:rPr>
        <w:t>]</w:t>
      </w:r>
      <w:r w:rsidRPr="006424AD" w:rsidR="005A29D0">
        <w:rPr>
          <w:rFonts w:ascii="Verdana" w:hAnsi="Verdana" w:cs="Arial"/>
          <w:sz w:val="16"/>
          <w:szCs w:val="16"/>
        </w:rPr>
        <w:t>.</w:t>
      </w:r>
    </w:p>
    <w:p w:rsidRPr="003350D7" w:rsidR="002531AD" w:rsidP="006424AD" w:rsidRDefault="002531AD" w14:paraId="019CDFA2" w14:textId="77777777">
      <w:pPr>
        <w:spacing w:line="240" w:lineRule="atLeast"/>
        <w:rPr>
          <w:rFonts w:ascii="Verdana" w:hAnsi="Verdana" w:cs="Arial"/>
          <w:sz w:val="18"/>
          <w:szCs w:val="18"/>
          <w:u w:val="single"/>
        </w:rPr>
      </w:pPr>
      <w:r w:rsidRPr="003350D7">
        <w:rPr>
          <w:rFonts w:ascii="Verdana" w:hAnsi="Verdana" w:cs="Arial"/>
          <w:sz w:val="18"/>
          <w:szCs w:val="18"/>
          <w:u w:val="single"/>
        </w:rPr>
        <w:t xml:space="preserve">Nucleaire technologie voor medische toepassing </w:t>
      </w:r>
    </w:p>
    <w:p w:rsidRPr="003350D7" w:rsidR="002531AD" w:rsidP="006424AD" w:rsidRDefault="002531AD" w14:paraId="7A3BEC2A" w14:textId="54F7DB26">
      <w:pPr>
        <w:spacing w:line="240" w:lineRule="atLeast"/>
        <w:rPr>
          <w:rFonts w:ascii="Verdana" w:hAnsi="Verdana" w:cs="Arial"/>
          <w:sz w:val="18"/>
          <w:szCs w:val="18"/>
        </w:rPr>
      </w:pPr>
      <w:r w:rsidRPr="003350D7">
        <w:rPr>
          <w:rFonts w:ascii="Verdana" w:hAnsi="Verdana" w:cs="Arial"/>
          <w:sz w:val="18"/>
          <w:szCs w:val="18"/>
        </w:rPr>
        <w:t xml:space="preserve">Het gebruik van nucleaire technologie is sterk gereguleerd door middel van internationale verdragen en veel aspecten van deze technologie en systemen vallen reeds binnen het toepassingsbereik van de Wet vifo. </w:t>
      </w:r>
      <w:r w:rsidRPr="003350D7" w:rsidR="00390226">
        <w:rPr>
          <w:rFonts w:ascii="Verdana" w:hAnsi="Verdana" w:cs="Arial"/>
          <w:sz w:val="18"/>
          <w:szCs w:val="18"/>
        </w:rPr>
        <w:t xml:space="preserve">Met dit wijzigingsbesluit worden enkel specifiek de technologieën voor de ontwikkeling, productie en toepassing van medische isotopen aan deze afbakening toegevoegd. Deze technologieën zijn essentieel voor de gezondheidszorg, aangezien er momenteel geen volwaardige alternatieven beschikbaar zijn. Nederland neemt hierin een leidende </w:t>
      </w:r>
      <w:r w:rsidRPr="003350D7" w:rsidR="00390226">
        <w:rPr>
          <w:rFonts w:ascii="Verdana" w:hAnsi="Verdana" w:cs="Arial"/>
          <w:sz w:val="18"/>
          <w:szCs w:val="18"/>
        </w:rPr>
        <w:lastRenderedPageBreak/>
        <w:t>positie in, zowel in productie als innovatie, wat een betrouwbare toegang tot medische isotopen en radiofarmaca garandeert — een voorwaarde voor het ongestoord functioneren van kritieke zorgprocessen, zoals kankerbehandelingen en diagnostiek.</w:t>
      </w:r>
      <w:r w:rsidRPr="003350D7" w:rsidR="00980012">
        <w:rPr>
          <w:rFonts w:ascii="Verdana" w:hAnsi="Verdana"/>
          <w:sz w:val="18"/>
          <w:szCs w:val="18"/>
        </w:rPr>
        <w:t xml:space="preserve"> </w:t>
      </w:r>
      <w:r w:rsidRPr="006424AD" w:rsidR="00980012">
        <w:rPr>
          <w:rFonts w:ascii="Verdana" w:hAnsi="Verdana"/>
          <w:sz w:val="18"/>
          <w:szCs w:val="18"/>
        </w:rPr>
        <w:t>Gegeven het strategische belang, de afhankelijkheid van deze technologie voor de volksgezondheid, en de potentiële risico’s bij misbruik of verstoring van de toeleveringsketen, is deze technologie krachtens dit wijzigingsbesluit aangemerkt als zeer sensitief.</w:t>
      </w:r>
    </w:p>
    <w:p w:rsidRPr="003350D7" w:rsidR="00043D4E" w:rsidP="006424AD" w:rsidRDefault="00043D4E" w14:paraId="5AF15651" w14:textId="0828DADB">
      <w:pPr>
        <w:spacing w:line="240" w:lineRule="atLeast"/>
        <w:rPr>
          <w:rFonts w:ascii="Verdana" w:hAnsi="Verdana" w:cs="Arial"/>
          <w:sz w:val="18"/>
          <w:szCs w:val="18"/>
        </w:rPr>
      </w:pPr>
      <w:r w:rsidRPr="003350D7">
        <w:rPr>
          <w:rFonts w:ascii="Verdana" w:hAnsi="Verdana" w:cs="Arial"/>
          <w:sz w:val="18"/>
          <w:szCs w:val="18"/>
        </w:rPr>
        <w:t xml:space="preserve">Deze uitbreiding valt naar verwachting niet onder het verplichte </w:t>
      </w:r>
      <w:r w:rsidRPr="003350D7" w:rsidR="00EE2F0E">
        <w:rPr>
          <w:rFonts w:ascii="Verdana" w:hAnsi="Verdana" w:cs="Arial"/>
          <w:sz w:val="18"/>
          <w:szCs w:val="18"/>
        </w:rPr>
        <w:t>minimum</w:t>
      </w:r>
      <w:r w:rsidRPr="003350D7">
        <w:rPr>
          <w:rFonts w:ascii="Verdana" w:hAnsi="Verdana" w:cs="Arial"/>
          <w:sz w:val="18"/>
          <w:szCs w:val="18"/>
        </w:rPr>
        <w:t xml:space="preserve">toepassingsbereik van de </w:t>
      </w:r>
      <w:r w:rsidRPr="006424AD">
        <w:rPr>
          <w:rFonts w:ascii="Verdana" w:hAnsi="Verdana" w:cs="Arial"/>
          <w:b/>
          <w:bCs/>
          <w:sz w:val="16"/>
          <w:szCs w:val="16"/>
        </w:rPr>
        <w:t>[</w:t>
      </w:r>
      <w:r w:rsidRPr="006424AD">
        <w:rPr>
          <w:rFonts w:ascii="Verdana" w:hAnsi="Verdana" w:cs="Arial"/>
          <w:sz w:val="16"/>
          <w:szCs w:val="16"/>
        </w:rPr>
        <w:t>voorgestelde</w:t>
      </w:r>
      <w:r w:rsidRPr="006424AD">
        <w:rPr>
          <w:rFonts w:ascii="Verdana" w:hAnsi="Verdana" w:cs="Arial"/>
          <w:b/>
          <w:bCs/>
          <w:sz w:val="16"/>
          <w:szCs w:val="16"/>
        </w:rPr>
        <w:t>]</w:t>
      </w:r>
      <w:r w:rsidRPr="003350D7">
        <w:rPr>
          <w:rFonts w:ascii="Verdana" w:hAnsi="Verdana" w:cs="Arial"/>
          <w:b/>
          <w:bCs/>
          <w:sz w:val="18"/>
          <w:szCs w:val="18"/>
        </w:rPr>
        <w:t xml:space="preserve"> </w:t>
      </w:r>
      <w:r w:rsidRPr="003350D7">
        <w:rPr>
          <w:rFonts w:ascii="Verdana" w:hAnsi="Verdana" w:cs="Arial"/>
          <w:sz w:val="18"/>
          <w:szCs w:val="18"/>
        </w:rPr>
        <w:t xml:space="preserve">herziene </w:t>
      </w:r>
      <w:r w:rsidRPr="003350D7" w:rsidR="00C93F0F">
        <w:rPr>
          <w:rFonts w:ascii="Verdana" w:hAnsi="Verdana" w:cs="Arial"/>
          <w:sz w:val="18"/>
          <w:szCs w:val="18"/>
        </w:rPr>
        <w:t>EU</w:t>
      </w:r>
      <w:r w:rsidRPr="003350D7">
        <w:rPr>
          <w:rFonts w:ascii="Verdana" w:hAnsi="Verdana" w:cs="Arial"/>
          <w:sz w:val="18"/>
          <w:szCs w:val="18"/>
        </w:rPr>
        <w:t xml:space="preserve">-Verordening. </w:t>
      </w:r>
      <w:r w:rsidRPr="003350D7" w:rsidR="005D3480">
        <w:rPr>
          <w:rFonts w:ascii="Verdana" w:hAnsi="Verdana" w:cs="Arial"/>
          <w:sz w:val="18"/>
          <w:szCs w:val="18"/>
        </w:rPr>
        <w:t>Bepaalde nucleaire technologie (</w:t>
      </w:r>
      <w:r w:rsidRPr="003350D7" w:rsidR="000E249D">
        <w:rPr>
          <w:rFonts w:ascii="Verdana" w:hAnsi="Verdana" w:cs="Arial"/>
          <w:i/>
          <w:iCs/>
          <w:sz w:val="18"/>
          <w:szCs w:val="18"/>
        </w:rPr>
        <w:t>n</w:t>
      </w:r>
      <w:r w:rsidRPr="006424AD" w:rsidR="000E249D">
        <w:rPr>
          <w:rFonts w:ascii="Verdana" w:hAnsi="Verdana" w:cs="Arial"/>
          <w:i/>
          <w:iCs/>
          <w:sz w:val="18"/>
          <w:szCs w:val="18"/>
        </w:rPr>
        <w:t>uclear fusion technologies, reactors and power generation, radiological conversion/enrichment/recycling technologies</w:t>
      </w:r>
      <w:r w:rsidRPr="003350D7" w:rsidR="000E249D">
        <w:rPr>
          <w:rFonts w:ascii="Verdana" w:hAnsi="Verdana" w:cs="Arial"/>
          <w:sz w:val="18"/>
          <w:szCs w:val="18"/>
        </w:rPr>
        <w:t xml:space="preserve">) wordt </w:t>
      </w:r>
      <w:r w:rsidRPr="003350D7" w:rsidR="005D3480">
        <w:rPr>
          <w:rFonts w:ascii="Verdana" w:hAnsi="Verdana" w:cs="Arial"/>
          <w:sz w:val="18"/>
          <w:szCs w:val="18"/>
        </w:rPr>
        <w:t>daarin wel aangehaald in het kader van beoordeling van investeringen</w:t>
      </w:r>
      <w:r w:rsidRPr="003350D7" w:rsidR="000E249D">
        <w:rPr>
          <w:rFonts w:ascii="Verdana" w:hAnsi="Verdana" w:cs="Arial"/>
          <w:sz w:val="18"/>
          <w:szCs w:val="18"/>
        </w:rPr>
        <w:t>,</w:t>
      </w:r>
      <w:r w:rsidRPr="003350D7" w:rsidR="005D3480">
        <w:rPr>
          <w:rStyle w:val="Voetnootmarkering"/>
          <w:rFonts w:ascii="Verdana" w:hAnsi="Verdana" w:cs="Arial"/>
          <w:sz w:val="18"/>
          <w:szCs w:val="18"/>
        </w:rPr>
        <w:t xml:space="preserve"> </w:t>
      </w:r>
      <w:r w:rsidRPr="003350D7" w:rsidR="005D3480">
        <w:rPr>
          <w:rStyle w:val="Voetnootmarkering"/>
          <w:rFonts w:ascii="Verdana" w:hAnsi="Verdana" w:cs="Arial"/>
          <w:sz w:val="18"/>
          <w:szCs w:val="18"/>
        </w:rPr>
        <w:footnoteReference w:id="14"/>
      </w:r>
      <w:r w:rsidRPr="003350D7" w:rsidR="000E249D">
        <w:rPr>
          <w:rFonts w:ascii="Verdana" w:hAnsi="Verdana" w:cs="Arial"/>
          <w:sz w:val="18"/>
          <w:szCs w:val="18"/>
        </w:rPr>
        <w:t xml:space="preserve"> maar dit betreft nucleaire technologie onder de noemer ‘energietechnologie’</w:t>
      </w:r>
      <w:r w:rsidRPr="003350D7" w:rsidR="005A29D0">
        <w:rPr>
          <w:rFonts w:ascii="Verdana" w:hAnsi="Verdana" w:cs="Arial"/>
          <w:sz w:val="18"/>
          <w:szCs w:val="18"/>
        </w:rPr>
        <w:t>, en lijkt dus niet nucleaire technologie voor medische toepassing te omvatten. De ambtelijke diensten van de Europese Commissie zal om een nadere uitleg van deze afbakening worden verzocht</w:t>
      </w:r>
      <w:r w:rsidRPr="003350D7" w:rsidR="00F54B0B">
        <w:rPr>
          <w:rFonts w:ascii="Verdana" w:hAnsi="Verdana" w:cs="Arial"/>
          <w:sz w:val="18"/>
          <w:szCs w:val="18"/>
        </w:rPr>
        <w:t xml:space="preserve"> </w:t>
      </w:r>
      <w:r w:rsidRPr="006424AD" w:rsidR="005A29D0">
        <w:rPr>
          <w:rFonts w:ascii="Verdana" w:hAnsi="Verdana" w:cs="Arial"/>
          <w:b/>
          <w:bCs/>
          <w:sz w:val="16"/>
          <w:szCs w:val="16"/>
        </w:rPr>
        <w:t>[</w:t>
      </w:r>
      <w:r w:rsidRPr="006424AD" w:rsidR="005A29D0">
        <w:rPr>
          <w:rFonts w:ascii="Verdana" w:hAnsi="Verdana" w:cs="Arial"/>
          <w:sz w:val="16"/>
          <w:szCs w:val="16"/>
        </w:rPr>
        <w:t xml:space="preserve">, zodra de herziene </w:t>
      </w:r>
      <w:r w:rsidRPr="006424AD" w:rsidR="00F54B0B">
        <w:rPr>
          <w:rFonts w:ascii="Verdana" w:hAnsi="Verdana" w:cs="Arial"/>
          <w:sz w:val="16"/>
          <w:szCs w:val="16"/>
        </w:rPr>
        <w:t>EU</w:t>
      </w:r>
      <w:r w:rsidRPr="006424AD" w:rsidR="005A29D0">
        <w:rPr>
          <w:rFonts w:ascii="Verdana" w:hAnsi="Verdana" w:cs="Arial"/>
          <w:sz w:val="16"/>
          <w:szCs w:val="16"/>
        </w:rPr>
        <w:t>-</w:t>
      </w:r>
      <w:r w:rsidRPr="006424AD" w:rsidR="00F54B0B">
        <w:rPr>
          <w:rFonts w:ascii="Verdana" w:hAnsi="Verdana" w:cs="Arial"/>
          <w:sz w:val="16"/>
          <w:szCs w:val="16"/>
        </w:rPr>
        <w:t>v</w:t>
      </w:r>
      <w:r w:rsidRPr="006424AD" w:rsidR="005A29D0">
        <w:rPr>
          <w:rFonts w:ascii="Verdana" w:hAnsi="Verdana" w:cs="Arial"/>
          <w:sz w:val="16"/>
          <w:szCs w:val="16"/>
        </w:rPr>
        <w:t>erordening definitief is vastgesteld</w:t>
      </w:r>
      <w:r w:rsidRPr="006424AD" w:rsidR="005A29D0">
        <w:rPr>
          <w:rFonts w:ascii="Verdana" w:hAnsi="Verdana" w:cs="Arial"/>
          <w:b/>
          <w:bCs/>
          <w:sz w:val="16"/>
          <w:szCs w:val="16"/>
        </w:rPr>
        <w:t>]</w:t>
      </w:r>
      <w:r w:rsidRPr="003350D7" w:rsidR="005A29D0">
        <w:rPr>
          <w:rFonts w:ascii="Verdana" w:hAnsi="Verdana" w:cs="Arial"/>
          <w:sz w:val="18"/>
          <w:szCs w:val="18"/>
        </w:rPr>
        <w:t>.</w:t>
      </w:r>
    </w:p>
    <w:p w:rsidRPr="006424AD" w:rsidR="00980012" w:rsidP="006424AD" w:rsidRDefault="00980012" w14:paraId="7A5B087F" w14:textId="4F7401C5">
      <w:pPr>
        <w:spacing w:line="240" w:lineRule="atLeast"/>
        <w:rPr>
          <w:rFonts w:ascii="Verdana" w:hAnsi="Verdana" w:cs="Arial"/>
          <w:sz w:val="18"/>
          <w:szCs w:val="18"/>
          <w:u w:val="single"/>
        </w:rPr>
      </w:pPr>
      <w:r w:rsidRPr="003350D7">
        <w:rPr>
          <w:rFonts w:ascii="Verdana" w:hAnsi="Verdana" w:cs="Arial"/>
          <w:sz w:val="18"/>
          <w:szCs w:val="18"/>
          <w:u w:val="single"/>
        </w:rPr>
        <w:t>Overige toevoegingen</w:t>
      </w:r>
    </w:p>
    <w:p w:rsidRPr="003350D7" w:rsidR="002531AD" w:rsidP="006424AD" w:rsidRDefault="002531AD" w14:paraId="67E00ECD" w14:textId="2260B025">
      <w:pPr>
        <w:spacing w:line="240" w:lineRule="atLeast"/>
        <w:rPr>
          <w:rFonts w:ascii="Verdana" w:hAnsi="Verdana" w:cs="Arial"/>
          <w:sz w:val="18"/>
          <w:szCs w:val="18"/>
        </w:rPr>
      </w:pPr>
      <w:r w:rsidRPr="003350D7">
        <w:rPr>
          <w:rFonts w:ascii="Verdana" w:hAnsi="Verdana" w:cs="Arial"/>
          <w:sz w:val="18"/>
          <w:szCs w:val="18"/>
        </w:rPr>
        <w:t>Naast nieuwe technologieën die via dit wijzigingsbesluit worden aangewezen als zeer sensitief, wordt ook een aantal technologieën die uit hoofde van de Wet vifo al sensitief zijn door middel van dit besluit als zeer sensitief gecategoriseerd. Dit betreft technologieën op het gebied van informatiebeveiliging en laser</w:t>
      </w:r>
      <w:r w:rsidRPr="003350D7" w:rsidR="00980012">
        <w:rPr>
          <w:rFonts w:ascii="Verdana" w:hAnsi="Verdana" w:cs="Arial"/>
          <w:sz w:val="18"/>
          <w:szCs w:val="18"/>
        </w:rPr>
        <w:t>-</w:t>
      </w:r>
      <w:r w:rsidRPr="003350D7">
        <w:rPr>
          <w:rFonts w:ascii="Verdana" w:hAnsi="Verdana" w:cs="Arial"/>
          <w:sz w:val="18"/>
          <w:szCs w:val="18"/>
        </w:rPr>
        <w:t xml:space="preserve">satellietcommunicatie. Op de overwegingen die daaraan ten grondslag liggen, wordt in de toelichting onder Artikel I, onderdeel B van dit wijzigingsbesluit nader ingegaan. </w:t>
      </w:r>
    </w:p>
    <w:p w:rsidRPr="003350D7" w:rsidR="002531AD" w:rsidP="006424AD" w:rsidRDefault="002531AD" w14:paraId="19A4CA7B" w14:textId="77777777">
      <w:pPr>
        <w:spacing w:line="240" w:lineRule="atLeast"/>
        <w:rPr>
          <w:rFonts w:ascii="Verdana" w:hAnsi="Verdana" w:cs="Arial"/>
          <w:b/>
          <w:bCs/>
          <w:sz w:val="18"/>
          <w:szCs w:val="18"/>
        </w:rPr>
      </w:pPr>
      <w:r w:rsidRPr="003350D7">
        <w:rPr>
          <w:rFonts w:ascii="Verdana" w:hAnsi="Verdana" w:cs="Arial"/>
          <w:b/>
          <w:bCs/>
          <w:sz w:val="18"/>
          <w:szCs w:val="18"/>
        </w:rPr>
        <w:t>5. Beleidsontwikkelingen voor investeringstoetsing</w:t>
      </w:r>
    </w:p>
    <w:p w:rsidRPr="003350D7" w:rsidR="002531AD" w:rsidP="006424AD" w:rsidRDefault="002531AD" w14:paraId="61F89BC3" w14:textId="248BA0B1">
      <w:pPr>
        <w:spacing w:line="240" w:lineRule="atLeast"/>
        <w:rPr>
          <w:rFonts w:ascii="Verdana" w:hAnsi="Verdana" w:cs="Arial"/>
          <w:sz w:val="18"/>
          <w:szCs w:val="18"/>
        </w:rPr>
      </w:pPr>
      <w:r w:rsidRPr="003350D7">
        <w:rPr>
          <w:rFonts w:ascii="Verdana" w:hAnsi="Verdana" w:cs="Arial"/>
          <w:sz w:val="18"/>
          <w:szCs w:val="18"/>
        </w:rPr>
        <w:t xml:space="preserve">Dit wijzigingsbesluit komt tot stand in een periode dat er een aantal trajecten </w:t>
      </w:r>
      <w:r w:rsidRPr="003350D7" w:rsidR="005A7431">
        <w:rPr>
          <w:rFonts w:ascii="Verdana" w:hAnsi="Verdana" w:cs="Arial"/>
          <w:sz w:val="18"/>
          <w:szCs w:val="18"/>
        </w:rPr>
        <w:t xml:space="preserve">loopt </w:t>
      </w:r>
      <w:r w:rsidRPr="003350D7">
        <w:rPr>
          <w:rFonts w:ascii="Verdana" w:hAnsi="Verdana" w:cs="Arial"/>
          <w:sz w:val="18"/>
          <w:szCs w:val="18"/>
        </w:rPr>
        <w:t>of gestart gaa</w:t>
      </w:r>
      <w:r w:rsidRPr="003350D7" w:rsidR="005A7431">
        <w:rPr>
          <w:rFonts w:ascii="Verdana" w:hAnsi="Verdana" w:cs="Arial"/>
          <w:sz w:val="18"/>
          <w:szCs w:val="18"/>
        </w:rPr>
        <w:t>t</w:t>
      </w:r>
      <w:r w:rsidRPr="003350D7">
        <w:rPr>
          <w:rFonts w:ascii="Verdana" w:hAnsi="Verdana" w:cs="Arial"/>
          <w:sz w:val="18"/>
          <w:szCs w:val="18"/>
        </w:rPr>
        <w:t xml:space="preserve"> worden </w:t>
      </w:r>
      <w:r w:rsidRPr="003350D7" w:rsidR="00F91E92">
        <w:rPr>
          <w:rFonts w:ascii="Verdana" w:hAnsi="Verdana" w:cs="Arial"/>
          <w:sz w:val="18"/>
          <w:szCs w:val="18"/>
        </w:rPr>
        <w:t xml:space="preserve">dat </w:t>
      </w:r>
      <w:r w:rsidRPr="003350D7">
        <w:rPr>
          <w:rFonts w:ascii="Verdana" w:hAnsi="Verdana" w:cs="Arial"/>
          <w:sz w:val="18"/>
          <w:szCs w:val="18"/>
        </w:rPr>
        <w:t xml:space="preserve">mogelijk aanleiding </w:t>
      </w:r>
      <w:r w:rsidRPr="003350D7" w:rsidR="00F91E92">
        <w:rPr>
          <w:rFonts w:ascii="Verdana" w:hAnsi="Verdana" w:cs="Arial"/>
          <w:sz w:val="18"/>
          <w:szCs w:val="18"/>
        </w:rPr>
        <w:t xml:space="preserve">geeft </w:t>
      </w:r>
      <w:r w:rsidRPr="003350D7">
        <w:rPr>
          <w:rFonts w:ascii="Verdana" w:hAnsi="Verdana" w:cs="Arial"/>
          <w:sz w:val="18"/>
          <w:szCs w:val="18"/>
        </w:rPr>
        <w:t>om de wijze waarop in Nederland investeringen worden getoetst, aan te passen. Hieronder worden deze trajecten toegelicht. Gelet op het grote belang dat wordt gehecht aan veiligheidstoetsing tot bescherming van bepaalde technologieën in Nederland in een veranderend geopolitiek klimaat heeft het kabinet gemeend de uitkomst van deze trajecten niet te kunnen afwachten en dit wijzigingsbesluit tot stand te moeten brengen</w:t>
      </w:r>
      <w:r w:rsidRPr="003350D7" w:rsidR="0065324A">
        <w:rPr>
          <w:rFonts w:ascii="Verdana" w:hAnsi="Verdana" w:cs="Arial"/>
          <w:sz w:val="18"/>
          <w:szCs w:val="18"/>
        </w:rPr>
        <w:t xml:space="preserve"> vooruitlopend daarop</w:t>
      </w:r>
      <w:r w:rsidRPr="003350D7">
        <w:rPr>
          <w:rFonts w:ascii="Verdana" w:hAnsi="Verdana" w:cs="Arial"/>
          <w:sz w:val="18"/>
          <w:szCs w:val="18"/>
        </w:rPr>
        <w:t xml:space="preserve">. </w:t>
      </w:r>
    </w:p>
    <w:p w:rsidRPr="006424AD" w:rsidR="00024042" w:rsidP="006424AD" w:rsidRDefault="00024042" w14:paraId="2E3CC916" w14:textId="39461223">
      <w:pPr>
        <w:spacing w:line="240" w:lineRule="atLeast"/>
        <w:rPr>
          <w:rFonts w:ascii="Verdana" w:hAnsi="Verdana" w:cs="Arial"/>
          <w:sz w:val="18"/>
          <w:szCs w:val="18"/>
          <w:u w:val="single"/>
        </w:rPr>
      </w:pPr>
      <w:r w:rsidRPr="003350D7">
        <w:rPr>
          <w:rFonts w:ascii="Verdana" w:hAnsi="Verdana" w:cs="Arial"/>
          <w:sz w:val="18"/>
          <w:szCs w:val="18"/>
          <w:u w:val="single"/>
        </w:rPr>
        <w:t>Europees</w:t>
      </w:r>
    </w:p>
    <w:p w:rsidRPr="003350D7" w:rsidR="002531AD" w:rsidP="006424AD" w:rsidRDefault="002531AD" w14:paraId="197C61D5" w14:textId="1BA07042">
      <w:pPr>
        <w:spacing w:line="240" w:lineRule="atLeast"/>
        <w:rPr>
          <w:rFonts w:ascii="Verdana" w:hAnsi="Verdana" w:cs="Arial"/>
          <w:sz w:val="18"/>
          <w:szCs w:val="18"/>
        </w:rPr>
      </w:pPr>
      <w:r w:rsidRPr="003350D7">
        <w:rPr>
          <w:rFonts w:ascii="Verdana" w:hAnsi="Verdana" w:cs="Arial"/>
          <w:sz w:val="18"/>
          <w:szCs w:val="18"/>
        </w:rPr>
        <w:t>Allereerst heeft de Europese Commissie op 20 juni 2023 een mededeling over een Europese Economische Veiligheidsstrategie gepubliceerd (hierna: de EEV-strategie).</w:t>
      </w:r>
      <w:r w:rsidRPr="003350D7">
        <w:rPr>
          <w:rStyle w:val="Voetnootmarkering"/>
          <w:rFonts w:ascii="Verdana" w:hAnsi="Verdana" w:cs="Arial"/>
          <w:sz w:val="18"/>
          <w:szCs w:val="18"/>
        </w:rPr>
        <w:footnoteReference w:id="15"/>
      </w:r>
      <w:r w:rsidRPr="003350D7">
        <w:rPr>
          <w:rFonts w:ascii="Verdana" w:hAnsi="Verdana" w:cs="Arial"/>
          <w:sz w:val="18"/>
          <w:szCs w:val="18"/>
        </w:rPr>
        <w:t xml:space="preserve"> De voorgestelde strategie voorziet in een gemeenschappelijk kader voor het realiseren van economische veiligheid door het bevorderen van de economische basis en het concurrentievermogen van de EU, de bescherming tegen risico's, en het aangaan van partnerschappen met zo veel mogelijk landen om gezamenlijke zorgen en belangen aan te pakken. Het kabinet heeft de EEV-strategie verwelkomd en ziet de mededeling als stap om ten aanzien van economische veiligheid tot meer samenhangend beleid op EU-niveau te komen.</w:t>
      </w:r>
      <w:r w:rsidRPr="003350D7">
        <w:rPr>
          <w:rStyle w:val="Voetnootmarkering"/>
          <w:rFonts w:ascii="Verdana" w:hAnsi="Verdana" w:cs="Arial"/>
          <w:sz w:val="18"/>
          <w:szCs w:val="18"/>
        </w:rPr>
        <w:footnoteReference w:id="16"/>
      </w:r>
      <w:r w:rsidRPr="003350D7">
        <w:rPr>
          <w:rFonts w:ascii="Verdana" w:hAnsi="Verdana" w:cs="Arial"/>
          <w:sz w:val="18"/>
          <w:szCs w:val="18"/>
        </w:rPr>
        <w:t xml:space="preserve"> </w:t>
      </w:r>
    </w:p>
    <w:p w:rsidRPr="003350D7" w:rsidR="002531AD" w:rsidP="006424AD" w:rsidRDefault="002531AD" w14:paraId="53C1E1A0" w14:textId="152674C4">
      <w:pPr>
        <w:spacing w:line="240" w:lineRule="atLeast"/>
        <w:rPr>
          <w:rFonts w:ascii="Verdana" w:hAnsi="Verdana" w:cs="Arial"/>
          <w:sz w:val="18"/>
          <w:szCs w:val="18"/>
        </w:rPr>
      </w:pPr>
      <w:r w:rsidRPr="003350D7">
        <w:rPr>
          <w:rFonts w:ascii="Verdana" w:hAnsi="Verdana" w:cs="Arial"/>
          <w:sz w:val="18"/>
          <w:szCs w:val="18"/>
        </w:rPr>
        <w:t xml:space="preserve">Vervolgens heeft de Commissie op 24 januari 2024 vijf initiatieven gepresenteerd om de economische veiligheid van de EU te versterken in een tijd van toenemende geopolitieke spanningen en ingrijpende technologische verschuivingen. Eén van de initiatieven in het pakket van de Commissie </w:t>
      </w:r>
      <w:r w:rsidR="004D6F4B">
        <w:rPr>
          <w:rFonts w:ascii="Verdana" w:hAnsi="Verdana" w:cs="Arial"/>
          <w:sz w:val="18"/>
          <w:szCs w:val="18"/>
        </w:rPr>
        <w:t>was</w:t>
      </w:r>
      <w:r w:rsidRPr="003350D7" w:rsidR="00C93F0F">
        <w:rPr>
          <w:rFonts w:ascii="Verdana" w:hAnsi="Verdana" w:cs="Arial"/>
          <w:sz w:val="18"/>
          <w:szCs w:val="18"/>
        </w:rPr>
        <w:t xml:space="preserve"> het </w:t>
      </w:r>
      <w:r w:rsidRPr="006424AD" w:rsidR="00C93F0F">
        <w:rPr>
          <w:rFonts w:ascii="Verdana" w:hAnsi="Verdana" w:cs="Arial"/>
          <w:sz w:val="16"/>
          <w:szCs w:val="16"/>
        </w:rPr>
        <w:t>voorstel</w:t>
      </w:r>
      <w:r w:rsidR="00F95949">
        <w:rPr>
          <w:rFonts w:ascii="Verdana" w:hAnsi="Verdana" w:cs="Arial"/>
          <w:sz w:val="16"/>
          <w:szCs w:val="16"/>
        </w:rPr>
        <w:t xml:space="preserve"> </w:t>
      </w:r>
      <w:r w:rsidRPr="003350D7" w:rsidR="00C93F0F">
        <w:rPr>
          <w:rFonts w:ascii="Verdana" w:hAnsi="Verdana" w:cs="Arial"/>
          <w:sz w:val="18"/>
          <w:szCs w:val="18"/>
        </w:rPr>
        <w:t>voo</w:t>
      </w:r>
      <w:r w:rsidR="004D6F4B">
        <w:rPr>
          <w:rFonts w:ascii="Verdana" w:hAnsi="Verdana" w:cs="Arial"/>
          <w:sz w:val="18"/>
          <w:szCs w:val="18"/>
        </w:rPr>
        <w:t>r</w:t>
      </w:r>
      <w:r w:rsidRPr="003350D7" w:rsidR="00C93F0F">
        <w:rPr>
          <w:rFonts w:ascii="Verdana" w:hAnsi="Verdana" w:cs="Arial"/>
          <w:sz w:val="18"/>
          <w:szCs w:val="18"/>
        </w:rPr>
        <w:t xml:space="preserve"> herzien</w:t>
      </w:r>
      <w:r w:rsidR="004D6F4B">
        <w:rPr>
          <w:rFonts w:ascii="Verdana" w:hAnsi="Verdana" w:cs="Arial"/>
          <w:sz w:val="18"/>
          <w:szCs w:val="18"/>
        </w:rPr>
        <w:t>ing van de</w:t>
      </w:r>
      <w:r w:rsidRPr="003350D7" w:rsidR="00C93F0F">
        <w:rPr>
          <w:rFonts w:ascii="Verdana" w:hAnsi="Verdana" w:cs="Arial"/>
          <w:sz w:val="18"/>
          <w:szCs w:val="18"/>
        </w:rPr>
        <w:t xml:space="preserve"> EU-verordening</w:t>
      </w:r>
      <w:r w:rsidRPr="003350D7">
        <w:rPr>
          <w:rFonts w:ascii="Verdana" w:hAnsi="Verdana" w:cs="Arial"/>
          <w:sz w:val="18"/>
          <w:szCs w:val="18"/>
        </w:rPr>
        <w:t>.</w:t>
      </w:r>
      <w:r w:rsidRPr="003350D7">
        <w:rPr>
          <w:rStyle w:val="Voetnootmarkering"/>
          <w:rFonts w:ascii="Verdana" w:hAnsi="Verdana" w:cs="Arial"/>
          <w:sz w:val="18"/>
          <w:szCs w:val="18"/>
        </w:rPr>
        <w:footnoteReference w:id="17"/>
      </w:r>
      <w:r w:rsidRPr="003350D7">
        <w:rPr>
          <w:rFonts w:ascii="Verdana" w:hAnsi="Verdana" w:cs="Arial"/>
          <w:sz w:val="18"/>
          <w:szCs w:val="18"/>
        </w:rPr>
        <w:t xml:space="preserve"> </w:t>
      </w:r>
      <w:r w:rsidRPr="003350D7" w:rsidR="00525766">
        <w:rPr>
          <w:rFonts w:ascii="Verdana" w:hAnsi="Verdana" w:cs="Arial"/>
          <w:sz w:val="18"/>
          <w:szCs w:val="18"/>
        </w:rPr>
        <w:t>D</w:t>
      </w:r>
      <w:r w:rsidRPr="003350D7">
        <w:rPr>
          <w:rFonts w:ascii="Verdana" w:hAnsi="Verdana" w:cs="Arial"/>
          <w:sz w:val="18"/>
          <w:szCs w:val="18"/>
        </w:rPr>
        <w:t xml:space="preserve">e </w:t>
      </w:r>
      <w:r w:rsidRPr="003350D7" w:rsidR="00C93F0F">
        <w:rPr>
          <w:rFonts w:ascii="Verdana" w:hAnsi="Verdana" w:cs="Arial"/>
          <w:sz w:val="18"/>
          <w:szCs w:val="18"/>
        </w:rPr>
        <w:t>v</w:t>
      </w:r>
      <w:r w:rsidRPr="003350D7">
        <w:rPr>
          <w:rFonts w:ascii="Verdana" w:hAnsi="Verdana" w:cs="Arial"/>
          <w:sz w:val="18"/>
          <w:szCs w:val="18"/>
        </w:rPr>
        <w:t xml:space="preserve">erordening </w:t>
      </w:r>
      <w:r w:rsidRPr="003350D7" w:rsidR="00525766">
        <w:rPr>
          <w:rFonts w:ascii="Verdana" w:hAnsi="Verdana" w:cs="Arial"/>
          <w:sz w:val="18"/>
          <w:szCs w:val="18"/>
        </w:rPr>
        <w:t xml:space="preserve">zal </w:t>
      </w:r>
      <w:r w:rsidRPr="003350D7">
        <w:rPr>
          <w:rFonts w:ascii="Verdana" w:hAnsi="Verdana" w:cs="Arial"/>
          <w:sz w:val="18"/>
          <w:szCs w:val="18"/>
        </w:rPr>
        <w:t xml:space="preserve">van toepassing zijn na het verstrijken van de uitvoeringstermijn </w:t>
      </w:r>
      <w:r w:rsidRPr="003350D7" w:rsidR="00525766">
        <w:rPr>
          <w:rFonts w:ascii="Verdana" w:hAnsi="Verdana" w:cs="Arial"/>
          <w:sz w:val="18"/>
          <w:szCs w:val="18"/>
        </w:rPr>
        <w:t xml:space="preserve">die is gesteld op </w:t>
      </w:r>
      <w:r w:rsidRPr="003350D7">
        <w:rPr>
          <w:rFonts w:ascii="Verdana" w:hAnsi="Verdana" w:cs="Arial"/>
          <w:sz w:val="18"/>
          <w:szCs w:val="18"/>
        </w:rPr>
        <w:t>1</w:t>
      </w:r>
      <w:r w:rsidRPr="003350D7" w:rsidR="00525766">
        <w:rPr>
          <w:rFonts w:ascii="Verdana" w:hAnsi="Verdana" w:cs="Arial"/>
          <w:sz w:val="18"/>
          <w:szCs w:val="18"/>
        </w:rPr>
        <w:t>8</w:t>
      </w:r>
      <w:r w:rsidRPr="003350D7">
        <w:rPr>
          <w:rFonts w:ascii="Verdana" w:hAnsi="Verdana" w:cs="Arial"/>
          <w:sz w:val="18"/>
          <w:szCs w:val="18"/>
        </w:rPr>
        <w:t xml:space="preserve"> maanden na </w:t>
      </w:r>
      <w:r w:rsidRPr="003350D7" w:rsidR="00E53555">
        <w:rPr>
          <w:rFonts w:ascii="Verdana" w:hAnsi="Verdana" w:cs="Arial"/>
          <w:sz w:val="18"/>
          <w:szCs w:val="18"/>
        </w:rPr>
        <w:t xml:space="preserve">de </w:t>
      </w:r>
      <w:r w:rsidRPr="003350D7" w:rsidR="00B62511">
        <w:rPr>
          <w:rFonts w:ascii="Verdana" w:hAnsi="Verdana" w:cs="Arial"/>
          <w:sz w:val="18"/>
          <w:szCs w:val="18"/>
        </w:rPr>
        <w:lastRenderedPageBreak/>
        <w:t>inwerkingtreding</w:t>
      </w:r>
      <w:r w:rsidRPr="003350D7" w:rsidR="00E53555">
        <w:rPr>
          <w:rFonts w:ascii="Verdana" w:hAnsi="Verdana" w:cs="Arial"/>
          <w:sz w:val="18"/>
          <w:szCs w:val="18"/>
        </w:rPr>
        <w:t>sdatum</w:t>
      </w:r>
      <w:r w:rsidRPr="003350D7" w:rsidR="00B62511">
        <w:rPr>
          <w:rFonts w:ascii="Verdana" w:hAnsi="Verdana" w:cs="Arial"/>
          <w:sz w:val="18"/>
          <w:szCs w:val="18"/>
        </w:rPr>
        <w:t xml:space="preserve"> </w:t>
      </w:r>
      <w:r w:rsidRPr="003350D7" w:rsidR="00F905A8">
        <w:rPr>
          <w:rFonts w:ascii="Verdana" w:hAnsi="Verdana" w:cs="Arial"/>
          <w:sz w:val="18"/>
          <w:szCs w:val="18"/>
        </w:rPr>
        <w:t>van</w:t>
      </w:r>
      <w:r w:rsidRPr="003350D7" w:rsidR="00E53555">
        <w:rPr>
          <w:rFonts w:ascii="Verdana" w:hAnsi="Verdana" w:cs="Arial"/>
          <w:sz w:val="18"/>
          <w:szCs w:val="18"/>
        </w:rPr>
        <w:t xml:space="preserve"> de verordening, te weten op </w:t>
      </w:r>
      <w:r w:rsidRPr="006424AD" w:rsidR="00E53555">
        <w:rPr>
          <w:rFonts w:ascii="Verdana" w:hAnsi="Verdana" w:cs="Arial"/>
          <w:b/>
          <w:bCs/>
          <w:sz w:val="16"/>
          <w:szCs w:val="16"/>
        </w:rPr>
        <w:t>[</w:t>
      </w:r>
      <w:r w:rsidRPr="006424AD" w:rsidR="00E53555">
        <w:rPr>
          <w:rFonts w:ascii="Verdana" w:hAnsi="Verdana" w:cs="Arial"/>
          <w:sz w:val="16"/>
          <w:szCs w:val="16"/>
        </w:rPr>
        <w:t>in te vullen na bekendmaking van datum inwerkingtreding</w:t>
      </w:r>
      <w:r w:rsidRPr="006424AD" w:rsidR="00E53555">
        <w:rPr>
          <w:rFonts w:ascii="Verdana" w:hAnsi="Verdana" w:cs="Arial"/>
          <w:b/>
          <w:bCs/>
          <w:sz w:val="16"/>
          <w:szCs w:val="16"/>
        </w:rPr>
        <w:t>]</w:t>
      </w:r>
      <w:r w:rsidRPr="003350D7">
        <w:rPr>
          <w:rFonts w:ascii="Verdana" w:hAnsi="Verdana" w:cs="Arial"/>
          <w:sz w:val="18"/>
          <w:szCs w:val="18"/>
        </w:rPr>
        <w:t xml:space="preserve">. </w:t>
      </w:r>
      <w:r w:rsidRPr="003350D7" w:rsidR="00F147A5">
        <w:rPr>
          <w:rFonts w:ascii="Verdana" w:hAnsi="Verdana" w:cs="Arial"/>
          <w:sz w:val="18"/>
          <w:szCs w:val="18"/>
        </w:rPr>
        <w:t xml:space="preserve">Hiervoor </w:t>
      </w:r>
      <w:r w:rsidRPr="003350D7" w:rsidR="00110B0F">
        <w:rPr>
          <w:rFonts w:ascii="Verdana" w:hAnsi="Verdana" w:cs="Arial"/>
          <w:sz w:val="18"/>
          <w:szCs w:val="18"/>
        </w:rPr>
        <w:t>is een traject gestart om voorstellen te ontwikkelen die</w:t>
      </w:r>
      <w:r w:rsidRPr="003350D7">
        <w:rPr>
          <w:rFonts w:ascii="Verdana" w:hAnsi="Verdana" w:cs="Arial"/>
          <w:sz w:val="18"/>
          <w:szCs w:val="18"/>
        </w:rPr>
        <w:t xml:space="preserve"> wet- en regelgeving op het gebied van veiligheidstoetsing in overeenstemming </w:t>
      </w:r>
      <w:r w:rsidRPr="003350D7" w:rsidR="00110B0F">
        <w:rPr>
          <w:rFonts w:ascii="Verdana" w:hAnsi="Verdana" w:cs="Arial"/>
          <w:sz w:val="18"/>
          <w:szCs w:val="18"/>
        </w:rPr>
        <w:t xml:space="preserve">brengen met de herziene EU-verordening </w:t>
      </w:r>
      <w:r w:rsidRPr="006424AD" w:rsidR="00884463">
        <w:rPr>
          <w:rFonts w:ascii="Verdana" w:hAnsi="Verdana" w:cs="Arial"/>
          <w:b/>
          <w:bCs/>
          <w:sz w:val="16"/>
          <w:szCs w:val="16"/>
        </w:rPr>
        <w:t>[</w:t>
      </w:r>
      <w:r w:rsidRPr="006424AD" w:rsidR="00110B0F">
        <w:rPr>
          <w:rFonts w:ascii="Verdana" w:hAnsi="Verdana" w:cs="Arial"/>
          <w:sz w:val="16"/>
          <w:szCs w:val="16"/>
        </w:rPr>
        <w:t>na vaststelling daarvan</w:t>
      </w:r>
      <w:r w:rsidRPr="006424AD" w:rsidR="00884463">
        <w:rPr>
          <w:rFonts w:ascii="Verdana" w:hAnsi="Verdana" w:cs="Arial"/>
          <w:b/>
          <w:bCs/>
          <w:sz w:val="16"/>
          <w:szCs w:val="16"/>
        </w:rPr>
        <w:t>]</w:t>
      </w:r>
      <w:r w:rsidRPr="003350D7">
        <w:rPr>
          <w:rFonts w:ascii="Verdana" w:hAnsi="Verdana" w:cs="Arial"/>
          <w:sz w:val="18"/>
          <w:szCs w:val="18"/>
        </w:rPr>
        <w:t>. Ook het Besluit sensitief</w:t>
      </w:r>
      <w:r w:rsidRPr="003350D7" w:rsidR="0009149A">
        <w:rPr>
          <w:rFonts w:ascii="Verdana" w:hAnsi="Verdana" w:cs="Arial"/>
          <w:sz w:val="18"/>
          <w:szCs w:val="18"/>
        </w:rPr>
        <w:t xml:space="preserve"> </w:t>
      </w:r>
      <w:r w:rsidRPr="003350D7">
        <w:rPr>
          <w:rFonts w:ascii="Verdana" w:hAnsi="Verdana" w:cs="Arial"/>
          <w:sz w:val="18"/>
          <w:szCs w:val="18"/>
        </w:rPr>
        <w:t>zal</w:t>
      </w:r>
      <w:r w:rsidRPr="003350D7" w:rsidR="0009149A">
        <w:rPr>
          <w:rFonts w:ascii="Verdana" w:hAnsi="Verdana" w:cs="Arial"/>
          <w:sz w:val="18"/>
          <w:szCs w:val="18"/>
        </w:rPr>
        <w:t>, voor zover nodig,</w:t>
      </w:r>
      <w:r w:rsidRPr="003350D7" w:rsidR="00F147A5">
        <w:rPr>
          <w:rFonts w:ascii="Verdana" w:hAnsi="Verdana" w:cs="Arial"/>
          <w:sz w:val="18"/>
          <w:szCs w:val="18"/>
        </w:rPr>
        <w:t xml:space="preserve"> </w:t>
      </w:r>
      <w:r w:rsidRPr="003350D7" w:rsidR="00E53555">
        <w:rPr>
          <w:rFonts w:ascii="Verdana" w:hAnsi="Verdana" w:cs="Arial"/>
          <w:sz w:val="18"/>
          <w:szCs w:val="18"/>
        </w:rPr>
        <w:t>betrokken worden bij dat implementatie</w:t>
      </w:r>
      <w:r w:rsidRPr="003350D7">
        <w:rPr>
          <w:rFonts w:ascii="Verdana" w:hAnsi="Verdana" w:cs="Arial"/>
          <w:sz w:val="18"/>
          <w:szCs w:val="18"/>
        </w:rPr>
        <w:t xml:space="preserve">traject. </w:t>
      </w:r>
    </w:p>
    <w:p w:rsidRPr="003350D7" w:rsidR="001331B0" w:rsidRDefault="000D2AC0" w14:paraId="148D78E8" w14:textId="775A2200">
      <w:pPr>
        <w:spacing w:line="240" w:lineRule="atLeast"/>
        <w:rPr>
          <w:rFonts w:ascii="Verdana" w:hAnsi="Verdana" w:cs="Arial"/>
          <w:sz w:val="18"/>
          <w:szCs w:val="18"/>
        </w:rPr>
      </w:pPr>
      <w:r w:rsidRPr="003350D7">
        <w:rPr>
          <w:rFonts w:ascii="Verdana" w:hAnsi="Verdana" w:cs="Arial"/>
          <w:sz w:val="18"/>
          <w:szCs w:val="18"/>
        </w:rPr>
        <w:t xml:space="preserve">De technologieën die door middel van dit wijzigingsbesluit onder het toepassingsbereik van de Wet vifo </w:t>
      </w:r>
      <w:r w:rsidRPr="003350D7" w:rsidR="0009149A">
        <w:rPr>
          <w:rFonts w:ascii="Verdana" w:hAnsi="Verdana" w:cs="Arial"/>
          <w:sz w:val="18"/>
          <w:szCs w:val="18"/>
        </w:rPr>
        <w:t>zijn</w:t>
      </w:r>
      <w:r w:rsidRPr="003350D7">
        <w:rPr>
          <w:rFonts w:ascii="Verdana" w:hAnsi="Verdana" w:cs="Arial"/>
          <w:sz w:val="18"/>
          <w:szCs w:val="18"/>
        </w:rPr>
        <w:t xml:space="preserve"> gebracht, vallen alle </w:t>
      </w:r>
      <w:r w:rsidRPr="003350D7" w:rsidR="00E53555">
        <w:rPr>
          <w:rFonts w:ascii="Verdana" w:hAnsi="Verdana" w:cs="Arial"/>
          <w:sz w:val="18"/>
          <w:szCs w:val="18"/>
        </w:rPr>
        <w:t xml:space="preserve">buiten </w:t>
      </w:r>
      <w:r w:rsidRPr="003350D7">
        <w:rPr>
          <w:rFonts w:ascii="Verdana" w:hAnsi="Verdana" w:cs="Arial"/>
          <w:sz w:val="18"/>
          <w:szCs w:val="18"/>
        </w:rPr>
        <w:t xml:space="preserve">het </w:t>
      </w:r>
      <w:r w:rsidRPr="003350D7" w:rsidR="00006FE5">
        <w:rPr>
          <w:rFonts w:ascii="Verdana" w:hAnsi="Verdana" w:cs="Arial"/>
          <w:sz w:val="18"/>
          <w:szCs w:val="18"/>
        </w:rPr>
        <w:t xml:space="preserve">geharmoniseerde </w:t>
      </w:r>
      <w:r w:rsidRPr="003350D7">
        <w:rPr>
          <w:rFonts w:ascii="Verdana" w:hAnsi="Verdana" w:cs="Arial"/>
          <w:sz w:val="18"/>
          <w:szCs w:val="18"/>
        </w:rPr>
        <w:t>minimumtoepassingsbereik van de</w:t>
      </w:r>
      <w:r w:rsidRPr="003350D7" w:rsidR="0009149A">
        <w:rPr>
          <w:rFonts w:ascii="Verdana" w:hAnsi="Verdana" w:cs="Arial"/>
          <w:sz w:val="18"/>
          <w:szCs w:val="18"/>
        </w:rPr>
        <w:t xml:space="preserve"> verordening</w:t>
      </w:r>
      <w:r w:rsidRPr="003350D7">
        <w:rPr>
          <w:rFonts w:ascii="Verdana" w:hAnsi="Verdana" w:cs="Arial"/>
          <w:sz w:val="18"/>
          <w:szCs w:val="18"/>
        </w:rPr>
        <w:t xml:space="preserve">, met uitzondering van AI. </w:t>
      </w:r>
      <w:r w:rsidRPr="003350D7" w:rsidR="00D2667A">
        <w:rPr>
          <w:rFonts w:ascii="Verdana" w:hAnsi="Verdana" w:cs="Arial"/>
          <w:sz w:val="18"/>
          <w:szCs w:val="18"/>
        </w:rPr>
        <w:t xml:space="preserve">De verordening verplicht met andere woorden lidstaten niet om deze technologieën </w:t>
      </w:r>
      <w:r w:rsidRPr="003350D7" w:rsidR="00FE1206">
        <w:rPr>
          <w:rFonts w:ascii="Verdana" w:hAnsi="Verdana" w:cs="Arial"/>
          <w:sz w:val="18"/>
          <w:szCs w:val="18"/>
        </w:rPr>
        <w:t xml:space="preserve">anders dan AI </w:t>
      </w:r>
      <w:r w:rsidRPr="003350D7" w:rsidR="00D2667A">
        <w:rPr>
          <w:rFonts w:ascii="Verdana" w:hAnsi="Verdana" w:cs="Arial"/>
          <w:sz w:val="18"/>
          <w:szCs w:val="18"/>
        </w:rPr>
        <w:t xml:space="preserve">onder hun </w:t>
      </w:r>
      <w:r w:rsidRPr="003350D7" w:rsidR="00FE1206">
        <w:rPr>
          <w:rFonts w:ascii="Verdana" w:hAnsi="Verdana" w:cs="Arial"/>
          <w:sz w:val="18"/>
          <w:szCs w:val="18"/>
        </w:rPr>
        <w:t xml:space="preserve">nationale stelsel van veiligheidstoetsing te brengen. </w:t>
      </w:r>
    </w:p>
    <w:p w:rsidRPr="003350D7" w:rsidR="00120577" w:rsidP="006424AD" w:rsidRDefault="004A6AA2" w14:paraId="3AE6688F" w14:textId="296BCEDA">
      <w:pPr>
        <w:spacing w:line="240" w:lineRule="atLeast"/>
        <w:rPr>
          <w:rFonts w:ascii="Verdana" w:hAnsi="Verdana" w:cs="Arial"/>
          <w:sz w:val="18"/>
          <w:szCs w:val="18"/>
        </w:rPr>
      </w:pPr>
      <w:r w:rsidRPr="003350D7">
        <w:rPr>
          <w:rFonts w:ascii="Verdana" w:hAnsi="Verdana" w:cs="Arial"/>
          <w:sz w:val="18"/>
          <w:szCs w:val="18"/>
        </w:rPr>
        <w:t>H</w:t>
      </w:r>
      <w:r w:rsidRPr="003350D7" w:rsidR="00AE52F6">
        <w:rPr>
          <w:rFonts w:ascii="Verdana" w:hAnsi="Verdana" w:cs="Arial"/>
          <w:sz w:val="18"/>
          <w:szCs w:val="18"/>
        </w:rPr>
        <w:t>et kabinet</w:t>
      </w:r>
      <w:r w:rsidRPr="003350D7">
        <w:rPr>
          <w:rFonts w:ascii="Verdana" w:hAnsi="Verdana" w:cs="Arial"/>
          <w:sz w:val="18"/>
          <w:szCs w:val="18"/>
        </w:rPr>
        <w:t xml:space="preserve"> kiest</w:t>
      </w:r>
      <w:r w:rsidRPr="003350D7" w:rsidR="00AE52F6">
        <w:rPr>
          <w:rFonts w:ascii="Verdana" w:hAnsi="Verdana" w:cs="Arial"/>
          <w:sz w:val="18"/>
          <w:szCs w:val="18"/>
        </w:rPr>
        <w:t xml:space="preserve"> ervoor om </w:t>
      </w:r>
      <w:r w:rsidRPr="003350D7" w:rsidR="00226F2E">
        <w:rPr>
          <w:rFonts w:ascii="Verdana" w:hAnsi="Verdana" w:cs="Arial"/>
          <w:sz w:val="18"/>
          <w:szCs w:val="18"/>
        </w:rPr>
        <w:t xml:space="preserve">vanwege </w:t>
      </w:r>
      <w:r w:rsidRPr="003350D7">
        <w:rPr>
          <w:rFonts w:ascii="Verdana" w:hAnsi="Verdana" w:cs="Arial"/>
          <w:sz w:val="18"/>
          <w:szCs w:val="18"/>
        </w:rPr>
        <w:t>de geï</w:t>
      </w:r>
      <w:r w:rsidRPr="003350D7" w:rsidR="00226F2E">
        <w:rPr>
          <w:rFonts w:ascii="Verdana" w:hAnsi="Verdana" w:cs="Arial"/>
          <w:sz w:val="18"/>
          <w:szCs w:val="18"/>
        </w:rPr>
        <w:t xml:space="preserve">dentificeerde risico’s voor de nationale veiligheid </w:t>
      </w:r>
      <w:r w:rsidRPr="003350D7">
        <w:rPr>
          <w:rFonts w:ascii="Verdana" w:hAnsi="Verdana" w:cs="Arial"/>
          <w:sz w:val="18"/>
          <w:szCs w:val="18"/>
        </w:rPr>
        <w:t xml:space="preserve">niet eerst </w:t>
      </w:r>
      <w:r w:rsidRPr="003350D7" w:rsidR="00E53555">
        <w:rPr>
          <w:rFonts w:ascii="Verdana" w:hAnsi="Verdana" w:cs="Arial"/>
          <w:sz w:val="18"/>
          <w:szCs w:val="18"/>
        </w:rPr>
        <w:t xml:space="preserve">het traject tot </w:t>
      </w:r>
      <w:r w:rsidRPr="003350D7" w:rsidR="00FE1206">
        <w:rPr>
          <w:rFonts w:ascii="Verdana" w:hAnsi="Verdana" w:cs="Arial"/>
          <w:sz w:val="18"/>
          <w:szCs w:val="18"/>
        </w:rPr>
        <w:t xml:space="preserve">implementatie van de verordening </w:t>
      </w:r>
      <w:r w:rsidRPr="003350D7" w:rsidR="00CA643A">
        <w:rPr>
          <w:rFonts w:ascii="Verdana" w:hAnsi="Verdana" w:cs="Arial"/>
          <w:sz w:val="18"/>
          <w:szCs w:val="18"/>
        </w:rPr>
        <w:t>a</w:t>
      </w:r>
      <w:r w:rsidRPr="003350D7" w:rsidR="00226F2E">
        <w:rPr>
          <w:rFonts w:ascii="Verdana" w:hAnsi="Verdana" w:cs="Arial"/>
          <w:sz w:val="18"/>
          <w:szCs w:val="18"/>
        </w:rPr>
        <w:t>f te wachten</w:t>
      </w:r>
      <w:r w:rsidRPr="003350D7" w:rsidR="00F12064">
        <w:rPr>
          <w:rFonts w:ascii="Verdana" w:hAnsi="Verdana" w:cs="Arial"/>
          <w:sz w:val="18"/>
          <w:szCs w:val="18"/>
        </w:rPr>
        <w:t xml:space="preserve">, </w:t>
      </w:r>
      <w:r w:rsidRPr="003350D7" w:rsidR="00CA643A">
        <w:rPr>
          <w:rFonts w:ascii="Verdana" w:hAnsi="Verdana" w:cs="Arial"/>
          <w:sz w:val="18"/>
          <w:szCs w:val="18"/>
        </w:rPr>
        <w:t xml:space="preserve">gelet op de </w:t>
      </w:r>
      <w:r w:rsidRPr="003350D7" w:rsidR="00F12064">
        <w:rPr>
          <w:rFonts w:ascii="Verdana" w:hAnsi="Verdana" w:cs="Arial"/>
          <w:sz w:val="18"/>
          <w:szCs w:val="18"/>
        </w:rPr>
        <w:t xml:space="preserve">duur </w:t>
      </w:r>
      <w:r w:rsidRPr="003350D7" w:rsidR="00B62511">
        <w:rPr>
          <w:rFonts w:ascii="Verdana" w:hAnsi="Verdana" w:cs="Arial"/>
          <w:sz w:val="18"/>
          <w:szCs w:val="18"/>
        </w:rPr>
        <w:t xml:space="preserve">van </w:t>
      </w:r>
      <w:r w:rsidRPr="003350D7" w:rsidR="00CA643A">
        <w:rPr>
          <w:rFonts w:ascii="Verdana" w:hAnsi="Verdana" w:cs="Arial"/>
          <w:sz w:val="18"/>
          <w:szCs w:val="18"/>
        </w:rPr>
        <w:t>de doorlooptijd</w:t>
      </w:r>
      <w:r w:rsidRPr="003350D7" w:rsidR="005B27B6">
        <w:rPr>
          <w:rFonts w:ascii="Verdana" w:hAnsi="Verdana" w:cs="Arial"/>
          <w:sz w:val="18"/>
          <w:szCs w:val="18"/>
        </w:rPr>
        <w:t xml:space="preserve"> daarvan</w:t>
      </w:r>
      <w:r w:rsidRPr="003350D7" w:rsidR="00BC0CFF">
        <w:rPr>
          <w:rFonts w:ascii="Verdana" w:hAnsi="Verdana" w:cs="Arial"/>
          <w:sz w:val="18"/>
          <w:szCs w:val="18"/>
        </w:rPr>
        <w:t xml:space="preserve">. </w:t>
      </w:r>
      <w:r w:rsidRPr="003350D7" w:rsidR="00184146">
        <w:rPr>
          <w:rFonts w:ascii="Verdana" w:hAnsi="Verdana" w:cs="Arial"/>
          <w:sz w:val="18"/>
          <w:szCs w:val="18"/>
        </w:rPr>
        <w:t xml:space="preserve">De ontwikkeling van de in dit wijzigingsbesluit genoemde technologieën </w:t>
      </w:r>
      <w:r w:rsidRPr="003350D7" w:rsidR="0009149A">
        <w:rPr>
          <w:rFonts w:ascii="Verdana" w:hAnsi="Verdana" w:cs="Arial"/>
          <w:sz w:val="18"/>
          <w:szCs w:val="18"/>
        </w:rPr>
        <w:t>met de daaraan verbonden risico</w:t>
      </w:r>
      <w:r w:rsidRPr="003350D7" w:rsidR="00E53555">
        <w:rPr>
          <w:rFonts w:ascii="Verdana" w:hAnsi="Verdana" w:cs="Arial"/>
          <w:sz w:val="18"/>
          <w:szCs w:val="18"/>
        </w:rPr>
        <w:t>’</w:t>
      </w:r>
      <w:r w:rsidRPr="003350D7" w:rsidR="0009149A">
        <w:rPr>
          <w:rFonts w:ascii="Verdana" w:hAnsi="Verdana" w:cs="Arial"/>
          <w:sz w:val="18"/>
          <w:szCs w:val="18"/>
        </w:rPr>
        <w:t xml:space="preserve">s </w:t>
      </w:r>
      <w:r w:rsidRPr="003350D7" w:rsidR="00E53555">
        <w:rPr>
          <w:rFonts w:ascii="Verdana" w:hAnsi="Verdana" w:cs="Arial"/>
          <w:sz w:val="18"/>
          <w:szCs w:val="18"/>
        </w:rPr>
        <w:t xml:space="preserve">voor de nationale veiligheid </w:t>
      </w:r>
      <w:r w:rsidRPr="003350D7" w:rsidR="00184146">
        <w:rPr>
          <w:rFonts w:ascii="Verdana" w:hAnsi="Verdana" w:cs="Arial"/>
          <w:sz w:val="18"/>
          <w:szCs w:val="18"/>
        </w:rPr>
        <w:t xml:space="preserve">gaat zo snel dat het </w:t>
      </w:r>
      <w:r w:rsidRPr="003350D7" w:rsidR="005B27B6">
        <w:rPr>
          <w:rFonts w:ascii="Verdana" w:hAnsi="Verdana" w:cs="Arial"/>
          <w:sz w:val="18"/>
          <w:szCs w:val="18"/>
        </w:rPr>
        <w:t xml:space="preserve">kabinet het </w:t>
      </w:r>
      <w:r w:rsidRPr="003350D7" w:rsidR="00E53555">
        <w:rPr>
          <w:rFonts w:ascii="Verdana" w:hAnsi="Verdana" w:cs="Arial"/>
          <w:sz w:val="18"/>
          <w:szCs w:val="18"/>
        </w:rPr>
        <w:t>niet verstandig acht om</w:t>
      </w:r>
      <w:r w:rsidRPr="003350D7" w:rsidR="005B27B6">
        <w:rPr>
          <w:rFonts w:ascii="Verdana" w:hAnsi="Verdana" w:cs="Arial"/>
          <w:sz w:val="18"/>
          <w:szCs w:val="18"/>
        </w:rPr>
        <w:t xml:space="preserve"> </w:t>
      </w:r>
      <w:r w:rsidRPr="003350D7" w:rsidR="00FE440F">
        <w:rPr>
          <w:rFonts w:ascii="Verdana" w:hAnsi="Verdana" w:cs="Arial"/>
          <w:sz w:val="18"/>
          <w:szCs w:val="18"/>
        </w:rPr>
        <w:t>nog langer te wachten met het bieden van</w:t>
      </w:r>
      <w:r w:rsidRPr="003350D7" w:rsidR="00574DAD">
        <w:rPr>
          <w:rFonts w:ascii="Verdana" w:hAnsi="Verdana" w:cs="Arial"/>
          <w:sz w:val="18"/>
          <w:szCs w:val="18"/>
        </w:rPr>
        <w:t xml:space="preserve"> bescherming daartegen</w:t>
      </w:r>
      <w:r w:rsidRPr="003350D7" w:rsidR="000B1C7B">
        <w:rPr>
          <w:rFonts w:ascii="Verdana" w:hAnsi="Verdana" w:cs="Arial"/>
          <w:sz w:val="18"/>
          <w:szCs w:val="18"/>
        </w:rPr>
        <w:t>.</w:t>
      </w:r>
      <w:r w:rsidRPr="003350D7" w:rsidR="003B2F76">
        <w:rPr>
          <w:rFonts w:ascii="Verdana" w:hAnsi="Verdana" w:cs="Arial"/>
          <w:sz w:val="18"/>
          <w:szCs w:val="18"/>
        </w:rPr>
        <w:t xml:space="preserve"> </w:t>
      </w:r>
      <w:r w:rsidRPr="003350D7" w:rsidR="00E53555">
        <w:rPr>
          <w:rFonts w:ascii="Verdana" w:hAnsi="Verdana" w:cs="Arial"/>
          <w:sz w:val="18"/>
          <w:szCs w:val="18"/>
        </w:rPr>
        <w:t>D</w:t>
      </w:r>
      <w:r w:rsidRPr="003350D7" w:rsidR="00574DAD">
        <w:rPr>
          <w:rFonts w:ascii="Verdana" w:hAnsi="Verdana" w:cs="Arial"/>
          <w:sz w:val="18"/>
          <w:szCs w:val="18"/>
        </w:rPr>
        <w:t xml:space="preserve">aarbij is meegewogen dat dit </w:t>
      </w:r>
      <w:r w:rsidRPr="003350D7" w:rsidR="00E53555">
        <w:rPr>
          <w:rFonts w:ascii="Verdana" w:hAnsi="Verdana" w:cs="Arial"/>
          <w:sz w:val="18"/>
          <w:szCs w:val="18"/>
        </w:rPr>
        <w:t>wijzigingsbesluit</w:t>
      </w:r>
      <w:r w:rsidRPr="003350D7" w:rsidR="005A43CF">
        <w:rPr>
          <w:rFonts w:ascii="Verdana" w:hAnsi="Verdana" w:cs="Arial"/>
          <w:sz w:val="18"/>
          <w:szCs w:val="18"/>
        </w:rPr>
        <w:t xml:space="preserve"> </w:t>
      </w:r>
      <w:r w:rsidRPr="003350D7" w:rsidR="00334167">
        <w:rPr>
          <w:rFonts w:ascii="Verdana" w:hAnsi="Verdana" w:cs="Arial"/>
          <w:sz w:val="18"/>
          <w:szCs w:val="18"/>
        </w:rPr>
        <w:t xml:space="preserve">een </w:t>
      </w:r>
      <w:r w:rsidRPr="003350D7" w:rsidR="00574DAD">
        <w:rPr>
          <w:rFonts w:ascii="Verdana" w:hAnsi="Verdana" w:cs="Arial"/>
          <w:sz w:val="18"/>
          <w:szCs w:val="18"/>
        </w:rPr>
        <w:t xml:space="preserve">daarop volgende </w:t>
      </w:r>
      <w:r w:rsidRPr="003350D7" w:rsidR="00334167">
        <w:rPr>
          <w:rFonts w:ascii="Verdana" w:hAnsi="Verdana" w:cs="Arial"/>
          <w:sz w:val="18"/>
          <w:szCs w:val="18"/>
        </w:rPr>
        <w:t>juiste implementatie van de verordening</w:t>
      </w:r>
      <w:r w:rsidRPr="003350D7" w:rsidR="005A43CF">
        <w:rPr>
          <w:rFonts w:ascii="Verdana" w:hAnsi="Verdana" w:cs="Arial"/>
          <w:sz w:val="18"/>
          <w:szCs w:val="18"/>
        </w:rPr>
        <w:t xml:space="preserve"> ook niet in de weg</w:t>
      </w:r>
      <w:r w:rsidRPr="003350D7" w:rsidR="00574DAD">
        <w:rPr>
          <w:rFonts w:ascii="Verdana" w:hAnsi="Verdana" w:cs="Arial"/>
          <w:sz w:val="18"/>
          <w:szCs w:val="18"/>
        </w:rPr>
        <w:t xml:space="preserve"> staat</w:t>
      </w:r>
      <w:r w:rsidRPr="003350D7" w:rsidR="00334167">
        <w:rPr>
          <w:rFonts w:ascii="Verdana" w:hAnsi="Verdana" w:cs="Arial"/>
          <w:sz w:val="18"/>
          <w:szCs w:val="18"/>
        </w:rPr>
        <w:t>.</w:t>
      </w:r>
    </w:p>
    <w:p w:rsidRPr="00740AC2" w:rsidR="0094552D" w:rsidP="006424AD" w:rsidRDefault="00BD26A2" w14:paraId="328DC3DD" w14:textId="67519AC4">
      <w:pPr>
        <w:spacing w:line="240" w:lineRule="atLeast"/>
        <w:rPr>
          <w:rFonts w:ascii="Verdana" w:hAnsi="Verdana" w:cs="Arial"/>
          <w:sz w:val="18"/>
          <w:szCs w:val="18"/>
        </w:rPr>
      </w:pPr>
      <w:r w:rsidRPr="003350D7">
        <w:rPr>
          <w:rFonts w:ascii="Verdana" w:hAnsi="Verdana" w:cs="Arial"/>
          <w:sz w:val="18"/>
          <w:szCs w:val="18"/>
        </w:rPr>
        <w:t xml:space="preserve">Afgezien van AI, zijn </w:t>
      </w:r>
      <w:r w:rsidRPr="003350D7" w:rsidR="008D0888">
        <w:rPr>
          <w:rFonts w:ascii="Verdana" w:hAnsi="Verdana" w:cs="Arial"/>
          <w:sz w:val="18"/>
          <w:szCs w:val="18"/>
        </w:rPr>
        <w:t>in</w:t>
      </w:r>
      <w:r w:rsidRPr="003350D7" w:rsidR="00E745B0">
        <w:rPr>
          <w:rFonts w:ascii="Verdana" w:hAnsi="Verdana" w:cs="Arial"/>
          <w:sz w:val="18"/>
          <w:szCs w:val="18"/>
        </w:rPr>
        <w:t xml:space="preserve"> </w:t>
      </w:r>
      <w:r w:rsidRPr="003350D7" w:rsidR="008D0888">
        <w:rPr>
          <w:rFonts w:ascii="Verdana" w:hAnsi="Verdana" w:cs="Arial"/>
          <w:sz w:val="18"/>
          <w:szCs w:val="18"/>
        </w:rPr>
        <w:t xml:space="preserve">het </w:t>
      </w:r>
      <w:r w:rsidRPr="003350D7" w:rsidR="00E745B0">
        <w:rPr>
          <w:rFonts w:ascii="Verdana" w:hAnsi="Verdana" w:cs="Arial"/>
          <w:sz w:val="18"/>
          <w:szCs w:val="18"/>
        </w:rPr>
        <w:t xml:space="preserve">wijzigingsbesluit verder geen sectoren of technologieën </w:t>
      </w:r>
      <w:r w:rsidRPr="003350D7">
        <w:rPr>
          <w:rFonts w:ascii="Verdana" w:hAnsi="Verdana" w:cs="Arial"/>
          <w:sz w:val="18"/>
          <w:szCs w:val="18"/>
        </w:rPr>
        <w:t xml:space="preserve">opgenomen die deel uitmaken van </w:t>
      </w:r>
      <w:r w:rsidRPr="003350D7" w:rsidR="00EE2F0E">
        <w:rPr>
          <w:rFonts w:ascii="Verdana" w:hAnsi="Verdana" w:cs="Arial"/>
          <w:sz w:val="18"/>
          <w:szCs w:val="18"/>
        </w:rPr>
        <w:t xml:space="preserve">het </w:t>
      </w:r>
      <w:r w:rsidRPr="003350D7">
        <w:rPr>
          <w:rFonts w:ascii="Verdana" w:hAnsi="Verdana" w:cs="Arial"/>
          <w:sz w:val="18"/>
          <w:szCs w:val="18"/>
        </w:rPr>
        <w:t xml:space="preserve">verplichte </w:t>
      </w:r>
      <w:r w:rsidRPr="003350D7" w:rsidR="00EE2F0E">
        <w:rPr>
          <w:rFonts w:ascii="Verdana" w:hAnsi="Verdana" w:cs="Arial"/>
          <w:sz w:val="18"/>
          <w:szCs w:val="18"/>
        </w:rPr>
        <w:t>minimumtoepassingsbereik van</w:t>
      </w:r>
      <w:r w:rsidRPr="003350D7" w:rsidR="00E745B0">
        <w:rPr>
          <w:rFonts w:ascii="Verdana" w:hAnsi="Verdana" w:cs="Arial"/>
          <w:sz w:val="18"/>
          <w:szCs w:val="18"/>
        </w:rPr>
        <w:t xml:space="preserve"> de </w:t>
      </w:r>
      <w:r w:rsidRPr="006424AD" w:rsidR="00334167">
        <w:rPr>
          <w:rFonts w:ascii="Verdana" w:hAnsi="Verdana" w:cs="Arial"/>
          <w:b/>
          <w:bCs/>
          <w:sz w:val="16"/>
          <w:szCs w:val="16"/>
        </w:rPr>
        <w:t>[</w:t>
      </w:r>
      <w:r w:rsidRPr="006424AD" w:rsidR="00334167">
        <w:rPr>
          <w:rFonts w:ascii="Verdana" w:hAnsi="Verdana" w:cs="Arial"/>
          <w:sz w:val="16"/>
          <w:szCs w:val="16"/>
        </w:rPr>
        <w:t>voorgestelde</w:t>
      </w:r>
      <w:r w:rsidRPr="006424AD" w:rsidR="00334167">
        <w:rPr>
          <w:rFonts w:ascii="Verdana" w:hAnsi="Verdana" w:cs="Arial"/>
          <w:b/>
          <w:bCs/>
          <w:sz w:val="16"/>
          <w:szCs w:val="16"/>
        </w:rPr>
        <w:t>]</w:t>
      </w:r>
      <w:r w:rsidRPr="003350D7" w:rsidR="00334167">
        <w:rPr>
          <w:rFonts w:ascii="Verdana" w:hAnsi="Verdana" w:cs="Arial"/>
          <w:b/>
          <w:bCs/>
          <w:sz w:val="18"/>
          <w:szCs w:val="18"/>
        </w:rPr>
        <w:t xml:space="preserve"> </w:t>
      </w:r>
      <w:r w:rsidRPr="003350D7" w:rsidR="00CA643A">
        <w:rPr>
          <w:rFonts w:ascii="Verdana" w:hAnsi="Verdana" w:cs="Arial"/>
          <w:sz w:val="18"/>
          <w:szCs w:val="18"/>
        </w:rPr>
        <w:t xml:space="preserve">herziene </w:t>
      </w:r>
      <w:r w:rsidRPr="003350D7" w:rsidR="00334167">
        <w:rPr>
          <w:rFonts w:ascii="Verdana" w:hAnsi="Verdana" w:cs="Arial"/>
          <w:sz w:val="18"/>
          <w:szCs w:val="18"/>
        </w:rPr>
        <w:t>EU-v</w:t>
      </w:r>
      <w:r w:rsidRPr="003350D7" w:rsidR="00E745B0">
        <w:rPr>
          <w:rFonts w:ascii="Verdana" w:hAnsi="Verdana" w:cs="Arial"/>
          <w:sz w:val="18"/>
          <w:szCs w:val="18"/>
        </w:rPr>
        <w:t>erordening</w:t>
      </w:r>
      <w:r w:rsidRPr="003350D7" w:rsidR="001A79FF">
        <w:rPr>
          <w:rFonts w:ascii="Verdana" w:hAnsi="Verdana" w:cs="Arial"/>
          <w:sz w:val="18"/>
          <w:szCs w:val="18"/>
        </w:rPr>
        <w:t>. Voor deze overige sectoren</w:t>
      </w:r>
      <w:r w:rsidRPr="003350D7" w:rsidR="00664768">
        <w:rPr>
          <w:rFonts w:ascii="Verdana" w:hAnsi="Verdana" w:cs="Arial"/>
          <w:sz w:val="18"/>
          <w:szCs w:val="18"/>
        </w:rPr>
        <w:t xml:space="preserve"> of technologieën</w:t>
      </w:r>
      <w:r w:rsidRPr="003350D7" w:rsidR="001A79FF">
        <w:rPr>
          <w:rFonts w:ascii="Verdana" w:hAnsi="Verdana" w:cs="Arial"/>
          <w:sz w:val="18"/>
          <w:szCs w:val="18"/>
        </w:rPr>
        <w:t xml:space="preserve"> geldt </w:t>
      </w:r>
      <w:r w:rsidRPr="003350D7" w:rsidR="004C3AAE">
        <w:rPr>
          <w:rFonts w:ascii="Verdana" w:hAnsi="Verdana" w:cs="Arial"/>
          <w:sz w:val="18"/>
          <w:szCs w:val="18"/>
        </w:rPr>
        <w:t xml:space="preserve">ofwel </w:t>
      </w:r>
      <w:r w:rsidRPr="003350D7" w:rsidR="001A79FF">
        <w:rPr>
          <w:rFonts w:ascii="Verdana" w:hAnsi="Verdana" w:cs="Arial"/>
          <w:sz w:val="18"/>
          <w:szCs w:val="18"/>
        </w:rPr>
        <w:t xml:space="preserve">dat </w:t>
      </w:r>
      <w:r w:rsidRPr="003350D7" w:rsidR="007D3871">
        <w:rPr>
          <w:rFonts w:ascii="Verdana" w:hAnsi="Verdana" w:cs="Arial"/>
          <w:sz w:val="18"/>
          <w:szCs w:val="18"/>
        </w:rPr>
        <w:t>zij reeds onder</w:t>
      </w:r>
      <w:r w:rsidRPr="000B0065" w:rsidR="007D3871">
        <w:rPr>
          <w:rFonts w:ascii="Verdana" w:hAnsi="Verdana" w:cs="Arial"/>
          <w:sz w:val="18"/>
          <w:szCs w:val="18"/>
        </w:rPr>
        <w:t xml:space="preserve"> het Nederlandse stelsel van </w:t>
      </w:r>
      <w:r w:rsidRPr="00740AC2" w:rsidR="001168DC">
        <w:rPr>
          <w:rFonts w:ascii="Verdana" w:hAnsi="Verdana" w:cs="Arial"/>
          <w:sz w:val="18"/>
          <w:szCs w:val="18"/>
        </w:rPr>
        <w:t>veiligheid</w:t>
      </w:r>
      <w:r w:rsidRPr="00740AC2" w:rsidR="007D3871">
        <w:rPr>
          <w:rFonts w:ascii="Verdana" w:hAnsi="Verdana" w:cs="Arial"/>
          <w:sz w:val="18"/>
          <w:szCs w:val="18"/>
        </w:rPr>
        <w:t>stoetsing vallen, of</w:t>
      </w:r>
      <w:r w:rsidRPr="00740AC2" w:rsidR="004C3AAE">
        <w:rPr>
          <w:rFonts w:ascii="Verdana" w:hAnsi="Verdana" w:cs="Arial"/>
          <w:sz w:val="18"/>
          <w:szCs w:val="18"/>
        </w:rPr>
        <w:t>wel</w:t>
      </w:r>
      <w:r w:rsidRPr="00740AC2" w:rsidR="007D3871">
        <w:rPr>
          <w:rFonts w:ascii="Verdana" w:hAnsi="Verdana" w:cs="Arial"/>
          <w:sz w:val="18"/>
          <w:szCs w:val="18"/>
        </w:rPr>
        <w:t xml:space="preserve"> dat </w:t>
      </w:r>
      <w:r w:rsidRPr="00740AC2" w:rsidR="000A0166">
        <w:rPr>
          <w:rFonts w:ascii="Verdana" w:hAnsi="Verdana" w:cs="Arial"/>
          <w:sz w:val="18"/>
          <w:szCs w:val="18"/>
        </w:rPr>
        <w:t xml:space="preserve">zij </w:t>
      </w:r>
      <w:r w:rsidRPr="00740AC2" w:rsidR="00B641D2">
        <w:rPr>
          <w:rFonts w:ascii="Verdana" w:hAnsi="Verdana" w:cs="Arial"/>
          <w:sz w:val="18"/>
          <w:szCs w:val="18"/>
        </w:rPr>
        <w:t>mee</w:t>
      </w:r>
      <w:r w:rsidRPr="00740AC2" w:rsidR="000A0166">
        <w:rPr>
          <w:rFonts w:ascii="Verdana" w:hAnsi="Verdana" w:cs="Arial"/>
          <w:sz w:val="18"/>
          <w:szCs w:val="18"/>
        </w:rPr>
        <w:t>genomen zullen</w:t>
      </w:r>
      <w:r w:rsidRPr="00740AC2" w:rsidR="00B641D2">
        <w:rPr>
          <w:rFonts w:ascii="Verdana" w:hAnsi="Verdana" w:cs="Arial"/>
          <w:sz w:val="18"/>
          <w:szCs w:val="18"/>
        </w:rPr>
        <w:t xml:space="preserve"> </w:t>
      </w:r>
      <w:r w:rsidRPr="00740AC2" w:rsidR="000A0166">
        <w:rPr>
          <w:rFonts w:ascii="Verdana" w:hAnsi="Verdana" w:cs="Arial"/>
          <w:sz w:val="18"/>
          <w:szCs w:val="18"/>
        </w:rPr>
        <w:t xml:space="preserve">worden in </w:t>
      </w:r>
      <w:r w:rsidRPr="00740AC2" w:rsidR="00B641D2">
        <w:rPr>
          <w:rFonts w:ascii="Verdana" w:hAnsi="Verdana" w:cs="Arial"/>
          <w:sz w:val="18"/>
          <w:szCs w:val="18"/>
        </w:rPr>
        <w:t xml:space="preserve">het nationale </w:t>
      </w:r>
      <w:r w:rsidRPr="00740AC2" w:rsidR="000A0166">
        <w:rPr>
          <w:rFonts w:ascii="Verdana" w:hAnsi="Verdana" w:cs="Arial"/>
          <w:sz w:val="18"/>
          <w:szCs w:val="18"/>
        </w:rPr>
        <w:t xml:space="preserve">traject tot implementatie van de </w:t>
      </w:r>
      <w:r w:rsidRPr="00740AC2" w:rsidR="00334167">
        <w:rPr>
          <w:rFonts w:ascii="Verdana" w:hAnsi="Verdana" w:cs="Arial"/>
          <w:sz w:val="18"/>
          <w:szCs w:val="18"/>
        </w:rPr>
        <w:t>v</w:t>
      </w:r>
      <w:r w:rsidRPr="00740AC2" w:rsidR="000A0166">
        <w:rPr>
          <w:rFonts w:ascii="Verdana" w:hAnsi="Verdana" w:cs="Arial"/>
          <w:sz w:val="18"/>
          <w:szCs w:val="18"/>
        </w:rPr>
        <w:t>erordening</w:t>
      </w:r>
      <w:r w:rsidRPr="00740AC2" w:rsidR="00B641D2">
        <w:rPr>
          <w:rFonts w:ascii="Verdana" w:hAnsi="Verdana" w:cs="Arial"/>
          <w:sz w:val="18"/>
          <w:szCs w:val="18"/>
        </w:rPr>
        <w:t xml:space="preserve">. </w:t>
      </w:r>
      <w:r w:rsidRPr="00740AC2" w:rsidDel="00D5501F" w:rsidR="00D5501F">
        <w:rPr>
          <w:rStyle w:val="Verwijzingopmerking"/>
          <w:rFonts w:ascii="Verdana" w:hAnsi="Verdana"/>
          <w:sz w:val="18"/>
          <w:szCs w:val="18"/>
        </w:rPr>
        <w:t xml:space="preserve"> </w:t>
      </w:r>
    </w:p>
    <w:p w:rsidRPr="00740AC2" w:rsidR="00024042" w:rsidP="006424AD" w:rsidRDefault="00024042" w14:paraId="6305DA8C" w14:textId="40AB3F6C">
      <w:pPr>
        <w:spacing w:line="240" w:lineRule="atLeast"/>
        <w:rPr>
          <w:rFonts w:ascii="Verdana" w:hAnsi="Verdana"/>
          <w:sz w:val="18"/>
          <w:szCs w:val="18"/>
        </w:rPr>
      </w:pPr>
      <w:r w:rsidRPr="00740AC2">
        <w:rPr>
          <w:rFonts w:ascii="Verdana" w:hAnsi="Verdana"/>
          <w:sz w:val="18"/>
          <w:szCs w:val="18"/>
          <w:u w:val="single"/>
        </w:rPr>
        <w:t>Nationaal</w:t>
      </w:r>
    </w:p>
    <w:p w:rsidRPr="000B0065" w:rsidR="002531AD" w:rsidP="006424AD" w:rsidRDefault="002531AD" w14:paraId="4FF98846" w14:textId="76465654">
      <w:pPr>
        <w:spacing w:line="240" w:lineRule="atLeast"/>
        <w:rPr>
          <w:rFonts w:ascii="Verdana" w:hAnsi="Verdana" w:cs="Arial"/>
          <w:sz w:val="18"/>
          <w:szCs w:val="18"/>
        </w:rPr>
      </w:pPr>
      <w:r w:rsidRPr="00740AC2">
        <w:rPr>
          <w:rFonts w:ascii="Verdana" w:hAnsi="Verdana" w:cs="Arial"/>
          <w:sz w:val="18"/>
          <w:szCs w:val="18"/>
        </w:rPr>
        <w:t xml:space="preserve">Naast </w:t>
      </w:r>
      <w:r w:rsidRPr="00740AC2" w:rsidR="00664768">
        <w:rPr>
          <w:rFonts w:ascii="Verdana" w:hAnsi="Verdana" w:cs="Arial"/>
          <w:sz w:val="18"/>
          <w:szCs w:val="18"/>
        </w:rPr>
        <w:t xml:space="preserve">de </w:t>
      </w:r>
      <w:r w:rsidRPr="00740AC2" w:rsidR="004F02D9">
        <w:rPr>
          <w:rFonts w:ascii="Verdana" w:hAnsi="Verdana" w:cs="Arial"/>
          <w:sz w:val="18"/>
          <w:szCs w:val="18"/>
        </w:rPr>
        <w:t xml:space="preserve">vrijwel afgeronde </w:t>
      </w:r>
      <w:r w:rsidRPr="00740AC2" w:rsidR="00664768">
        <w:rPr>
          <w:rFonts w:ascii="Verdana" w:hAnsi="Verdana" w:cs="Arial"/>
          <w:sz w:val="18"/>
          <w:szCs w:val="18"/>
        </w:rPr>
        <w:t xml:space="preserve">herziening van de FDI-Verordening </w:t>
      </w:r>
      <w:r w:rsidRPr="00740AC2">
        <w:rPr>
          <w:rFonts w:ascii="Verdana" w:hAnsi="Verdana" w:cs="Arial"/>
          <w:sz w:val="18"/>
          <w:szCs w:val="18"/>
        </w:rPr>
        <w:t>is er ook een tussentijdse evaluatie van de Wet vifo</w:t>
      </w:r>
      <w:r w:rsidRPr="00740AC2">
        <w:rPr>
          <w:rStyle w:val="Voetnootmarkering"/>
          <w:rFonts w:ascii="Verdana" w:hAnsi="Verdana" w:cs="Arial"/>
          <w:sz w:val="18"/>
          <w:szCs w:val="18"/>
        </w:rPr>
        <w:footnoteReference w:id="18"/>
      </w:r>
      <w:r w:rsidRPr="00740AC2">
        <w:rPr>
          <w:rFonts w:ascii="Verdana" w:hAnsi="Verdana" w:cs="Arial"/>
          <w:sz w:val="18"/>
          <w:szCs w:val="18"/>
        </w:rPr>
        <w:t xml:space="preserve"> </w:t>
      </w:r>
      <w:r w:rsidRPr="00740AC2" w:rsidR="00024042">
        <w:rPr>
          <w:rFonts w:ascii="Verdana" w:hAnsi="Verdana" w:cs="Arial"/>
          <w:sz w:val="18"/>
          <w:szCs w:val="18"/>
        </w:rPr>
        <w:t xml:space="preserve">uitgevoerd </w:t>
      </w:r>
      <w:r w:rsidRPr="00740AC2">
        <w:rPr>
          <w:rFonts w:ascii="Verdana" w:hAnsi="Verdana" w:cs="Arial"/>
          <w:sz w:val="18"/>
          <w:szCs w:val="18"/>
        </w:rPr>
        <w:t>naar aanleiding van de motie van de (toenmalige) leden van de Tweede Kamer Van Haga en Smolders</w:t>
      </w:r>
      <w:r w:rsidRPr="00740AC2">
        <w:rPr>
          <w:rStyle w:val="Voetnootmarkering"/>
          <w:rFonts w:ascii="Verdana" w:hAnsi="Verdana" w:cs="Arial"/>
          <w:sz w:val="18"/>
          <w:szCs w:val="18"/>
        </w:rPr>
        <w:footnoteReference w:id="19"/>
      </w:r>
      <w:r w:rsidRPr="00740AC2">
        <w:rPr>
          <w:rFonts w:ascii="Verdana" w:hAnsi="Verdana" w:cs="Arial"/>
          <w:sz w:val="18"/>
          <w:szCs w:val="18"/>
        </w:rPr>
        <w:t xml:space="preserve">. Conform de motie </w:t>
      </w:r>
      <w:r w:rsidRPr="00740AC2" w:rsidR="00FB13D3">
        <w:rPr>
          <w:rFonts w:ascii="Verdana" w:hAnsi="Verdana" w:cs="Arial"/>
          <w:sz w:val="18"/>
          <w:szCs w:val="18"/>
        </w:rPr>
        <w:t xml:space="preserve">is </w:t>
      </w:r>
      <w:r w:rsidRPr="00740AC2">
        <w:rPr>
          <w:rFonts w:ascii="Verdana" w:hAnsi="Verdana" w:cs="Arial"/>
          <w:sz w:val="18"/>
          <w:szCs w:val="18"/>
        </w:rPr>
        <w:t xml:space="preserve">de Wet vifo twee jaar na inwerkingtreding op hoofdlijnen, </w:t>
      </w:r>
      <w:r w:rsidRPr="00740AC2" w:rsidR="00FB13D3">
        <w:rPr>
          <w:rFonts w:ascii="Verdana" w:hAnsi="Verdana" w:cs="Arial"/>
          <w:sz w:val="18"/>
          <w:szCs w:val="18"/>
        </w:rPr>
        <w:t xml:space="preserve">in de tweede helft van 2025 </w:t>
      </w:r>
      <w:r w:rsidRPr="00740AC2">
        <w:rPr>
          <w:rFonts w:ascii="Verdana" w:hAnsi="Verdana" w:cs="Arial"/>
          <w:sz w:val="18"/>
          <w:szCs w:val="18"/>
        </w:rPr>
        <w:t>geëvalueerd op doeltreffendheid en andere effecten</w:t>
      </w:r>
      <w:r w:rsidRPr="00740AC2" w:rsidR="00FB13D3">
        <w:rPr>
          <w:rStyle w:val="Voetnootmarkering"/>
          <w:rFonts w:ascii="Verdana" w:hAnsi="Verdana" w:cs="Arial"/>
          <w:sz w:val="18"/>
          <w:szCs w:val="18"/>
        </w:rPr>
        <w:footnoteReference w:id="20"/>
      </w:r>
      <w:r w:rsidRPr="00740AC2">
        <w:rPr>
          <w:rFonts w:ascii="Verdana" w:hAnsi="Verdana" w:cs="Arial"/>
          <w:sz w:val="18"/>
          <w:szCs w:val="18"/>
        </w:rPr>
        <w:t xml:space="preserve">. Het </w:t>
      </w:r>
      <w:r w:rsidRPr="00740AC2" w:rsidR="009E5069">
        <w:rPr>
          <w:rFonts w:ascii="Verdana" w:hAnsi="Verdana" w:cs="Arial"/>
          <w:sz w:val="18"/>
          <w:szCs w:val="18"/>
        </w:rPr>
        <w:t xml:space="preserve">onderhavige </w:t>
      </w:r>
      <w:r w:rsidRPr="00740AC2">
        <w:rPr>
          <w:rFonts w:ascii="Verdana" w:hAnsi="Verdana" w:cs="Arial"/>
          <w:sz w:val="18"/>
          <w:szCs w:val="18"/>
        </w:rPr>
        <w:t xml:space="preserve">wijzigingsbesluit richt zich </w:t>
      </w:r>
      <w:r w:rsidRPr="00740AC2" w:rsidR="00BB298E">
        <w:rPr>
          <w:rFonts w:ascii="Verdana" w:hAnsi="Verdana" w:cs="Arial"/>
          <w:sz w:val="18"/>
          <w:szCs w:val="18"/>
        </w:rPr>
        <w:t xml:space="preserve">enkel </w:t>
      </w:r>
      <w:r w:rsidRPr="00740AC2">
        <w:rPr>
          <w:rFonts w:ascii="Verdana" w:hAnsi="Verdana" w:cs="Arial"/>
          <w:sz w:val="18"/>
          <w:szCs w:val="18"/>
        </w:rPr>
        <w:t xml:space="preserve">op </w:t>
      </w:r>
      <w:r w:rsidRPr="00740AC2" w:rsidR="00BB298E">
        <w:rPr>
          <w:rFonts w:ascii="Verdana" w:hAnsi="Verdana" w:cs="Arial"/>
          <w:sz w:val="18"/>
          <w:szCs w:val="18"/>
        </w:rPr>
        <w:t xml:space="preserve">het toevoegen van </w:t>
      </w:r>
      <w:r w:rsidRPr="00740AC2">
        <w:rPr>
          <w:rFonts w:ascii="Verdana" w:hAnsi="Verdana" w:cs="Arial"/>
          <w:sz w:val="18"/>
          <w:szCs w:val="18"/>
        </w:rPr>
        <w:t xml:space="preserve">technologieën die nog niet binnen het bereik van de Wet vifo vallen en </w:t>
      </w:r>
      <w:r w:rsidRPr="00740AC2" w:rsidR="00BB298E">
        <w:rPr>
          <w:rFonts w:ascii="Verdana" w:hAnsi="Verdana" w:cs="Arial"/>
          <w:sz w:val="18"/>
          <w:szCs w:val="18"/>
        </w:rPr>
        <w:t>biedt ge</w:t>
      </w:r>
      <w:r w:rsidRPr="00740AC2" w:rsidR="00FE440F">
        <w:rPr>
          <w:rFonts w:ascii="Verdana" w:hAnsi="Verdana" w:cs="Arial"/>
          <w:sz w:val="18"/>
          <w:szCs w:val="18"/>
        </w:rPr>
        <w:t xml:space="preserve">let op de grondslag daarvan geen ruimte </w:t>
      </w:r>
      <w:r w:rsidRPr="00740AC2" w:rsidR="00BB298E">
        <w:rPr>
          <w:rFonts w:ascii="Verdana" w:hAnsi="Verdana" w:cs="Arial"/>
          <w:sz w:val="18"/>
          <w:szCs w:val="18"/>
        </w:rPr>
        <w:t>voor het doorvoeren van eventuele aanbevelingen van het evaluatierapport. Bovendien moet nog nader bezien worden in hoeverre de aanbevelingen van het evaluatierapport</w:t>
      </w:r>
      <w:r w:rsidRPr="00740AC2" w:rsidR="00930E92">
        <w:rPr>
          <w:rFonts w:ascii="Verdana" w:hAnsi="Verdana" w:cs="Arial"/>
          <w:sz w:val="18"/>
          <w:szCs w:val="18"/>
        </w:rPr>
        <w:t>, voor zover nodig en opportuun,</w:t>
      </w:r>
      <w:r w:rsidRPr="00740AC2" w:rsidR="00BB298E">
        <w:rPr>
          <w:rFonts w:ascii="Verdana" w:hAnsi="Verdana" w:cs="Arial"/>
          <w:sz w:val="18"/>
          <w:szCs w:val="18"/>
        </w:rPr>
        <w:t xml:space="preserve"> reeds geadresseerd zullen worden door implementatie van de FDI-Verordening.</w:t>
      </w:r>
      <w:r w:rsidRPr="000B0065">
        <w:rPr>
          <w:rFonts w:ascii="Verdana" w:hAnsi="Verdana" w:cs="Arial"/>
          <w:sz w:val="18"/>
          <w:szCs w:val="18"/>
        </w:rPr>
        <w:t xml:space="preserve">    </w:t>
      </w:r>
    </w:p>
    <w:p w:rsidRPr="000B0065" w:rsidR="002531AD" w:rsidP="006424AD" w:rsidRDefault="002531AD" w14:paraId="32EDB468" w14:textId="3489475A">
      <w:pPr>
        <w:spacing w:line="240" w:lineRule="atLeast"/>
        <w:rPr>
          <w:rFonts w:ascii="Verdana" w:hAnsi="Verdana" w:cs="Arial"/>
          <w:sz w:val="18"/>
          <w:szCs w:val="18"/>
        </w:rPr>
      </w:pPr>
      <w:r w:rsidRPr="000B0065">
        <w:rPr>
          <w:rFonts w:ascii="Verdana" w:hAnsi="Verdana" w:cs="Arial"/>
          <w:sz w:val="18"/>
          <w:szCs w:val="18"/>
        </w:rPr>
        <w:t xml:space="preserve">Een laatste te noemen ontwikkeling is het wetsontwerp </w:t>
      </w:r>
      <w:r w:rsidRPr="000B0065" w:rsidR="004F02D9">
        <w:rPr>
          <w:rFonts w:ascii="Verdana" w:hAnsi="Verdana" w:cs="Arial"/>
          <w:sz w:val="18"/>
          <w:szCs w:val="18"/>
        </w:rPr>
        <w:t xml:space="preserve">dat betrekking heeft op de defensie-industrie en </w:t>
      </w:r>
      <w:r w:rsidRPr="000B0065">
        <w:rPr>
          <w:rFonts w:ascii="Verdana" w:hAnsi="Verdana" w:cs="Arial"/>
          <w:sz w:val="18"/>
          <w:szCs w:val="18"/>
        </w:rPr>
        <w:t xml:space="preserve">waarover </w:t>
      </w:r>
      <w:r w:rsidR="00D72CE4">
        <w:rPr>
          <w:rFonts w:ascii="Verdana" w:hAnsi="Verdana" w:cs="Arial"/>
          <w:sz w:val="18"/>
          <w:szCs w:val="18"/>
        </w:rPr>
        <w:t xml:space="preserve">eerder </w:t>
      </w:r>
      <w:r w:rsidRPr="000B0065">
        <w:rPr>
          <w:rFonts w:ascii="Verdana" w:hAnsi="Verdana" w:cs="Arial"/>
          <w:sz w:val="18"/>
          <w:szCs w:val="18"/>
        </w:rPr>
        <w:t xml:space="preserve">een internetconsulatie heeft plaatsgevonden. Dit wetsontwerp voorziet onder meer in een veiligheidstoets op defensiegebied, gericht op de beheersing van risico’s voor de nationale veiligheid als gevolg van investeringen in, overnames van en andere verwervingsactiviteiten gericht op zogenoemde wezenlijke krijgsmachtleveranciers en militaire goederen- of transportleveranciers. Het betreft in het geconsulteerde ontwerp overwegend doelondernemingen die actief zijn op het gebied van militaire goederen, zodat het ontwerp een beperkte verschuiving van het toepassingsbereik van de Wet vifo voor militaire goederen naar dit sectorale wetsontwerp behelst. </w:t>
      </w:r>
      <w:r w:rsidR="00D72CE4">
        <w:rPr>
          <w:rFonts w:ascii="Verdana" w:hAnsi="Verdana" w:cs="Arial"/>
          <w:sz w:val="18"/>
          <w:szCs w:val="18"/>
        </w:rPr>
        <w:t xml:space="preserve">Dit ontwerp staat dit wijzigingsbesluit niet in de weg en vice versa </w:t>
      </w:r>
      <w:r w:rsidR="00CB3D89">
        <w:rPr>
          <w:rFonts w:ascii="Verdana" w:hAnsi="Verdana" w:cs="Arial"/>
          <w:sz w:val="18"/>
          <w:szCs w:val="18"/>
        </w:rPr>
        <w:t xml:space="preserve">is dat </w:t>
      </w:r>
      <w:r w:rsidR="00D72CE4">
        <w:rPr>
          <w:rFonts w:ascii="Verdana" w:hAnsi="Verdana" w:cs="Arial"/>
          <w:sz w:val="18"/>
          <w:szCs w:val="18"/>
        </w:rPr>
        <w:t>evenmin het geval.</w:t>
      </w:r>
    </w:p>
    <w:p w:rsidRPr="000B0065" w:rsidR="002531AD" w:rsidP="006424AD" w:rsidRDefault="002531AD" w14:paraId="642EBE7D" w14:textId="77777777">
      <w:pPr>
        <w:spacing w:line="240" w:lineRule="atLeast"/>
        <w:rPr>
          <w:rFonts w:ascii="Verdana" w:hAnsi="Verdana" w:cs="Arial"/>
          <w:b/>
          <w:bCs/>
          <w:sz w:val="18"/>
          <w:szCs w:val="18"/>
        </w:rPr>
      </w:pPr>
      <w:r w:rsidRPr="000B0065">
        <w:rPr>
          <w:rFonts w:ascii="Verdana" w:hAnsi="Verdana" w:cs="Arial"/>
          <w:b/>
          <w:bCs/>
          <w:sz w:val="18"/>
          <w:szCs w:val="18"/>
        </w:rPr>
        <w:t>6. Notificatie</w:t>
      </w:r>
    </w:p>
    <w:p w:rsidRPr="000B0065" w:rsidR="002531AD" w:rsidP="006424AD" w:rsidRDefault="002531AD" w14:paraId="704EB0E7" w14:textId="77777777">
      <w:pPr>
        <w:spacing w:line="240" w:lineRule="atLeast"/>
        <w:rPr>
          <w:rFonts w:ascii="Verdana" w:hAnsi="Verdana" w:cs="Arial"/>
          <w:sz w:val="18"/>
          <w:szCs w:val="18"/>
        </w:rPr>
      </w:pPr>
      <w:r w:rsidRPr="000B0065">
        <w:rPr>
          <w:rFonts w:ascii="Verdana" w:hAnsi="Verdana" w:cs="Arial"/>
          <w:sz w:val="18"/>
          <w:szCs w:val="18"/>
        </w:rPr>
        <w:t xml:space="preserve">Dit wijzigingsbesluit bevat geen technische voorschriften in de zin van artikel 1, lid 1, onderdeel f, van Richtlijn (EU) 2015/1535 van het Europees Parlement en de Raad van 9 september 2015 betreffende een informatieprocedure op het gebied van technische voorschriften en regels </w:t>
      </w:r>
      <w:r w:rsidRPr="000B0065">
        <w:rPr>
          <w:rFonts w:ascii="Verdana" w:hAnsi="Verdana" w:cs="Arial"/>
          <w:sz w:val="18"/>
          <w:szCs w:val="18"/>
        </w:rPr>
        <w:lastRenderedPageBreak/>
        <w:t>betreffende de diensten van de informatiemaatschappij (PbEU 2015, L 241). Er is derhalve geen notificatie krachtens deze richtlijn nodig.</w:t>
      </w:r>
    </w:p>
    <w:p w:rsidRPr="000B0065" w:rsidR="002531AD" w:rsidP="006424AD" w:rsidRDefault="002531AD" w14:paraId="15E5728D" w14:textId="1183225D">
      <w:pPr>
        <w:spacing w:line="240" w:lineRule="atLeast"/>
        <w:rPr>
          <w:rFonts w:ascii="Verdana" w:hAnsi="Verdana" w:cs="Arial"/>
          <w:sz w:val="18"/>
          <w:szCs w:val="18"/>
        </w:rPr>
      </w:pPr>
      <w:r w:rsidRPr="000B0065">
        <w:rPr>
          <w:rFonts w:ascii="Verdana" w:hAnsi="Verdana" w:cs="Arial"/>
          <w:sz w:val="18"/>
          <w:szCs w:val="18"/>
        </w:rPr>
        <w:t>Ook bevat het wijzigingsbesluit geen eis die ter bescherming van met name de consument of het milieu wordt opgelegd. Een dergelijke eis zou, ook al zou die geen technische specificatie zijn, relevant kunnen zijn wanneer de  eis op significante wijze de samenstelling, de aard of verhandeling van het product kan beïnvloeden gedurende de levenscyclus van het product nadat dit in de handel is gebracht. Het kan hierbij bijvoorbeeld gaan om voorwaarden voor gebruik, recycling, hergebruik of verwijdering van het product. Tot slot bevat dit wijzigingsbesluit geen regel betreffende diensten van de informatiemaatschappij die eveneens onderwerp van voornoemde richtlijn zijn: het besluit bevat geen algemene eis betreffende de toegang tot en de uitoefening van dienstenactiviteiten zoals bepalingen met betrekking tot de dienstverlener, de diensten en de afnemer van diensten. Een notificatie uit dien hoofde is evenmin aan de orde.</w:t>
      </w:r>
    </w:p>
    <w:p w:rsidRPr="000B0065" w:rsidR="002531AD" w:rsidP="006424AD" w:rsidRDefault="002531AD" w14:paraId="1E683C9A" w14:textId="77777777">
      <w:pPr>
        <w:spacing w:line="240" w:lineRule="atLeast"/>
        <w:rPr>
          <w:rFonts w:ascii="Verdana" w:hAnsi="Verdana" w:cs="Arial"/>
          <w:sz w:val="18"/>
          <w:szCs w:val="18"/>
        </w:rPr>
      </w:pPr>
      <w:r w:rsidRPr="000B0065">
        <w:rPr>
          <w:rFonts w:ascii="Verdana" w:hAnsi="Verdana" w:cs="Arial"/>
          <w:sz w:val="18"/>
          <w:szCs w:val="18"/>
        </w:rPr>
        <w:t>Voor zover een belemmerend effect uitgaat van dit besluit ten aanzien van de handel in goederen en diensten van de informatiemaatschappij op de interne markt, hangt dit belemmerend effect onlosmakelijk samen met de Wet vifo zelf. De wet voorziet namelijk in een ex ante toetsing voor de verwerving van zeggenschap of significante invloed waarmee de vestiging van ondernemingen door middel van investeringen, overnames of fusies wordt beoordeeld. Zoals in de memorie van toelichting op de Wet vifo is toegelicht (hoofdstuk 5), is ondanks dat belemmerende effect geen notificatie op grond van voornoemde richtlijn vereist.</w:t>
      </w:r>
    </w:p>
    <w:p w:rsidRPr="000B0065" w:rsidR="002531AD" w:rsidP="006424AD" w:rsidRDefault="002531AD" w14:paraId="1FE9AE53" w14:textId="77777777">
      <w:pPr>
        <w:spacing w:line="240" w:lineRule="atLeast"/>
        <w:rPr>
          <w:rFonts w:ascii="Verdana" w:hAnsi="Verdana" w:cs="Arial"/>
          <w:sz w:val="18"/>
          <w:szCs w:val="18"/>
        </w:rPr>
      </w:pPr>
      <w:r w:rsidRPr="000B0065">
        <w:rPr>
          <w:rFonts w:ascii="Verdana" w:hAnsi="Verdana" w:cs="Arial"/>
          <w:sz w:val="18"/>
          <w:szCs w:val="18"/>
        </w:rPr>
        <w:t>Het wijzigingsbesluit bevat ook geen zelfstandige eisen of vergunningstelsels in de zin van artikel 4, onderdelen 6 en 7, van Richtlijn 2006/123/EG van het Europees Parlement en de Raad van 12 december 2006 betreffende diensten op de interne markt (Pb EG 2006, L 376). Het besluit dient derhalve ook niet te worden genotificeerd ingevolge artikel 15, zevende lid, of artikel 39, vijfde lid, jo. artikel 16, eerste tot en met derde lid, van die richtlijn.</w:t>
      </w:r>
    </w:p>
    <w:p w:rsidRPr="000B0065" w:rsidR="002531AD" w:rsidP="006424AD" w:rsidRDefault="002531AD" w14:paraId="62D1597A" w14:textId="77777777">
      <w:pPr>
        <w:spacing w:line="240" w:lineRule="atLeast"/>
        <w:rPr>
          <w:rFonts w:ascii="Verdana" w:hAnsi="Verdana" w:cs="Arial"/>
          <w:b/>
          <w:bCs/>
          <w:sz w:val="18"/>
          <w:szCs w:val="18"/>
        </w:rPr>
      </w:pPr>
      <w:r w:rsidRPr="000B0065">
        <w:rPr>
          <w:rFonts w:ascii="Verdana" w:hAnsi="Verdana" w:cs="Arial"/>
          <w:b/>
          <w:bCs/>
          <w:sz w:val="18"/>
          <w:szCs w:val="18"/>
        </w:rPr>
        <w:t>7. Bedrijfseffecten</w:t>
      </w:r>
    </w:p>
    <w:p w:rsidR="00D17892" w:rsidP="006424AD" w:rsidRDefault="00D17892" w14:paraId="78BAA2FE" w14:textId="6EC9F504">
      <w:pPr>
        <w:spacing w:line="240" w:lineRule="atLeast"/>
        <w:rPr>
          <w:rFonts w:ascii="Verdana" w:hAnsi="Verdana" w:cs="Arial"/>
          <w:sz w:val="18"/>
          <w:szCs w:val="18"/>
        </w:rPr>
      </w:pPr>
      <w:r w:rsidRPr="000B0065">
        <w:rPr>
          <w:rFonts w:ascii="Verdana" w:hAnsi="Verdana" w:cs="Arial"/>
          <w:sz w:val="18"/>
          <w:szCs w:val="18"/>
        </w:rPr>
        <w:t>In de</w:t>
      </w:r>
      <w:r>
        <w:rPr>
          <w:rFonts w:ascii="Verdana" w:hAnsi="Verdana" w:cs="Arial"/>
          <w:sz w:val="18"/>
          <w:szCs w:val="18"/>
        </w:rPr>
        <w:t>ze</w:t>
      </w:r>
      <w:r w:rsidRPr="000B0065">
        <w:rPr>
          <w:rFonts w:ascii="Verdana" w:hAnsi="Verdana" w:cs="Arial"/>
          <w:sz w:val="18"/>
          <w:szCs w:val="18"/>
        </w:rPr>
        <w:t xml:space="preserve"> nota van toelichting op het Besluit sensitief is beschreven op welke wijze regeldrukkosten voor het bedrijfsleven ontstaan, indien ondernemingen onder het bereik van de Wet vifo vallen. Het wijzigingsbesluit heeft </w:t>
      </w:r>
      <w:r>
        <w:rPr>
          <w:rFonts w:ascii="Verdana" w:hAnsi="Verdana" w:cs="Arial"/>
          <w:sz w:val="18"/>
          <w:szCs w:val="18"/>
        </w:rPr>
        <w:t>op die regeldrukkosten zelf</w:t>
      </w:r>
      <w:r w:rsidRPr="000B0065">
        <w:rPr>
          <w:rFonts w:ascii="Verdana" w:hAnsi="Verdana" w:cs="Arial"/>
          <w:sz w:val="18"/>
          <w:szCs w:val="18"/>
        </w:rPr>
        <w:t xml:space="preserve"> geen invloed</w:t>
      </w:r>
      <w:r>
        <w:rPr>
          <w:rFonts w:ascii="Verdana" w:hAnsi="Verdana" w:cs="Arial"/>
          <w:sz w:val="18"/>
          <w:szCs w:val="18"/>
        </w:rPr>
        <w:t xml:space="preserve">. </w:t>
      </w:r>
      <w:r w:rsidRPr="000B0065">
        <w:rPr>
          <w:rFonts w:ascii="Verdana" w:hAnsi="Verdana" w:cs="Arial"/>
          <w:sz w:val="18"/>
          <w:szCs w:val="18"/>
        </w:rPr>
        <w:t xml:space="preserve">Ook heeft het wijzigingsbesluit geen invloed op de omvang van de kosten van individuele zaken. De hoogte van de totale regeldrukkosten </w:t>
      </w:r>
      <w:r>
        <w:rPr>
          <w:rFonts w:ascii="Verdana" w:hAnsi="Verdana" w:cs="Arial"/>
          <w:sz w:val="18"/>
          <w:szCs w:val="18"/>
        </w:rPr>
        <w:t xml:space="preserve">als gevolg </w:t>
      </w:r>
      <w:r w:rsidR="00194F5B">
        <w:rPr>
          <w:rFonts w:ascii="Verdana" w:hAnsi="Verdana" w:cs="Arial"/>
          <w:sz w:val="18"/>
          <w:szCs w:val="18"/>
        </w:rPr>
        <w:t>v</w:t>
      </w:r>
      <w:r>
        <w:rPr>
          <w:rFonts w:ascii="Verdana" w:hAnsi="Verdana" w:cs="Arial"/>
          <w:sz w:val="18"/>
          <w:szCs w:val="18"/>
        </w:rPr>
        <w:t xml:space="preserve">an </w:t>
      </w:r>
      <w:r w:rsidRPr="000B0065">
        <w:rPr>
          <w:rFonts w:ascii="Verdana" w:hAnsi="Verdana" w:cs="Arial"/>
          <w:sz w:val="18"/>
          <w:szCs w:val="18"/>
        </w:rPr>
        <w:t xml:space="preserve">dit besluit </w:t>
      </w:r>
      <w:r>
        <w:rPr>
          <w:rFonts w:ascii="Verdana" w:hAnsi="Verdana" w:cs="Arial"/>
          <w:sz w:val="18"/>
          <w:szCs w:val="18"/>
        </w:rPr>
        <w:t xml:space="preserve">wordt </w:t>
      </w:r>
      <w:r w:rsidRPr="000B0065">
        <w:rPr>
          <w:rFonts w:ascii="Verdana" w:hAnsi="Verdana" w:cs="Arial"/>
          <w:sz w:val="18"/>
          <w:szCs w:val="18"/>
        </w:rPr>
        <w:t xml:space="preserve">met name beïnvloed door de toename van het aantal </w:t>
      </w:r>
      <w:r>
        <w:rPr>
          <w:rFonts w:ascii="Verdana" w:hAnsi="Verdana" w:cs="Arial"/>
          <w:sz w:val="18"/>
          <w:szCs w:val="18"/>
        </w:rPr>
        <w:t>ondernemingen</w:t>
      </w:r>
      <w:r w:rsidRPr="000B0065" w:rsidDel="00FD1FA3">
        <w:rPr>
          <w:rFonts w:ascii="Verdana" w:hAnsi="Verdana" w:cs="Arial"/>
          <w:sz w:val="18"/>
          <w:szCs w:val="18"/>
        </w:rPr>
        <w:t xml:space="preserve"> </w:t>
      </w:r>
      <w:r w:rsidRPr="000B0065">
        <w:rPr>
          <w:rFonts w:ascii="Verdana" w:hAnsi="Verdana" w:cs="Arial"/>
          <w:sz w:val="18"/>
          <w:szCs w:val="18"/>
        </w:rPr>
        <w:t xml:space="preserve">dat </w:t>
      </w:r>
      <w:r>
        <w:rPr>
          <w:rFonts w:ascii="Verdana" w:hAnsi="Verdana" w:cs="Arial"/>
          <w:sz w:val="18"/>
          <w:szCs w:val="18"/>
        </w:rPr>
        <w:t xml:space="preserve">nieuw </w:t>
      </w:r>
      <w:r w:rsidRPr="000B0065">
        <w:rPr>
          <w:rFonts w:ascii="Verdana" w:hAnsi="Verdana" w:cs="Arial"/>
          <w:sz w:val="18"/>
          <w:szCs w:val="18"/>
        </w:rPr>
        <w:t xml:space="preserve">onder het </w:t>
      </w:r>
      <w:r>
        <w:rPr>
          <w:rFonts w:ascii="Verdana" w:hAnsi="Verdana" w:cs="Arial"/>
          <w:sz w:val="18"/>
          <w:szCs w:val="18"/>
        </w:rPr>
        <w:t>toepassings</w:t>
      </w:r>
      <w:r w:rsidRPr="000B0065">
        <w:rPr>
          <w:rFonts w:ascii="Verdana" w:hAnsi="Verdana" w:cs="Arial"/>
          <w:sz w:val="18"/>
          <w:szCs w:val="18"/>
        </w:rPr>
        <w:t xml:space="preserve">bereik van de Wet vifo komt te vallen en het verwachte aantal meldingen </w:t>
      </w:r>
      <w:r>
        <w:rPr>
          <w:rFonts w:ascii="Verdana" w:hAnsi="Verdana" w:cs="Arial"/>
          <w:sz w:val="18"/>
          <w:szCs w:val="18"/>
        </w:rPr>
        <w:t xml:space="preserve">op grond van de Wet vifo </w:t>
      </w:r>
      <w:r w:rsidRPr="000B0065">
        <w:rPr>
          <w:rFonts w:ascii="Verdana" w:hAnsi="Verdana" w:cs="Arial"/>
          <w:sz w:val="18"/>
          <w:szCs w:val="18"/>
        </w:rPr>
        <w:t xml:space="preserve">per jaar binnen deze groep.  </w:t>
      </w:r>
    </w:p>
    <w:p w:rsidR="00D17892" w:rsidP="006424AD" w:rsidRDefault="00D17892" w14:paraId="377A3F75" w14:textId="2B0BE1DC">
      <w:pPr>
        <w:spacing w:line="240" w:lineRule="atLeast"/>
        <w:rPr>
          <w:rFonts w:ascii="Verdana" w:hAnsi="Verdana" w:cs="Arial"/>
          <w:sz w:val="18"/>
          <w:szCs w:val="18"/>
        </w:rPr>
      </w:pPr>
      <w:r w:rsidRPr="000B0065">
        <w:rPr>
          <w:rFonts w:ascii="Verdana" w:hAnsi="Verdana" w:cs="Arial"/>
          <w:sz w:val="18"/>
          <w:szCs w:val="18"/>
        </w:rPr>
        <w:t>Evenals in het Besluit sensitief is voor de berekening van de regeldruk voor dit besluit ervan uitgegaan dat de kosten die voortvloeien uit de meldplicht hoofdzakelijk zullen bestaan uit (interne en externe) juridische advisering. De kosten hiervan zullen per verwervingsactiviteit en partij variëren. Het kan immers gaan om een relatief eenvoudige investering in een mkb-onderneming, maar ook om een complexe fusie tussen multinationals. In voorkomende gevallen is het voldoende dat een onderneming eenmalig informatie aanlevert. Indien er aanknopingspunten zijn om de activiteit (investering, fusie, overname) nader te onderzoeken kan er extra informatie worden opgevraagd. Dit betekent dat een onderneming aanvullende informatie moet aanleveren bij het BTI.</w:t>
      </w:r>
      <w:r>
        <w:rPr>
          <w:rFonts w:ascii="Verdana" w:hAnsi="Verdana" w:cs="Arial"/>
          <w:sz w:val="18"/>
          <w:szCs w:val="18"/>
        </w:rPr>
        <w:t xml:space="preserve"> </w:t>
      </w:r>
      <w:r w:rsidRPr="000B0065">
        <w:rPr>
          <w:rFonts w:ascii="Verdana" w:hAnsi="Verdana" w:cs="Arial"/>
          <w:sz w:val="18"/>
          <w:szCs w:val="18"/>
        </w:rPr>
        <w:t>De regeldruk voor een meldingplichtige onderneming behelst met name het kennisnemen van de regelgeving en de administratieve handelingen zoals het opzoeken van de juiste informatie om een volledige melding te kunnen doen. Indien er vanuit het BTI om aanvullende informatie wordt gevraagd, zal deze opgezocht en aangeleverd moeten worden.</w:t>
      </w:r>
    </w:p>
    <w:p w:rsidR="002531AD" w:rsidP="006424AD" w:rsidRDefault="002531AD" w14:paraId="1462876C" w14:textId="390CDEB3">
      <w:pPr>
        <w:spacing w:line="240" w:lineRule="atLeast"/>
        <w:rPr>
          <w:rFonts w:ascii="Verdana" w:hAnsi="Verdana" w:cs="Arial"/>
          <w:sz w:val="18"/>
          <w:szCs w:val="18"/>
        </w:rPr>
      </w:pPr>
      <w:r w:rsidRPr="000B0065">
        <w:rPr>
          <w:rFonts w:ascii="Verdana" w:hAnsi="Verdana" w:cs="Arial"/>
          <w:sz w:val="18"/>
          <w:szCs w:val="18"/>
        </w:rPr>
        <w:t xml:space="preserve">Voor de sensitieve technologieën die via dit wijzigingsbesluit worden toegevoegd aan </w:t>
      </w:r>
      <w:r w:rsidR="00763187">
        <w:rPr>
          <w:rFonts w:ascii="Verdana" w:hAnsi="Verdana" w:cs="Arial"/>
          <w:sz w:val="18"/>
          <w:szCs w:val="18"/>
        </w:rPr>
        <w:t xml:space="preserve">het toepassingsbereik </w:t>
      </w:r>
      <w:r w:rsidRPr="000B0065">
        <w:rPr>
          <w:rFonts w:ascii="Verdana" w:hAnsi="Verdana" w:cs="Arial"/>
          <w:sz w:val="18"/>
          <w:szCs w:val="18"/>
        </w:rPr>
        <w:t xml:space="preserve">van de Wet vifo is een inschatting gemaakt hoeveel </w:t>
      </w:r>
      <w:r w:rsidR="00FD1FA3">
        <w:rPr>
          <w:rFonts w:ascii="Verdana" w:hAnsi="Verdana" w:cs="Arial"/>
          <w:sz w:val="18"/>
          <w:szCs w:val="18"/>
        </w:rPr>
        <w:t>ondernemingen</w:t>
      </w:r>
      <w:r w:rsidRPr="000B0065" w:rsidR="00FD1FA3">
        <w:rPr>
          <w:rFonts w:ascii="Verdana" w:hAnsi="Verdana" w:cs="Arial"/>
          <w:sz w:val="18"/>
          <w:szCs w:val="18"/>
        </w:rPr>
        <w:t xml:space="preserve"> </w:t>
      </w:r>
      <w:r w:rsidRPr="000B0065">
        <w:rPr>
          <w:rFonts w:ascii="Verdana" w:hAnsi="Verdana" w:cs="Arial"/>
          <w:sz w:val="18"/>
          <w:szCs w:val="18"/>
        </w:rPr>
        <w:t>hierdoor geraakt kunnen worden indien zij een investering moeten melden bij het BTI. Voor sommige sensitieve technologieën is de bepaling daarvan moeilijk te maken omdat het een specifieke sub-technologie betreft</w:t>
      </w:r>
      <w:r w:rsidR="00763187">
        <w:rPr>
          <w:rFonts w:ascii="Verdana" w:hAnsi="Verdana" w:cs="Arial"/>
          <w:sz w:val="18"/>
          <w:szCs w:val="18"/>
        </w:rPr>
        <w:t xml:space="preserve">. Daarnaast zijn </w:t>
      </w:r>
      <w:r w:rsidR="00FD1FA3">
        <w:rPr>
          <w:rFonts w:ascii="Verdana" w:hAnsi="Verdana" w:cs="Arial"/>
          <w:sz w:val="18"/>
          <w:szCs w:val="18"/>
        </w:rPr>
        <w:t>ondernemingen</w:t>
      </w:r>
      <w:r w:rsidRPr="000B0065">
        <w:rPr>
          <w:rFonts w:ascii="Verdana" w:hAnsi="Verdana" w:cs="Arial"/>
          <w:sz w:val="18"/>
          <w:szCs w:val="18"/>
        </w:rPr>
        <w:t xml:space="preserve"> niet </w:t>
      </w:r>
      <w:r w:rsidR="00763187">
        <w:rPr>
          <w:rFonts w:ascii="Verdana" w:hAnsi="Verdana" w:cs="Arial"/>
          <w:sz w:val="18"/>
          <w:szCs w:val="18"/>
        </w:rPr>
        <w:t xml:space="preserve">altijd </w:t>
      </w:r>
      <w:r w:rsidRPr="000B0065">
        <w:rPr>
          <w:rFonts w:ascii="Verdana" w:hAnsi="Verdana" w:cs="Arial"/>
          <w:sz w:val="18"/>
          <w:szCs w:val="18"/>
        </w:rPr>
        <w:t>open over hun kernactviteiten en potentieel</w:t>
      </w:r>
      <w:r w:rsidR="00763187">
        <w:rPr>
          <w:rFonts w:ascii="Verdana" w:hAnsi="Verdana" w:cs="Arial"/>
          <w:sz w:val="18"/>
          <w:szCs w:val="18"/>
        </w:rPr>
        <w:t xml:space="preserve">, al dan niet </w:t>
      </w:r>
      <w:r w:rsidRPr="000B0065">
        <w:rPr>
          <w:rFonts w:ascii="Verdana" w:hAnsi="Verdana" w:cs="Arial"/>
          <w:sz w:val="18"/>
          <w:szCs w:val="18"/>
        </w:rPr>
        <w:t xml:space="preserve">omdat de </w:t>
      </w:r>
      <w:r w:rsidR="00763187">
        <w:rPr>
          <w:rFonts w:ascii="Verdana" w:hAnsi="Verdana" w:cs="Arial"/>
          <w:sz w:val="18"/>
          <w:szCs w:val="18"/>
        </w:rPr>
        <w:t xml:space="preserve">betreffende </w:t>
      </w:r>
      <w:r w:rsidRPr="000B0065">
        <w:rPr>
          <w:rFonts w:ascii="Verdana" w:hAnsi="Verdana" w:cs="Arial"/>
          <w:sz w:val="18"/>
          <w:szCs w:val="18"/>
        </w:rPr>
        <w:t xml:space="preserve">technologie nog in een beginstadium van ontwikkeling of toepassing zit. Het precieze aantal </w:t>
      </w:r>
      <w:r w:rsidR="00FD1FA3">
        <w:rPr>
          <w:rFonts w:ascii="Verdana" w:hAnsi="Verdana" w:cs="Arial"/>
          <w:sz w:val="18"/>
          <w:szCs w:val="18"/>
        </w:rPr>
        <w:t>ondernemingen</w:t>
      </w:r>
      <w:r w:rsidRPr="000B0065" w:rsidR="00FD1FA3">
        <w:rPr>
          <w:rFonts w:ascii="Verdana" w:hAnsi="Verdana" w:cs="Arial"/>
          <w:sz w:val="18"/>
          <w:szCs w:val="18"/>
        </w:rPr>
        <w:t xml:space="preserve"> </w:t>
      </w:r>
      <w:r w:rsidRPr="000B0065">
        <w:rPr>
          <w:rFonts w:ascii="Verdana" w:hAnsi="Verdana" w:cs="Arial"/>
          <w:sz w:val="18"/>
          <w:szCs w:val="18"/>
        </w:rPr>
        <w:t xml:space="preserve">is in die gevallen moeilijk te achterhalen. De onderstaande schatting is gebaseerd op openbare bronnen over aantallen </w:t>
      </w:r>
      <w:r w:rsidR="00FD1FA3">
        <w:rPr>
          <w:rFonts w:ascii="Verdana" w:hAnsi="Verdana" w:cs="Arial"/>
          <w:sz w:val="18"/>
          <w:szCs w:val="18"/>
        </w:rPr>
        <w:t>ondernemingen</w:t>
      </w:r>
      <w:r w:rsidRPr="000B0065" w:rsidDel="00FD1FA3" w:rsidR="00FD1FA3">
        <w:rPr>
          <w:rFonts w:ascii="Verdana" w:hAnsi="Verdana" w:cs="Arial"/>
          <w:sz w:val="18"/>
          <w:szCs w:val="18"/>
        </w:rPr>
        <w:t xml:space="preserve"> </w:t>
      </w:r>
      <w:r w:rsidRPr="000B0065">
        <w:rPr>
          <w:rFonts w:ascii="Verdana" w:hAnsi="Verdana" w:cs="Arial"/>
          <w:sz w:val="18"/>
          <w:szCs w:val="18"/>
        </w:rPr>
        <w:t xml:space="preserve">in specifieke sectoren en de afbakening van de technologieën in dit besluit. De inschatting is dat als </w:t>
      </w:r>
      <w:r w:rsidRPr="000B0065">
        <w:rPr>
          <w:rFonts w:ascii="Verdana" w:hAnsi="Verdana" w:cs="Arial"/>
          <w:sz w:val="18"/>
          <w:szCs w:val="18"/>
        </w:rPr>
        <w:lastRenderedPageBreak/>
        <w:t xml:space="preserve">gevolg van de wijziging van dit besluit 1015 tot 1730 extra </w:t>
      </w:r>
      <w:r w:rsidR="00FD1FA3">
        <w:rPr>
          <w:rFonts w:ascii="Verdana" w:hAnsi="Verdana" w:cs="Arial"/>
          <w:sz w:val="18"/>
          <w:szCs w:val="18"/>
        </w:rPr>
        <w:t>ondernemingen</w:t>
      </w:r>
      <w:r w:rsidRPr="000B0065" w:rsidDel="00FD1FA3" w:rsidR="00FD1FA3">
        <w:rPr>
          <w:rFonts w:ascii="Verdana" w:hAnsi="Verdana" w:cs="Arial"/>
          <w:sz w:val="18"/>
          <w:szCs w:val="18"/>
        </w:rPr>
        <w:t xml:space="preserve"> </w:t>
      </w:r>
      <w:r w:rsidRPr="000B0065">
        <w:rPr>
          <w:rFonts w:ascii="Verdana" w:hAnsi="Verdana" w:cs="Arial"/>
          <w:sz w:val="18"/>
          <w:szCs w:val="18"/>
        </w:rPr>
        <w:t>binnen het toepassingsbereik van de Wet vifo worden gebracht.</w:t>
      </w:r>
      <w:r w:rsidRPr="000B0065">
        <w:rPr>
          <w:rFonts w:ascii="Verdana" w:hAnsi="Verdana"/>
          <w:sz w:val="18"/>
          <w:szCs w:val="18"/>
        </w:rPr>
        <w:t xml:space="preserve"> </w:t>
      </w:r>
    </w:p>
    <w:p w:rsidRPr="000B0065" w:rsidR="00D17892" w:rsidP="006424AD" w:rsidRDefault="00D17892" w14:paraId="778628E1" w14:textId="0256991E">
      <w:pPr>
        <w:spacing w:line="240" w:lineRule="atLeast"/>
        <w:rPr>
          <w:rFonts w:ascii="Verdana" w:hAnsi="Verdana"/>
          <w:sz w:val="18"/>
          <w:szCs w:val="18"/>
        </w:rPr>
      </w:pPr>
      <w:r w:rsidRPr="000B0065">
        <w:rPr>
          <w:rFonts w:ascii="Verdana" w:hAnsi="Verdana" w:cs="Arial"/>
          <w:sz w:val="18"/>
          <w:szCs w:val="18"/>
        </w:rPr>
        <w:t xml:space="preserve">De exacte omvang van de toename in het aantal meldingen door deze uitbreiding is onbekend. Het aantal investeringen per jaar is namelijk afhankelijk van diverse factoren zoals het geopolitieke en economische klimaat, concurrentie- en kennispositie van </w:t>
      </w:r>
      <w:r>
        <w:rPr>
          <w:rFonts w:ascii="Verdana" w:hAnsi="Verdana" w:cs="Arial"/>
          <w:sz w:val="18"/>
          <w:szCs w:val="18"/>
        </w:rPr>
        <w:t>ondernemingen</w:t>
      </w:r>
      <w:r w:rsidRPr="000B0065" w:rsidDel="00FD1FA3">
        <w:rPr>
          <w:rFonts w:ascii="Verdana" w:hAnsi="Verdana" w:cs="Arial"/>
          <w:sz w:val="18"/>
          <w:szCs w:val="18"/>
        </w:rPr>
        <w:t xml:space="preserve"> </w:t>
      </w:r>
      <w:r w:rsidRPr="000B0065">
        <w:rPr>
          <w:rFonts w:ascii="Verdana" w:hAnsi="Verdana" w:cs="Arial"/>
          <w:sz w:val="18"/>
          <w:szCs w:val="18"/>
        </w:rPr>
        <w:t xml:space="preserve">en de voortgang in de technologische ontwikkelingen bij o.m. start-ups. Desalniettemin kan er op basis van de ervaringen sinds de inwerkingtreding van de Wet vifo een globale inschatting worden gemaakt van de te verwachten meldingen per jaar op basis van het geschatte aantal </w:t>
      </w:r>
      <w:r>
        <w:rPr>
          <w:rFonts w:ascii="Verdana" w:hAnsi="Verdana" w:cs="Arial"/>
          <w:sz w:val="18"/>
          <w:szCs w:val="18"/>
        </w:rPr>
        <w:t>ondernemingen</w:t>
      </w:r>
      <w:r w:rsidRPr="000B0065" w:rsidDel="00FD1FA3">
        <w:rPr>
          <w:rFonts w:ascii="Verdana" w:hAnsi="Verdana" w:cs="Arial"/>
          <w:sz w:val="18"/>
          <w:szCs w:val="18"/>
        </w:rPr>
        <w:t xml:space="preserve"> </w:t>
      </w:r>
      <w:r w:rsidRPr="000B0065">
        <w:rPr>
          <w:rFonts w:ascii="Verdana" w:hAnsi="Verdana" w:cs="Arial"/>
          <w:sz w:val="18"/>
          <w:szCs w:val="18"/>
        </w:rPr>
        <w:t>dat binnen het bereik van de Wet vifo wordt gebracht met dit wijzigingsbesluit. De schatting is dat de wijziging van dit besluit resulteert in 125 extra zaken per jaar, waarvan 25 complexe zaken. Dit levert een totaaleffect van een toename van de regeldrukkosten op van naar schatting 2.995.300 euro</w:t>
      </w:r>
      <w:r w:rsidRPr="000B0065">
        <w:rPr>
          <w:rStyle w:val="Voetnootmarkering"/>
          <w:rFonts w:ascii="Verdana" w:hAnsi="Verdana" w:cs="Arial"/>
          <w:sz w:val="18"/>
          <w:szCs w:val="18"/>
        </w:rPr>
        <w:footnoteReference w:id="21"/>
      </w:r>
      <w:r w:rsidRPr="000B0065">
        <w:rPr>
          <w:rFonts w:ascii="Verdana" w:hAnsi="Verdana" w:cs="Arial"/>
          <w:sz w:val="18"/>
          <w:szCs w:val="18"/>
        </w:rPr>
        <w:t xml:space="preserve"> per jaar. Van dit bedrag zal tweederdedeel ten laste komen van complexe verwervingsactiviteiten van grote </w:t>
      </w:r>
      <w:r>
        <w:rPr>
          <w:rFonts w:ascii="Verdana" w:hAnsi="Verdana" w:cs="Arial"/>
          <w:sz w:val="18"/>
          <w:szCs w:val="18"/>
        </w:rPr>
        <w:t>ondernemingen</w:t>
      </w:r>
      <w:r w:rsidR="00F95949">
        <w:rPr>
          <w:rFonts w:ascii="Verdana" w:hAnsi="Verdana" w:cs="Arial"/>
          <w:sz w:val="18"/>
          <w:szCs w:val="18"/>
        </w:rPr>
        <w:t>.</w:t>
      </w:r>
    </w:p>
    <w:p w:rsidR="00841E1E" w:rsidP="006424AD" w:rsidRDefault="00841E1E" w14:paraId="2BBAE89E" w14:textId="0F2CBB06">
      <w:pPr>
        <w:spacing w:line="240" w:lineRule="atLeast"/>
        <w:rPr>
          <w:rFonts w:ascii="Verdana" w:hAnsi="Verdana" w:cs="Arial"/>
          <w:sz w:val="18"/>
          <w:szCs w:val="18"/>
        </w:rPr>
      </w:pPr>
      <w:r w:rsidRPr="000B0065">
        <w:rPr>
          <w:rFonts w:ascii="Verdana" w:hAnsi="Verdana" w:cs="Arial"/>
          <w:sz w:val="18"/>
          <w:szCs w:val="18"/>
        </w:rPr>
        <w:t xml:space="preserve">Voor de inschatting van de regeldrukkosten hieronder wordt uitgegaan van twee verschillende scenario’s: </w:t>
      </w:r>
      <w:r w:rsidR="00D80A8F">
        <w:rPr>
          <w:rFonts w:ascii="Verdana" w:hAnsi="Verdana" w:cs="Arial"/>
          <w:sz w:val="18"/>
          <w:szCs w:val="18"/>
        </w:rPr>
        <w:t>eenvoudige</w:t>
      </w:r>
      <w:r w:rsidRPr="000B0065">
        <w:rPr>
          <w:rFonts w:ascii="Verdana" w:hAnsi="Verdana" w:cs="Arial"/>
          <w:sz w:val="18"/>
          <w:szCs w:val="18"/>
        </w:rPr>
        <w:t xml:space="preserve"> en complexe activiteiten. Gemiddeld wordt verwacht dat de kosten van een </w:t>
      </w:r>
      <w:r w:rsidR="00D80A8F">
        <w:rPr>
          <w:rFonts w:ascii="Verdana" w:hAnsi="Verdana" w:cs="Arial"/>
          <w:sz w:val="18"/>
          <w:szCs w:val="18"/>
        </w:rPr>
        <w:t>eenvoudige</w:t>
      </w:r>
      <w:r w:rsidRPr="000B0065">
        <w:rPr>
          <w:rFonts w:ascii="Verdana" w:hAnsi="Verdana" w:cs="Arial"/>
          <w:sz w:val="18"/>
          <w:szCs w:val="18"/>
        </w:rPr>
        <w:t xml:space="preserve"> melding voor het MKB </w:t>
      </w:r>
      <w:r w:rsidR="00D80A8F">
        <w:rPr>
          <w:rFonts w:ascii="Verdana" w:hAnsi="Verdana" w:cs="Arial"/>
          <w:sz w:val="18"/>
          <w:szCs w:val="18"/>
        </w:rPr>
        <w:t>€</w:t>
      </w:r>
      <w:r w:rsidRPr="000B0065">
        <w:rPr>
          <w:rFonts w:ascii="Verdana" w:hAnsi="Verdana" w:cs="Arial"/>
          <w:sz w:val="18"/>
          <w:szCs w:val="18"/>
        </w:rPr>
        <w:t xml:space="preserve">9.136 zullen zijn en voor een multinational </w:t>
      </w:r>
      <w:r w:rsidR="00D80A8F">
        <w:rPr>
          <w:rFonts w:ascii="Verdana" w:hAnsi="Verdana" w:cs="Arial"/>
          <w:sz w:val="18"/>
          <w:szCs w:val="18"/>
        </w:rPr>
        <w:t>€</w:t>
      </w:r>
      <w:r w:rsidRPr="000B0065">
        <w:rPr>
          <w:rFonts w:ascii="Verdana" w:hAnsi="Verdana" w:cs="Arial"/>
          <w:sz w:val="18"/>
          <w:szCs w:val="18"/>
        </w:rPr>
        <w:t>83.268 (zie tabel 1 en 2). Deze kosten bestaan met name uit juridische kosten voor interne en externe juristen (zie tabel 2).</w:t>
      </w:r>
      <w:r w:rsidRPr="000B0065">
        <w:rPr>
          <w:rFonts w:ascii="Verdana" w:hAnsi="Verdana"/>
          <w:sz w:val="18"/>
          <w:szCs w:val="18"/>
        </w:rPr>
        <w:t xml:space="preserve"> </w:t>
      </w:r>
      <w:r w:rsidRPr="000B0065">
        <w:rPr>
          <w:rFonts w:ascii="Verdana" w:hAnsi="Verdana" w:cs="Arial"/>
          <w:sz w:val="18"/>
          <w:szCs w:val="18"/>
        </w:rPr>
        <w:t xml:space="preserve">De </w:t>
      </w:r>
      <w:r w:rsidR="00102F9A">
        <w:rPr>
          <w:rFonts w:ascii="Verdana" w:hAnsi="Verdana" w:cs="Arial"/>
          <w:sz w:val="18"/>
          <w:szCs w:val="18"/>
        </w:rPr>
        <w:t>voornoemde</w:t>
      </w:r>
      <w:r w:rsidRPr="000B0065">
        <w:rPr>
          <w:rFonts w:ascii="Verdana" w:hAnsi="Verdana" w:cs="Arial"/>
          <w:sz w:val="18"/>
          <w:szCs w:val="18"/>
        </w:rPr>
        <w:t xml:space="preserve"> kosten betreffen eenmalige lasten</w:t>
      </w:r>
    </w:p>
    <w:p w:rsidRPr="000B0065" w:rsidR="002531AD" w:rsidP="006424AD" w:rsidRDefault="00AA117C" w14:paraId="529FA53E" w14:textId="02D60BA0">
      <w:pPr>
        <w:spacing w:line="240" w:lineRule="atLeast"/>
        <w:rPr>
          <w:rFonts w:ascii="Verdana" w:hAnsi="Verdana" w:cs="Arial"/>
          <w:sz w:val="18"/>
          <w:szCs w:val="18"/>
        </w:rPr>
      </w:pPr>
      <w:r>
        <w:rPr>
          <w:rFonts w:ascii="Verdana" w:hAnsi="Verdana" w:cs="Arial"/>
          <w:sz w:val="18"/>
          <w:szCs w:val="18"/>
        </w:rPr>
        <w:t>In het algemeen wordt gepoogd op een aantal manieren de regeldrukkosten als gevolg van de Wet vifo beperkt te houden. Ten eerste bevat d</w:t>
      </w:r>
      <w:r w:rsidRPr="000B0065" w:rsidR="002531AD">
        <w:rPr>
          <w:rFonts w:ascii="Verdana" w:hAnsi="Verdana" w:cs="Arial"/>
          <w:sz w:val="18"/>
          <w:szCs w:val="18"/>
        </w:rPr>
        <w:t xml:space="preserve">e Wet vifo </w:t>
      </w:r>
      <w:r>
        <w:rPr>
          <w:rFonts w:ascii="Verdana" w:hAnsi="Verdana" w:cs="Arial"/>
          <w:sz w:val="18"/>
          <w:szCs w:val="18"/>
        </w:rPr>
        <w:t xml:space="preserve">, </w:t>
      </w:r>
      <w:r w:rsidRPr="000B0065" w:rsidR="002531AD">
        <w:rPr>
          <w:rFonts w:ascii="Verdana" w:hAnsi="Verdana" w:cs="Arial"/>
          <w:sz w:val="18"/>
          <w:szCs w:val="18"/>
        </w:rPr>
        <w:t>ter bevordering van de transparantie van de wet</w:t>
      </w:r>
      <w:r>
        <w:rPr>
          <w:rFonts w:ascii="Verdana" w:hAnsi="Verdana" w:cs="Arial"/>
          <w:sz w:val="18"/>
          <w:szCs w:val="18"/>
        </w:rPr>
        <w:t>,</w:t>
      </w:r>
      <w:r w:rsidRPr="000B0065" w:rsidR="002531AD">
        <w:rPr>
          <w:rFonts w:ascii="Verdana" w:hAnsi="Verdana" w:cs="Arial"/>
          <w:sz w:val="18"/>
          <w:szCs w:val="18"/>
        </w:rPr>
        <w:t xml:space="preserve"> passende doorlooptermijnen, beoordelingscriteria, alsmede mogelijk op te leggen eisen en nadere voorschriften. Hierdoor weten investeerders en </w:t>
      </w:r>
      <w:r w:rsidR="00FD1FA3">
        <w:rPr>
          <w:rFonts w:ascii="Verdana" w:hAnsi="Verdana" w:cs="Arial"/>
          <w:sz w:val="18"/>
          <w:szCs w:val="18"/>
        </w:rPr>
        <w:t>ondernemingen</w:t>
      </w:r>
      <w:r w:rsidRPr="000B0065" w:rsidDel="00FD1FA3" w:rsidR="00FD1FA3">
        <w:rPr>
          <w:rFonts w:ascii="Verdana" w:hAnsi="Verdana" w:cs="Arial"/>
          <w:sz w:val="18"/>
          <w:szCs w:val="18"/>
        </w:rPr>
        <w:t xml:space="preserve"> </w:t>
      </w:r>
      <w:r w:rsidRPr="000B0065" w:rsidR="002531AD">
        <w:rPr>
          <w:rFonts w:ascii="Verdana" w:hAnsi="Verdana" w:cs="Arial"/>
          <w:sz w:val="18"/>
          <w:szCs w:val="18"/>
        </w:rPr>
        <w:t xml:space="preserve">beter waar ze aan toe zijn als ze een investeringstraject starten en worden de administratieve lasten voor het bedrijfsleven zo laag en beheersbaar mogelijk gehouden. </w:t>
      </w:r>
      <w:r w:rsidR="00F94FC1">
        <w:rPr>
          <w:rFonts w:ascii="Verdana" w:hAnsi="Verdana" w:cs="Arial"/>
          <w:sz w:val="18"/>
          <w:szCs w:val="18"/>
        </w:rPr>
        <w:t>Ten tweede heeft h</w:t>
      </w:r>
      <w:r w:rsidRPr="000B0065" w:rsidR="002531AD">
        <w:rPr>
          <w:rFonts w:ascii="Verdana" w:hAnsi="Verdana" w:cs="Arial"/>
          <w:sz w:val="18"/>
          <w:szCs w:val="18"/>
        </w:rPr>
        <w:t>et BTI voor en na de inwerkingtreding van de Wet vifo via diverse kanalen informatie gedeeld over de wet met het bedrijfsleven en advocaten om hen bewust te maken van de nieuwe regelgeving en procedures.</w:t>
      </w:r>
      <w:r w:rsidRPr="000B0065" w:rsidR="002531AD">
        <w:rPr>
          <w:rStyle w:val="Voetnootmarkering"/>
          <w:rFonts w:ascii="Verdana" w:hAnsi="Verdana" w:cs="Arial"/>
          <w:sz w:val="18"/>
          <w:szCs w:val="18"/>
        </w:rPr>
        <w:footnoteReference w:id="22"/>
      </w:r>
      <w:r w:rsidRPr="000B0065" w:rsidR="002531AD">
        <w:rPr>
          <w:rFonts w:ascii="Verdana" w:hAnsi="Verdana" w:cs="Arial"/>
          <w:sz w:val="18"/>
          <w:szCs w:val="18"/>
        </w:rPr>
        <w:t xml:space="preserve"> Er wordt door </w:t>
      </w:r>
      <w:r w:rsidR="00194F5B">
        <w:rPr>
          <w:rFonts w:ascii="Verdana" w:hAnsi="Verdana" w:cs="Arial"/>
          <w:sz w:val="18"/>
          <w:szCs w:val="18"/>
        </w:rPr>
        <w:t xml:space="preserve">het </w:t>
      </w:r>
      <w:r w:rsidRPr="000B0065" w:rsidR="002531AD">
        <w:rPr>
          <w:rFonts w:ascii="Verdana" w:hAnsi="Verdana" w:cs="Arial"/>
          <w:sz w:val="18"/>
          <w:szCs w:val="18"/>
        </w:rPr>
        <w:t xml:space="preserve">BTI ook actief verbinding met het bedrijfsleven gezocht om de notificaties en onderzoek naar transacties te vergemakkelijken. Ook worden vragen over de toepassing van de Wet vifo beantwoord o.a. in de vorm van informele zienswijzen. </w:t>
      </w:r>
      <w:r w:rsidR="00E5761F">
        <w:rPr>
          <w:rFonts w:ascii="Verdana" w:hAnsi="Verdana" w:cs="Arial"/>
          <w:sz w:val="18"/>
          <w:szCs w:val="18"/>
        </w:rPr>
        <w:t>H</w:t>
      </w:r>
      <w:r w:rsidRPr="000B0065" w:rsidR="00E5761F">
        <w:rPr>
          <w:rFonts w:ascii="Verdana" w:hAnsi="Verdana" w:cs="Arial"/>
          <w:sz w:val="18"/>
          <w:szCs w:val="18"/>
        </w:rPr>
        <w:t xml:space="preserve">et BTI </w:t>
      </w:r>
      <w:r w:rsidR="00E5761F">
        <w:rPr>
          <w:rFonts w:ascii="Verdana" w:hAnsi="Verdana" w:cs="Arial"/>
          <w:sz w:val="18"/>
          <w:szCs w:val="18"/>
        </w:rPr>
        <w:t xml:space="preserve">werkt ook </w:t>
      </w:r>
      <w:r w:rsidRPr="000B0065" w:rsidR="00E5761F">
        <w:rPr>
          <w:rFonts w:ascii="Verdana" w:hAnsi="Verdana" w:cs="Arial"/>
          <w:sz w:val="18"/>
          <w:szCs w:val="18"/>
        </w:rPr>
        <w:t xml:space="preserve">actief samen met het Ondernemersloket Economische Veiligheid waar ondernemers onder meer terecht kunnen voor algemene vragen over investeringstoetsing. De positieve impact van deze brede dienstverlening van </w:t>
      </w:r>
      <w:r w:rsidR="00194F5B">
        <w:rPr>
          <w:rFonts w:ascii="Verdana" w:hAnsi="Verdana" w:cs="Arial"/>
          <w:sz w:val="18"/>
          <w:szCs w:val="18"/>
        </w:rPr>
        <w:t xml:space="preserve">het </w:t>
      </w:r>
      <w:r w:rsidRPr="000B0065" w:rsidR="00E5761F">
        <w:rPr>
          <w:rFonts w:ascii="Verdana" w:hAnsi="Verdana" w:cs="Arial"/>
          <w:sz w:val="18"/>
          <w:szCs w:val="18"/>
        </w:rPr>
        <w:t>BTI op de administratieve lasten van verwervers en doelondernemingen is moeilijk te kwantificeren omdat de meerwaarde daarvan per melding anders uitpakt.</w:t>
      </w:r>
      <w:r w:rsidR="00E5761F">
        <w:rPr>
          <w:rFonts w:ascii="Verdana" w:hAnsi="Verdana" w:cs="Arial"/>
          <w:sz w:val="18"/>
          <w:szCs w:val="18"/>
        </w:rPr>
        <w:t xml:space="preserve"> </w:t>
      </w:r>
      <w:r w:rsidR="00F94FC1">
        <w:rPr>
          <w:rFonts w:ascii="Verdana" w:hAnsi="Verdana" w:cs="Arial"/>
          <w:sz w:val="18"/>
          <w:szCs w:val="18"/>
        </w:rPr>
        <w:t xml:space="preserve">Ten derde geldt dat </w:t>
      </w:r>
      <w:r w:rsidR="00A80B61">
        <w:rPr>
          <w:rFonts w:ascii="Verdana" w:hAnsi="Verdana" w:cs="Arial"/>
          <w:sz w:val="18"/>
          <w:szCs w:val="18"/>
        </w:rPr>
        <w:t xml:space="preserve">indien </w:t>
      </w:r>
      <w:r w:rsidRPr="000B0065" w:rsidR="002531AD">
        <w:rPr>
          <w:rFonts w:ascii="Verdana" w:hAnsi="Verdana" w:cs="Arial"/>
          <w:sz w:val="18"/>
          <w:szCs w:val="18"/>
        </w:rPr>
        <w:t xml:space="preserve">een </w:t>
      </w:r>
      <w:r w:rsidR="00A80B61">
        <w:rPr>
          <w:rFonts w:ascii="Verdana" w:hAnsi="Verdana" w:cs="Arial"/>
          <w:sz w:val="18"/>
          <w:szCs w:val="18"/>
        </w:rPr>
        <w:t>onderneming</w:t>
      </w:r>
      <w:r w:rsidRPr="000B0065" w:rsidR="00A80B61">
        <w:rPr>
          <w:rFonts w:ascii="Verdana" w:hAnsi="Verdana" w:cs="Arial"/>
          <w:sz w:val="18"/>
          <w:szCs w:val="18"/>
        </w:rPr>
        <w:t xml:space="preserve"> </w:t>
      </w:r>
      <w:r w:rsidRPr="000B0065" w:rsidR="002531AD">
        <w:rPr>
          <w:rFonts w:ascii="Verdana" w:hAnsi="Verdana" w:cs="Arial"/>
          <w:sz w:val="18"/>
          <w:szCs w:val="18"/>
        </w:rPr>
        <w:t>een melding moet doen onder de Wet vifo</w:t>
      </w:r>
      <w:r w:rsidR="00F94FC1">
        <w:rPr>
          <w:rFonts w:ascii="Verdana" w:hAnsi="Verdana" w:cs="Arial"/>
          <w:sz w:val="18"/>
          <w:szCs w:val="18"/>
        </w:rPr>
        <w:t xml:space="preserve">, </w:t>
      </w:r>
      <w:r w:rsidRPr="000B0065" w:rsidR="002531AD">
        <w:rPr>
          <w:rFonts w:ascii="Verdana" w:hAnsi="Verdana" w:cs="Arial"/>
          <w:sz w:val="18"/>
          <w:szCs w:val="18"/>
        </w:rPr>
        <w:t xml:space="preserve">vooraf duidelijk </w:t>
      </w:r>
      <w:r w:rsidR="00F94FC1">
        <w:rPr>
          <w:rFonts w:ascii="Verdana" w:hAnsi="Verdana" w:cs="Arial"/>
          <w:sz w:val="18"/>
          <w:szCs w:val="18"/>
        </w:rPr>
        <w:t xml:space="preserve">is </w:t>
      </w:r>
      <w:r w:rsidRPr="000B0065" w:rsidR="002531AD">
        <w:rPr>
          <w:rFonts w:ascii="Verdana" w:hAnsi="Verdana" w:cs="Arial"/>
          <w:sz w:val="18"/>
          <w:szCs w:val="18"/>
        </w:rPr>
        <w:t xml:space="preserve">welke informatie </w:t>
      </w:r>
      <w:r w:rsidR="00A80B61">
        <w:rPr>
          <w:rFonts w:ascii="Verdana" w:hAnsi="Verdana" w:cs="Arial"/>
          <w:sz w:val="18"/>
          <w:szCs w:val="18"/>
        </w:rPr>
        <w:t xml:space="preserve">het </w:t>
      </w:r>
      <w:r w:rsidRPr="000B0065" w:rsidR="002531AD">
        <w:rPr>
          <w:rFonts w:ascii="Verdana" w:hAnsi="Verdana" w:cs="Arial"/>
          <w:sz w:val="18"/>
          <w:szCs w:val="18"/>
        </w:rPr>
        <w:t xml:space="preserve">standaard aan de hand van meldingsformulieren moet aanleveren. Er </w:t>
      </w:r>
      <w:r w:rsidR="00E5761F">
        <w:rPr>
          <w:rFonts w:ascii="Verdana" w:hAnsi="Verdana" w:cs="Arial"/>
          <w:sz w:val="18"/>
          <w:szCs w:val="18"/>
        </w:rPr>
        <w:t>is</w:t>
      </w:r>
      <w:r w:rsidRPr="000B0065" w:rsidR="00E5761F">
        <w:rPr>
          <w:rFonts w:ascii="Verdana" w:hAnsi="Verdana" w:cs="Arial"/>
          <w:sz w:val="18"/>
          <w:szCs w:val="18"/>
        </w:rPr>
        <w:t xml:space="preserve"> </w:t>
      </w:r>
      <w:r w:rsidRPr="000B0065" w:rsidR="002531AD">
        <w:rPr>
          <w:rFonts w:ascii="Verdana" w:hAnsi="Verdana" w:cs="Arial"/>
          <w:sz w:val="18"/>
          <w:szCs w:val="18"/>
        </w:rPr>
        <w:t xml:space="preserve">in het najaar van 2023 door BTI ook een drietal handleidingen op de website gepubliceerd voor ondernemingen, waarin de toepassing van onderdelen van de Wet vifo aan de hand van casussen worden toegelicht. </w:t>
      </w:r>
    </w:p>
    <w:p w:rsidRPr="006424AD" w:rsidR="002531AD" w:rsidP="006424AD" w:rsidRDefault="002531AD" w14:paraId="1CC62EDD" w14:textId="70AF3720">
      <w:pPr>
        <w:spacing w:line="240" w:lineRule="atLeast"/>
        <w:rPr>
          <w:rFonts w:ascii="Verdana" w:hAnsi="Verdana" w:cs="Arial"/>
          <w:i/>
          <w:iCs/>
          <w:sz w:val="18"/>
          <w:szCs w:val="18"/>
        </w:rPr>
      </w:pPr>
      <w:r w:rsidRPr="006424AD">
        <w:rPr>
          <w:rFonts w:ascii="Verdana" w:hAnsi="Verdana" w:cs="Arial"/>
          <w:i/>
          <w:iCs/>
          <w:sz w:val="18"/>
          <w:szCs w:val="18"/>
        </w:rPr>
        <w:t xml:space="preserve">Tabel 1: Gemiddelde kosten Wet vifo in </w:t>
      </w:r>
      <w:r w:rsidR="00102F9A">
        <w:rPr>
          <w:rFonts w:ascii="Verdana" w:hAnsi="Verdana" w:cs="Arial"/>
          <w:i/>
          <w:iCs/>
          <w:sz w:val="18"/>
          <w:szCs w:val="18"/>
        </w:rPr>
        <w:t>e</w:t>
      </w:r>
      <w:r w:rsidRPr="006424AD">
        <w:rPr>
          <w:rFonts w:ascii="Verdana" w:hAnsi="Verdana" w:cs="Arial"/>
          <w:i/>
          <w:iCs/>
          <w:sz w:val="18"/>
          <w:szCs w:val="18"/>
        </w:rPr>
        <w:t>uro</w:t>
      </w:r>
    </w:p>
    <w:tbl>
      <w:tblPr>
        <w:tblStyle w:val="Tabelraster"/>
        <w:tblW w:w="0" w:type="auto"/>
        <w:tblLook w:val="04A0" w:firstRow="1" w:lastRow="0" w:firstColumn="1" w:lastColumn="0" w:noHBand="0" w:noVBand="1"/>
      </w:tblPr>
      <w:tblGrid>
        <w:gridCol w:w="2265"/>
        <w:gridCol w:w="2265"/>
        <w:gridCol w:w="2266"/>
        <w:gridCol w:w="2266"/>
      </w:tblGrid>
      <w:tr w:rsidRPr="000B0065" w:rsidR="002531AD" w:rsidTr="00DE08DB" w14:paraId="4491B61A" w14:textId="77777777">
        <w:tc>
          <w:tcPr>
            <w:tcW w:w="2265" w:type="dxa"/>
          </w:tcPr>
          <w:p w:rsidRPr="000B0065" w:rsidR="002531AD" w:rsidP="006424AD" w:rsidRDefault="002531AD" w14:paraId="7A0087FC" w14:textId="77777777">
            <w:pPr>
              <w:spacing w:line="240" w:lineRule="atLeast"/>
              <w:rPr>
                <w:rFonts w:ascii="Verdana" w:hAnsi="Verdana" w:cs="Arial"/>
                <w:sz w:val="18"/>
                <w:szCs w:val="18"/>
              </w:rPr>
            </w:pPr>
            <w:bookmarkStart w:name="_Hlk183010627" w:id="2"/>
          </w:p>
        </w:tc>
        <w:tc>
          <w:tcPr>
            <w:tcW w:w="2265" w:type="dxa"/>
          </w:tcPr>
          <w:p w:rsidRPr="000B0065" w:rsidR="002531AD" w:rsidP="006424AD" w:rsidRDefault="002531AD" w14:paraId="016DB521" w14:textId="77777777">
            <w:pPr>
              <w:spacing w:line="240" w:lineRule="atLeast"/>
              <w:rPr>
                <w:rFonts w:ascii="Verdana" w:hAnsi="Verdana" w:cs="Arial"/>
                <w:sz w:val="18"/>
                <w:szCs w:val="18"/>
              </w:rPr>
            </w:pPr>
            <w:r w:rsidRPr="000B0065">
              <w:rPr>
                <w:rFonts w:ascii="Verdana" w:hAnsi="Verdana" w:cs="Arial"/>
                <w:sz w:val="18"/>
                <w:szCs w:val="18"/>
              </w:rPr>
              <w:t>Standaard</w:t>
            </w:r>
          </w:p>
          <w:p w:rsidRPr="000B0065" w:rsidR="002531AD" w:rsidP="006424AD" w:rsidRDefault="002531AD" w14:paraId="68CA59B9" w14:textId="77777777">
            <w:pPr>
              <w:spacing w:line="240" w:lineRule="atLeast"/>
              <w:rPr>
                <w:rFonts w:ascii="Verdana" w:hAnsi="Verdana" w:cs="Arial"/>
                <w:sz w:val="18"/>
                <w:szCs w:val="18"/>
              </w:rPr>
            </w:pPr>
          </w:p>
        </w:tc>
        <w:tc>
          <w:tcPr>
            <w:tcW w:w="2266" w:type="dxa"/>
          </w:tcPr>
          <w:p w:rsidRPr="000B0065" w:rsidR="002531AD" w:rsidP="006424AD" w:rsidRDefault="002531AD" w14:paraId="35E10AE4" w14:textId="77777777">
            <w:pPr>
              <w:spacing w:line="240" w:lineRule="atLeast"/>
              <w:rPr>
                <w:rFonts w:ascii="Verdana" w:hAnsi="Verdana" w:cs="Arial"/>
                <w:sz w:val="18"/>
                <w:szCs w:val="18"/>
              </w:rPr>
            </w:pPr>
            <w:r w:rsidRPr="000B0065">
              <w:rPr>
                <w:rFonts w:ascii="Verdana" w:hAnsi="Verdana" w:cs="Arial"/>
                <w:sz w:val="18"/>
                <w:szCs w:val="18"/>
              </w:rPr>
              <w:t>Extra aanvraag info</w:t>
            </w:r>
          </w:p>
          <w:p w:rsidRPr="000B0065" w:rsidR="002531AD" w:rsidP="006424AD" w:rsidRDefault="002531AD" w14:paraId="156B955D" w14:textId="77777777">
            <w:pPr>
              <w:spacing w:line="240" w:lineRule="atLeast"/>
              <w:rPr>
                <w:rFonts w:ascii="Verdana" w:hAnsi="Verdana" w:cs="Arial"/>
                <w:sz w:val="18"/>
                <w:szCs w:val="18"/>
              </w:rPr>
            </w:pPr>
          </w:p>
        </w:tc>
        <w:tc>
          <w:tcPr>
            <w:tcW w:w="2266" w:type="dxa"/>
          </w:tcPr>
          <w:p w:rsidRPr="000B0065" w:rsidR="002531AD" w:rsidP="006424AD" w:rsidRDefault="002531AD" w14:paraId="5B4DBDAA" w14:textId="77777777">
            <w:pPr>
              <w:spacing w:line="240" w:lineRule="atLeast"/>
              <w:rPr>
                <w:rFonts w:ascii="Verdana" w:hAnsi="Verdana" w:cs="Arial"/>
                <w:sz w:val="18"/>
                <w:szCs w:val="18"/>
                <w:vertAlign w:val="superscript"/>
              </w:rPr>
            </w:pPr>
            <w:r w:rsidRPr="000B0065">
              <w:rPr>
                <w:rFonts w:ascii="Verdana" w:hAnsi="Verdana" w:cs="Arial"/>
                <w:sz w:val="18"/>
                <w:szCs w:val="18"/>
              </w:rPr>
              <w:t>Gemiddeld</w:t>
            </w:r>
          </w:p>
          <w:p w:rsidRPr="000B0065" w:rsidR="002531AD" w:rsidP="006424AD" w:rsidRDefault="002531AD" w14:paraId="50721B64" w14:textId="77777777">
            <w:pPr>
              <w:spacing w:line="240" w:lineRule="atLeast"/>
              <w:rPr>
                <w:rFonts w:ascii="Verdana" w:hAnsi="Verdana" w:cs="Arial"/>
                <w:sz w:val="18"/>
                <w:szCs w:val="18"/>
              </w:rPr>
            </w:pPr>
          </w:p>
        </w:tc>
      </w:tr>
      <w:tr w:rsidRPr="000B0065" w:rsidR="002531AD" w:rsidTr="00DE08DB" w14:paraId="5776C5DB" w14:textId="77777777">
        <w:tc>
          <w:tcPr>
            <w:tcW w:w="2265" w:type="dxa"/>
          </w:tcPr>
          <w:p w:rsidRPr="000B0065" w:rsidR="002531AD" w:rsidP="006424AD" w:rsidRDefault="00102F9A" w14:paraId="2503D711" w14:textId="0CE2C243">
            <w:pPr>
              <w:spacing w:line="240" w:lineRule="atLeast"/>
              <w:rPr>
                <w:rFonts w:ascii="Verdana" w:hAnsi="Verdana" w:cs="Arial"/>
                <w:sz w:val="18"/>
                <w:szCs w:val="18"/>
              </w:rPr>
            </w:pPr>
            <w:r>
              <w:rPr>
                <w:rFonts w:ascii="Verdana" w:hAnsi="Verdana" w:cs="Arial"/>
                <w:sz w:val="18"/>
                <w:szCs w:val="18"/>
              </w:rPr>
              <w:t>Eenvoudige</w:t>
            </w:r>
            <w:r w:rsidRPr="000B0065">
              <w:rPr>
                <w:rFonts w:ascii="Verdana" w:hAnsi="Verdana" w:cs="Arial"/>
                <w:sz w:val="18"/>
                <w:szCs w:val="18"/>
              </w:rPr>
              <w:t xml:space="preserve"> </w:t>
            </w:r>
            <w:r w:rsidRPr="000B0065" w:rsidR="002531AD">
              <w:rPr>
                <w:rFonts w:ascii="Verdana" w:hAnsi="Verdana" w:cs="Arial"/>
                <w:sz w:val="18"/>
                <w:szCs w:val="18"/>
              </w:rPr>
              <w:t>melding Vb: Binnenlandse overname MKB</w:t>
            </w:r>
          </w:p>
          <w:p w:rsidRPr="000B0065" w:rsidR="002531AD" w:rsidP="006424AD" w:rsidRDefault="002531AD" w14:paraId="1F5E75EE" w14:textId="77777777">
            <w:pPr>
              <w:spacing w:line="240" w:lineRule="atLeast"/>
              <w:rPr>
                <w:rFonts w:ascii="Verdana" w:hAnsi="Verdana" w:cs="Arial"/>
                <w:sz w:val="18"/>
                <w:szCs w:val="18"/>
              </w:rPr>
            </w:pPr>
          </w:p>
        </w:tc>
        <w:tc>
          <w:tcPr>
            <w:tcW w:w="2265" w:type="dxa"/>
          </w:tcPr>
          <w:p w:rsidRPr="000B0065" w:rsidR="002531AD" w:rsidP="006424AD" w:rsidRDefault="002531AD" w14:paraId="05DEDB45" w14:textId="77777777">
            <w:pPr>
              <w:spacing w:line="240" w:lineRule="atLeast"/>
              <w:rPr>
                <w:rFonts w:ascii="Verdana" w:hAnsi="Verdana" w:cs="Arial"/>
                <w:sz w:val="18"/>
                <w:szCs w:val="18"/>
              </w:rPr>
            </w:pPr>
            <w:r w:rsidRPr="000B0065">
              <w:rPr>
                <w:rFonts w:ascii="Verdana" w:hAnsi="Verdana" w:cs="Arial"/>
                <w:sz w:val="18"/>
                <w:szCs w:val="18"/>
              </w:rPr>
              <w:t>8.734</w:t>
            </w:r>
          </w:p>
          <w:p w:rsidRPr="000B0065" w:rsidR="002531AD" w:rsidP="006424AD" w:rsidRDefault="002531AD" w14:paraId="518E9532" w14:textId="77777777">
            <w:pPr>
              <w:spacing w:line="240" w:lineRule="atLeast"/>
              <w:rPr>
                <w:rFonts w:ascii="Verdana" w:hAnsi="Verdana" w:cs="Arial"/>
                <w:sz w:val="18"/>
                <w:szCs w:val="18"/>
              </w:rPr>
            </w:pPr>
          </w:p>
        </w:tc>
        <w:tc>
          <w:tcPr>
            <w:tcW w:w="2266" w:type="dxa"/>
          </w:tcPr>
          <w:p w:rsidRPr="000B0065" w:rsidR="002531AD" w:rsidP="006424AD" w:rsidRDefault="002531AD" w14:paraId="65FE82AB" w14:textId="77777777">
            <w:pPr>
              <w:spacing w:line="240" w:lineRule="atLeast"/>
              <w:rPr>
                <w:rFonts w:ascii="Verdana" w:hAnsi="Verdana" w:cs="Arial"/>
                <w:sz w:val="18"/>
                <w:szCs w:val="18"/>
                <w:vertAlign w:val="superscript"/>
              </w:rPr>
            </w:pPr>
            <w:r w:rsidRPr="000B0065">
              <w:rPr>
                <w:rFonts w:ascii="Verdana" w:hAnsi="Verdana" w:cs="Arial"/>
                <w:sz w:val="18"/>
                <w:szCs w:val="18"/>
              </w:rPr>
              <w:t>10.7441</w:t>
            </w:r>
            <w:r w:rsidRPr="000B0065">
              <w:rPr>
                <w:rFonts w:ascii="Verdana" w:hAnsi="Verdana" w:cs="Arial"/>
                <w:sz w:val="18"/>
                <w:szCs w:val="18"/>
                <w:vertAlign w:val="superscript"/>
              </w:rPr>
              <w:t>1</w:t>
            </w:r>
          </w:p>
          <w:p w:rsidRPr="000B0065" w:rsidR="002531AD" w:rsidP="006424AD" w:rsidRDefault="002531AD" w14:paraId="6FE7BC59" w14:textId="77777777">
            <w:pPr>
              <w:spacing w:line="240" w:lineRule="atLeast"/>
              <w:rPr>
                <w:rFonts w:ascii="Verdana" w:hAnsi="Verdana" w:cs="Arial"/>
                <w:sz w:val="18"/>
                <w:szCs w:val="18"/>
              </w:rPr>
            </w:pPr>
          </w:p>
        </w:tc>
        <w:tc>
          <w:tcPr>
            <w:tcW w:w="2266" w:type="dxa"/>
          </w:tcPr>
          <w:p w:rsidRPr="000B0065" w:rsidR="002531AD" w:rsidP="006424AD" w:rsidRDefault="002531AD" w14:paraId="2831A78E" w14:textId="77777777">
            <w:pPr>
              <w:spacing w:line="240" w:lineRule="atLeast"/>
              <w:rPr>
                <w:rFonts w:ascii="Verdana" w:hAnsi="Verdana" w:cs="Arial"/>
                <w:sz w:val="18"/>
                <w:szCs w:val="18"/>
              </w:rPr>
            </w:pPr>
            <w:r w:rsidRPr="000B0065">
              <w:rPr>
                <w:rFonts w:ascii="Verdana" w:hAnsi="Verdana" w:cs="Arial"/>
                <w:sz w:val="18"/>
                <w:szCs w:val="18"/>
              </w:rPr>
              <w:t>9.136</w:t>
            </w:r>
          </w:p>
          <w:p w:rsidRPr="000B0065" w:rsidR="002531AD" w:rsidP="006424AD" w:rsidRDefault="002531AD" w14:paraId="13F5CAEE" w14:textId="77777777">
            <w:pPr>
              <w:spacing w:line="240" w:lineRule="atLeast"/>
              <w:rPr>
                <w:rFonts w:ascii="Verdana" w:hAnsi="Verdana" w:cs="Arial"/>
                <w:sz w:val="18"/>
                <w:szCs w:val="18"/>
              </w:rPr>
            </w:pPr>
          </w:p>
        </w:tc>
      </w:tr>
      <w:tr w:rsidRPr="000B0065" w:rsidR="002531AD" w:rsidTr="00DE08DB" w14:paraId="6BD6E2B2" w14:textId="77777777">
        <w:tc>
          <w:tcPr>
            <w:tcW w:w="2265" w:type="dxa"/>
          </w:tcPr>
          <w:p w:rsidRPr="000B0065" w:rsidR="002531AD" w:rsidP="006424AD" w:rsidRDefault="002531AD" w14:paraId="029141A6" w14:textId="44EB99B8">
            <w:pPr>
              <w:spacing w:line="240" w:lineRule="atLeast"/>
              <w:rPr>
                <w:rFonts w:ascii="Verdana" w:hAnsi="Verdana" w:cs="Arial"/>
                <w:sz w:val="18"/>
                <w:szCs w:val="18"/>
              </w:rPr>
            </w:pPr>
            <w:r w:rsidRPr="000B0065">
              <w:rPr>
                <w:rFonts w:ascii="Verdana" w:hAnsi="Verdana" w:cs="Arial"/>
                <w:sz w:val="18"/>
                <w:szCs w:val="18"/>
              </w:rPr>
              <w:t>Complexe melding Vb: Fusie multinational</w:t>
            </w:r>
            <w:r w:rsidR="00102F9A">
              <w:rPr>
                <w:rFonts w:ascii="Verdana" w:hAnsi="Verdana" w:cs="Arial"/>
                <w:sz w:val="18"/>
                <w:szCs w:val="18"/>
              </w:rPr>
              <w:t>s</w:t>
            </w:r>
          </w:p>
          <w:p w:rsidRPr="000B0065" w:rsidR="002531AD" w:rsidP="006424AD" w:rsidRDefault="002531AD" w14:paraId="19901DAD" w14:textId="77777777">
            <w:pPr>
              <w:spacing w:line="240" w:lineRule="atLeast"/>
              <w:rPr>
                <w:rFonts w:ascii="Verdana" w:hAnsi="Verdana" w:cs="Arial"/>
                <w:sz w:val="18"/>
                <w:szCs w:val="18"/>
              </w:rPr>
            </w:pPr>
          </w:p>
        </w:tc>
        <w:tc>
          <w:tcPr>
            <w:tcW w:w="2265" w:type="dxa"/>
          </w:tcPr>
          <w:p w:rsidRPr="000B0065" w:rsidR="002531AD" w:rsidP="006424AD" w:rsidRDefault="002531AD" w14:paraId="48CF3B4F" w14:textId="77777777">
            <w:pPr>
              <w:spacing w:line="240" w:lineRule="atLeast"/>
              <w:rPr>
                <w:rFonts w:ascii="Verdana" w:hAnsi="Verdana" w:cs="Arial"/>
                <w:sz w:val="18"/>
                <w:szCs w:val="18"/>
              </w:rPr>
            </w:pPr>
            <w:r w:rsidRPr="000B0065">
              <w:rPr>
                <w:rFonts w:ascii="Verdana" w:hAnsi="Verdana" w:cs="Arial"/>
                <w:sz w:val="18"/>
                <w:szCs w:val="18"/>
              </w:rPr>
              <w:t>50.580</w:t>
            </w:r>
          </w:p>
          <w:p w:rsidRPr="000B0065" w:rsidR="002531AD" w:rsidP="006424AD" w:rsidRDefault="002531AD" w14:paraId="51231ECA" w14:textId="77777777">
            <w:pPr>
              <w:spacing w:line="240" w:lineRule="atLeast"/>
              <w:rPr>
                <w:rFonts w:ascii="Verdana" w:hAnsi="Verdana" w:cs="Arial"/>
                <w:sz w:val="18"/>
                <w:szCs w:val="18"/>
              </w:rPr>
            </w:pPr>
          </w:p>
        </w:tc>
        <w:tc>
          <w:tcPr>
            <w:tcW w:w="2266" w:type="dxa"/>
          </w:tcPr>
          <w:p w:rsidRPr="000B0065" w:rsidR="002531AD" w:rsidP="006424AD" w:rsidRDefault="002531AD" w14:paraId="4B610419" w14:textId="77777777">
            <w:pPr>
              <w:spacing w:line="240" w:lineRule="atLeast"/>
              <w:rPr>
                <w:rFonts w:ascii="Verdana" w:hAnsi="Verdana" w:cs="Arial"/>
                <w:sz w:val="18"/>
                <w:szCs w:val="18"/>
                <w:vertAlign w:val="superscript"/>
              </w:rPr>
            </w:pPr>
            <w:r w:rsidRPr="000B0065">
              <w:rPr>
                <w:rFonts w:ascii="Verdana" w:hAnsi="Verdana" w:cs="Arial"/>
                <w:sz w:val="18"/>
                <w:szCs w:val="18"/>
              </w:rPr>
              <w:t>105.0602</w:t>
            </w:r>
            <w:r w:rsidRPr="000B0065">
              <w:rPr>
                <w:rFonts w:ascii="Verdana" w:hAnsi="Verdana" w:cs="Arial"/>
                <w:sz w:val="18"/>
                <w:szCs w:val="18"/>
                <w:vertAlign w:val="superscript"/>
              </w:rPr>
              <w:t>2</w:t>
            </w:r>
          </w:p>
          <w:p w:rsidRPr="000B0065" w:rsidR="002531AD" w:rsidP="006424AD" w:rsidRDefault="002531AD" w14:paraId="63E70F51" w14:textId="77777777">
            <w:pPr>
              <w:spacing w:line="240" w:lineRule="atLeast"/>
              <w:rPr>
                <w:rFonts w:ascii="Verdana" w:hAnsi="Verdana" w:cs="Arial"/>
                <w:sz w:val="18"/>
                <w:szCs w:val="18"/>
              </w:rPr>
            </w:pPr>
          </w:p>
        </w:tc>
        <w:tc>
          <w:tcPr>
            <w:tcW w:w="2266" w:type="dxa"/>
          </w:tcPr>
          <w:p w:rsidRPr="000B0065" w:rsidR="002531AD" w:rsidP="006424AD" w:rsidRDefault="002531AD" w14:paraId="32438745" w14:textId="77777777">
            <w:pPr>
              <w:spacing w:line="240" w:lineRule="atLeast"/>
              <w:rPr>
                <w:rFonts w:ascii="Verdana" w:hAnsi="Verdana" w:cs="Arial"/>
                <w:sz w:val="18"/>
                <w:szCs w:val="18"/>
              </w:rPr>
            </w:pPr>
            <w:r w:rsidRPr="000B0065">
              <w:rPr>
                <w:rFonts w:ascii="Verdana" w:hAnsi="Verdana" w:cs="Arial"/>
                <w:sz w:val="18"/>
                <w:szCs w:val="18"/>
              </w:rPr>
              <w:t>83.268</w:t>
            </w:r>
          </w:p>
          <w:p w:rsidRPr="000B0065" w:rsidR="002531AD" w:rsidP="006424AD" w:rsidRDefault="002531AD" w14:paraId="63A92AAC" w14:textId="77777777">
            <w:pPr>
              <w:spacing w:line="240" w:lineRule="atLeast"/>
              <w:rPr>
                <w:rFonts w:ascii="Verdana" w:hAnsi="Verdana" w:cs="Arial"/>
                <w:sz w:val="18"/>
                <w:szCs w:val="18"/>
              </w:rPr>
            </w:pPr>
          </w:p>
        </w:tc>
      </w:tr>
    </w:tbl>
    <w:bookmarkEnd w:id="2"/>
    <w:p w:rsidRPr="000B0065" w:rsidR="002531AD" w:rsidP="006424AD" w:rsidRDefault="002531AD" w14:paraId="2DC3BB2E" w14:textId="4686D585">
      <w:pPr>
        <w:spacing w:line="240" w:lineRule="atLeast"/>
        <w:rPr>
          <w:rFonts w:ascii="Verdana" w:hAnsi="Verdana" w:cs="Arial"/>
          <w:sz w:val="18"/>
          <w:szCs w:val="18"/>
        </w:rPr>
      </w:pPr>
      <w:r w:rsidRPr="000B0065">
        <w:rPr>
          <w:rFonts w:ascii="Verdana" w:hAnsi="Verdana" w:cs="Arial"/>
          <w:sz w:val="18"/>
          <w:szCs w:val="18"/>
        </w:rPr>
        <w:t xml:space="preserve">¹ In 20% van de </w:t>
      </w:r>
      <w:r w:rsidR="00102F9A">
        <w:rPr>
          <w:rFonts w:ascii="Verdana" w:hAnsi="Verdana" w:cs="Arial"/>
          <w:sz w:val="18"/>
          <w:szCs w:val="18"/>
        </w:rPr>
        <w:t>eenvoudige</w:t>
      </w:r>
      <w:r w:rsidRPr="000B0065" w:rsidR="00102F9A">
        <w:rPr>
          <w:rFonts w:ascii="Verdana" w:hAnsi="Verdana" w:cs="Arial"/>
          <w:sz w:val="18"/>
          <w:szCs w:val="18"/>
        </w:rPr>
        <w:t xml:space="preserve"> </w:t>
      </w:r>
      <w:r w:rsidRPr="000B0065">
        <w:rPr>
          <w:rFonts w:ascii="Verdana" w:hAnsi="Verdana" w:cs="Arial"/>
          <w:sz w:val="18"/>
          <w:szCs w:val="18"/>
        </w:rPr>
        <w:t>meldingen wordt extra informatie opgevraagd naar aanleiding van een eerste melding.</w:t>
      </w:r>
      <w:r w:rsidRPr="000B0065">
        <w:rPr>
          <w:rFonts w:ascii="Verdana" w:hAnsi="Verdana" w:cs="Arial"/>
          <w:sz w:val="18"/>
          <w:szCs w:val="18"/>
        </w:rPr>
        <w:br/>
      </w:r>
      <w:r w:rsidRPr="000B0065">
        <w:rPr>
          <w:rFonts w:ascii="Verdana" w:hAnsi="Verdana" w:cs="Arial"/>
          <w:sz w:val="18"/>
          <w:szCs w:val="18"/>
        </w:rPr>
        <w:lastRenderedPageBreak/>
        <w:t>² In 60% van de complexe meldingen wordt extra informatie opgevraagd naar aanleiding van een  eerste melding.</w:t>
      </w:r>
    </w:p>
    <w:p w:rsidRPr="006424AD" w:rsidR="002531AD" w:rsidP="006424AD" w:rsidRDefault="002531AD" w14:paraId="5119F01B" w14:textId="77777777">
      <w:pPr>
        <w:spacing w:line="240" w:lineRule="atLeast"/>
        <w:rPr>
          <w:rFonts w:ascii="Verdana" w:hAnsi="Verdana" w:cs="Arial"/>
          <w:i/>
          <w:iCs/>
          <w:sz w:val="18"/>
          <w:szCs w:val="18"/>
        </w:rPr>
      </w:pPr>
      <w:r w:rsidRPr="006424AD">
        <w:rPr>
          <w:rFonts w:ascii="Verdana" w:hAnsi="Verdana" w:cs="Arial"/>
          <w:i/>
          <w:iCs/>
          <w:sz w:val="18"/>
          <w:szCs w:val="18"/>
        </w:rPr>
        <w:t>Tabel 2: Juridische adviseringskosten (intern/extern) per melding</w:t>
      </w:r>
    </w:p>
    <w:tbl>
      <w:tblPr>
        <w:tblStyle w:val="Tabelraster"/>
        <w:tblW w:w="9067" w:type="dxa"/>
        <w:tblLook w:val="04A0" w:firstRow="1" w:lastRow="0" w:firstColumn="1" w:lastColumn="0" w:noHBand="0" w:noVBand="1"/>
      </w:tblPr>
      <w:tblGrid>
        <w:gridCol w:w="2265"/>
        <w:gridCol w:w="3259"/>
        <w:gridCol w:w="3543"/>
      </w:tblGrid>
      <w:tr w:rsidRPr="000B0065" w:rsidR="002531AD" w:rsidTr="00DE08DB" w14:paraId="5D9D8A3E" w14:textId="77777777">
        <w:tc>
          <w:tcPr>
            <w:tcW w:w="2265" w:type="dxa"/>
          </w:tcPr>
          <w:p w:rsidRPr="000B0065" w:rsidR="002531AD" w:rsidP="006424AD" w:rsidRDefault="002531AD" w14:paraId="6B1D1831" w14:textId="77777777">
            <w:pPr>
              <w:spacing w:after="160" w:line="240" w:lineRule="atLeast"/>
              <w:rPr>
                <w:rFonts w:ascii="Verdana" w:hAnsi="Verdana" w:cs="Arial"/>
                <w:sz w:val="18"/>
                <w:szCs w:val="18"/>
              </w:rPr>
            </w:pPr>
          </w:p>
        </w:tc>
        <w:tc>
          <w:tcPr>
            <w:tcW w:w="3259" w:type="dxa"/>
          </w:tcPr>
          <w:p w:rsidRPr="000B0065" w:rsidR="002531AD" w:rsidP="006424AD" w:rsidRDefault="002531AD" w14:paraId="56360E94" w14:textId="77777777">
            <w:pPr>
              <w:spacing w:after="160" w:line="240" w:lineRule="atLeast"/>
              <w:rPr>
                <w:rFonts w:ascii="Verdana" w:hAnsi="Verdana" w:cs="Arial"/>
                <w:sz w:val="18"/>
                <w:szCs w:val="18"/>
              </w:rPr>
            </w:pPr>
            <w:r w:rsidRPr="000B0065">
              <w:rPr>
                <w:rFonts w:ascii="Verdana" w:hAnsi="Verdana" w:cs="Arial"/>
                <w:sz w:val="18"/>
                <w:szCs w:val="18"/>
              </w:rPr>
              <w:t>Standaard</w:t>
            </w:r>
          </w:p>
          <w:p w:rsidRPr="000B0065" w:rsidR="002531AD" w:rsidP="006424AD" w:rsidRDefault="002531AD" w14:paraId="72DA2A7D" w14:textId="77777777">
            <w:pPr>
              <w:spacing w:after="160" w:line="240" w:lineRule="atLeast"/>
              <w:rPr>
                <w:rFonts w:ascii="Verdana" w:hAnsi="Verdana" w:cs="Arial"/>
                <w:sz w:val="18"/>
                <w:szCs w:val="18"/>
              </w:rPr>
            </w:pPr>
          </w:p>
        </w:tc>
        <w:tc>
          <w:tcPr>
            <w:tcW w:w="3543" w:type="dxa"/>
          </w:tcPr>
          <w:p w:rsidRPr="000B0065" w:rsidR="002531AD" w:rsidP="006424AD" w:rsidRDefault="002531AD" w14:paraId="369CFEBD" w14:textId="77777777">
            <w:pPr>
              <w:spacing w:after="160" w:line="240" w:lineRule="atLeast"/>
              <w:rPr>
                <w:rFonts w:ascii="Verdana" w:hAnsi="Verdana" w:cs="Arial"/>
                <w:sz w:val="18"/>
                <w:szCs w:val="18"/>
                <w:vertAlign w:val="superscript"/>
              </w:rPr>
            </w:pPr>
            <w:r w:rsidRPr="000B0065">
              <w:rPr>
                <w:rFonts w:ascii="Verdana" w:hAnsi="Verdana" w:cs="Arial"/>
                <w:sz w:val="18"/>
                <w:szCs w:val="18"/>
              </w:rPr>
              <w:t>Extra aanvraag info (totaal)</w:t>
            </w:r>
            <w:r w:rsidRPr="000B0065">
              <w:rPr>
                <w:rFonts w:ascii="Verdana" w:hAnsi="Verdana" w:cs="Arial"/>
                <w:sz w:val="18"/>
                <w:szCs w:val="18"/>
                <w:vertAlign w:val="superscript"/>
              </w:rPr>
              <w:t>1</w:t>
            </w:r>
          </w:p>
          <w:p w:rsidRPr="000B0065" w:rsidR="002531AD" w:rsidP="006424AD" w:rsidRDefault="002531AD" w14:paraId="3FE55FEB" w14:textId="77777777">
            <w:pPr>
              <w:spacing w:after="160" w:line="240" w:lineRule="atLeast"/>
              <w:rPr>
                <w:rFonts w:ascii="Verdana" w:hAnsi="Verdana" w:cs="Arial"/>
                <w:sz w:val="18"/>
                <w:szCs w:val="18"/>
              </w:rPr>
            </w:pPr>
          </w:p>
        </w:tc>
      </w:tr>
      <w:tr w:rsidRPr="000B0065" w:rsidR="002531AD" w:rsidTr="00DE08DB" w14:paraId="6A75290F" w14:textId="77777777">
        <w:tc>
          <w:tcPr>
            <w:tcW w:w="2265" w:type="dxa"/>
          </w:tcPr>
          <w:p w:rsidRPr="000B0065" w:rsidR="002531AD" w:rsidP="006424AD" w:rsidRDefault="00102F9A" w14:paraId="7FCD5E7C" w14:textId="3DBA34D8">
            <w:pPr>
              <w:spacing w:line="240" w:lineRule="atLeast"/>
              <w:rPr>
                <w:rFonts w:ascii="Verdana" w:hAnsi="Verdana" w:cs="Arial"/>
                <w:sz w:val="18"/>
                <w:szCs w:val="18"/>
              </w:rPr>
            </w:pPr>
            <w:r>
              <w:rPr>
                <w:rFonts w:ascii="Verdana" w:hAnsi="Verdana" w:cs="Arial"/>
                <w:sz w:val="18"/>
                <w:szCs w:val="18"/>
              </w:rPr>
              <w:t>Eenvoudige</w:t>
            </w:r>
            <w:r w:rsidRPr="000B0065">
              <w:rPr>
                <w:rFonts w:ascii="Verdana" w:hAnsi="Verdana" w:cs="Arial"/>
                <w:sz w:val="18"/>
                <w:szCs w:val="18"/>
              </w:rPr>
              <w:t xml:space="preserve"> </w:t>
            </w:r>
            <w:r w:rsidRPr="000B0065" w:rsidR="002531AD">
              <w:rPr>
                <w:rFonts w:ascii="Verdana" w:hAnsi="Verdana" w:cs="Arial"/>
                <w:sz w:val="18"/>
                <w:szCs w:val="18"/>
              </w:rPr>
              <w:t>melding Vb: Binnenlandse overname MKB</w:t>
            </w:r>
          </w:p>
          <w:p w:rsidRPr="000B0065" w:rsidR="002531AD" w:rsidP="006424AD" w:rsidRDefault="002531AD" w14:paraId="04AEC5D1" w14:textId="77777777">
            <w:pPr>
              <w:spacing w:after="160" w:line="240" w:lineRule="atLeast"/>
              <w:rPr>
                <w:rFonts w:ascii="Verdana" w:hAnsi="Verdana" w:cs="Arial"/>
                <w:sz w:val="18"/>
                <w:szCs w:val="18"/>
              </w:rPr>
            </w:pPr>
          </w:p>
        </w:tc>
        <w:tc>
          <w:tcPr>
            <w:tcW w:w="3259" w:type="dxa"/>
          </w:tcPr>
          <w:p w:rsidRPr="000B0065" w:rsidR="002531AD" w:rsidP="006424AD" w:rsidRDefault="002531AD" w14:paraId="3FE7A5B0" w14:textId="77777777">
            <w:pPr>
              <w:spacing w:line="240" w:lineRule="atLeast"/>
              <w:rPr>
                <w:rFonts w:ascii="Verdana" w:hAnsi="Verdana" w:cs="Arial"/>
                <w:sz w:val="18"/>
                <w:szCs w:val="18"/>
                <w:vertAlign w:val="superscript"/>
              </w:rPr>
            </w:pPr>
            <w:r w:rsidRPr="000B0065">
              <w:rPr>
                <w:rFonts w:ascii="Verdana" w:hAnsi="Verdana" w:cs="Arial"/>
                <w:sz w:val="18"/>
                <w:szCs w:val="18"/>
              </w:rPr>
              <w:t>21 uur intern, 19 uur extern</w:t>
            </w:r>
            <w:r w:rsidRPr="000B0065">
              <w:rPr>
                <w:rFonts w:ascii="Verdana" w:hAnsi="Verdana" w:cs="Arial"/>
                <w:sz w:val="18"/>
                <w:szCs w:val="18"/>
                <w:vertAlign w:val="superscript"/>
              </w:rPr>
              <w:t>2</w:t>
            </w:r>
          </w:p>
          <w:p w:rsidRPr="000B0065" w:rsidR="002531AD" w:rsidP="006424AD" w:rsidRDefault="002531AD" w14:paraId="34CC24B5" w14:textId="77777777">
            <w:pPr>
              <w:spacing w:after="160" w:line="240" w:lineRule="atLeast"/>
              <w:rPr>
                <w:rFonts w:ascii="Verdana" w:hAnsi="Verdana" w:cs="Arial"/>
                <w:sz w:val="18"/>
                <w:szCs w:val="18"/>
              </w:rPr>
            </w:pPr>
          </w:p>
        </w:tc>
        <w:tc>
          <w:tcPr>
            <w:tcW w:w="3543" w:type="dxa"/>
          </w:tcPr>
          <w:p w:rsidRPr="000B0065" w:rsidR="002531AD" w:rsidP="006424AD" w:rsidRDefault="002531AD" w14:paraId="16A91071" w14:textId="77777777">
            <w:pPr>
              <w:spacing w:line="240" w:lineRule="atLeast"/>
              <w:rPr>
                <w:rFonts w:ascii="Verdana" w:hAnsi="Verdana" w:cs="Arial"/>
                <w:sz w:val="18"/>
                <w:szCs w:val="18"/>
              </w:rPr>
            </w:pPr>
            <w:r w:rsidRPr="000B0065">
              <w:rPr>
                <w:rFonts w:ascii="Verdana" w:hAnsi="Verdana" w:cs="Arial"/>
                <w:sz w:val="18"/>
                <w:szCs w:val="18"/>
              </w:rPr>
              <w:t>36 uur intern, 21 uur extern</w:t>
            </w:r>
          </w:p>
          <w:p w:rsidRPr="000B0065" w:rsidR="002531AD" w:rsidP="006424AD" w:rsidRDefault="002531AD" w14:paraId="6EE88CF9" w14:textId="77777777">
            <w:pPr>
              <w:spacing w:after="160" w:line="240" w:lineRule="atLeast"/>
              <w:rPr>
                <w:rFonts w:ascii="Verdana" w:hAnsi="Verdana" w:cs="Arial"/>
                <w:sz w:val="18"/>
                <w:szCs w:val="18"/>
              </w:rPr>
            </w:pPr>
          </w:p>
        </w:tc>
      </w:tr>
      <w:tr w:rsidRPr="000B0065" w:rsidR="002531AD" w:rsidTr="00DE08DB" w14:paraId="0DB11E55" w14:textId="77777777">
        <w:tc>
          <w:tcPr>
            <w:tcW w:w="2265" w:type="dxa"/>
          </w:tcPr>
          <w:p w:rsidRPr="000B0065" w:rsidR="002531AD" w:rsidP="006424AD" w:rsidRDefault="002531AD" w14:paraId="2BB5275A" w14:textId="53B269B0">
            <w:pPr>
              <w:spacing w:line="240" w:lineRule="atLeast"/>
              <w:rPr>
                <w:rFonts w:ascii="Verdana" w:hAnsi="Verdana" w:cs="Arial"/>
                <w:sz w:val="18"/>
                <w:szCs w:val="18"/>
              </w:rPr>
            </w:pPr>
            <w:r w:rsidRPr="000B0065">
              <w:rPr>
                <w:rFonts w:ascii="Verdana" w:hAnsi="Verdana" w:cs="Arial"/>
                <w:sz w:val="18"/>
                <w:szCs w:val="18"/>
              </w:rPr>
              <w:t>Complexe melding Vb: Fusie multinational</w:t>
            </w:r>
            <w:r w:rsidR="00102F9A">
              <w:rPr>
                <w:rFonts w:ascii="Verdana" w:hAnsi="Verdana" w:cs="Arial"/>
                <w:sz w:val="18"/>
                <w:szCs w:val="18"/>
              </w:rPr>
              <w:t>s</w:t>
            </w:r>
          </w:p>
          <w:p w:rsidRPr="000B0065" w:rsidR="002531AD" w:rsidP="006424AD" w:rsidRDefault="002531AD" w14:paraId="5FB367AF" w14:textId="77777777">
            <w:pPr>
              <w:spacing w:after="160" w:line="240" w:lineRule="atLeast"/>
              <w:rPr>
                <w:rFonts w:ascii="Verdana" w:hAnsi="Verdana" w:cs="Arial"/>
                <w:sz w:val="18"/>
                <w:szCs w:val="18"/>
              </w:rPr>
            </w:pPr>
          </w:p>
        </w:tc>
        <w:tc>
          <w:tcPr>
            <w:tcW w:w="3259" w:type="dxa"/>
          </w:tcPr>
          <w:p w:rsidRPr="000B0065" w:rsidR="002531AD" w:rsidP="006424AD" w:rsidRDefault="002531AD" w14:paraId="009D8310" w14:textId="77777777">
            <w:pPr>
              <w:spacing w:line="240" w:lineRule="atLeast"/>
              <w:rPr>
                <w:rFonts w:ascii="Verdana" w:hAnsi="Verdana" w:cs="Arial"/>
                <w:sz w:val="18"/>
                <w:szCs w:val="18"/>
              </w:rPr>
            </w:pPr>
            <w:r w:rsidRPr="000B0065">
              <w:rPr>
                <w:rFonts w:ascii="Verdana" w:hAnsi="Verdana" w:cs="Arial"/>
                <w:sz w:val="18"/>
                <w:szCs w:val="18"/>
              </w:rPr>
              <w:t>70 uur intern, 117 extern</w:t>
            </w:r>
          </w:p>
          <w:p w:rsidRPr="000B0065" w:rsidR="002531AD" w:rsidP="006424AD" w:rsidRDefault="002531AD" w14:paraId="35B9B22A" w14:textId="77777777">
            <w:pPr>
              <w:spacing w:after="160" w:line="240" w:lineRule="atLeast"/>
              <w:rPr>
                <w:rFonts w:ascii="Verdana" w:hAnsi="Verdana" w:cs="Arial"/>
                <w:sz w:val="18"/>
                <w:szCs w:val="18"/>
              </w:rPr>
            </w:pPr>
          </w:p>
        </w:tc>
        <w:tc>
          <w:tcPr>
            <w:tcW w:w="3543" w:type="dxa"/>
          </w:tcPr>
          <w:p w:rsidRPr="000B0065" w:rsidR="002531AD" w:rsidP="006424AD" w:rsidRDefault="002531AD" w14:paraId="2FF4B553" w14:textId="77777777">
            <w:pPr>
              <w:spacing w:line="240" w:lineRule="atLeast"/>
              <w:rPr>
                <w:rFonts w:ascii="Verdana" w:hAnsi="Verdana" w:cs="Arial"/>
                <w:sz w:val="18"/>
                <w:szCs w:val="18"/>
              </w:rPr>
            </w:pPr>
            <w:r w:rsidRPr="000B0065">
              <w:rPr>
                <w:rFonts w:ascii="Verdana" w:hAnsi="Verdana" w:cs="Arial"/>
                <w:sz w:val="18"/>
                <w:szCs w:val="18"/>
              </w:rPr>
              <w:t>190 uur intern, 237 extern</w:t>
            </w:r>
          </w:p>
          <w:p w:rsidRPr="000B0065" w:rsidR="002531AD" w:rsidP="006424AD" w:rsidRDefault="002531AD" w14:paraId="59DCFBB4" w14:textId="77777777">
            <w:pPr>
              <w:spacing w:after="160" w:line="240" w:lineRule="atLeast"/>
              <w:rPr>
                <w:rFonts w:ascii="Verdana" w:hAnsi="Verdana" w:cs="Arial"/>
                <w:sz w:val="18"/>
                <w:szCs w:val="18"/>
              </w:rPr>
            </w:pPr>
          </w:p>
        </w:tc>
      </w:tr>
    </w:tbl>
    <w:p w:rsidRPr="000B0065" w:rsidR="002531AD" w:rsidP="006424AD" w:rsidRDefault="002531AD" w14:paraId="5EE5529B" w14:textId="7913A0FB">
      <w:pPr>
        <w:spacing w:line="240" w:lineRule="atLeast"/>
        <w:rPr>
          <w:rFonts w:ascii="Verdana" w:hAnsi="Verdana" w:cs="Arial"/>
          <w:sz w:val="18"/>
          <w:szCs w:val="18"/>
        </w:rPr>
      </w:pPr>
      <w:r w:rsidRPr="000B0065">
        <w:rPr>
          <w:rFonts w:ascii="Verdana" w:hAnsi="Verdana" w:cs="Arial"/>
          <w:sz w:val="18"/>
          <w:szCs w:val="18"/>
        </w:rPr>
        <w:t>¹ Dit bedrag refereert aan het totaal aantal uren voor een partij om de standaard aanvraag te doen en aan het verzoek voor extra informatie te voldoen.</w:t>
      </w:r>
      <w:r w:rsidRPr="000B0065">
        <w:rPr>
          <w:rFonts w:ascii="Verdana" w:hAnsi="Verdana" w:cs="Arial"/>
          <w:sz w:val="18"/>
          <w:szCs w:val="18"/>
        </w:rPr>
        <w:br/>
        <w:t>² Er wordt een standaarduurtarief</w:t>
      </w:r>
      <w:r w:rsidRPr="000B0065" w:rsidR="000D258C">
        <w:rPr>
          <w:rStyle w:val="Voetnootmarkering"/>
          <w:rFonts w:ascii="Verdana" w:hAnsi="Verdana" w:cs="Arial"/>
          <w:sz w:val="18"/>
          <w:szCs w:val="18"/>
        </w:rPr>
        <w:footnoteReference w:id="23"/>
      </w:r>
      <w:r w:rsidRPr="000B0065">
        <w:rPr>
          <w:rFonts w:ascii="Verdana" w:hAnsi="Verdana" w:cs="Arial"/>
          <w:sz w:val="18"/>
          <w:szCs w:val="18"/>
        </w:rPr>
        <w:t xml:space="preserve"> van 54 euro voor hoogopgeleide medewerkers en 400 euro als uurtarief bij externe advisering gehanteerd</w:t>
      </w:r>
      <w:r w:rsidRPr="000B0065" w:rsidR="000333E8">
        <w:rPr>
          <w:rFonts w:ascii="Verdana" w:hAnsi="Verdana" w:cs="Arial"/>
          <w:sz w:val="18"/>
          <w:szCs w:val="18"/>
        </w:rPr>
        <w:t xml:space="preserve">. </w:t>
      </w:r>
    </w:p>
    <w:p w:rsidRPr="000B0065" w:rsidR="002D382F" w:rsidP="006424AD" w:rsidRDefault="00EA2E3E" w14:paraId="3F9B9D0F" w14:textId="115FCE07">
      <w:pPr>
        <w:rPr>
          <w:rFonts w:ascii="Verdana" w:hAnsi="Verdana" w:cs="Arial"/>
          <w:b/>
          <w:bCs/>
          <w:sz w:val="18"/>
          <w:szCs w:val="18"/>
        </w:rPr>
      </w:pPr>
      <w:r w:rsidRPr="000B0065">
        <w:rPr>
          <w:rFonts w:ascii="Verdana" w:hAnsi="Verdana" w:cs="Arial"/>
          <w:b/>
          <w:bCs/>
          <w:sz w:val="18"/>
          <w:szCs w:val="18"/>
        </w:rPr>
        <w:t>8</w:t>
      </w:r>
      <w:r w:rsidRPr="000B0065" w:rsidR="002D382F">
        <w:rPr>
          <w:rFonts w:ascii="Verdana" w:hAnsi="Verdana" w:cs="Arial"/>
          <w:b/>
          <w:bCs/>
          <w:sz w:val="18"/>
          <w:szCs w:val="18"/>
        </w:rPr>
        <w:t>. Administratieve lasten en uitvoeringstoets</w:t>
      </w:r>
    </w:p>
    <w:p w:rsidRPr="000B0065" w:rsidR="00E167B1" w:rsidP="006424AD" w:rsidRDefault="00E167B1" w14:paraId="5E2A86C8" w14:textId="5EA76024">
      <w:pPr>
        <w:rPr>
          <w:rFonts w:ascii="Verdana" w:hAnsi="Verdana" w:cs="Arial"/>
          <w:sz w:val="18"/>
          <w:szCs w:val="18"/>
        </w:rPr>
      </w:pPr>
      <w:r w:rsidRPr="000B0065">
        <w:rPr>
          <w:rFonts w:ascii="Verdana" w:hAnsi="Verdana" w:cs="Arial"/>
          <w:sz w:val="18"/>
          <w:szCs w:val="18"/>
        </w:rPr>
        <w:t>Na toetsing van het concept</w:t>
      </w:r>
      <w:r w:rsidRPr="000B0065" w:rsidR="00855294">
        <w:rPr>
          <w:rFonts w:ascii="Verdana" w:hAnsi="Verdana" w:cs="Arial"/>
          <w:sz w:val="18"/>
          <w:szCs w:val="18"/>
        </w:rPr>
        <w:t xml:space="preserve"> wijzigings</w:t>
      </w:r>
      <w:r w:rsidRPr="000B0065">
        <w:rPr>
          <w:rFonts w:ascii="Verdana" w:hAnsi="Verdana" w:cs="Arial"/>
          <w:sz w:val="18"/>
          <w:szCs w:val="18"/>
        </w:rPr>
        <w:t>besluit is h</w:t>
      </w:r>
      <w:r w:rsidRPr="000B0065" w:rsidR="00C93EB6">
        <w:rPr>
          <w:rFonts w:ascii="Verdana" w:hAnsi="Verdana" w:cs="Arial"/>
          <w:sz w:val="18"/>
          <w:szCs w:val="18"/>
        </w:rPr>
        <w:t>et Adviescollege Toetsing Regeldruk</w:t>
      </w:r>
      <w:r w:rsidRPr="000B0065" w:rsidR="003E0AC9">
        <w:rPr>
          <w:rFonts w:ascii="Verdana" w:hAnsi="Verdana" w:cs="Arial"/>
          <w:sz w:val="18"/>
          <w:szCs w:val="18"/>
        </w:rPr>
        <w:t xml:space="preserve"> (</w:t>
      </w:r>
      <w:r w:rsidRPr="000B0065" w:rsidR="00074D96">
        <w:rPr>
          <w:rFonts w:ascii="Verdana" w:hAnsi="Verdana" w:cs="Arial"/>
          <w:sz w:val="18"/>
          <w:szCs w:val="18"/>
        </w:rPr>
        <w:t xml:space="preserve">hierna </w:t>
      </w:r>
      <w:r w:rsidRPr="000B0065" w:rsidR="003E0AC9">
        <w:rPr>
          <w:rFonts w:ascii="Verdana" w:hAnsi="Verdana" w:cs="Arial"/>
          <w:sz w:val="18"/>
          <w:szCs w:val="18"/>
        </w:rPr>
        <w:t>ATR)</w:t>
      </w:r>
      <w:r w:rsidRPr="000B0065" w:rsidR="00C93EB6">
        <w:rPr>
          <w:rFonts w:ascii="Verdana" w:hAnsi="Verdana" w:cs="Arial"/>
          <w:sz w:val="18"/>
          <w:szCs w:val="18"/>
        </w:rPr>
        <w:t xml:space="preserve"> </w:t>
      </w:r>
      <w:r w:rsidRPr="000B0065">
        <w:rPr>
          <w:rFonts w:ascii="Verdana" w:hAnsi="Verdana" w:cs="Arial"/>
          <w:sz w:val="18"/>
          <w:szCs w:val="18"/>
        </w:rPr>
        <w:t xml:space="preserve">van mening dat </w:t>
      </w:r>
      <w:r w:rsidRPr="000B0065" w:rsidR="00564437">
        <w:rPr>
          <w:rFonts w:ascii="Verdana" w:hAnsi="Verdana" w:cs="Arial"/>
          <w:sz w:val="18"/>
          <w:szCs w:val="18"/>
        </w:rPr>
        <w:t xml:space="preserve">het nut en de noodzaak van het uitbreiden met meer technologieën in het algemeen voldoende zijn onderbouwd. In </w:t>
      </w:r>
      <w:r w:rsidR="00194F5B">
        <w:rPr>
          <w:rFonts w:ascii="Verdana" w:hAnsi="Verdana" w:cs="Arial"/>
          <w:sz w:val="18"/>
          <w:szCs w:val="18"/>
        </w:rPr>
        <w:t xml:space="preserve">zijn </w:t>
      </w:r>
      <w:r w:rsidRPr="000B0065" w:rsidR="00564437">
        <w:rPr>
          <w:rFonts w:ascii="Verdana" w:hAnsi="Verdana" w:cs="Arial"/>
          <w:sz w:val="18"/>
          <w:szCs w:val="18"/>
        </w:rPr>
        <w:t>advi</w:t>
      </w:r>
      <w:r w:rsidRPr="000B0065" w:rsidR="004A5A2C">
        <w:rPr>
          <w:rFonts w:ascii="Verdana" w:hAnsi="Verdana" w:cs="Arial"/>
          <w:sz w:val="18"/>
          <w:szCs w:val="18"/>
        </w:rPr>
        <w:t xml:space="preserve">es </w:t>
      </w:r>
      <w:r w:rsidRPr="000B0065" w:rsidR="00074D96">
        <w:rPr>
          <w:rFonts w:ascii="Verdana" w:hAnsi="Verdana" w:cs="Arial"/>
          <w:sz w:val="18"/>
          <w:szCs w:val="18"/>
        </w:rPr>
        <w:t xml:space="preserve">schrijft </w:t>
      </w:r>
      <w:r w:rsidRPr="000B0065" w:rsidR="00564437">
        <w:rPr>
          <w:rFonts w:ascii="Verdana" w:hAnsi="Verdana" w:cs="Arial"/>
          <w:sz w:val="18"/>
          <w:szCs w:val="18"/>
        </w:rPr>
        <w:t xml:space="preserve">het ATR </w:t>
      </w:r>
      <w:r w:rsidRPr="000B0065" w:rsidR="00855294">
        <w:rPr>
          <w:rFonts w:ascii="Verdana" w:hAnsi="Verdana" w:cs="Arial"/>
          <w:sz w:val="18"/>
          <w:szCs w:val="18"/>
        </w:rPr>
        <w:t>g</w:t>
      </w:r>
      <w:r w:rsidRPr="000B0065" w:rsidR="00564437">
        <w:rPr>
          <w:rFonts w:ascii="Verdana" w:hAnsi="Verdana" w:cs="Arial"/>
          <w:sz w:val="18"/>
          <w:szCs w:val="18"/>
        </w:rPr>
        <w:t xml:space="preserve">een minder belastende alternatieven te zien. </w:t>
      </w:r>
      <w:r w:rsidRPr="000B0065" w:rsidR="007B6844">
        <w:rPr>
          <w:rFonts w:ascii="Verdana" w:hAnsi="Verdana" w:cs="Arial"/>
          <w:sz w:val="18"/>
          <w:szCs w:val="18"/>
        </w:rPr>
        <w:t>De</w:t>
      </w:r>
      <w:r w:rsidRPr="000B0065" w:rsidR="00564437">
        <w:rPr>
          <w:rFonts w:ascii="Verdana" w:hAnsi="Verdana" w:cs="Arial"/>
          <w:sz w:val="18"/>
          <w:szCs w:val="18"/>
        </w:rPr>
        <w:t xml:space="preserve"> regeldruk</w:t>
      </w:r>
      <w:r w:rsidRPr="000B0065" w:rsidR="007B6844">
        <w:rPr>
          <w:rFonts w:ascii="Verdana" w:hAnsi="Verdana" w:cs="Arial"/>
          <w:sz w:val="18"/>
          <w:szCs w:val="18"/>
        </w:rPr>
        <w:t xml:space="preserve"> is</w:t>
      </w:r>
      <w:r w:rsidRPr="000B0065" w:rsidR="00564437">
        <w:rPr>
          <w:rFonts w:ascii="Verdana" w:hAnsi="Verdana" w:cs="Arial"/>
          <w:sz w:val="18"/>
          <w:szCs w:val="18"/>
        </w:rPr>
        <w:t xml:space="preserve"> toereikend in kaart gebracht en aan de werkbaarheid voldoende aandacht besteed. </w:t>
      </w:r>
    </w:p>
    <w:p w:rsidRPr="000B0065" w:rsidR="00436357" w:rsidP="006424AD" w:rsidRDefault="00C05BFB" w14:paraId="0234AD9C" w14:textId="52DD37D6">
      <w:pPr>
        <w:rPr>
          <w:rFonts w:ascii="Verdana" w:hAnsi="Verdana" w:cs="Arial"/>
          <w:sz w:val="18"/>
          <w:szCs w:val="18"/>
        </w:rPr>
      </w:pPr>
      <w:r w:rsidRPr="000B0065">
        <w:rPr>
          <w:rFonts w:ascii="Verdana" w:hAnsi="Verdana" w:cs="Arial"/>
          <w:sz w:val="18"/>
          <w:szCs w:val="18"/>
        </w:rPr>
        <w:t xml:space="preserve">Het ATR heeft het </w:t>
      </w:r>
      <w:r w:rsidR="00850FAD">
        <w:rPr>
          <w:rFonts w:ascii="Verdana" w:hAnsi="Verdana" w:cs="Arial"/>
          <w:sz w:val="18"/>
          <w:szCs w:val="18"/>
        </w:rPr>
        <w:t>M</w:t>
      </w:r>
      <w:r w:rsidRPr="000B0065">
        <w:rPr>
          <w:rFonts w:ascii="Verdana" w:hAnsi="Verdana" w:cs="Arial"/>
          <w:sz w:val="18"/>
          <w:szCs w:val="18"/>
        </w:rPr>
        <w:t xml:space="preserve">inisterie van Economische Zaken </w:t>
      </w:r>
      <w:r w:rsidR="00850FAD">
        <w:rPr>
          <w:rFonts w:ascii="Verdana" w:hAnsi="Verdana" w:cs="Arial"/>
          <w:sz w:val="18"/>
          <w:szCs w:val="18"/>
        </w:rPr>
        <w:t xml:space="preserve">en Klimaat </w:t>
      </w:r>
      <w:r w:rsidRPr="000B0065">
        <w:rPr>
          <w:rFonts w:ascii="Verdana" w:hAnsi="Verdana" w:cs="Arial"/>
          <w:sz w:val="18"/>
          <w:szCs w:val="18"/>
        </w:rPr>
        <w:t xml:space="preserve">geadviseerd om naast bovenstaande inschatting van de kosten ook een </w:t>
      </w:r>
      <w:r w:rsidRPr="000B0065" w:rsidR="00074D96">
        <w:rPr>
          <w:rFonts w:ascii="Verdana" w:hAnsi="Verdana" w:cs="Arial"/>
          <w:sz w:val="18"/>
          <w:szCs w:val="18"/>
        </w:rPr>
        <w:t>in</w:t>
      </w:r>
      <w:r w:rsidRPr="000B0065">
        <w:rPr>
          <w:rFonts w:ascii="Verdana" w:hAnsi="Verdana" w:cs="Arial"/>
          <w:sz w:val="18"/>
          <w:szCs w:val="18"/>
        </w:rPr>
        <w:t xml:space="preserve">schatting van de regeldruk te geven die volgt uit het verwachte aantal keren dat </w:t>
      </w:r>
      <w:r w:rsidRPr="000B0065" w:rsidR="00E167B1">
        <w:rPr>
          <w:rFonts w:ascii="Verdana" w:hAnsi="Verdana" w:cs="Arial"/>
          <w:sz w:val="18"/>
          <w:szCs w:val="18"/>
        </w:rPr>
        <w:t xml:space="preserve">voorwaarden worden </w:t>
      </w:r>
      <w:r w:rsidRPr="000B0065">
        <w:rPr>
          <w:rFonts w:ascii="Verdana" w:hAnsi="Verdana" w:cs="Arial"/>
          <w:sz w:val="18"/>
          <w:szCs w:val="18"/>
        </w:rPr>
        <w:t xml:space="preserve">opgelegd aan fusies, overnames of investeringen. Hoewel deze behoefte wordt onderschreven, </w:t>
      </w:r>
      <w:r w:rsidR="00CC3489">
        <w:rPr>
          <w:rFonts w:ascii="Verdana" w:hAnsi="Verdana" w:cs="Arial"/>
          <w:sz w:val="18"/>
          <w:szCs w:val="18"/>
        </w:rPr>
        <w:t>acht</w:t>
      </w:r>
      <w:r w:rsidRPr="000B0065" w:rsidR="00CC3489">
        <w:rPr>
          <w:rFonts w:ascii="Verdana" w:hAnsi="Verdana" w:cs="Arial"/>
          <w:sz w:val="18"/>
          <w:szCs w:val="18"/>
        </w:rPr>
        <w:t xml:space="preserve"> </w:t>
      </w:r>
      <w:r w:rsidRPr="000B0065" w:rsidR="00E167B1">
        <w:rPr>
          <w:rFonts w:ascii="Verdana" w:hAnsi="Verdana" w:cs="Arial"/>
          <w:sz w:val="18"/>
          <w:szCs w:val="18"/>
        </w:rPr>
        <w:t xml:space="preserve">het ministerie het </w:t>
      </w:r>
      <w:r w:rsidR="00CC3489">
        <w:rPr>
          <w:rFonts w:ascii="Verdana" w:hAnsi="Verdana" w:cs="Arial"/>
          <w:sz w:val="18"/>
          <w:szCs w:val="18"/>
        </w:rPr>
        <w:t xml:space="preserve">niet mogelijk </w:t>
      </w:r>
      <w:r w:rsidRPr="000B0065">
        <w:rPr>
          <w:rFonts w:ascii="Verdana" w:hAnsi="Verdana" w:cs="Arial"/>
          <w:sz w:val="18"/>
          <w:szCs w:val="18"/>
        </w:rPr>
        <w:t xml:space="preserve">daar </w:t>
      </w:r>
      <w:r w:rsidR="00CC3489">
        <w:rPr>
          <w:rFonts w:ascii="Verdana" w:hAnsi="Verdana" w:cs="Arial"/>
          <w:sz w:val="18"/>
          <w:szCs w:val="18"/>
        </w:rPr>
        <w:t xml:space="preserve">op dit moment </w:t>
      </w:r>
      <w:r w:rsidRPr="000B0065">
        <w:rPr>
          <w:rFonts w:ascii="Verdana" w:hAnsi="Verdana" w:cs="Arial"/>
          <w:sz w:val="18"/>
          <w:szCs w:val="18"/>
        </w:rPr>
        <w:t xml:space="preserve">een realistische inschatting van te kunnen </w:t>
      </w:r>
      <w:r w:rsidRPr="000B0065" w:rsidR="00855294">
        <w:rPr>
          <w:rFonts w:ascii="Verdana" w:hAnsi="Verdana" w:cs="Arial"/>
          <w:sz w:val="18"/>
          <w:szCs w:val="18"/>
        </w:rPr>
        <w:t>geven</w:t>
      </w:r>
      <w:r w:rsidRPr="000B0065">
        <w:rPr>
          <w:rFonts w:ascii="Verdana" w:hAnsi="Verdana" w:cs="Arial"/>
          <w:sz w:val="18"/>
          <w:szCs w:val="18"/>
        </w:rPr>
        <w:t>.</w:t>
      </w:r>
      <w:r w:rsidR="00150EE8">
        <w:rPr>
          <w:rFonts w:ascii="Verdana" w:hAnsi="Verdana" w:cs="Arial"/>
          <w:sz w:val="18"/>
          <w:szCs w:val="18"/>
        </w:rPr>
        <w:t xml:space="preserve"> </w:t>
      </w:r>
      <w:r w:rsidRPr="00436357" w:rsidR="00436357">
        <w:rPr>
          <w:rFonts w:ascii="Verdana" w:hAnsi="Verdana" w:cs="Arial"/>
          <w:sz w:val="18"/>
          <w:szCs w:val="18"/>
        </w:rPr>
        <w:t xml:space="preserve">Sinds de inwerkingtreding van de Wet vifo is slechts bij een zeer beperkt aantal casussen een goedkeuring onder voorwaarden of een verbod opgelegd. Deze beperkte casuïstiek biedt vooralsnog onvoldoende basis om robuuste, generaliseerbare uitspraken te doen over de frequentie en aard van dergelijke besluiten. Daar komt bij dat de opgelegde maatregelen per definitie casus-specifiek zijn en sterk variëren in aard, omvang en complexiteit, omdat maatwerk noodzakelijk is om risico’s effectief </w:t>
      </w:r>
      <w:r w:rsidR="00436357">
        <w:rPr>
          <w:rFonts w:ascii="Verdana" w:hAnsi="Verdana" w:cs="Arial"/>
          <w:sz w:val="18"/>
          <w:szCs w:val="18"/>
        </w:rPr>
        <w:t xml:space="preserve">en </w:t>
      </w:r>
      <w:r w:rsidRPr="00436357" w:rsidR="00436357">
        <w:rPr>
          <w:rFonts w:ascii="Verdana" w:hAnsi="Verdana" w:cs="Arial"/>
          <w:sz w:val="18"/>
          <w:szCs w:val="18"/>
        </w:rPr>
        <w:t>proportioneel te mitigeren. In de praktijk wordt bovendien vaak een combinatie van instrumenten ingezet, waardoor de uiteindelijke regeldruk niet alleen afhangt van het aantal besluiten, maar ook van de specifieke samenstelling en zwaarte van de maatregelen. Tegen deze achtergrond, en gelet op de uiteenlopende kenmerken en ontwikkelingsdynamiek van nieuwe sensitieve technologieën, ontbreekt momenteel een voldoende stabiele en representatieve ervaringsbasis om een betrouwbare kwantitatieve inschatting van de regeldruk te kunnen maken.</w:t>
      </w:r>
    </w:p>
    <w:p w:rsidRPr="004E717B" w:rsidR="00F114E5" w:rsidP="006424AD" w:rsidRDefault="000479C9" w14:paraId="57A00CEB" w14:textId="4EF353C7">
      <w:pPr>
        <w:rPr>
          <w:rFonts w:ascii="Verdana" w:hAnsi="Verdana"/>
          <w:sz w:val="18"/>
          <w:szCs w:val="18"/>
        </w:rPr>
      </w:pPr>
      <w:r w:rsidRPr="000B0065">
        <w:rPr>
          <w:rFonts w:ascii="Verdana" w:hAnsi="Verdana" w:cs="Arial"/>
          <w:sz w:val="18"/>
          <w:szCs w:val="18"/>
        </w:rPr>
        <w:t xml:space="preserve">Het </w:t>
      </w:r>
      <w:r w:rsidRPr="000B0065" w:rsidR="001E2456">
        <w:rPr>
          <w:rFonts w:ascii="Verdana" w:hAnsi="Verdana" w:cs="Arial"/>
          <w:sz w:val="18"/>
          <w:szCs w:val="18"/>
        </w:rPr>
        <w:t>BTI</w:t>
      </w:r>
      <w:r w:rsidRPr="000B0065">
        <w:rPr>
          <w:rFonts w:ascii="Verdana" w:hAnsi="Verdana" w:cs="Arial"/>
          <w:sz w:val="18"/>
          <w:szCs w:val="18"/>
        </w:rPr>
        <w:t xml:space="preserve"> heeft </w:t>
      </w:r>
      <w:r w:rsidRPr="000B0065" w:rsidR="001E2456">
        <w:rPr>
          <w:rFonts w:ascii="Verdana" w:hAnsi="Verdana" w:cs="Arial"/>
          <w:sz w:val="18"/>
          <w:szCs w:val="18"/>
        </w:rPr>
        <w:t xml:space="preserve">een Uitvoerings- en </w:t>
      </w:r>
      <w:r w:rsidRPr="000B0065" w:rsidR="00F32B0F">
        <w:rPr>
          <w:rFonts w:ascii="Verdana" w:hAnsi="Verdana" w:cs="Arial"/>
          <w:sz w:val="18"/>
          <w:szCs w:val="18"/>
        </w:rPr>
        <w:t>H</w:t>
      </w:r>
      <w:r w:rsidRPr="000B0065" w:rsidR="001E2456">
        <w:rPr>
          <w:rFonts w:ascii="Verdana" w:hAnsi="Verdana" w:cs="Arial"/>
          <w:sz w:val="18"/>
          <w:szCs w:val="18"/>
        </w:rPr>
        <w:t xml:space="preserve">andhaafbaarheidstoets (UHT) </w:t>
      </w:r>
      <w:r w:rsidRPr="000B0065" w:rsidR="001A6E91">
        <w:rPr>
          <w:rFonts w:ascii="Verdana" w:hAnsi="Verdana" w:cs="Arial"/>
          <w:sz w:val="18"/>
          <w:szCs w:val="18"/>
        </w:rPr>
        <w:t>uitgevoerd</w:t>
      </w:r>
      <w:r w:rsidRPr="000B0065" w:rsidR="001E2456">
        <w:rPr>
          <w:rFonts w:ascii="Verdana" w:hAnsi="Verdana" w:cs="Arial"/>
          <w:sz w:val="18"/>
          <w:szCs w:val="18"/>
        </w:rPr>
        <w:t xml:space="preserve"> voor </w:t>
      </w:r>
      <w:r w:rsidRPr="000B0065" w:rsidR="00855294">
        <w:rPr>
          <w:rFonts w:ascii="Verdana" w:hAnsi="Verdana" w:cs="Arial"/>
          <w:sz w:val="18"/>
          <w:szCs w:val="18"/>
        </w:rPr>
        <w:t>het wijzigingsbesluit</w:t>
      </w:r>
      <w:r w:rsidRPr="000B0065" w:rsidR="001E2456">
        <w:rPr>
          <w:rFonts w:ascii="Verdana" w:hAnsi="Verdana" w:cs="Arial"/>
          <w:sz w:val="18"/>
          <w:szCs w:val="18"/>
        </w:rPr>
        <w:t xml:space="preserve">. </w:t>
      </w:r>
      <w:r w:rsidRPr="004E717B" w:rsidR="00F114E5">
        <w:rPr>
          <w:rFonts w:ascii="Verdana" w:hAnsi="Verdana"/>
          <w:sz w:val="18"/>
          <w:szCs w:val="18"/>
        </w:rPr>
        <w:t xml:space="preserve">Het BTI acht het wijzigingsvoorstel uitvoerbaar en handhaafbaar, mits de onderstaande </w:t>
      </w:r>
      <w:r w:rsidRPr="004E717B" w:rsidR="00377912">
        <w:rPr>
          <w:rFonts w:ascii="Verdana" w:hAnsi="Verdana"/>
          <w:sz w:val="18"/>
          <w:szCs w:val="18"/>
        </w:rPr>
        <w:t xml:space="preserve">opmerkingen </w:t>
      </w:r>
      <w:r w:rsidRPr="004E717B" w:rsidR="00F114E5">
        <w:rPr>
          <w:rFonts w:ascii="Verdana" w:hAnsi="Verdana"/>
          <w:sz w:val="18"/>
          <w:szCs w:val="18"/>
        </w:rPr>
        <w:t xml:space="preserve">in acht worden genomen. </w:t>
      </w:r>
      <w:r w:rsidRPr="004E717B" w:rsidR="00377912">
        <w:rPr>
          <w:rFonts w:ascii="Verdana" w:hAnsi="Verdana"/>
          <w:sz w:val="18"/>
          <w:szCs w:val="18"/>
        </w:rPr>
        <w:t xml:space="preserve">Het BTI verwacht voor de uitvoering van de Wet vifo door de uitbreiding van het toepassingsbereik </w:t>
      </w:r>
      <w:r w:rsidRPr="004E717B" w:rsidR="00074D96">
        <w:rPr>
          <w:rFonts w:ascii="Verdana" w:hAnsi="Verdana"/>
          <w:sz w:val="18"/>
          <w:szCs w:val="18"/>
        </w:rPr>
        <w:t xml:space="preserve">haar </w:t>
      </w:r>
      <w:r w:rsidRPr="004E717B" w:rsidR="00377912">
        <w:rPr>
          <w:rFonts w:ascii="Verdana" w:hAnsi="Verdana"/>
          <w:sz w:val="18"/>
          <w:szCs w:val="18"/>
        </w:rPr>
        <w:t xml:space="preserve">capaciteit structureel te moeten uitbreiden. </w:t>
      </w:r>
      <w:r w:rsidRPr="004E717B" w:rsidR="00A11ACD">
        <w:rPr>
          <w:rFonts w:ascii="Verdana" w:hAnsi="Verdana"/>
          <w:sz w:val="18"/>
          <w:szCs w:val="18"/>
        </w:rPr>
        <w:t xml:space="preserve">Het </w:t>
      </w:r>
      <w:r w:rsidRPr="000B0065" w:rsidR="00855294">
        <w:rPr>
          <w:rFonts w:ascii="Verdana" w:hAnsi="Verdana"/>
          <w:sz w:val="18"/>
          <w:szCs w:val="18"/>
        </w:rPr>
        <w:t xml:space="preserve">kabinet </w:t>
      </w:r>
      <w:r w:rsidRPr="004E717B" w:rsidR="00A11ACD">
        <w:rPr>
          <w:rFonts w:ascii="Verdana" w:hAnsi="Verdana"/>
          <w:sz w:val="18"/>
          <w:szCs w:val="18"/>
        </w:rPr>
        <w:t>onderschrijft deze analyse en zet zich in om de capaciteit van het BTI op peil te houden om uitvoering van de Wet vifo efficiënt en effectief te laten verlopen</w:t>
      </w:r>
      <w:r w:rsidRPr="004E717B" w:rsidR="00377912">
        <w:rPr>
          <w:rFonts w:ascii="Verdana" w:hAnsi="Verdana"/>
          <w:sz w:val="18"/>
          <w:szCs w:val="18"/>
        </w:rPr>
        <w:t xml:space="preserve">. </w:t>
      </w:r>
      <w:r w:rsidRPr="000B0065" w:rsidR="0078270B">
        <w:rPr>
          <w:rFonts w:ascii="Verdana" w:hAnsi="Verdana" w:cs="Arial"/>
          <w:sz w:val="18"/>
          <w:szCs w:val="18"/>
        </w:rPr>
        <w:t xml:space="preserve">Op basis van </w:t>
      </w:r>
      <w:r w:rsidRPr="000B0065" w:rsidR="00074D96">
        <w:rPr>
          <w:rFonts w:ascii="Verdana" w:hAnsi="Verdana" w:cs="Arial"/>
          <w:sz w:val="18"/>
          <w:szCs w:val="18"/>
        </w:rPr>
        <w:t xml:space="preserve">de UHT </w:t>
      </w:r>
      <w:r w:rsidRPr="000B0065" w:rsidR="00F114E5">
        <w:rPr>
          <w:rFonts w:ascii="Verdana" w:hAnsi="Verdana" w:cs="Arial"/>
          <w:sz w:val="18"/>
          <w:szCs w:val="18"/>
        </w:rPr>
        <w:t>concludeert het BTI</w:t>
      </w:r>
      <w:r w:rsidRPr="000B0065" w:rsidR="00A11ACD">
        <w:rPr>
          <w:rFonts w:ascii="Verdana" w:hAnsi="Verdana" w:cs="Arial"/>
          <w:sz w:val="18"/>
          <w:szCs w:val="18"/>
        </w:rPr>
        <w:t xml:space="preserve"> </w:t>
      </w:r>
      <w:r w:rsidR="00057760">
        <w:rPr>
          <w:rFonts w:ascii="Verdana" w:hAnsi="Verdana" w:cs="Arial"/>
          <w:sz w:val="18"/>
          <w:szCs w:val="18"/>
        </w:rPr>
        <w:t>ten aanzien van</w:t>
      </w:r>
      <w:r w:rsidRPr="000B0065" w:rsidR="0078270B">
        <w:rPr>
          <w:rFonts w:ascii="Verdana" w:hAnsi="Verdana" w:cs="Arial"/>
          <w:sz w:val="18"/>
          <w:szCs w:val="18"/>
        </w:rPr>
        <w:t xml:space="preserve"> </w:t>
      </w:r>
      <w:r w:rsidRPr="000B0065" w:rsidR="00855294">
        <w:rPr>
          <w:rFonts w:ascii="Verdana" w:hAnsi="Verdana" w:cs="Arial"/>
          <w:sz w:val="18"/>
          <w:szCs w:val="18"/>
        </w:rPr>
        <w:t>G</w:t>
      </w:r>
      <w:r w:rsidRPr="000B0065" w:rsidR="0078270B">
        <w:rPr>
          <w:rFonts w:ascii="Verdana" w:hAnsi="Verdana" w:cs="Arial"/>
          <w:sz w:val="18"/>
          <w:szCs w:val="18"/>
        </w:rPr>
        <w:t xml:space="preserve">eavanceerde </w:t>
      </w:r>
      <w:r w:rsidRPr="000B0065" w:rsidR="00855294">
        <w:rPr>
          <w:rFonts w:ascii="Verdana" w:hAnsi="Verdana" w:cs="Arial"/>
          <w:sz w:val="18"/>
          <w:szCs w:val="18"/>
        </w:rPr>
        <w:t>M</w:t>
      </w:r>
      <w:r w:rsidRPr="000B0065" w:rsidR="0078270B">
        <w:rPr>
          <w:rFonts w:ascii="Verdana" w:hAnsi="Verdana" w:cs="Arial"/>
          <w:sz w:val="18"/>
          <w:szCs w:val="18"/>
        </w:rPr>
        <w:t>aterial</w:t>
      </w:r>
      <w:r w:rsidRPr="000B0065" w:rsidR="004B4FCD">
        <w:rPr>
          <w:rFonts w:ascii="Verdana" w:hAnsi="Verdana" w:cs="Arial"/>
          <w:sz w:val="18"/>
          <w:szCs w:val="18"/>
        </w:rPr>
        <w:t>en</w:t>
      </w:r>
      <w:r w:rsidRPr="000B0065" w:rsidR="0078270B">
        <w:rPr>
          <w:rFonts w:ascii="Verdana" w:hAnsi="Verdana" w:cs="Arial"/>
          <w:sz w:val="18"/>
          <w:szCs w:val="18"/>
        </w:rPr>
        <w:t xml:space="preserve"> technologie (AST 5) dat </w:t>
      </w:r>
      <w:r w:rsidR="00057760">
        <w:rPr>
          <w:rFonts w:ascii="Verdana" w:hAnsi="Verdana" w:cs="Arial"/>
          <w:sz w:val="18"/>
          <w:szCs w:val="18"/>
        </w:rPr>
        <w:t>onder</w:t>
      </w:r>
      <w:r w:rsidRPr="000B0065" w:rsidR="00057760">
        <w:rPr>
          <w:rFonts w:ascii="Verdana" w:hAnsi="Verdana" w:cs="Arial"/>
          <w:sz w:val="18"/>
          <w:szCs w:val="18"/>
        </w:rPr>
        <w:t xml:space="preserve"> het</w:t>
      </w:r>
      <w:r w:rsidR="00057760">
        <w:rPr>
          <w:rFonts w:ascii="Verdana" w:hAnsi="Verdana" w:cs="Arial"/>
          <w:sz w:val="18"/>
          <w:szCs w:val="18"/>
        </w:rPr>
        <w:t xml:space="preserve"> voorgelegde</w:t>
      </w:r>
      <w:r w:rsidRPr="000B0065" w:rsidR="00057760">
        <w:rPr>
          <w:rFonts w:ascii="Verdana" w:hAnsi="Verdana" w:cs="Arial"/>
          <w:sz w:val="18"/>
          <w:szCs w:val="18"/>
        </w:rPr>
        <w:t xml:space="preserve"> concept wijzigingsbesluit </w:t>
      </w:r>
      <w:r w:rsidRPr="000B0065" w:rsidR="0078270B">
        <w:rPr>
          <w:rFonts w:ascii="Verdana" w:hAnsi="Verdana" w:cs="Arial"/>
          <w:sz w:val="18"/>
          <w:szCs w:val="18"/>
        </w:rPr>
        <w:t xml:space="preserve">notificatie </w:t>
      </w:r>
      <w:r w:rsidRPr="000B0065" w:rsidR="00F114E5">
        <w:rPr>
          <w:rFonts w:ascii="Verdana" w:hAnsi="Verdana" w:cs="Arial"/>
          <w:sz w:val="18"/>
          <w:szCs w:val="18"/>
        </w:rPr>
        <w:t xml:space="preserve">van investeringen </w:t>
      </w:r>
      <w:r w:rsidR="00057760">
        <w:rPr>
          <w:rFonts w:ascii="Verdana" w:hAnsi="Verdana" w:cs="Arial"/>
          <w:sz w:val="18"/>
          <w:szCs w:val="18"/>
        </w:rPr>
        <w:t>plaats dient te vinden</w:t>
      </w:r>
      <w:r w:rsidRPr="000B0065" w:rsidR="0078270B">
        <w:rPr>
          <w:rFonts w:ascii="Verdana" w:hAnsi="Verdana" w:cs="Arial"/>
          <w:sz w:val="18"/>
          <w:szCs w:val="18"/>
        </w:rPr>
        <w:t xml:space="preserve"> indien bepaalde functionaliteiten </w:t>
      </w:r>
      <w:r w:rsidRPr="000B0065" w:rsidR="00E167B1">
        <w:rPr>
          <w:rFonts w:ascii="Verdana" w:hAnsi="Verdana" w:cs="Arial"/>
          <w:sz w:val="18"/>
          <w:szCs w:val="18"/>
        </w:rPr>
        <w:t xml:space="preserve">hoger </w:t>
      </w:r>
      <w:r w:rsidRPr="000B0065" w:rsidR="0078270B">
        <w:rPr>
          <w:rFonts w:ascii="Verdana" w:hAnsi="Verdana" w:cs="Arial"/>
          <w:sz w:val="18"/>
          <w:szCs w:val="18"/>
        </w:rPr>
        <w:t xml:space="preserve">liggen dan </w:t>
      </w:r>
      <w:r w:rsidR="0092695F">
        <w:rPr>
          <w:rFonts w:ascii="Verdana" w:hAnsi="Verdana" w:cs="Arial"/>
          <w:sz w:val="18"/>
          <w:szCs w:val="18"/>
        </w:rPr>
        <w:t>‘</w:t>
      </w:r>
      <w:r w:rsidRPr="000B0065" w:rsidR="00F114E5">
        <w:rPr>
          <w:rFonts w:ascii="Verdana" w:hAnsi="Verdana" w:cs="Arial"/>
          <w:sz w:val="18"/>
          <w:szCs w:val="18"/>
        </w:rPr>
        <w:t>commerciële standaarden</w:t>
      </w:r>
      <w:r w:rsidR="0092695F">
        <w:rPr>
          <w:rFonts w:ascii="Verdana" w:hAnsi="Verdana" w:cs="Arial"/>
          <w:sz w:val="18"/>
          <w:szCs w:val="18"/>
        </w:rPr>
        <w:t>’</w:t>
      </w:r>
      <w:r w:rsidRPr="000B0065" w:rsidR="00F114E5">
        <w:rPr>
          <w:rFonts w:ascii="Verdana" w:hAnsi="Verdana" w:cs="Arial"/>
          <w:sz w:val="18"/>
          <w:szCs w:val="18"/>
        </w:rPr>
        <w:t xml:space="preserve">. </w:t>
      </w:r>
      <w:r w:rsidRPr="000B0065" w:rsidR="00074D96">
        <w:rPr>
          <w:rFonts w:ascii="Verdana" w:hAnsi="Verdana" w:cs="Arial"/>
          <w:sz w:val="18"/>
          <w:szCs w:val="18"/>
        </w:rPr>
        <w:t xml:space="preserve">Deze standaarden dienen voor de </w:t>
      </w:r>
      <w:r w:rsidRPr="000B0065" w:rsidR="00855294">
        <w:rPr>
          <w:rFonts w:ascii="Verdana" w:hAnsi="Verdana" w:cs="Arial"/>
          <w:sz w:val="18"/>
          <w:szCs w:val="18"/>
        </w:rPr>
        <w:t>inwerkingtreding</w:t>
      </w:r>
      <w:r w:rsidRPr="000B0065" w:rsidR="00074D96">
        <w:rPr>
          <w:rFonts w:ascii="Verdana" w:hAnsi="Verdana" w:cs="Arial"/>
          <w:sz w:val="18"/>
          <w:szCs w:val="18"/>
        </w:rPr>
        <w:t xml:space="preserve"> van het besluit </w:t>
      </w:r>
      <w:r w:rsidR="0092695F">
        <w:rPr>
          <w:rFonts w:ascii="Verdana" w:hAnsi="Verdana" w:cs="Arial"/>
          <w:sz w:val="18"/>
          <w:szCs w:val="18"/>
        </w:rPr>
        <w:t xml:space="preserve">nader </w:t>
      </w:r>
      <w:r w:rsidRPr="000B0065" w:rsidR="00074D96">
        <w:rPr>
          <w:rFonts w:ascii="Verdana" w:hAnsi="Verdana" w:cs="Arial"/>
          <w:sz w:val="18"/>
          <w:szCs w:val="18"/>
        </w:rPr>
        <w:t xml:space="preserve">te worden </w:t>
      </w:r>
      <w:r w:rsidR="0092695F">
        <w:rPr>
          <w:rFonts w:ascii="Verdana" w:hAnsi="Verdana" w:cs="Arial"/>
          <w:sz w:val="18"/>
          <w:szCs w:val="18"/>
        </w:rPr>
        <w:t>ingevuld</w:t>
      </w:r>
      <w:r w:rsidRPr="000B0065" w:rsidR="00074D96">
        <w:rPr>
          <w:rFonts w:ascii="Verdana" w:hAnsi="Verdana" w:cs="Arial"/>
          <w:sz w:val="18"/>
          <w:szCs w:val="18"/>
        </w:rPr>
        <w:t xml:space="preserve">, omdat </w:t>
      </w:r>
      <w:r w:rsidRPr="004E717B" w:rsidR="00074D96">
        <w:rPr>
          <w:rStyle w:val="cf01"/>
          <w:rFonts w:ascii="Verdana" w:hAnsi="Verdana"/>
        </w:rPr>
        <w:t xml:space="preserve">het BTI als uitvoerder van de Wet vifo niet de aangewezen instantie </w:t>
      </w:r>
      <w:r w:rsidR="0092695F">
        <w:rPr>
          <w:rStyle w:val="cf01"/>
          <w:rFonts w:ascii="Verdana" w:hAnsi="Verdana"/>
        </w:rPr>
        <w:t>is</w:t>
      </w:r>
      <w:r w:rsidRPr="004E717B" w:rsidR="0092695F">
        <w:rPr>
          <w:rStyle w:val="cf01"/>
          <w:rFonts w:ascii="Verdana" w:hAnsi="Verdana"/>
        </w:rPr>
        <w:t xml:space="preserve"> </w:t>
      </w:r>
      <w:r w:rsidRPr="004E717B" w:rsidR="00074D96">
        <w:rPr>
          <w:rStyle w:val="cf01"/>
          <w:rFonts w:ascii="Verdana" w:hAnsi="Verdana"/>
        </w:rPr>
        <w:t>om deze</w:t>
      </w:r>
      <w:r w:rsidR="00A6035B">
        <w:rPr>
          <w:rStyle w:val="cf01"/>
          <w:rFonts w:ascii="Verdana" w:hAnsi="Verdana"/>
        </w:rPr>
        <w:t xml:space="preserve"> nader</w:t>
      </w:r>
      <w:r w:rsidRPr="004E717B" w:rsidR="00074D96">
        <w:rPr>
          <w:rStyle w:val="cf01"/>
          <w:rFonts w:ascii="Verdana" w:hAnsi="Verdana"/>
        </w:rPr>
        <w:t xml:space="preserve"> te bepalen.</w:t>
      </w:r>
      <w:r w:rsidRPr="004E717B" w:rsidR="0078270B">
        <w:rPr>
          <w:rFonts w:ascii="Verdana" w:hAnsi="Verdana"/>
          <w:sz w:val="18"/>
          <w:szCs w:val="18"/>
        </w:rPr>
        <w:t xml:space="preserve"> </w:t>
      </w:r>
      <w:r w:rsidRPr="000B0065" w:rsidR="00855294">
        <w:rPr>
          <w:rFonts w:ascii="Verdana" w:hAnsi="Verdana"/>
          <w:sz w:val="18"/>
          <w:szCs w:val="18"/>
        </w:rPr>
        <w:t xml:space="preserve">Naar </w:t>
      </w:r>
      <w:r w:rsidRPr="000B0065" w:rsidR="00855294">
        <w:rPr>
          <w:rFonts w:ascii="Verdana" w:hAnsi="Verdana"/>
          <w:sz w:val="18"/>
          <w:szCs w:val="18"/>
        </w:rPr>
        <w:lastRenderedPageBreak/>
        <w:t xml:space="preserve">aanleiding van </w:t>
      </w:r>
      <w:r w:rsidRPr="004E717B" w:rsidR="00074D96">
        <w:rPr>
          <w:rFonts w:ascii="Verdana" w:hAnsi="Verdana"/>
          <w:sz w:val="18"/>
          <w:szCs w:val="18"/>
        </w:rPr>
        <w:t xml:space="preserve">de internetconsultatie zijn ook </w:t>
      </w:r>
      <w:r w:rsidRPr="000B0065" w:rsidR="00855294">
        <w:rPr>
          <w:rFonts w:ascii="Verdana" w:hAnsi="Verdana"/>
          <w:sz w:val="18"/>
          <w:szCs w:val="18"/>
        </w:rPr>
        <w:t xml:space="preserve">reacties ontvangen </w:t>
      </w:r>
      <w:r w:rsidRPr="004E717B" w:rsidR="00074D96">
        <w:rPr>
          <w:rFonts w:ascii="Verdana" w:hAnsi="Verdana"/>
          <w:sz w:val="18"/>
          <w:szCs w:val="18"/>
        </w:rPr>
        <w:t xml:space="preserve">over deze standaarden. In onderstaande </w:t>
      </w:r>
      <w:r w:rsidRPr="004E717B" w:rsidR="00A11ACD">
        <w:rPr>
          <w:rFonts w:ascii="Verdana" w:hAnsi="Verdana"/>
          <w:sz w:val="18"/>
          <w:szCs w:val="18"/>
        </w:rPr>
        <w:t>paragraaf</w:t>
      </w:r>
      <w:r w:rsidRPr="004E717B" w:rsidR="00074D96">
        <w:rPr>
          <w:rFonts w:ascii="Verdana" w:hAnsi="Verdana"/>
          <w:sz w:val="18"/>
          <w:szCs w:val="18"/>
        </w:rPr>
        <w:t xml:space="preserve"> word</w:t>
      </w:r>
      <w:r w:rsidRPr="000B0065" w:rsidR="00855294">
        <w:rPr>
          <w:rFonts w:ascii="Verdana" w:hAnsi="Verdana"/>
          <w:sz w:val="18"/>
          <w:szCs w:val="18"/>
        </w:rPr>
        <w:t>t</w:t>
      </w:r>
      <w:r w:rsidRPr="004E717B" w:rsidR="00074D96">
        <w:rPr>
          <w:rFonts w:ascii="Verdana" w:hAnsi="Verdana"/>
          <w:sz w:val="18"/>
          <w:szCs w:val="18"/>
        </w:rPr>
        <w:t xml:space="preserve"> toegelicht </w:t>
      </w:r>
      <w:r w:rsidRPr="004E717B" w:rsidR="00F1664E">
        <w:rPr>
          <w:rFonts w:ascii="Verdana" w:hAnsi="Verdana"/>
          <w:sz w:val="18"/>
          <w:szCs w:val="18"/>
        </w:rPr>
        <w:t>tot welke aanpassingen van het besluit deze opmerkingen hebben geleid</w:t>
      </w:r>
      <w:r w:rsidRPr="004E717B" w:rsidR="00A11ACD">
        <w:rPr>
          <w:rFonts w:ascii="Verdana" w:hAnsi="Verdana"/>
          <w:sz w:val="18"/>
          <w:szCs w:val="18"/>
        </w:rPr>
        <w:t xml:space="preserve">.  </w:t>
      </w:r>
    </w:p>
    <w:p w:rsidRPr="004E717B" w:rsidR="00617833" w:rsidP="006424AD" w:rsidRDefault="00EA2E3E" w14:paraId="1D1206D5" w14:textId="30029CBE">
      <w:pPr>
        <w:rPr>
          <w:rFonts w:ascii="Verdana" w:hAnsi="Verdana" w:cs="Arial"/>
          <w:b/>
          <w:bCs/>
          <w:sz w:val="18"/>
          <w:szCs w:val="18"/>
        </w:rPr>
      </w:pPr>
      <w:r w:rsidRPr="000B0065">
        <w:rPr>
          <w:rFonts w:ascii="Verdana" w:hAnsi="Verdana" w:cs="Arial"/>
          <w:b/>
          <w:bCs/>
          <w:sz w:val="18"/>
          <w:szCs w:val="18"/>
        </w:rPr>
        <w:t>9</w:t>
      </w:r>
      <w:r w:rsidRPr="004E717B" w:rsidR="00617833">
        <w:rPr>
          <w:rFonts w:ascii="Verdana" w:hAnsi="Verdana" w:cs="Arial"/>
          <w:b/>
          <w:bCs/>
          <w:sz w:val="18"/>
          <w:szCs w:val="18"/>
        </w:rPr>
        <w:t>. Consultatie</w:t>
      </w:r>
    </w:p>
    <w:p w:rsidR="00617833" w:rsidP="006424AD" w:rsidRDefault="00F339FF" w14:paraId="1960FA05" w14:textId="67E1DBBF">
      <w:pPr>
        <w:autoSpaceDE w:val="0"/>
        <w:autoSpaceDN w:val="0"/>
        <w:adjustRightInd w:val="0"/>
        <w:spacing w:after="0" w:line="240" w:lineRule="auto"/>
        <w:rPr>
          <w:rFonts w:ascii="Verdana" w:hAnsi="Verdana" w:cs="Arial"/>
          <w:sz w:val="18"/>
          <w:szCs w:val="18"/>
        </w:rPr>
      </w:pPr>
      <w:r w:rsidRPr="000B0065">
        <w:rPr>
          <w:rFonts w:ascii="Verdana" w:hAnsi="Verdana" w:cs="Arial"/>
          <w:sz w:val="18"/>
          <w:szCs w:val="18"/>
        </w:rPr>
        <w:t xml:space="preserve">Van 19 december 2024 tot en met 31 januari 2025 is het ontwerp voor de wijziging van het </w:t>
      </w:r>
      <w:r w:rsidRPr="000B0065" w:rsidR="00770643">
        <w:rPr>
          <w:rFonts w:ascii="Verdana" w:hAnsi="Verdana" w:cs="Arial"/>
          <w:sz w:val="18"/>
          <w:szCs w:val="18"/>
        </w:rPr>
        <w:t>B</w:t>
      </w:r>
      <w:r w:rsidRPr="000B0065">
        <w:rPr>
          <w:rFonts w:ascii="Verdana" w:hAnsi="Verdana" w:cs="Arial"/>
          <w:sz w:val="18"/>
          <w:szCs w:val="18"/>
        </w:rPr>
        <w:t xml:space="preserve">esluit toepassingsbereik sensitieve technologie onder de Wet vifo </w:t>
      </w:r>
      <w:r w:rsidRPr="004E717B">
        <w:rPr>
          <w:rFonts w:ascii="Verdana" w:hAnsi="Verdana" w:eastAsia="CIDFont+F1" w:cs="CIDFont+F1"/>
          <w:sz w:val="18"/>
          <w:szCs w:val="18"/>
        </w:rPr>
        <w:t>opengesteld voor</w:t>
      </w:r>
      <w:r w:rsidR="00EC092D">
        <w:rPr>
          <w:rFonts w:ascii="Verdana" w:hAnsi="Verdana" w:eastAsia="CIDFont+F1" w:cs="CIDFont+F1"/>
          <w:sz w:val="18"/>
          <w:szCs w:val="18"/>
        </w:rPr>
        <w:t xml:space="preserve"> </w:t>
      </w:r>
      <w:r w:rsidRPr="004E717B">
        <w:rPr>
          <w:rFonts w:ascii="Verdana" w:hAnsi="Verdana" w:eastAsia="CIDFont+F1" w:cs="CIDFont+F1"/>
          <w:sz w:val="18"/>
          <w:szCs w:val="18"/>
        </w:rPr>
        <w:t>internetconsultatie</w:t>
      </w:r>
      <w:r w:rsidRPr="000B0065">
        <w:rPr>
          <w:rFonts w:ascii="Verdana" w:hAnsi="Verdana" w:cs="Arial"/>
          <w:sz w:val="18"/>
          <w:szCs w:val="18"/>
        </w:rPr>
        <w:t>. Hierop zijn openbare reacties ontvangen van Plantum, VNO-</w:t>
      </w:r>
      <w:r w:rsidRPr="000B0065" w:rsidR="00DA21EC">
        <w:rPr>
          <w:rFonts w:ascii="Verdana" w:hAnsi="Verdana" w:cs="Arial"/>
          <w:sz w:val="18"/>
          <w:szCs w:val="18"/>
        </w:rPr>
        <w:t>N</w:t>
      </w:r>
      <w:r w:rsidRPr="000B0065">
        <w:rPr>
          <w:rFonts w:ascii="Verdana" w:hAnsi="Verdana" w:cs="Arial"/>
          <w:sz w:val="18"/>
          <w:szCs w:val="18"/>
        </w:rPr>
        <w:t>CW</w:t>
      </w:r>
      <w:r w:rsidRPr="000B0065" w:rsidR="00F1664E">
        <w:rPr>
          <w:rFonts w:ascii="Verdana" w:hAnsi="Verdana" w:cs="Arial"/>
          <w:sz w:val="18"/>
          <w:szCs w:val="18"/>
        </w:rPr>
        <w:t xml:space="preserve"> en de FME en </w:t>
      </w:r>
      <w:r w:rsidRPr="000B0065">
        <w:rPr>
          <w:rFonts w:ascii="Verdana" w:hAnsi="Verdana" w:cs="Arial"/>
          <w:sz w:val="18"/>
          <w:szCs w:val="18"/>
        </w:rPr>
        <w:t>drie anonieme reacties. Hieronder word</w:t>
      </w:r>
      <w:r w:rsidRPr="000B0065" w:rsidR="00DA21EC">
        <w:rPr>
          <w:rFonts w:ascii="Verdana" w:hAnsi="Verdana" w:cs="Arial"/>
          <w:sz w:val="18"/>
          <w:szCs w:val="18"/>
        </w:rPr>
        <w:t>t</w:t>
      </w:r>
      <w:r w:rsidRPr="000B0065">
        <w:rPr>
          <w:rFonts w:ascii="Verdana" w:hAnsi="Verdana" w:cs="Arial"/>
          <w:sz w:val="18"/>
          <w:szCs w:val="18"/>
        </w:rPr>
        <w:t xml:space="preserve"> de reacties ingegaan</w:t>
      </w:r>
      <w:r w:rsidRPr="000B0065" w:rsidR="009F5596">
        <w:rPr>
          <w:rFonts w:ascii="Verdana" w:hAnsi="Verdana" w:cs="Arial"/>
          <w:sz w:val="18"/>
          <w:szCs w:val="18"/>
        </w:rPr>
        <w:t xml:space="preserve"> en </w:t>
      </w:r>
      <w:r w:rsidRPr="000B0065" w:rsidR="00DA21EC">
        <w:rPr>
          <w:rFonts w:ascii="Verdana" w:hAnsi="Verdana" w:cs="Arial"/>
          <w:sz w:val="18"/>
          <w:szCs w:val="18"/>
        </w:rPr>
        <w:t xml:space="preserve">toegelicht </w:t>
      </w:r>
      <w:r w:rsidRPr="000B0065" w:rsidR="009F5596">
        <w:rPr>
          <w:rFonts w:ascii="Verdana" w:hAnsi="Verdana" w:cs="Arial"/>
          <w:sz w:val="18"/>
          <w:szCs w:val="18"/>
        </w:rPr>
        <w:t>op welke wijze</w:t>
      </w:r>
      <w:r w:rsidRPr="000B0065" w:rsidR="00F1664E">
        <w:rPr>
          <w:rFonts w:ascii="Verdana" w:hAnsi="Verdana" w:cs="Arial"/>
          <w:sz w:val="18"/>
          <w:szCs w:val="18"/>
        </w:rPr>
        <w:t xml:space="preserve"> hieraan </w:t>
      </w:r>
      <w:r w:rsidRPr="000B0065" w:rsidR="009F5596">
        <w:rPr>
          <w:rFonts w:ascii="Verdana" w:hAnsi="Verdana" w:cs="Arial"/>
          <w:sz w:val="18"/>
          <w:szCs w:val="18"/>
        </w:rPr>
        <w:t>opvolging is gegeven</w:t>
      </w:r>
      <w:r w:rsidRPr="000B0065">
        <w:rPr>
          <w:rFonts w:ascii="Verdana" w:hAnsi="Verdana" w:cs="Arial"/>
          <w:sz w:val="18"/>
          <w:szCs w:val="18"/>
        </w:rPr>
        <w:t>.</w:t>
      </w:r>
    </w:p>
    <w:p w:rsidRPr="000B0065" w:rsidR="001109CA" w:rsidP="006424AD" w:rsidRDefault="001109CA" w14:paraId="1E3B34D6" w14:textId="77777777">
      <w:pPr>
        <w:autoSpaceDE w:val="0"/>
        <w:autoSpaceDN w:val="0"/>
        <w:adjustRightInd w:val="0"/>
        <w:spacing w:after="0" w:line="240" w:lineRule="auto"/>
        <w:rPr>
          <w:rFonts w:ascii="Verdana" w:hAnsi="Verdana" w:cs="Arial"/>
          <w:sz w:val="18"/>
          <w:szCs w:val="18"/>
        </w:rPr>
      </w:pPr>
    </w:p>
    <w:p w:rsidRPr="000B0065" w:rsidR="00C05BFB" w:rsidP="006424AD" w:rsidRDefault="00F339FF" w14:paraId="4434F8BF" w14:textId="5A1A4B5B">
      <w:pPr>
        <w:rPr>
          <w:rFonts w:ascii="Verdana" w:hAnsi="Verdana" w:cs="Arial"/>
          <w:sz w:val="18"/>
          <w:szCs w:val="18"/>
        </w:rPr>
      </w:pPr>
      <w:r w:rsidRPr="000B0065">
        <w:rPr>
          <w:rFonts w:ascii="Verdana" w:hAnsi="Verdana" w:cs="Arial"/>
          <w:sz w:val="18"/>
          <w:szCs w:val="18"/>
        </w:rPr>
        <w:t>VNO-NCW en Plantum</w:t>
      </w:r>
      <w:r w:rsidRPr="000B0065" w:rsidR="00AC260C">
        <w:rPr>
          <w:rFonts w:ascii="Verdana" w:hAnsi="Verdana" w:cs="Arial"/>
          <w:sz w:val="18"/>
          <w:szCs w:val="18"/>
        </w:rPr>
        <w:t xml:space="preserve"> </w:t>
      </w:r>
      <w:r w:rsidR="003E25F2">
        <w:rPr>
          <w:rFonts w:ascii="Verdana" w:hAnsi="Verdana" w:cs="Arial"/>
          <w:sz w:val="18"/>
          <w:szCs w:val="18"/>
        </w:rPr>
        <w:t>hebben vragen gesteld over de</w:t>
      </w:r>
      <w:r w:rsidRPr="000B0065">
        <w:rPr>
          <w:rFonts w:ascii="Verdana" w:hAnsi="Verdana" w:cs="Arial"/>
          <w:sz w:val="18"/>
          <w:szCs w:val="18"/>
        </w:rPr>
        <w:t xml:space="preserve"> </w:t>
      </w:r>
      <w:r w:rsidRPr="000B0065" w:rsidR="00AC260C">
        <w:rPr>
          <w:rFonts w:ascii="Verdana" w:hAnsi="Verdana" w:cs="Arial"/>
          <w:sz w:val="18"/>
          <w:szCs w:val="18"/>
        </w:rPr>
        <w:t xml:space="preserve">voorgestelde </w:t>
      </w:r>
      <w:r w:rsidRPr="000B0065">
        <w:rPr>
          <w:rFonts w:ascii="Verdana" w:hAnsi="Verdana" w:cs="Arial"/>
          <w:sz w:val="18"/>
          <w:szCs w:val="18"/>
        </w:rPr>
        <w:t xml:space="preserve">afbakening van biotechnologie </w:t>
      </w:r>
      <w:r w:rsidRPr="000B0065" w:rsidR="00024CFF">
        <w:rPr>
          <w:rFonts w:ascii="Verdana" w:hAnsi="Verdana" w:cs="Arial"/>
          <w:sz w:val="18"/>
          <w:szCs w:val="18"/>
        </w:rPr>
        <w:t>(AST 7)</w:t>
      </w:r>
      <w:r w:rsidRPr="003E25F2" w:rsidR="003E25F2">
        <w:rPr>
          <w:rFonts w:ascii="Verdana" w:hAnsi="Verdana" w:cs="Arial"/>
          <w:sz w:val="18"/>
          <w:szCs w:val="18"/>
        </w:rPr>
        <w:t xml:space="preserve">, met name of enkel </w:t>
      </w:r>
      <w:r w:rsidR="00DE15FC">
        <w:rPr>
          <w:rFonts w:ascii="Verdana" w:hAnsi="Verdana" w:cs="Arial"/>
          <w:sz w:val="18"/>
          <w:szCs w:val="18"/>
        </w:rPr>
        <w:t>groente- en zaadveredeling</w:t>
      </w:r>
      <w:r w:rsidR="009B73DF">
        <w:rPr>
          <w:rFonts w:ascii="Verdana" w:hAnsi="Verdana" w:cs="Arial"/>
          <w:sz w:val="18"/>
          <w:szCs w:val="18"/>
        </w:rPr>
        <w:t>sondernemingen</w:t>
      </w:r>
      <w:r w:rsidRPr="003E25F2" w:rsidR="003E25F2">
        <w:rPr>
          <w:rFonts w:ascii="Verdana" w:hAnsi="Verdana" w:cs="Arial"/>
          <w:sz w:val="18"/>
          <w:szCs w:val="18"/>
        </w:rPr>
        <w:t xml:space="preserve"> die gebruikmaken van de specifieke</w:t>
      </w:r>
      <w:r w:rsidR="00DE15FC">
        <w:rPr>
          <w:rFonts w:ascii="Verdana" w:hAnsi="Verdana" w:cs="Arial"/>
          <w:sz w:val="18"/>
          <w:szCs w:val="18"/>
        </w:rPr>
        <w:t xml:space="preserve"> genoemde</w:t>
      </w:r>
      <w:r w:rsidRPr="003E25F2" w:rsidR="003E25F2">
        <w:rPr>
          <w:rFonts w:ascii="Verdana" w:hAnsi="Verdana" w:cs="Arial"/>
          <w:sz w:val="18"/>
          <w:szCs w:val="18"/>
        </w:rPr>
        <w:t xml:space="preserve"> subtechnologieën – synthetische celtechnologie, stamceltechnologie, </w:t>
      </w:r>
      <w:r w:rsidRPr="006424AD" w:rsidR="003E25F2">
        <w:rPr>
          <w:rFonts w:ascii="Verdana" w:hAnsi="Verdana" w:cs="Arial"/>
          <w:i/>
          <w:iCs/>
          <w:sz w:val="18"/>
          <w:szCs w:val="18"/>
        </w:rPr>
        <w:t>gene editing</w:t>
      </w:r>
      <w:r w:rsidRPr="003E25F2" w:rsidR="003E25F2">
        <w:rPr>
          <w:rFonts w:ascii="Verdana" w:hAnsi="Verdana" w:cs="Arial"/>
          <w:sz w:val="18"/>
          <w:szCs w:val="18"/>
        </w:rPr>
        <w:t xml:space="preserve"> en </w:t>
      </w:r>
      <w:r w:rsidRPr="006424AD" w:rsidR="003E25F2">
        <w:rPr>
          <w:rFonts w:ascii="Verdana" w:hAnsi="Verdana" w:cs="Arial"/>
          <w:i/>
          <w:iCs/>
          <w:sz w:val="18"/>
          <w:szCs w:val="18"/>
        </w:rPr>
        <w:t>genomics</w:t>
      </w:r>
      <w:r w:rsidRPr="003E25F2" w:rsidR="003E25F2">
        <w:rPr>
          <w:rFonts w:ascii="Verdana" w:hAnsi="Verdana" w:cs="Arial"/>
          <w:sz w:val="18"/>
          <w:szCs w:val="18"/>
        </w:rPr>
        <w:t xml:space="preserve"> – onder de Wet vifo </w:t>
      </w:r>
      <w:r w:rsidR="00DE15FC">
        <w:rPr>
          <w:rFonts w:ascii="Verdana" w:hAnsi="Verdana" w:cs="Arial"/>
          <w:sz w:val="18"/>
          <w:szCs w:val="18"/>
        </w:rPr>
        <w:t xml:space="preserve">zullen komen te </w:t>
      </w:r>
      <w:r w:rsidRPr="003E25F2" w:rsidR="003E25F2">
        <w:rPr>
          <w:rFonts w:ascii="Verdana" w:hAnsi="Verdana" w:cs="Arial"/>
          <w:sz w:val="18"/>
          <w:szCs w:val="18"/>
        </w:rPr>
        <w:t>vallen.</w:t>
      </w:r>
      <w:r w:rsidRPr="006424AD" w:rsidR="006A2801">
        <w:rPr>
          <w:rFonts w:ascii="Verdana" w:hAnsi="Verdana" w:cs="Arial"/>
          <w:sz w:val="18"/>
          <w:szCs w:val="18"/>
        </w:rPr>
        <w:t xml:space="preserve"> Ten aanzien hiervan wordt het volgende opgemerkt. </w:t>
      </w:r>
      <w:r w:rsidR="006A2801">
        <w:rPr>
          <w:rFonts w:ascii="Verdana" w:hAnsi="Verdana" w:cs="Arial"/>
          <w:sz w:val="18"/>
          <w:szCs w:val="18"/>
        </w:rPr>
        <w:t>I</w:t>
      </w:r>
      <w:r w:rsidRPr="006A2801" w:rsidR="006A2801">
        <w:rPr>
          <w:rFonts w:ascii="Verdana" w:hAnsi="Verdana" w:cs="Arial"/>
          <w:sz w:val="18"/>
          <w:szCs w:val="18"/>
        </w:rPr>
        <w:t xml:space="preserve">n </w:t>
      </w:r>
      <w:r w:rsidR="006A2801">
        <w:rPr>
          <w:rFonts w:ascii="Verdana" w:hAnsi="Verdana" w:cs="Arial"/>
          <w:sz w:val="18"/>
          <w:szCs w:val="18"/>
        </w:rPr>
        <w:t xml:space="preserve">het wijzizingsbesluit </w:t>
      </w:r>
      <w:r w:rsidRPr="006A2801" w:rsidR="006A2801">
        <w:rPr>
          <w:rFonts w:ascii="Verdana" w:hAnsi="Verdana" w:cs="Arial"/>
          <w:sz w:val="18"/>
          <w:szCs w:val="18"/>
        </w:rPr>
        <w:t xml:space="preserve">is bewust gekozen voor een specifieke afbakening van de subtechnologieën binnen biotechnologie die als ‘zeer sensitief’ worden aangemerkt: synthetische celtechnologie, stamceltechnologie, </w:t>
      </w:r>
      <w:r w:rsidRPr="006424AD" w:rsidR="006A2801">
        <w:rPr>
          <w:rFonts w:ascii="Verdana" w:hAnsi="Verdana" w:cs="Arial"/>
          <w:i/>
          <w:iCs/>
          <w:sz w:val="18"/>
          <w:szCs w:val="18"/>
        </w:rPr>
        <w:t>gene editing</w:t>
      </w:r>
      <w:r w:rsidRPr="006A2801" w:rsidR="006A2801">
        <w:rPr>
          <w:rFonts w:ascii="Verdana" w:hAnsi="Verdana" w:cs="Arial"/>
          <w:sz w:val="18"/>
          <w:szCs w:val="18"/>
        </w:rPr>
        <w:t xml:space="preserve"> en </w:t>
      </w:r>
      <w:r w:rsidRPr="006424AD" w:rsidR="006A2801">
        <w:rPr>
          <w:rFonts w:ascii="Verdana" w:hAnsi="Verdana" w:cs="Arial"/>
          <w:i/>
          <w:iCs/>
          <w:sz w:val="18"/>
          <w:szCs w:val="18"/>
        </w:rPr>
        <w:t>genomics</w:t>
      </w:r>
      <w:r w:rsidRPr="006A2801" w:rsidR="006A2801">
        <w:rPr>
          <w:rFonts w:ascii="Verdana" w:hAnsi="Verdana" w:cs="Arial"/>
          <w:sz w:val="18"/>
          <w:szCs w:val="18"/>
        </w:rPr>
        <w:t xml:space="preserve">. </w:t>
      </w:r>
      <w:r w:rsidR="004E3074">
        <w:rPr>
          <w:rFonts w:ascii="Verdana" w:hAnsi="Verdana" w:cs="Arial"/>
          <w:sz w:val="18"/>
          <w:szCs w:val="18"/>
        </w:rPr>
        <w:t>Dit</w:t>
      </w:r>
      <w:r w:rsidRPr="006A2801" w:rsidR="004E3074">
        <w:rPr>
          <w:rFonts w:ascii="Verdana" w:hAnsi="Verdana" w:cs="Arial"/>
          <w:sz w:val="18"/>
          <w:szCs w:val="18"/>
        </w:rPr>
        <w:t xml:space="preserve"> betekent dat enkel het deel van de groente- en zaadveredeling en de sier- en fruitsector dat gebruikmaakt van de genoemde subtechnologieën onder het toepassingsbereik van de Wet vifo </w:t>
      </w:r>
      <w:r w:rsidR="004E3074">
        <w:rPr>
          <w:rFonts w:ascii="Verdana" w:hAnsi="Verdana" w:cs="Arial"/>
          <w:sz w:val="18"/>
          <w:szCs w:val="18"/>
        </w:rPr>
        <w:t>zullen vallen</w:t>
      </w:r>
      <w:r w:rsidRPr="006A2801" w:rsidR="004E3074">
        <w:rPr>
          <w:rFonts w:ascii="Verdana" w:hAnsi="Verdana" w:cs="Arial"/>
          <w:sz w:val="18"/>
          <w:szCs w:val="18"/>
        </w:rPr>
        <w:t xml:space="preserve">. </w:t>
      </w:r>
      <w:r w:rsidR="009B73DF">
        <w:rPr>
          <w:rFonts w:ascii="Verdana" w:hAnsi="Verdana" w:cs="Arial"/>
          <w:sz w:val="18"/>
          <w:szCs w:val="18"/>
        </w:rPr>
        <w:t>Ondernemingen</w:t>
      </w:r>
      <w:r w:rsidRPr="006A2801" w:rsidR="004E3074">
        <w:rPr>
          <w:rFonts w:ascii="Verdana" w:hAnsi="Verdana" w:cs="Arial"/>
          <w:sz w:val="18"/>
          <w:szCs w:val="18"/>
        </w:rPr>
        <w:t xml:space="preserve"> die deze technologieën niet toepassen, blijven buiten de reikwijdte van de wet. Deze gerichte aanpak zorgt ervoor dat de Wet vifo proportioneel en doeltreffend wordt toegepast, zonder onnodige administratieve lasten voor </w:t>
      </w:r>
      <w:r w:rsidR="009B73DF">
        <w:rPr>
          <w:rFonts w:ascii="Verdana" w:hAnsi="Verdana" w:cs="Arial"/>
          <w:sz w:val="18"/>
          <w:szCs w:val="18"/>
        </w:rPr>
        <w:t xml:space="preserve">ondernemingen </w:t>
      </w:r>
      <w:r w:rsidRPr="006A2801" w:rsidR="004E3074">
        <w:rPr>
          <w:rFonts w:ascii="Verdana" w:hAnsi="Verdana" w:cs="Arial"/>
          <w:sz w:val="18"/>
          <w:szCs w:val="18"/>
        </w:rPr>
        <w:t>die geen risico’s met zich meebrengen voor de nationale veiligheid.</w:t>
      </w:r>
      <w:r w:rsidR="004E3074">
        <w:rPr>
          <w:rFonts w:ascii="Verdana" w:hAnsi="Verdana" w:cs="Arial"/>
          <w:sz w:val="18"/>
          <w:szCs w:val="18"/>
        </w:rPr>
        <w:t xml:space="preserve"> </w:t>
      </w:r>
      <w:r w:rsidRPr="006A2801" w:rsidR="004E3074">
        <w:rPr>
          <w:rFonts w:ascii="Verdana" w:hAnsi="Verdana" w:cs="Arial"/>
          <w:sz w:val="18"/>
          <w:szCs w:val="18"/>
        </w:rPr>
        <w:t xml:space="preserve">Deze keuze is </w:t>
      </w:r>
      <w:r w:rsidR="004E3074">
        <w:rPr>
          <w:rFonts w:ascii="Verdana" w:hAnsi="Verdana" w:cs="Arial"/>
          <w:sz w:val="18"/>
          <w:szCs w:val="18"/>
        </w:rPr>
        <w:t xml:space="preserve">enkel </w:t>
      </w:r>
      <w:r w:rsidRPr="006A2801" w:rsidR="004E3074">
        <w:rPr>
          <w:rFonts w:ascii="Verdana" w:hAnsi="Verdana" w:cs="Arial"/>
          <w:sz w:val="18"/>
          <w:szCs w:val="18"/>
        </w:rPr>
        <w:t xml:space="preserve">gebaseerd op de risico’s die deze </w:t>
      </w:r>
      <w:r w:rsidR="004E3074">
        <w:rPr>
          <w:rFonts w:ascii="Verdana" w:hAnsi="Verdana" w:cs="Arial"/>
          <w:sz w:val="18"/>
          <w:szCs w:val="18"/>
        </w:rPr>
        <w:t>sub-</w:t>
      </w:r>
      <w:r w:rsidRPr="006A2801" w:rsidR="004E3074">
        <w:rPr>
          <w:rFonts w:ascii="Verdana" w:hAnsi="Verdana" w:cs="Arial"/>
          <w:sz w:val="18"/>
          <w:szCs w:val="18"/>
        </w:rPr>
        <w:t>technologieën met zich meebrengen voor de nationale veiligheid</w:t>
      </w:r>
      <w:r w:rsidR="004E3074">
        <w:rPr>
          <w:rFonts w:ascii="Verdana" w:hAnsi="Verdana" w:cs="Arial"/>
          <w:sz w:val="18"/>
          <w:szCs w:val="18"/>
        </w:rPr>
        <w:t xml:space="preserve">. </w:t>
      </w:r>
      <w:r w:rsidRPr="006A2801" w:rsidR="006A2801">
        <w:rPr>
          <w:rFonts w:ascii="Verdana" w:hAnsi="Verdana" w:cs="Arial"/>
          <w:sz w:val="18"/>
          <w:szCs w:val="18"/>
        </w:rPr>
        <w:t xml:space="preserve">De Wet vifo is </w:t>
      </w:r>
      <w:r w:rsidR="004E3074">
        <w:rPr>
          <w:rFonts w:ascii="Verdana" w:hAnsi="Verdana" w:cs="Arial"/>
          <w:sz w:val="18"/>
          <w:szCs w:val="18"/>
        </w:rPr>
        <w:t xml:space="preserve">namelijk </w:t>
      </w:r>
      <w:r w:rsidRPr="006A2801" w:rsidR="006A2801">
        <w:rPr>
          <w:rFonts w:ascii="Verdana" w:hAnsi="Verdana" w:cs="Arial"/>
          <w:sz w:val="18"/>
          <w:szCs w:val="18"/>
        </w:rPr>
        <w:t>uitsluitend gericht op het waarborgen van nationale veiligheid en streeft geen commerciële of economische doelstellingen na.</w:t>
      </w:r>
      <w:r w:rsidR="004E3074">
        <w:rPr>
          <w:rFonts w:ascii="Verdana" w:hAnsi="Verdana" w:cs="Arial"/>
          <w:sz w:val="18"/>
          <w:szCs w:val="18"/>
        </w:rPr>
        <w:t xml:space="preserve"> Dit betekent dat het niet mogelijk is om </w:t>
      </w:r>
      <w:r w:rsidR="00796E23">
        <w:rPr>
          <w:rFonts w:ascii="Verdana" w:hAnsi="Verdana" w:cs="Arial"/>
          <w:sz w:val="18"/>
          <w:szCs w:val="18"/>
        </w:rPr>
        <w:t>op andere gronden de overige</w:t>
      </w:r>
      <w:r w:rsidR="004E3074">
        <w:rPr>
          <w:rFonts w:ascii="Verdana" w:hAnsi="Verdana" w:cs="Arial"/>
          <w:sz w:val="18"/>
          <w:szCs w:val="18"/>
        </w:rPr>
        <w:t xml:space="preserve"> delen van de groente- en zaadveredelingsector </w:t>
      </w:r>
      <w:r w:rsidR="00457244">
        <w:rPr>
          <w:rFonts w:ascii="Verdana" w:hAnsi="Verdana" w:cs="Arial"/>
          <w:sz w:val="18"/>
          <w:szCs w:val="18"/>
        </w:rPr>
        <w:t>(namelijk die niet op het gebied van de genoemde sub-technologieën actief zijn)</w:t>
      </w:r>
      <w:r w:rsidRPr="003E25F2" w:rsidR="004E3074">
        <w:rPr>
          <w:rFonts w:ascii="Verdana" w:hAnsi="Verdana" w:cs="Arial"/>
          <w:sz w:val="18"/>
          <w:szCs w:val="18"/>
        </w:rPr>
        <w:t xml:space="preserve"> </w:t>
      </w:r>
      <w:r w:rsidR="00457244">
        <w:rPr>
          <w:rFonts w:ascii="Verdana" w:hAnsi="Verdana" w:cs="Arial"/>
          <w:sz w:val="18"/>
          <w:szCs w:val="18"/>
        </w:rPr>
        <w:t>toe te voegen aa</w:t>
      </w:r>
      <w:r w:rsidR="00796E23">
        <w:rPr>
          <w:rFonts w:ascii="Verdana" w:hAnsi="Verdana" w:cs="Arial"/>
          <w:sz w:val="18"/>
          <w:szCs w:val="18"/>
        </w:rPr>
        <w:t>n de Wet vifo.</w:t>
      </w:r>
    </w:p>
    <w:p w:rsidRPr="000B0065" w:rsidR="00E848D1" w:rsidP="006424AD" w:rsidRDefault="00D270DF" w14:paraId="6F8F816A" w14:textId="6B2A257F">
      <w:pPr>
        <w:rPr>
          <w:rFonts w:ascii="Verdana" w:hAnsi="Verdana" w:cs="Arial"/>
          <w:sz w:val="18"/>
          <w:szCs w:val="18"/>
        </w:rPr>
      </w:pPr>
      <w:r w:rsidRPr="000B0065">
        <w:rPr>
          <w:rFonts w:ascii="Verdana" w:hAnsi="Verdana" w:cs="Arial"/>
          <w:sz w:val="18"/>
          <w:szCs w:val="18"/>
        </w:rPr>
        <w:t xml:space="preserve">VNO-NCW, Plantum en FME </w:t>
      </w:r>
      <w:r w:rsidRPr="000B0065" w:rsidR="00D2408E">
        <w:rPr>
          <w:rFonts w:ascii="Verdana" w:hAnsi="Verdana" w:cs="Arial"/>
          <w:sz w:val="18"/>
          <w:szCs w:val="18"/>
        </w:rPr>
        <w:t>benadrukken</w:t>
      </w:r>
      <w:r w:rsidRPr="000B0065" w:rsidR="0068261B">
        <w:rPr>
          <w:rFonts w:ascii="Verdana" w:hAnsi="Verdana" w:cs="Arial"/>
          <w:sz w:val="18"/>
          <w:szCs w:val="18"/>
        </w:rPr>
        <w:t xml:space="preserve"> </w:t>
      </w:r>
      <w:r w:rsidRPr="000B0065" w:rsidR="00355392">
        <w:rPr>
          <w:rFonts w:ascii="Verdana" w:hAnsi="Verdana" w:cs="Arial"/>
          <w:sz w:val="18"/>
          <w:szCs w:val="18"/>
        </w:rPr>
        <w:t xml:space="preserve">in hun reactie </w:t>
      </w:r>
      <w:r w:rsidR="004F7984">
        <w:rPr>
          <w:rFonts w:ascii="Verdana" w:hAnsi="Verdana" w:cs="Arial"/>
          <w:sz w:val="18"/>
          <w:szCs w:val="18"/>
        </w:rPr>
        <w:t xml:space="preserve">daarnaast </w:t>
      </w:r>
      <w:r w:rsidRPr="000B0065" w:rsidR="0068261B">
        <w:rPr>
          <w:rFonts w:ascii="Verdana" w:hAnsi="Verdana" w:cs="Arial"/>
          <w:sz w:val="18"/>
          <w:szCs w:val="18"/>
        </w:rPr>
        <w:t>het belang van korte</w:t>
      </w:r>
      <w:r w:rsidRPr="000B0065">
        <w:rPr>
          <w:rFonts w:ascii="Verdana" w:hAnsi="Verdana" w:cs="Arial"/>
          <w:sz w:val="18"/>
          <w:szCs w:val="18"/>
        </w:rPr>
        <w:t xml:space="preserve"> doorlooptijden van beoordeling van meldingen en het eventueel toetsen van </w:t>
      </w:r>
      <w:r w:rsidRPr="000B0065" w:rsidR="002655F9">
        <w:rPr>
          <w:rFonts w:ascii="Verdana" w:hAnsi="Verdana" w:cs="Arial"/>
          <w:sz w:val="18"/>
          <w:szCs w:val="18"/>
        </w:rPr>
        <w:t xml:space="preserve">verwervingsactiviteiten </w:t>
      </w:r>
      <w:r w:rsidRPr="000B0065">
        <w:rPr>
          <w:rFonts w:ascii="Verdana" w:hAnsi="Verdana" w:cs="Arial"/>
          <w:sz w:val="18"/>
          <w:szCs w:val="18"/>
        </w:rPr>
        <w:t>door het BTI</w:t>
      </w:r>
      <w:r w:rsidRPr="000B0065" w:rsidR="0068261B">
        <w:rPr>
          <w:rFonts w:ascii="Verdana" w:hAnsi="Verdana" w:cs="Arial"/>
          <w:sz w:val="18"/>
          <w:szCs w:val="18"/>
        </w:rPr>
        <w:t xml:space="preserve"> voor het investeringsklimaat</w:t>
      </w:r>
      <w:r w:rsidRPr="000B0065" w:rsidR="00CD2C1E">
        <w:rPr>
          <w:rFonts w:ascii="Verdana" w:hAnsi="Verdana" w:cs="Arial"/>
          <w:sz w:val="18"/>
          <w:szCs w:val="18"/>
        </w:rPr>
        <w:t xml:space="preserve">. </w:t>
      </w:r>
      <w:r w:rsidRPr="000B0065" w:rsidR="0068261B">
        <w:rPr>
          <w:rFonts w:ascii="Verdana" w:hAnsi="Verdana" w:cs="Arial"/>
          <w:sz w:val="18"/>
          <w:szCs w:val="18"/>
        </w:rPr>
        <w:t xml:space="preserve">Bij ontwikkeling van de </w:t>
      </w:r>
      <w:r w:rsidRPr="000B0065">
        <w:rPr>
          <w:rFonts w:ascii="Verdana" w:hAnsi="Verdana" w:cs="Arial"/>
          <w:sz w:val="18"/>
          <w:szCs w:val="18"/>
        </w:rPr>
        <w:t xml:space="preserve">Wet vifo </w:t>
      </w:r>
      <w:r w:rsidRPr="000B0065" w:rsidR="000836F5">
        <w:rPr>
          <w:rFonts w:ascii="Verdana" w:hAnsi="Verdana" w:cs="Arial"/>
          <w:sz w:val="18"/>
          <w:szCs w:val="18"/>
        </w:rPr>
        <w:t>is</w:t>
      </w:r>
      <w:r w:rsidRPr="000B0065" w:rsidR="0068261B">
        <w:rPr>
          <w:rFonts w:ascii="Verdana" w:hAnsi="Verdana" w:cs="Arial"/>
          <w:sz w:val="18"/>
          <w:szCs w:val="18"/>
        </w:rPr>
        <w:t xml:space="preserve"> ervoor gekozen om</w:t>
      </w:r>
      <w:r w:rsidRPr="000B0065" w:rsidR="00EA2E3E">
        <w:rPr>
          <w:rFonts w:ascii="Verdana" w:hAnsi="Verdana" w:cs="Arial"/>
          <w:sz w:val="18"/>
          <w:szCs w:val="18"/>
        </w:rPr>
        <w:t xml:space="preserve">wille van de </w:t>
      </w:r>
      <w:r w:rsidRPr="000B0065" w:rsidR="00600086">
        <w:rPr>
          <w:rFonts w:ascii="Verdana" w:hAnsi="Verdana" w:cs="Arial"/>
          <w:sz w:val="18"/>
          <w:szCs w:val="18"/>
        </w:rPr>
        <w:t>transparant</w:t>
      </w:r>
      <w:r w:rsidRPr="000B0065" w:rsidR="00EA2E3E">
        <w:rPr>
          <w:rFonts w:ascii="Verdana" w:hAnsi="Verdana" w:cs="Arial"/>
          <w:sz w:val="18"/>
          <w:szCs w:val="18"/>
        </w:rPr>
        <w:t>ie en rechtszekerheid</w:t>
      </w:r>
      <w:r w:rsidRPr="000B0065" w:rsidR="00E848D1">
        <w:rPr>
          <w:rFonts w:ascii="Verdana" w:hAnsi="Verdana" w:cs="Arial"/>
          <w:sz w:val="18"/>
          <w:szCs w:val="18"/>
        </w:rPr>
        <w:t xml:space="preserve"> </w:t>
      </w:r>
      <w:r w:rsidRPr="000B0065">
        <w:rPr>
          <w:rFonts w:ascii="Verdana" w:hAnsi="Verdana" w:cs="Arial"/>
          <w:sz w:val="18"/>
          <w:szCs w:val="18"/>
        </w:rPr>
        <w:t>de maximale termijnen</w:t>
      </w:r>
      <w:r w:rsidRPr="000B0065" w:rsidR="00AA514D">
        <w:rPr>
          <w:rFonts w:ascii="Verdana" w:hAnsi="Verdana" w:cs="Arial"/>
          <w:sz w:val="18"/>
          <w:szCs w:val="18"/>
        </w:rPr>
        <w:t xml:space="preserve"> voor afhandeling van meldingen en investeringstoetsen</w:t>
      </w:r>
      <w:r w:rsidRPr="000B0065" w:rsidR="000836F5">
        <w:rPr>
          <w:rFonts w:ascii="Verdana" w:hAnsi="Verdana" w:cs="Arial"/>
          <w:sz w:val="18"/>
          <w:szCs w:val="18"/>
        </w:rPr>
        <w:t xml:space="preserve"> </w:t>
      </w:r>
      <w:r w:rsidRPr="000B0065" w:rsidR="00E848D1">
        <w:rPr>
          <w:rFonts w:ascii="Verdana" w:hAnsi="Verdana" w:cs="Arial"/>
          <w:sz w:val="18"/>
          <w:szCs w:val="18"/>
        </w:rPr>
        <w:t xml:space="preserve">in de </w:t>
      </w:r>
      <w:r w:rsidRPr="000B0065" w:rsidR="00355392">
        <w:rPr>
          <w:rFonts w:ascii="Verdana" w:hAnsi="Verdana" w:cs="Arial"/>
          <w:sz w:val="18"/>
          <w:szCs w:val="18"/>
        </w:rPr>
        <w:t>W</w:t>
      </w:r>
      <w:r w:rsidRPr="000B0065" w:rsidR="00E848D1">
        <w:rPr>
          <w:rFonts w:ascii="Verdana" w:hAnsi="Verdana" w:cs="Arial"/>
          <w:sz w:val="18"/>
          <w:szCs w:val="18"/>
        </w:rPr>
        <w:t xml:space="preserve">et </w:t>
      </w:r>
      <w:r w:rsidRPr="000B0065" w:rsidR="00355392">
        <w:rPr>
          <w:rFonts w:ascii="Verdana" w:hAnsi="Verdana" w:cs="Arial"/>
          <w:sz w:val="18"/>
          <w:szCs w:val="18"/>
        </w:rPr>
        <w:t xml:space="preserve">vifo op </w:t>
      </w:r>
      <w:r w:rsidRPr="000B0065" w:rsidR="00E848D1">
        <w:rPr>
          <w:rFonts w:ascii="Verdana" w:hAnsi="Verdana" w:cs="Arial"/>
          <w:sz w:val="18"/>
          <w:szCs w:val="18"/>
        </w:rPr>
        <w:t>te nemen</w:t>
      </w:r>
      <w:r w:rsidRPr="000B0065" w:rsidR="000836F5">
        <w:rPr>
          <w:rFonts w:ascii="Verdana" w:hAnsi="Verdana" w:cs="Arial"/>
          <w:sz w:val="18"/>
          <w:szCs w:val="18"/>
        </w:rPr>
        <w:t>.</w:t>
      </w:r>
      <w:r w:rsidRPr="000B0065" w:rsidR="0068261B">
        <w:rPr>
          <w:rFonts w:ascii="Verdana" w:hAnsi="Verdana" w:cs="Arial"/>
          <w:sz w:val="18"/>
          <w:szCs w:val="18"/>
        </w:rPr>
        <w:t xml:space="preserve"> </w:t>
      </w:r>
      <w:r w:rsidRPr="000B0065" w:rsidR="00E848D1">
        <w:rPr>
          <w:rFonts w:ascii="Verdana" w:hAnsi="Verdana" w:cs="Arial"/>
          <w:sz w:val="18"/>
          <w:szCs w:val="18"/>
        </w:rPr>
        <w:t xml:space="preserve">Met </w:t>
      </w:r>
      <w:r w:rsidRPr="000B0065" w:rsidR="0068261B">
        <w:rPr>
          <w:rFonts w:ascii="Verdana" w:hAnsi="Verdana" w:cs="Arial"/>
          <w:sz w:val="18"/>
          <w:szCs w:val="18"/>
        </w:rPr>
        <w:t xml:space="preserve">de opgebouwde ervaring van de afgelopen jaren </w:t>
      </w:r>
      <w:r w:rsidRPr="000B0065" w:rsidR="00355392">
        <w:rPr>
          <w:rFonts w:ascii="Verdana" w:hAnsi="Verdana" w:cs="Arial"/>
          <w:sz w:val="18"/>
          <w:szCs w:val="18"/>
        </w:rPr>
        <w:t>kan</w:t>
      </w:r>
      <w:r w:rsidRPr="000B0065" w:rsidR="0068261B">
        <w:rPr>
          <w:rFonts w:ascii="Verdana" w:hAnsi="Verdana" w:cs="Arial"/>
          <w:sz w:val="18"/>
          <w:szCs w:val="18"/>
        </w:rPr>
        <w:t xml:space="preserve"> het BTI tegenwoordig </w:t>
      </w:r>
      <w:r w:rsidR="00194F5B">
        <w:rPr>
          <w:rFonts w:ascii="Verdana" w:hAnsi="Verdana" w:cs="Arial"/>
          <w:sz w:val="18"/>
          <w:szCs w:val="18"/>
        </w:rPr>
        <w:t xml:space="preserve">veelal </w:t>
      </w:r>
      <w:r w:rsidRPr="000B0065" w:rsidR="0068261B">
        <w:rPr>
          <w:rFonts w:ascii="Verdana" w:hAnsi="Verdana" w:cs="Arial"/>
          <w:sz w:val="18"/>
          <w:szCs w:val="18"/>
        </w:rPr>
        <w:t xml:space="preserve">sneller risico’s bij meldingen herkennen waardoor transacties sneller kunnen worden afgehandeld en efficiënter kan worden gewerkt. </w:t>
      </w:r>
      <w:r w:rsidRPr="000B0065" w:rsidR="0042078A">
        <w:rPr>
          <w:rFonts w:ascii="Verdana" w:hAnsi="Verdana" w:cs="Arial"/>
          <w:sz w:val="18"/>
          <w:szCs w:val="18"/>
        </w:rPr>
        <w:t xml:space="preserve">In </w:t>
      </w:r>
      <w:r w:rsidRPr="000B0065" w:rsidR="00E848D1">
        <w:rPr>
          <w:rFonts w:ascii="Verdana" w:hAnsi="Verdana" w:cs="Arial"/>
          <w:sz w:val="18"/>
          <w:szCs w:val="18"/>
        </w:rPr>
        <w:t xml:space="preserve">paragraaf 8 </w:t>
      </w:r>
      <w:r w:rsidRPr="000B0065" w:rsidR="0042078A">
        <w:rPr>
          <w:rFonts w:ascii="Verdana" w:hAnsi="Verdana" w:cs="Arial"/>
          <w:sz w:val="18"/>
          <w:szCs w:val="18"/>
        </w:rPr>
        <w:t>is reeds toegelicht dat het BTI het wijzigingsvoorstel uitvoerbaar en handhaafbaar acht. De capaciteit en ontwikkeling van het BTI is een blijvend punt van aandacht</w:t>
      </w:r>
      <w:r w:rsidRPr="000B0065" w:rsidR="003E677F">
        <w:rPr>
          <w:rFonts w:ascii="Verdana" w:hAnsi="Verdana" w:cs="Arial"/>
          <w:sz w:val="18"/>
          <w:szCs w:val="18"/>
        </w:rPr>
        <w:t xml:space="preserve"> voor dit </w:t>
      </w:r>
      <w:r w:rsidR="003C228C">
        <w:rPr>
          <w:rFonts w:ascii="Verdana" w:hAnsi="Verdana" w:cs="Arial"/>
          <w:sz w:val="18"/>
          <w:szCs w:val="18"/>
        </w:rPr>
        <w:t>k</w:t>
      </w:r>
      <w:r w:rsidRPr="000B0065" w:rsidR="003E677F">
        <w:rPr>
          <w:rFonts w:ascii="Verdana" w:hAnsi="Verdana" w:cs="Arial"/>
          <w:sz w:val="18"/>
          <w:szCs w:val="18"/>
        </w:rPr>
        <w:t>abinet</w:t>
      </w:r>
      <w:r w:rsidRPr="000B0065" w:rsidR="0042078A">
        <w:rPr>
          <w:rFonts w:ascii="Verdana" w:hAnsi="Verdana" w:cs="Arial"/>
          <w:sz w:val="18"/>
          <w:szCs w:val="18"/>
        </w:rPr>
        <w:t xml:space="preserve"> </w:t>
      </w:r>
      <w:r w:rsidRPr="000B0065" w:rsidR="003E677F">
        <w:rPr>
          <w:rFonts w:ascii="Verdana" w:hAnsi="Verdana" w:cs="Arial"/>
          <w:sz w:val="18"/>
          <w:szCs w:val="18"/>
        </w:rPr>
        <w:t xml:space="preserve">om een </w:t>
      </w:r>
      <w:r w:rsidRPr="000B0065" w:rsidR="006E08C1">
        <w:rPr>
          <w:rFonts w:ascii="Verdana" w:hAnsi="Verdana" w:cs="Arial"/>
          <w:sz w:val="18"/>
          <w:szCs w:val="18"/>
        </w:rPr>
        <w:t>efficiënte</w:t>
      </w:r>
      <w:r w:rsidRPr="000B0065" w:rsidR="003E677F">
        <w:rPr>
          <w:rFonts w:ascii="Verdana" w:hAnsi="Verdana" w:cs="Arial"/>
          <w:sz w:val="18"/>
          <w:szCs w:val="18"/>
        </w:rPr>
        <w:t xml:space="preserve"> en effectieve </w:t>
      </w:r>
      <w:r w:rsidRPr="000B0065" w:rsidR="0042078A">
        <w:rPr>
          <w:rFonts w:ascii="Verdana" w:hAnsi="Verdana" w:cs="Arial"/>
          <w:sz w:val="18"/>
          <w:szCs w:val="18"/>
        </w:rPr>
        <w:t>uitvoering van de Wet vifo</w:t>
      </w:r>
      <w:r w:rsidRPr="000B0065" w:rsidR="003E677F">
        <w:rPr>
          <w:rFonts w:ascii="Verdana" w:hAnsi="Verdana" w:cs="Arial"/>
          <w:sz w:val="18"/>
          <w:szCs w:val="18"/>
        </w:rPr>
        <w:t xml:space="preserve"> te waarborgen</w:t>
      </w:r>
      <w:r w:rsidRPr="000B0065" w:rsidR="0042078A">
        <w:rPr>
          <w:rFonts w:ascii="Verdana" w:hAnsi="Verdana" w:cs="Arial"/>
          <w:sz w:val="18"/>
          <w:szCs w:val="18"/>
        </w:rPr>
        <w:t xml:space="preserve">. </w:t>
      </w:r>
    </w:p>
    <w:p w:rsidRPr="000B0065" w:rsidR="00CD2C1E" w:rsidP="006424AD" w:rsidRDefault="00E848D1" w14:paraId="3282D5C0" w14:textId="6D27FB3B">
      <w:pPr>
        <w:rPr>
          <w:rFonts w:ascii="Verdana" w:hAnsi="Verdana" w:cs="Arial"/>
          <w:sz w:val="18"/>
          <w:szCs w:val="18"/>
        </w:rPr>
      </w:pPr>
      <w:r w:rsidRPr="000B0065">
        <w:rPr>
          <w:rFonts w:ascii="Verdana" w:hAnsi="Verdana" w:cs="Arial"/>
          <w:sz w:val="18"/>
          <w:szCs w:val="18"/>
        </w:rPr>
        <w:t xml:space="preserve">Om de regeldruk te beperken is </w:t>
      </w:r>
      <w:r w:rsidRPr="000B0065" w:rsidR="00C065BA">
        <w:rPr>
          <w:rFonts w:ascii="Verdana" w:hAnsi="Verdana" w:cs="Arial"/>
          <w:sz w:val="18"/>
          <w:szCs w:val="18"/>
        </w:rPr>
        <w:t xml:space="preserve">door een anonieme respondent en FME voorgesteld om </w:t>
      </w:r>
      <w:r w:rsidR="00B45319">
        <w:rPr>
          <w:rFonts w:ascii="Verdana" w:hAnsi="Verdana" w:cs="Arial"/>
          <w:sz w:val="18"/>
          <w:szCs w:val="18"/>
        </w:rPr>
        <w:t>ondernemingen</w:t>
      </w:r>
      <w:r w:rsidRPr="000B0065" w:rsidDel="00B45319" w:rsidR="00B45319">
        <w:rPr>
          <w:rFonts w:ascii="Verdana" w:hAnsi="Verdana" w:cs="Arial"/>
          <w:sz w:val="18"/>
          <w:szCs w:val="18"/>
        </w:rPr>
        <w:t xml:space="preserve"> </w:t>
      </w:r>
      <w:r w:rsidRPr="000B0065" w:rsidR="00C065BA">
        <w:rPr>
          <w:rFonts w:ascii="Verdana" w:hAnsi="Verdana" w:cs="Arial"/>
          <w:sz w:val="18"/>
          <w:szCs w:val="18"/>
        </w:rPr>
        <w:t xml:space="preserve">zonder een concrete </w:t>
      </w:r>
      <w:r w:rsidR="00927A10">
        <w:rPr>
          <w:rFonts w:ascii="Verdana" w:hAnsi="Verdana" w:cs="Arial"/>
          <w:sz w:val="18"/>
          <w:szCs w:val="18"/>
        </w:rPr>
        <w:t>voorgenomen verwervingsactiviteit</w:t>
      </w:r>
      <w:r w:rsidRPr="000B0065" w:rsidR="00927A10">
        <w:rPr>
          <w:rFonts w:ascii="Verdana" w:hAnsi="Verdana" w:cs="Arial"/>
          <w:sz w:val="18"/>
          <w:szCs w:val="18"/>
        </w:rPr>
        <w:t xml:space="preserve"> </w:t>
      </w:r>
      <w:r w:rsidRPr="000B0065" w:rsidR="00C065BA">
        <w:rPr>
          <w:rFonts w:ascii="Verdana" w:hAnsi="Verdana" w:cs="Arial"/>
          <w:sz w:val="18"/>
          <w:szCs w:val="18"/>
        </w:rPr>
        <w:t>de mogelijkheid te bieden om een bindende mening te krijgen of haar bedrijfsactiviteiten binnen de reikwijdte van de Wet vifo val</w:t>
      </w:r>
      <w:r w:rsidR="00F95949">
        <w:rPr>
          <w:rFonts w:ascii="Verdana" w:hAnsi="Verdana" w:cs="Arial"/>
          <w:sz w:val="18"/>
          <w:szCs w:val="18"/>
        </w:rPr>
        <w:t>len</w:t>
      </w:r>
      <w:r w:rsidRPr="000B0065" w:rsidR="00C065BA">
        <w:rPr>
          <w:rFonts w:ascii="Verdana" w:hAnsi="Verdana" w:cs="Arial"/>
          <w:sz w:val="18"/>
          <w:szCs w:val="18"/>
        </w:rPr>
        <w:t xml:space="preserve">. Dit is </w:t>
      </w:r>
      <w:r w:rsidR="00927A10">
        <w:rPr>
          <w:rFonts w:ascii="Verdana" w:hAnsi="Verdana" w:cs="Arial"/>
          <w:sz w:val="18"/>
          <w:szCs w:val="18"/>
        </w:rPr>
        <w:t xml:space="preserve">op basis van de huidige systematiek van de Wet vifo </w:t>
      </w:r>
      <w:r w:rsidRPr="000B0065" w:rsidR="00C065BA">
        <w:rPr>
          <w:rFonts w:ascii="Verdana" w:hAnsi="Verdana" w:cs="Arial"/>
          <w:sz w:val="18"/>
          <w:szCs w:val="18"/>
        </w:rPr>
        <w:t>echter niet mogelijk</w:t>
      </w:r>
      <w:r w:rsidR="008B6557">
        <w:rPr>
          <w:rFonts w:ascii="Verdana" w:hAnsi="Verdana" w:cs="Arial"/>
          <w:sz w:val="18"/>
          <w:szCs w:val="18"/>
        </w:rPr>
        <w:t xml:space="preserve">; het </w:t>
      </w:r>
      <w:r w:rsidRPr="000B0065" w:rsidR="003E677F">
        <w:rPr>
          <w:rFonts w:ascii="Verdana" w:hAnsi="Verdana" w:cs="Arial"/>
          <w:sz w:val="18"/>
          <w:szCs w:val="18"/>
        </w:rPr>
        <w:t>BTI</w:t>
      </w:r>
      <w:r w:rsidRPr="000B0065" w:rsidR="00C065BA">
        <w:rPr>
          <w:rFonts w:ascii="Verdana" w:hAnsi="Verdana" w:cs="Arial"/>
          <w:sz w:val="18"/>
          <w:szCs w:val="18"/>
        </w:rPr>
        <w:t xml:space="preserve"> </w:t>
      </w:r>
      <w:r w:rsidR="008B6557">
        <w:rPr>
          <w:rFonts w:ascii="Verdana" w:hAnsi="Verdana" w:cs="Arial"/>
          <w:sz w:val="18"/>
          <w:szCs w:val="18"/>
        </w:rPr>
        <w:t xml:space="preserve">kan geen oordeel vellen </w:t>
      </w:r>
      <w:r w:rsidRPr="000B0065" w:rsidR="00C065BA">
        <w:rPr>
          <w:rFonts w:ascii="Verdana" w:hAnsi="Verdana" w:cs="Arial"/>
          <w:sz w:val="18"/>
          <w:szCs w:val="18"/>
        </w:rPr>
        <w:t xml:space="preserve">zonder een formele melding onder de Wet vifo. </w:t>
      </w:r>
      <w:r w:rsidRPr="000B0065" w:rsidR="006E08C1">
        <w:rPr>
          <w:rFonts w:ascii="Verdana" w:hAnsi="Verdana" w:cs="Arial"/>
          <w:sz w:val="18"/>
          <w:szCs w:val="18"/>
        </w:rPr>
        <w:t>Het BTI biedt verwervers en doelondernemingen wel de mogelijkheid een niet</w:t>
      </w:r>
      <w:r w:rsidR="008B6557">
        <w:rPr>
          <w:rFonts w:ascii="Verdana" w:hAnsi="Verdana" w:cs="Arial"/>
          <w:sz w:val="18"/>
          <w:szCs w:val="18"/>
        </w:rPr>
        <w:t>-</w:t>
      </w:r>
      <w:r w:rsidRPr="000B0065" w:rsidR="006E08C1">
        <w:rPr>
          <w:rFonts w:ascii="Verdana" w:hAnsi="Verdana" w:cs="Arial"/>
          <w:sz w:val="18"/>
          <w:szCs w:val="18"/>
        </w:rPr>
        <w:t>bindend</w:t>
      </w:r>
      <w:r w:rsidR="008B6557">
        <w:rPr>
          <w:rFonts w:ascii="Verdana" w:hAnsi="Verdana" w:cs="Arial"/>
          <w:sz w:val="18"/>
          <w:szCs w:val="18"/>
        </w:rPr>
        <w:t>e</w:t>
      </w:r>
      <w:r w:rsidRPr="000B0065" w:rsidR="006E08C1">
        <w:rPr>
          <w:rFonts w:ascii="Verdana" w:hAnsi="Verdana" w:cs="Arial"/>
          <w:sz w:val="18"/>
          <w:szCs w:val="18"/>
        </w:rPr>
        <w:t xml:space="preserve"> </w:t>
      </w:r>
      <w:r w:rsidR="008B6557">
        <w:rPr>
          <w:rFonts w:ascii="Verdana" w:hAnsi="Verdana" w:cs="Arial"/>
          <w:sz w:val="18"/>
          <w:szCs w:val="18"/>
        </w:rPr>
        <w:t xml:space="preserve">zienswijze aan het BTI </w:t>
      </w:r>
      <w:r w:rsidRPr="000B0065" w:rsidR="006E08C1">
        <w:rPr>
          <w:rFonts w:ascii="Verdana" w:hAnsi="Verdana" w:cs="Arial"/>
          <w:sz w:val="18"/>
          <w:szCs w:val="18"/>
        </w:rPr>
        <w:t xml:space="preserve">te </w:t>
      </w:r>
      <w:r w:rsidR="008B6557">
        <w:rPr>
          <w:rFonts w:ascii="Verdana" w:hAnsi="Verdana" w:cs="Arial"/>
          <w:sz w:val="18"/>
          <w:szCs w:val="18"/>
        </w:rPr>
        <w:t>vragen ten aanzien van de toepasselijkheid van de Wet vifo op een voorgenomen verwervingsactiviteit</w:t>
      </w:r>
      <w:r w:rsidRPr="000B0065" w:rsidR="006E08C1">
        <w:rPr>
          <w:rFonts w:ascii="Verdana" w:hAnsi="Verdana" w:cs="Arial"/>
          <w:sz w:val="18"/>
          <w:szCs w:val="18"/>
        </w:rPr>
        <w:t>.</w:t>
      </w:r>
    </w:p>
    <w:p w:rsidRPr="000B0065" w:rsidR="00E822C2" w:rsidP="006424AD" w:rsidRDefault="00D32413" w14:paraId="02682317" w14:textId="116836B4">
      <w:pPr>
        <w:rPr>
          <w:rFonts w:ascii="Verdana" w:hAnsi="Verdana" w:cs="Arial"/>
          <w:sz w:val="18"/>
          <w:szCs w:val="18"/>
        </w:rPr>
      </w:pPr>
      <w:r w:rsidRPr="000B0065">
        <w:rPr>
          <w:rFonts w:ascii="Verdana" w:hAnsi="Verdana" w:cs="Arial"/>
          <w:sz w:val="18"/>
          <w:szCs w:val="18"/>
        </w:rPr>
        <w:t xml:space="preserve">Een anonieme respondent heeft bij de internetconsultatie aangegeven </w:t>
      </w:r>
      <w:r w:rsidRPr="000B0065" w:rsidR="00E822C2">
        <w:rPr>
          <w:rFonts w:ascii="Verdana" w:hAnsi="Verdana" w:cs="Arial"/>
          <w:sz w:val="18"/>
          <w:szCs w:val="18"/>
        </w:rPr>
        <w:t xml:space="preserve">dat de afbakening voor </w:t>
      </w:r>
      <w:r w:rsidR="00B86757">
        <w:rPr>
          <w:rFonts w:ascii="Verdana" w:hAnsi="Verdana" w:cs="Arial"/>
          <w:sz w:val="18"/>
          <w:szCs w:val="18"/>
        </w:rPr>
        <w:t>a</w:t>
      </w:r>
      <w:r w:rsidRPr="000B0065" w:rsidR="009F5596">
        <w:rPr>
          <w:rFonts w:ascii="Verdana" w:hAnsi="Verdana" w:cs="Arial"/>
          <w:sz w:val="18"/>
          <w:szCs w:val="18"/>
        </w:rPr>
        <w:t>rtificiële</w:t>
      </w:r>
      <w:r w:rsidRPr="000B0065" w:rsidR="00E822C2">
        <w:rPr>
          <w:rFonts w:ascii="Verdana" w:hAnsi="Verdana" w:cs="Arial"/>
          <w:sz w:val="18"/>
          <w:szCs w:val="18"/>
        </w:rPr>
        <w:t xml:space="preserve"> </w:t>
      </w:r>
      <w:r w:rsidR="00B86757">
        <w:rPr>
          <w:rFonts w:ascii="Verdana" w:hAnsi="Verdana" w:cs="Arial"/>
          <w:sz w:val="18"/>
          <w:szCs w:val="18"/>
        </w:rPr>
        <w:t>i</w:t>
      </w:r>
      <w:r w:rsidRPr="000B0065" w:rsidR="00E822C2">
        <w:rPr>
          <w:rFonts w:ascii="Verdana" w:hAnsi="Verdana" w:cs="Arial"/>
          <w:sz w:val="18"/>
          <w:szCs w:val="18"/>
        </w:rPr>
        <w:t>ntelligentie</w:t>
      </w:r>
      <w:r w:rsidRPr="000B0065" w:rsidR="00024CFF">
        <w:rPr>
          <w:rFonts w:ascii="Verdana" w:hAnsi="Verdana" w:cs="Arial"/>
          <w:sz w:val="18"/>
          <w:szCs w:val="18"/>
        </w:rPr>
        <w:t xml:space="preserve"> (AST 6)</w:t>
      </w:r>
      <w:r w:rsidRPr="000B0065" w:rsidR="00E822C2">
        <w:rPr>
          <w:rFonts w:ascii="Verdana" w:hAnsi="Verdana" w:cs="Arial"/>
          <w:sz w:val="18"/>
          <w:szCs w:val="18"/>
        </w:rPr>
        <w:t xml:space="preserve"> logisch lijkt, maar dat er getwijfeld wordt of "identificatie ... van ... objecten via beeld ..." niet te breed is geformuleerd. Dit zou ertoe kunnen leiden dat ook relatief </w:t>
      </w:r>
      <w:r w:rsidR="0004767E">
        <w:rPr>
          <w:rFonts w:ascii="Verdana" w:hAnsi="Verdana" w:cs="Arial"/>
          <w:sz w:val="18"/>
          <w:szCs w:val="18"/>
        </w:rPr>
        <w:t>weinig risicovolle</w:t>
      </w:r>
      <w:r w:rsidRPr="000B0065" w:rsidR="0004767E">
        <w:rPr>
          <w:rFonts w:ascii="Verdana" w:hAnsi="Verdana" w:cs="Arial"/>
          <w:sz w:val="18"/>
          <w:szCs w:val="18"/>
        </w:rPr>
        <w:t xml:space="preserve"> </w:t>
      </w:r>
      <w:r w:rsidRPr="000B0065" w:rsidR="00E822C2">
        <w:rPr>
          <w:rFonts w:ascii="Verdana" w:hAnsi="Verdana" w:cs="Arial"/>
          <w:sz w:val="18"/>
          <w:szCs w:val="18"/>
        </w:rPr>
        <w:t xml:space="preserve">toepassingen eronder vallen, zoals bijvoorbeeld het herkennen van productiefouten op een lopende band. </w:t>
      </w:r>
      <w:r w:rsidRPr="000B0065" w:rsidR="00E848D1">
        <w:rPr>
          <w:rFonts w:ascii="Verdana" w:hAnsi="Verdana" w:cs="Arial"/>
          <w:sz w:val="18"/>
          <w:szCs w:val="18"/>
        </w:rPr>
        <w:t xml:space="preserve">Naar </w:t>
      </w:r>
      <w:r w:rsidRPr="000B0065" w:rsidR="004B4FCD">
        <w:rPr>
          <w:rFonts w:ascii="Verdana" w:hAnsi="Verdana" w:cs="Arial"/>
          <w:sz w:val="18"/>
          <w:szCs w:val="18"/>
        </w:rPr>
        <w:t>aanleiding</w:t>
      </w:r>
      <w:r w:rsidRPr="000B0065" w:rsidR="00E848D1">
        <w:rPr>
          <w:rFonts w:ascii="Verdana" w:hAnsi="Verdana" w:cs="Arial"/>
          <w:sz w:val="18"/>
          <w:szCs w:val="18"/>
        </w:rPr>
        <w:t xml:space="preserve"> van deze reactie is </w:t>
      </w:r>
      <w:r w:rsidR="00B86757">
        <w:rPr>
          <w:rFonts w:ascii="Verdana" w:hAnsi="Verdana" w:cs="Arial"/>
          <w:sz w:val="18"/>
          <w:szCs w:val="18"/>
        </w:rPr>
        <w:t>definitie van de betreffende sub-technologie van artificiële intelligentie</w:t>
      </w:r>
      <w:r w:rsidRPr="000B0065" w:rsidR="00B86757">
        <w:rPr>
          <w:rFonts w:ascii="Verdana" w:hAnsi="Verdana" w:cs="Arial"/>
          <w:sz w:val="18"/>
          <w:szCs w:val="18"/>
        </w:rPr>
        <w:t xml:space="preserve"> </w:t>
      </w:r>
      <w:r w:rsidRPr="000B0065" w:rsidR="009F5596">
        <w:rPr>
          <w:rFonts w:ascii="Verdana" w:hAnsi="Verdana" w:cs="Arial"/>
          <w:sz w:val="18"/>
          <w:szCs w:val="18"/>
        </w:rPr>
        <w:t xml:space="preserve">meer </w:t>
      </w:r>
      <w:r w:rsidRPr="000B0065" w:rsidR="001770E2">
        <w:rPr>
          <w:rFonts w:ascii="Verdana" w:hAnsi="Verdana" w:cs="Arial"/>
          <w:sz w:val="18"/>
          <w:szCs w:val="18"/>
        </w:rPr>
        <w:t>toegespitst</w:t>
      </w:r>
      <w:r w:rsidRPr="000B0065" w:rsidR="009F5596">
        <w:rPr>
          <w:rFonts w:ascii="Verdana" w:hAnsi="Verdana" w:cs="Arial"/>
          <w:sz w:val="18"/>
          <w:szCs w:val="18"/>
        </w:rPr>
        <w:t xml:space="preserve"> op de identificatie van personen en groepen </w:t>
      </w:r>
      <w:r w:rsidRPr="000B0065" w:rsidR="0056240F">
        <w:rPr>
          <w:rFonts w:ascii="Verdana" w:hAnsi="Verdana" w:cs="Arial"/>
          <w:sz w:val="18"/>
          <w:szCs w:val="18"/>
        </w:rPr>
        <w:t>waar</w:t>
      </w:r>
      <w:r w:rsidRPr="000B0065" w:rsidR="00A11ACD">
        <w:rPr>
          <w:rFonts w:ascii="Verdana" w:hAnsi="Verdana" w:cs="Arial"/>
          <w:sz w:val="18"/>
          <w:szCs w:val="18"/>
        </w:rPr>
        <w:t>v</w:t>
      </w:r>
      <w:r w:rsidRPr="000B0065" w:rsidR="009F5596">
        <w:rPr>
          <w:rFonts w:ascii="Verdana" w:hAnsi="Verdana" w:cs="Arial"/>
          <w:sz w:val="18"/>
          <w:szCs w:val="18"/>
        </w:rPr>
        <w:t xml:space="preserve">oor </w:t>
      </w:r>
      <w:r w:rsidRPr="000B0065" w:rsidR="0056240F">
        <w:rPr>
          <w:rFonts w:ascii="Verdana" w:hAnsi="Verdana" w:cs="Arial"/>
          <w:sz w:val="18"/>
          <w:szCs w:val="18"/>
        </w:rPr>
        <w:t xml:space="preserve">de </w:t>
      </w:r>
      <w:r w:rsidRPr="000B0065" w:rsidR="00162F99">
        <w:rPr>
          <w:rFonts w:ascii="Verdana" w:hAnsi="Verdana" w:cs="Arial"/>
          <w:sz w:val="18"/>
          <w:szCs w:val="18"/>
        </w:rPr>
        <w:t xml:space="preserve">identificatie van </w:t>
      </w:r>
      <w:r w:rsidRPr="000B0065" w:rsidR="009F5596">
        <w:rPr>
          <w:rFonts w:ascii="Verdana" w:hAnsi="Verdana" w:cs="Arial"/>
          <w:sz w:val="18"/>
          <w:szCs w:val="18"/>
        </w:rPr>
        <w:t>objecten</w:t>
      </w:r>
      <w:r w:rsidRPr="000B0065" w:rsidR="00162F99">
        <w:rPr>
          <w:rFonts w:ascii="Verdana" w:hAnsi="Verdana" w:cs="Arial"/>
          <w:sz w:val="18"/>
          <w:szCs w:val="18"/>
        </w:rPr>
        <w:t xml:space="preserve"> via beeldmateriaal</w:t>
      </w:r>
      <w:r w:rsidRPr="000B0065" w:rsidR="0056240F">
        <w:rPr>
          <w:rFonts w:ascii="Verdana" w:hAnsi="Verdana" w:cs="Arial"/>
          <w:sz w:val="18"/>
          <w:szCs w:val="18"/>
        </w:rPr>
        <w:t xml:space="preserve"> kan worden gebruikt</w:t>
      </w:r>
      <w:r w:rsidRPr="000B0065" w:rsidR="00162F99">
        <w:rPr>
          <w:rFonts w:ascii="Verdana" w:hAnsi="Verdana" w:cs="Arial"/>
          <w:sz w:val="18"/>
          <w:szCs w:val="18"/>
        </w:rPr>
        <w:t>.</w:t>
      </w:r>
      <w:r w:rsidR="00B86757">
        <w:rPr>
          <w:rFonts w:ascii="Verdana" w:hAnsi="Verdana" w:cs="Arial"/>
          <w:sz w:val="18"/>
          <w:szCs w:val="18"/>
        </w:rPr>
        <w:t xml:space="preserve"> Opgemerkt dient te worden dat ingevolge de FDI-Verordening de definitie van het gehele technologiegebied artificiële intelligentie breder is dan het sub-technologiegebied waarop de reactie van de anonieme respondent ziet.</w:t>
      </w:r>
    </w:p>
    <w:p w:rsidRPr="000B0065" w:rsidR="0054595C" w:rsidP="006424AD" w:rsidRDefault="0056240F" w14:paraId="74CD09EA" w14:textId="3812A6CD">
      <w:pPr>
        <w:shd w:val="clear" w:color="auto" w:fill="FFFFFF"/>
        <w:spacing w:after="0" w:line="240" w:lineRule="auto"/>
        <w:rPr>
          <w:rFonts w:ascii="Verdana" w:hAnsi="Verdana" w:eastAsia="Times New Roman" w:cs="Times New Roman"/>
          <w:color w:val="000000"/>
          <w:sz w:val="18"/>
          <w:szCs w:val="18"/>
          <w:lang w:eastAsia="nl-NL"/>
        </w:rPr>
      </w:pPr>
      <w:r w:rsidRPr="000B0065">
        <w:rPr>
          <w:rFonts w:ascii="Verdana" w:hAnsi="Verdana" w:cs="Arial"/>
          <w:sz w:val="18"/>
          <w:szCs w:val="18"/>
        </w:rPr>
        <w:lastRenderedPageBreak/>
        <w:t xml:space="preserve">Ook voor het </w:t>
      </w:r>
      <w:r w:rsidRPr="000B0065" w:rsidR="0054595C">
        <w:rPr>
          <w:rFonts w:ascii="Verdana" w:hAnsi="Verdana" w:eastAsia="Times New Roman" w:cs="Times New Roman"/>
          <w:color w:val="000000"/>
          <w:sz w:val="18"/>
          <w:szCs w:val="18"/>
          <w:lang w:eastAsia="nl-NL"/>
        </w:rPr>
        <w:t xml:space="preserve">technologiegebied </w:t>
      </w:r>
      <w:r w:rsidR="00B86757">
        <w:rPr>
          <w:rFonts w:ascii="Verdana" w:hAnsi="Verdana" w:eastAsia="Times New Roman" w:cs="Times New Roman"/>
          <w:color w:val="000000"/>
          <w:sz w:val="18"/>
          <w:szCs w:val="18"/>
          <w:lang w:eastAsia="nl-NL"/>
        </w:rPr>
        <w:t>s</w:t>
      </w:r>
      <w:r w:rsidRPr="000B0065" w:rsidR="0054595C">
        <w:rPr>
          <w:rFonts w:ascii="Verdana" w:hAnsi="Verdana" w:eastAsia="Times New Roman" w:cs="Times New Roman"/>
          <w:color w:val="000000"/>
          <w:sz w:val="18"/>
          <w:szCs w:val="18"/>
          <w:lang w:eastAsia="nl-NL"/>
        </w:rPr>
        <w:t xml:space="preserve">ensor- en navigatietechnologie (AST 9) </w:t>
      </w:r>
      <w:r w:rsidRPr="000B0065">
        <w:rPr>
          <w:rFonts w:ascii="Verdana" w:hAnsi="Verdana" w:eastAsia="Times New Roman" w:cs="Times New Roman"/>
          <w:color w:val="000000"/>
          <w:sz w:val="18"/>
          <w:szCs w:val="18"/>
          <w:lang w:eastAsia="nl-NL"/>
        </w:rPr>
        <w:t xml:space="preserve">is </w:t>
      </w:r>
      <w:r w:rsidRPr="000B0065" w:rsidR="00C053D5">
        <w:rPr>
          <w:rFonts w:ascii="Verdana" w:hAnsi="Verdana" w:eastAsia="Times New Roman" w:cs="Times New Roman"/>
          <w:color w:val="000000"/>
          <w:sz w:val="18"/>
          <w:szCs w:val="18"/>
          <w:lang w:eastAsia="nl-NL"/>
        </w:rPr>
        <w:t xml:space="preserve">door o.m. de FME </w:t>
      </w:r>
      <w:r w:rsidRPr="000B0065" w:rsidR="0054595C">
        <w:rPr>
          <w:rFonts w:ascii="Verdana" w:hAnsi="Verdana" w:eastAsia="Times New Roman" w:cs="Times New Roman"/>
          <w:color w:val="000000"/>
          <w:sz w:val="18"/>
          <w:szCs w:val="18"/>
          <w:lang w:eastAsia="nl-NL"/>
        </w:rPr>
        <w:t xml:space="preserve">de zorg geuit dat </w:t>
      </w:r>
      <w:r w:rsidRPr="000B0065" w:rsidR="006E08C1">
        <w:rPr>
          <w:rFonts w:ascii="Verdana" w:hAnsi="Verdana" w:eastAsia="Times New Roman" w:cs="Times New Roman"/>
          <w:color w:val="000000"/>
          <w:sz w:val="18"/>
          <w:szCs w:val="18"/>
          <w:lang w:eastAsia="nl-NL"/>
        </w:rPr>
        <w:t xml:space="preserve">met </w:t>
      </w:r>
      <w:r w:rsidRPr="000B0065" w:rsidR="0054595C">
        <w:rPr>
          <w:rFonts w:ascii="Verdana" w:hAnsi="Verdana" w:eastAsia="Times New Roman" w:cs="Times New Roman"/>
          <w:color w:val="000000"/>
          <w:sz w:val="18"/>
          <w:szCs w:val="18"/>
          <w:lang w:eastAsia="nl-NL"/>
        </w:rPr>
        <w:t xml:space="preserve">deze technologie veel </w:t>
      </w:r>
      <w:r w:rsidR="0004767E">
        <w:rPr>
          <w:rFonts w:ascii="Verdana" w:hAnsi="Verdana" w:eastAsia="Times New Roman" w:cs="Times New Roman"/>
          <w:color w:val="000000"/>
          <w:sz w:val="18"/>
          <w:szCs w:val="18"/>
          <w:lang w:eastAsia="nl-NL"/>
        </w:rPr>
        <w:t>weinig risicovolle</w:t>
      </w:r>
      <w:r w:rsidRPr="000B0065" w:rsidR="0004767E">
        <w:rPr>
          <w:rFonts w:ascii="Verdana" w:hAnsi="Verdana" w:eastAsia="Times New Roman" w:cs="Times New Roman"/>
          <w:color w:val="000000"/>
          <w:sz w:val="18"/>
          <w:szCs w:val="18"/>
          <w:lang w:eastAsia="nl-NL"/>
        </w:rPr>
        <w:t xml:space="preserve"> </w:t>
      </w:r>
      <w:r w:rsidRPr="000B0065" w:rsidR="0054595C">
        <w:rPr>
          <w:rFonts w:ascii="Verdana" w:hAnsi="Verdana" w:eastAsia="Times New Roman" w:cs="Times New Roman"/>
          <w:color w:val="000000"/>
          <w:sz w:val="18"/>
          <w:szCs w:val="18"/>
          <w:lang w:eastAsia="nl-NL"/>
        </w:rPr>
        <w:t xml:space="preserve">toepassingen binnen het toepassingsbereik </w:t>
      </w:r>
      <w:r w:rsidRPr="000B0065">
        <w:rPr>
          <w:rFonts w:ascii="Verdana" w:hAnsi="Verdana" w:eastAsia="Times New Roman" w:cs="Times New Roman"/>
          <w:color w:val="000000"/>
          <w:sz w:val="18"/>
          <w:szCs w:val="18"/>
          <w:lang w:eastAsia="nl-NL"/>
        </w:rPr>
        <w:t xml:space="preserve">van de Wet vifo </w:t>
      </w:r>
      <w:r w:rsidRPr="000B0065" w:rsidR="0054595C">
        <w:rPr>
          <w:rFonts w:ascii="Verdana" w:hAnsi="Verdana" w:eastAsia="Times New Roman" w:cs="Times New Roman"/>
          <w:color w:val="000000"/>
          <w:sz w:val="18"/>
          <w:szCs w:val="18"/>
          <w:lang w:eastAsia="nl-NL"/>
        </w:rPr>
        <w:t>worden gebracht. Dit heeft geresulteerd in een</w:t>
      </w:r>
      <w:r w:rsidRPr="000B0065" w:rsidR="00C053D5">
        <w:rPr>
          <w:rFonts w:ascii="Verdana" w:hAnsi="Verdana" w:eastAsia="Times New Roman" w:cs="Times New Roman"/>
          <w:color w:val="000000"/>
          <w:sz w:val="18"/>
          <w:szCs w:val="18"/>
          <w:lang w:eastAsia="nl-NL"/>
        </w:rPr>
        <w:t xml:space="preserve"> kleine</w:t>
      </w:r>
      <w:r w:rsidRPr="000B0065" w:rsidR="0054595C">
        <w:rPr>
          <w:rFonts w:ascii="Verdana" w:hAnsi="Verdana" w:eastAsia="Times New Roman" w:cs="Times New Roman"/>
          <w:color w:val="000000"/>
          <w:sz w:val="18"/>
          <w:szCs w:val="18"/>
          <w:lang w:eastAsia="nl-NL"/>
        </w:rPr>
        <w:t xml:space="preserve"> aanpassing</w:t>
      </w:r>
      <w:r w:rsidRPr="000B0065" w:rsidR="00772A02">
        <w:rPr>
          <w:rFonts w:ascii="Verdana" w:hAnsi="Verdana" w:eastAsia="Times New Roman" w:cs="Times New Roman"/>
          <w:color w:val="000000"/>
          <w:sz w:val="18"/>
          <w:szCs w:val="18"/>
          <w:lang w:eastAsia="nl-NL"/>
        </w:rPr>
        <w:t xml:space="preserve"> </w:t>
      </w:r>
      <w:r w:rsidR="0004767E">
        <w:rPr>
          <w:rFonts w:ascii="Verdana" w:hAnsi="Verdana" w:eastAsia="Times New Roman" w:cs="Times New Roman"/>
          <w:color w:val="000000"/>
          <w:sz w:val="18"/>
          <w:szCs w:val="18"/>
          <w:lang w:eastAsia="nl-NL"/>
        </w:rPr>
        <w:t xml:space="preserve">van de definitie om deze </w:t>
      </w:r>
      <w:r w:rsidRPr="000B0065" w:rsidR="00772A02">
        <w:rPr>
          <w:rFonts w:ascii="Verdana" w:hAnsi="Verdana" w:eastAsia="Times New Roman" w:cs="Times New Roman"/>
          <w:color w:val="000000"/>
          <w:sz w:val="18"/>
          <w:szCs w:val="18"/>
          <w:lang w:eastAsia="nl-NL"/>
        </w:rPr>
        <w:t>strikter af te bakenen</w:t>
      </w:r>
      <w:r w:rsidRPr="000B0065" w:rsidR="0054595C">
        <w:rPr>
          <w:rFonts w:ascii="Verdana" w:hAnsi="Verdana" w:eastAsia="Times New Roman" w:cs="Times New Roman"/>
          <w:color w:val="000000"/>
          <w:sz w:val="18"/>
          <w:szCs w:val="18"/>
          <w:lang w:eastAsia="nl-NL"/>
        </w:rPr>
        <w:t xml:space="preserve">. Het </w:t>
      </w:r>
      <w:r w:rsidRPr="000B0065">
        <w:rPr>
          <w:rFonts w:ascii="Verdana" w:hAnsi="Verdana" w:eastAsia="Times New Roman" w:cs="Times New Roman"/>
          <w:color w:val="000000"/>
          <w:sz w:val="18"/>
          <w:szCs w:val="18"/>
          <w:lang w:eastAsia="nl-NL"/>
        </w:rPr>
        <w:t>nationale veiligheid</w:t>
      </w:r>
      <w:r w:rsidR="0004767E">
        <w:rPr>
          <w:rFonts w:ascii="Verdana" w:hAnsi="Verdana" w:eastAsia="Times New Roman" w:cs="Times New Roman"/>
          <w:color w:val="000000"/>
          <w:sz w:val="18"/>
          <w:szCs w:val="18"/>
          <w:lang w:eastAsia="nl-NL"/>
        </w:rPr>
        <w:t>s</w:t>
      </w:r>
      <w:r w:rsidRPr="000B0065" w:rsidR="0054595C">
        <w:rPr>
          <w:rFonts w:ascii="Verdana" w:hAnsi="Verdana" w:eastAsia="Times New Roman" w:cs="Times New Roman"/>
          <w:color w:val="000000"/>
          <w:sz w:val="18"/>
          <w:szCs w:val="18"/>
          <w:lang w:eastAsia="nl-NL"/>
        </w:rPr>
        <w:t xml:space="preserve">risico </w:t>
      </w:r>
      <w:r w:rsidRPr="000B0065" w:rsidR="003A7DCC">
        <w:rPr>
          <w:rFonts w:ascii="Verdana" w:hAnsi="Verdana" w:eastAsia="Times New Roman" w:cs="Times New Roman"/>
          <w:color w:val="000000"/>
          <w:sz w:val="18"/>
          <w:szCs w:val="18"/>
          <w:lang w:eastAsia="nl-NL"/>
        </w:rPr>
        <w:t xml:space="preserve">voor deze technologie </w:t>
      </w:r>
      <w:r w:rsidRPr="000B0065" w:rsidR="0054595C">
        <w:rPr>
          <w:rFonts w:ascii="Verdana" w:hAnsi="Verdana" w:eastAsia="Times New Roman" w:cs="Times New Roman"/>
          <w:color w:val="000000"/>
          <w:sz w:val="18"/>
          <w:szCs w:val="18"/>
          <w:lang w:eastAsia="nl-NL"/>
        </w:rPr>
        <w:t>komt echter nadrukkelijk voort uit feit dat het</w:t>
      </w:r>
      <w:r w:rsidR="0004767E">
        <w:rPr>
          <w:rFonts w:ascii="Verdana" w:hAnsi="Verdana" w:eastAsia="Times New Roman" w:cs="Times New Roman"/>
          <w:color w:val="000000"/>
          <w:sz w:val="18"/>
          <w:szCs w:val="18"/>
          <w:lang w:eastAsia="nl-NL"/>
        </w:rPr>
        <w:t xml:space="preserve"> een</w:t>
      </w:r>
      <w:r w:rsidRPr="000B0065" w:rsidR="0054595C">
        <w:rPr>
          <w:rFonts w:ascii="Verdana" w:hAnsi="Verdana" w:eastAsia="Times New Roman" w:cs="Times New Roman"/>
          <w:color w:val="000000"/>
          <w:sz w:val="18"/>
          <w:szCs w:val="18"/>
          <w:lang w:eastAsia="nl-NL"/>
        </w:rPr>
        <w:t xml:space="preserve"> technologie voor tweeërlei</w:t>
      </w:r>
      <w:r w:rsidRPr="000B0065">
        <w:rPr>
          <w:rFonts w:ascii="Verdana" w:hAnsi="Verdana" w:eastAsia="Times New Roman" w:cs="Times New Roman"/>
          <w:color w:val="000000"/>
          <w:sz w:val="18"/>
          <w:szCs w:val="18"/>
          <w:lang w:eastAsia="nl-NL"/>
        </w:rPr>
        <w:t xml:space="preserve"> gebruik</w:t>
      </w:r>
      <w:r w:rsidRPr="004E717B" w:rsidR="0054595C">
        <w:rPr>
          <w:rFonts w:ascii="Verdana" w:hAnsi="Verdana" w:eastAsia="Times New Roman" w:cs="Times New Roman"/>
          <w:color w:val="000000"/>
          <w:sz w:val="18"/>
          <w:szCs w:val="18"/>
          <w:lang w:eastAsia="nl-NL"/>
        </w:rPr>
        <w:t xml:space="preserve"> betreft</w:t>
      </w:r>
      <w:r w:rsidR="0004767E">
        <w:rPr>
          <w:rFonts w:ascii="Verdana" w:hAnsi="Verdana" w:eastAsia="Times New Roman" w:cs="Times New Roman"/>
          <w:color w:val="000000"/>
          <w:sz w:val="18"/>
          <w:szCs w:val="18"/>
          <w:lang w:eastAsia="nl-NL"/>
        </w:rPr>
        <w:t>, waardoor deze relatief wijdverbreid is.</w:t>
      </w:r>
      <w:r w:rsidRPr="004E717B" w:rsidR="0054595C">
        <w:rPr>
          <w:rFonts w:ascii="Verdana" w:hAnsi="Verdana" w:eastAsia="Times New Roman" w:cs="Times New Roman"/>
          <w:color w:val="000000"/>
          <w:sz w:val="18"/>
          <w:szCs w:val="18"/>
          <w:lang w:eastAsia="nl-NL"/>
        </w:rPr>
        <w:t xml:space="preserve"> Daarbij moet ook worden opgemerkt </w:t>
      </w:r>
      <w:r w:rsidR="003C228C">
        <w:rPr>
          <w:rFonts w:ascii="Verdana" w:hAnsi="Verdana" w:eastAsia="Times New Roman" w:cs="Times New Roman"/>
          <w:color w:val="000000"/>
          <w:sz w:val="18"/>
          <w:szCs w:val="18"/>
          <w:lang w:eastAsia="nl-NL"/>
        </w:rPr>
        <w:t xml:space="preserve">dat het </w:t>
      </w:r>
      <w:r w:rsidRPr="004E717B" w:rsidR="0054595C">
        <w:rPr>
          <w:rFonts w:ascii="Verdana" w:hAnsi="Verdana" w:eastAsia="Times New Roman" w:cs="Times New Roman"/>
          <w:color w:val="000000"/>
          <w:sz w:val="18"/>
          <w:szCs w:val="18"/>
          <w:lang w:eastAsia="nl-NL"/>
        </w:rPr>
        <w:t xml:space="preserve">niet </w:t>
      </w:r>
      <w:r w:rsidR="003C228C">
        <w:rPr>
          <w:rFonts w:ascii="Verdana" w:hAnsi="Verdana" w:eastAsia="Times New Roman" w:cs="Times New Roman"/>
          <w:color w:val="000000"/>
          <w:sz w:val="18"/>
          <w:szCs w:val="18"/>
          <w:lang w:eastAsia="nl-NL"/>
        </w:rPr>
        <w:t xml:space="preserve">om </w:t>
      </w:r>
      <w:r w:rsidRPr="004E717B" w:rsidR="0054595C">
        <w:rPr>
          <w:rFonts w:ascii="Verdana" w:hAnsi="Verdana" w:eastAsia="Times New Roman" w:cs="Times New Roman"/>
          <w:color w:val="000000"/>
          <w:sz w:val="18"/>
          <w:szCs w:val="18"/>
          <w:lang w:eastAsia="nl-NL"/>
        </w:rPr>
        <w:t>de gebruikers van de technologie</w:t>
      </w:r>
      <w:r w:rsidR="003C228C">
        <w:rPr>
          <w:rFonts w:ascii="Verdana" w:hAnsi="Verdana" w:eastAsia="Times New Roman" w:cs="Times New Roman"/>
          <w:color w:val="000000"/>
          <w:sz w:val="18"/>
          <w:szCs w:val="18"/>
          <w:lang w:eastAsia="nl-NL"/>
        </w:rPr>
        <w:t xml:space="preserve"> gaat</w:t>
      </w:r>
      <w:r w:rsidRPr="004E717B" w:rsidR="0054595C">
        <w:rPr>
          <w:rFonts w:ascii="Verdana" w:hAnsi="Verdana" w:eastAsia="Times New Roman" w:cs="Times New Roman"/>
          <w:color w:val="000000"/>
          <w:sz w:val="18"/>
          <w:szCs w:val="18"/>
          <w:lang w:eastAsia="nl-NL"/>
        </w:rPr>
        <w:t xml:space="preserve">, maar </w:t>
      </w:r>
      <w:r w:rsidR="003C228C">
        <w:rPr>
          <w:rFonts w:ascii="Verdana" w:hAnsi="Verdana" w:eastAsia="Times New Roman" w:cs="Times New Roman"/>
          <w:color w:val="000000"/>
          <w:sz w:val="18"/>
          <w:szCs w:val="18"/>
          <w:lang w:eastAsia="nl-NL"/>
        </w:rPr>
        <w:t xml:space="preserve">om </w:t>
      </w:r>
      <w:r w:rsidRPr="004E717B" w:rsidR="0054595C">
        <w:rPr>
          <w:rFonts w:ascii="Verdana" w:hAnsi="Verdana" w:eastAsia="Times New Roman" w:cs="Times New Roman"/>
          <w:color w:val="000000"/>
          <w:sz w:val="18"/>
          <w:szCs w:val="18"/>
          <w:lang w:eastAsia="nl-NL"/>
        </w:rPr>
        <w:t>de ondernemingen die actief zijn op</w:t>
      </w:r>
      <w:r w:rsidR="00037523">
        <w:rPr>
          <w:rFonts w:ascii="Verdana" w:hAnsi="Verdana" w:eastAsia="Times New Roman" w:cs="Times New Roman"/>
          <w:color w:val="000000"/>
          <w:sz w:val="18"/>
          <w:szCs w:val="18"/>
          <w:lang w:eastAsia="nl-NL"/>
        </w:rPr>
        <w:t xml:space="preserve"> het gebied van</w:t>
      </w:r>
      <w:r w:rsidRPr="004E717B" w:rsidR="0054595C">
        <w:rPr>
          <w:rFonts w:ascii="Verdana" w:hAnsi="Verdana" w:eastAsia="Times New Roman" w:cs="Times New Roman"/>
          <w:color w:val="000000"/>
          <w:sz w:val="18"/>
          <w:szCs w:val="18"/>
          <w:lang w:eastAsia="nl-NL"/>
        </w:rPr>
        <w:t xml:space="preserve"> deze technologie</w:t>
      </w:r>
      <w:r w:rsidR="00037523">
        <w:rPr>
          <w:rFonts w:ascii="Verdana" w:hAnsi="Verdana" w:eastAsia="Times New Roman" w:cs="Times New Roman"/>
          <w:color w:val="000000"/>
          <w:sz w:val="18"/>
          <w:szCs w:val="18"/>
          <w:lang w:eastAsia="nl-NL"/>
        </w:rPr>
        <w:t>,</w:t>
      </w:r>
      <w:r w:rsidRPr="004E717B">
        <w:rPr>
          <w:rFonts w:ascii="Verdana" w:hAnsi="Verdana" w:eastAsia="Times New Roman" w:cs="Times New Roman"/>
          <w:color w:val="000000"/>
          <w:sz w:val="18"/>
          <w:szCs w:val="18"/>
          <w:lang w:eastAsia="nl-NL"/>
        </w:rPr>
        <w:t xml:space="preserve"> zoals </w:t>
      </w:r>
      <w:r w:rsidR="00037523">
        <w:rPr>
          <w:rFonts w:ascii="Verdana" w:hAnsi="Verdana" w:eastAsia="Times New Roman" w:cs="Times New Roman"/>
          <w:color w:val="000000"/>
          <w:sz w:val="18"/>
          <w:szCs w:val="18"/>
          <w:lang w:eastAsia="nl-NL"/>
        </w:rPr>
        <w:t>nader aangeduid</w:t>
      </w:r>
      <w:r w:rsidRPr="004E717B" w:rsidR="00037523">
        <w:rPr>
          <w:rFonts w:ascii="Verdana" w:hAnsi="Verdana" w:eastAsia="Times New Roman" w:cs="Times New Roman"/>
          <w:color w:val="000000"/>
          <w:sz w:val="18"/>
          <w:szCs w:val="18"/>
          <w:lang w:eastAsia="nl-NL"/>
        </w:rPr>
        <w:t xml:space="preserve"> </w:t>
      </w:r>
      <w:r w:rsidRPr="004E717B">
        <w:rPr>
          <w:rFonts w:ascii="Verdana" w:hAnsi="Verdana" w:eastAsia="Times New Roman" w:cs="Times New Roman"/>
          <w:color w:val="000000"/>
          <w:sz w:val="18"/>
          <w:szCs w:val="18"/>
          <w:lang w:eastAsia="nl-NL"/>
        </w:rPr>
        <w:t xml:space="preserve">in de </w:t>
      </w:r>
      <w:r w:rsidR="00037523">
        <w:rPr>
          <w:rFonts w:ascii="Verdana" w:hAnsi="Verdana" w:eastAsia="Times New Roman" w:cs="Times New Roman"/>
          <w:color w:val="000000"/>
          <w:sz w:val="18"/>
          <w:szCs w:val="18"/>
          <w:lang w:eastAsia="nl-NL"/>
        </w:rPr>
        <w:t xml:space="preserve">relevante </w:t>
      </w:r>
      <w:r w:rsidRPr="004E717B">
        <w:rPr>
          <w:rFonts w:ascii="Verdana" w:hAnsi="Verdana" w:eastAsia="Times New Roman" w:cs="Times New Roman"/>
          <w:color w:val="000000"/>
          <w:sz w:val="18"/>
          <w:szCs w:val="18"/>
          <w:lang w:eastAsia="nl-NL"/>
        </w:rPr>
        <w:t>handleiding van het BTI</w:t>
      </w:r>
      <w:r w:rsidR="00037523">
        <w:rPr>
          <w:rFonts w:ascii="Verdana" w:hAnsi="Verdana" w:eastAsia="Times New Roman" w:cs="Times New Roman"/>
          <w:color w:val="000000"/>
          <w:sz w:val="18"/>
          <w:szCs w:val="18"/>
          <w:lang w:eastAsia="nl-NL"/>
        </w:rPr>
        <w:t>.</w:t>
      </w:r>
    </w:p>
    <w:p w:rsidRPr="000B0065" w:rsidR="00024CFF" w:rsidP="006424AD" w:rsidRDefault="00024CFF" w14:paraId="1DB43975" w14:textId="77777777">
      <w:pPr>
        <w:shd w:val="clear" w:color="auto" w:fill="FFFFFF"/>
        <w:spacing w:after="0" w:line="240" w:lineRule="auto"/>
        <w:rPr>
          <w:rFonts w:ascii="Verdana" w:hAnsi="Verdana" w:eastAsia="Times New Roman" w:cs="Times New Roman"/>
          <w:color w:val="000000"/>
          <w:sz w:val="18"/>
          <w:szCs w:val="18"/>
          <w:lang w:eastAsia="nl-NL"/>
        </w:rPr>
      </w:pPr>
    </w:p>
    <w:p w:rsidRPr="000B0065" w:rsidR="00D34E9C" w:rsidP="006424AD" w:rsidRDefault="00D32413" w14:paraId="5EEED73C" w14:textId="333A12CE">
      <w:pPr>
        <w:rPr>
          <w:rFonts w:ascii="Verdana" w:hAnsi="Verdana"/>
          <w:sz w:val="18"/>
          <w:szCs w:val="18"/>
        </w:rPr>
      </w:pPr>
      <w:r w:rsidRPr="000B0065">
        <w:rPr>
          <w:rFonts w:ascii="Verdana" w:hAnsi="Verdana" w:eastAsia="Times New Roman" w:cs="Times New Roman"/>
          <w:sz w:val="18"/>
          <w:szCs w:val="18"/>
          <w:lang w:eastAsia="nl-NL"/>
        </w:rPr>
        <w:t>Een anoniem</w:t>
      </w:r>
      <w:r w:rsidR="00037523">
        <w:rPr>
          <w:rFonts w:ascii="Verdana" w:hAnsi="Verdana" w:eastAsia="Times New Roman" w:cs="Times New Roman"/>
          <w:sz w:val="18"/>
          <w:szCs w:val="18"/>
          <w:lang w:eastAsia="nl-NL"/>
        </w:rPr>
        <w:t>e</w:t>
      </w:r>
      <w:r w:rsidRPr="000B0065">
        <w:rPr>
          <w:rFonts w:ascii="Verdana" w:hAnsi="Verdana" w:eastAsia="Times New Roman" w:cs="Times New Roman"/>
          <w:sz w:val="18"/>
          <w:szCs w:val="18"/>
          <w:lang w:eastAsia="nl-NL"/>
        </w:rPr>
        <w:t xml:space="preserve"> respondent </w:t>
      </w:r>
      <w:r w:rsidRPr="000B0065" w:rsidR="00E42A0A">
        <w:rPr>
          <w:rFonts w:ascii="Verdana" w:hAnsi="Verdana" w:eastAsia="Times New Roman" w:cs="Times New Roman"/>
          <w:sz w:val="18"/>
          <w:szCs w:val="18"/>
          <w:lang w:eastAsia="nl-NL"/>
        </w:rPr>
        <w:t xml:space="preserve">en FME </w:t>
      </w:r>
      <w:r w:rsidRPr="000B0065" w:rsidR="00773C55">
        <w:rPr>
          <w:rFonts w:ascii="Verdana" w:hAnsi="Verdana" w:eastAsia="Times New Roman" w:cs="Times New Roman"/>
          <w:sz w:val="18"/>
          <w:szCs w:val="18"/>
          <w:lang w:eastAsia="nl-NL"/>
        </w:rPr>
        <w:t xml:space="preserve">hebben opgemerkt </w:t>
      </w:r>
      <w:r w:rsidRPr="000B0065" w:rsidR="00C065BA">
        <w:rPr>
          <w:rFonts w:ascii="Verdana" w:hAnsi="Verdana" w:eastAsia="Times New Roman" w:cs="Times New Roman"/>
          <w:sz w:val="18"/>
          <w:szCs w:val="18"/>
          <w:lang w:eastAsia="nl-NL"/>
        </w:rPr>
        <w:t xml:space="preserve">dat </w:t>
      </w:r>
      <w:r w:rsidRPr="000B0065" w:rsidR="00E42A0A">
        <w:rPr>
          <w:rFonts w:ascii="Verdana" w:hAnsi="Verdana" w:eastAsia="Times New Roman" w:cs="Times New Roman"/>
          <w:sz w:val="18"/>
          <w:szCs w:val="18"/>
          <w:lang w:eastAsia="nl-NL"/>
        </w:rPr>
        <w:t xml:space="preserve">de term ‘commerciële standaarden’ in de omschrijving van </w:t>
      </w:r>
      <w:r w:rsidR="00037523">
        <w:rPr>
          <w:rFonts w:ascii="Verdana" w:hAnsi="Verdana" w:eastAsia="Times New Roman" w:cs="Times New Roman"/>
          <w:sz w:val="18"/>
          <w:szCs w:val="18"/>
          <w:lang w:eastAsia="nl-NL"/>
        </w:rPr>
        <w:t>g</w:t>
      </w:r>
      <w:r w:rsidRPr="000B0065" w:rsidR="00E42A0A">
        <w:rPr>
          <w:rFonts w:ascii="Verdana" w:hAnsi="Verdana" w:eastAsia="Times New Roman" w:cs="Times New Roman"/>
          <w:sz w:val="18"/>
          <w:szCs w:val="18"/>
          <w:lang w:eastAsia="nl-NL"/>
        </w:rPr>
        <w:t>eavanceerde materialentechnologie (AST 5)</w:t>
      </w:r>
      <w:r w:rsidRPr="000B0065" w:rsidR="00773C55">
        <w:rPr>
          <w:rFonts w:ascii="Verdana" w:hAnsi="Verdana" w:eastAsia="Times New Roman" w:cs="Times New Roman"/>
          <w:sz w:val="18"/>
          <w:szCs w:val="18"/>
          <w:lang w:eastAsia="nl-NL"/>
        </w:rPr>
        <w:t xml:space="preserve"> </w:t>
      </w:r>
      <w:r w:rsidRPr="000B0065" w:rsidR="00C065BA">
        <w:rPr>
          <w:rFonts w:ascii="Verdana" w:hAnsi="Verdana" w:eastAsia="Times New Roman" w:cs="Times New Roman"/>
          <w:sz w:val="18"/>
          <w:szCs w:val="18"/>
          <w:lang w:eastAsia="nl-NL"/>
        </w:rPr>
        <w:t>on</w:t>
      </w:r>
      <w:r w:rsidRPr="000B0065" w:rsidR="00773C55">
        <w:rPr>
          <w:rFonts w:ascii="Verdana" w:hAnsi="Verdana" w:eastAsia="Times New Roman" w:cs="Times New Roman"/>
          <w:sz w:val="18"/>
          <w:szCs w:val="18"/>
          <w:lang w:eastAsia="nl-NL"/>
        </w:rPr>
        <w:t>duidelijk is</w:t>
      </w:r>
      <w:r w:rsidRPr="000B0065" w:rsidR="00E42A0A">
        <w:rPr>
          <w:rFonts w:ascii="Verdana" w:hAnsi="Verdana" w:eastAsia="Times New Roman" w:cs="Times New Roman"/>
          <w:sz w:val="18"/>
          <w:szCs w:val="18"/>
          <w:lang w:eastAsia="nl-NL"/>
        </w:rPr>
        <w:t xml:space="preserve">. </w:t>
      </w:r>
      <w:r w:rsidRPr="000B0065" w:rsidR="00B65A0C">
        <w:rPr>
          <w:rFonts w:ascii="Verdana" w:hAnsi="Verdana" w:eastAsia="Times New Roman" w:cs="Times New Roman"/>
          <w:sz w:val="18"/>
          <w:szCs w:val="18"/>
          <w:lang w:eastAsia="nl-NL"/>
        </w:rPr>
        <w:t xml:space="preserve">De </w:t>
      </w:r>
      <w:r w:rsidRPr="000B0065" w:rsidR="0045059B">
        <w:rPr>
          <w:rFonts w:ascii="Verdana" w:hAnsi="Verdana" w:eastAsia="Times New Roman" w:cs="Times New Roman"/>
          <w:sz w:val="18"/>
          <w:szCs w:val="18"/>
          <w:lang w:eastAsia="nl-NL"/>
        </w:rPr>
        <w:t xml:space="preserve">reden </w:t>
      </w:r>
      <w:r w:rsidRPr="000B0065" w:rsidR="00B65A0C">
        <w:rPr>
          <w:rFonts w:ascii="Verdana" w:hAnsi="Verdana" w:eastAsia="Times New Roman" w:cs="Times New Roman"/>
          <w:sz w:val="18"/>
          <w:szCs w:val="18"/>
          <w:lang w:eastAsia="nl-NL"/>
        </w:rPr>
        <w:t xml:space="preserve">om een </w:t>
      </w:r>
      <w:r w:rsidRPr="000B0065" w:rsidR="00773C55">
        <w:rPr>
          <w:rFonts w:ascii="Verdana" w:hAnsi="Verdana" w:eastAsia="Times New Roman" w:cs="Times New Roman"/>
          <w:sz w:val="18"/>
          <w:szCs w:val="18"/>
          <w:lang w:eastAsia="nl-NL"/>
        </w:rPr>
        <w:t xml:space="preserve">verwijzing naar </w:t>
      </w:r>
      <w:r w:rsidRPr="000B0065" w:rsidR="00D23B48">
        <w:rPr>
          <w:rFonts w:ascii="Verdana" w:hAnsi="Verdana" w:eastAsia="Times New Roman" w:cs="Times New Roman"/>
          <w:sz w:val="18"/>
          <w:szCs w:val="18"/>
          <w:lang w:eastAsia="nl-NL"/>
        </w:rPr>
        <w:t>commerciële</w:t>
      </w:r>
      <w:r w:rsidRPr="000B0065" w:rsidR="00773C55">
        <w:rPr>
          <w:rFonts w:ascii="Verdana" w:hAnsi="Verdana" w:eastAsia="Times New Roman" w:cs="Times New Roman"/>
          <w:sz w:val="18"/>
          <w:szCs w:val="18"/>
          <w:lang w:eastAsia="nl-NL"/>
        </w:rPr>
        <w:t xml:space="preserve"> standaarden toe</w:t>
      </w:r>
      <w:r w:rsidRPr="000B0065" w:rsidR="00B65A0C">
        <w:rPr>
          <w:rFonts w:ascii="Verdana" w:hAnsi="Verdana" w:eastAsia="Times New Roman" w:cs="Times New Roman"/>
          <w:sz w:val="18"/>
          <w:szCs w:val="18"/>
          <w:lang w:eastAsia="nl-NL"/>
        </w:rPr>
        <w:t xml:space="preserve"> te </w:t>
      </w:r>
      <w:r w:rsidRPr="000B0065" w:rsidR="00773C55">
        <w:rPr>
          <w:rFonts w:ascii="Verdana" w:hAnsi="Verdana" w:eastAsia="Times New Roman" w:cs="Times New Roman"/>
          <w:sz w:val="18"/>
          <w:szCs w:val="18"/>
          <w:lang w:eastAsia="nl-NL"/>
        </w:rPr>
        <w:t>voeg</w:t>
      </w:r>
      <w:r w:rsidRPr="000B0065" w:rsidR="00B65A0C">
        <w:rPr>
          <w:rFonts w:ascii="Verdana" w:hAnsi="Verdana" w:eastAsia="Times New Roman" w:cs="Times New Roman"/>
          <w:sz w:val="18"/>
          <w:szCs w:val="18"/>
          <w:lang w:eastAsia="nl-NL"/>
        </w:rPr>
        <w:t>en</w:t>
      </w:r>
      <w:r w:rsidRPr="000B0065" w:rsidR="00773C55">
        <w:rPr>
          <w:rFonts w:ascii="Verdana" w:hAnsi="Verdana" w:eastAsia="Times New Roman" w:cs="Times New Roman"/>
          <w:sz w:val="18"/>
          <w:szCs w:val="18"/>
          <w:lang w:eastAsia="nl-NL"/>
        </w:rPr>
        <w:t xml:space="preserve"> </w:t>
      </w:r>
      <w:r w:rsidRPr="000B0065" w:rsidR="00B65A0C">
        <w:rPr>
          <w:rFonts w:ascii="Verdana" w:hAnsi="Verdana" w:eastAsia="Times New Roman" w:cs="Times New Roman"/>
          <w:sz w:val="18"/>
          <w:szCs w:val="18"/>
          <w:lang w:eastAsia="nl-NL"/>
        </w:rPr>
        <w:t xml:space="preserve">was </w:t>
      </w:r>
      <w:r w:rsidRPr="000B0065" w:rsidR="00773C55">
        <w:rPr>
          <w:rFonts w:ascii="Verdana" w:hAnsi="Verdana" w:eastAsia="Times New Roman" w:cs="Times New Roman"/>
          <w:sz w:val="18"/>
          <w:szCs w:val="18"/>
          <w:lang w:eastAsia="nl-NL"/>
        </w:rPr>
        <w:t xml:space="preserve">om </w:t>
      </w:r>
      <w:r w:rsidR="00B16E14">
        <w:rPr>
          <w:rFonts w:ascii="Verdana" w:hAnsi="Verdana" w:eastAsia="Times New Roman" w:cs="Times New Roman"/>
          <w:sz w:val="18"/>
          <w:szCs w:val="18"/>
          <w:lang w:eastAsia="nl-NL"/>
        </w:rPr>
        <w:t xml:space="preserve">zo </w:t>
      </w:r>
      <w:r w:rsidRPr="000B0065" w:rsidR="00773C55">
        <w:rPr>
          <w:rFonts w:ascii="Verdana" w:hAnsi="Verdana" w:eastAsia="Times New Roman" w:cs="Times New Roman"/>
          <w:sz w:val="18"/>
          <w:szCs w:val="18"/>
          <w:lang w:eastAsia="nl-NL"/>
        </w:rPr>
        <w:t>de</w:t>
      </w:r>
      <w:r w:rsidR="00D40FA8">
        <w:rPr>
          <w:rFonts w:ascii="Verdana" w:hAnsi="Verdana" w:eastAsia="Times New Roman" w:cs="Times New Roman"/>
          <w:sz w:val="18"/>
          <w:szCs w:val="18"/>
          <w:lang w:eastAsia="nl-NL"/>
        </w:rPr>
        <w:t xml:space="preserve"> mate van</w:t>
      </w:r>
      <w:r w:rsidRPr="000B0065" w:rsidR="00773C55">
        <w:rPr>
          <w:rFonts w:ascii="Verdana" w:hAnsi="Verdana" w:eastAsia="Times New Roman" w:cs="Times New Roman"/>
          <w:sz w:val="18"/>
          <w:szCs w:val="18"/>
          <w:lang w:eastAsia="nl-NL"/>
        </w:rPr>
        <w:t xml:space="preserve"> </w:t>
      </w:r>
      <w:r w:rsidRPr="000B0065" w:rsidR="0045059B">
        <w:rPr>
          <w:rFonts w:ascii="Verdana" w:hAnsi="Verdana" w:eastAsia="Times New Roman" w:cs="Times New Roman"/>
          <w:sz w:val="18"/>
          <w:szCs w:val="18"/>
          <w:lang w:eastAsia="nl-NL"/>
        </w:rPr>
        <w:t>g</w:t>
      </w:r>
      <w:r w:rsidRPr="000B0065" w:rsidR="00D23B48">
        <w:rPr>
          <w:rFonts w:ascii="Verdana" w:hAnsi="Verdana" w:eastAsia="Times New Roman" w:cs="Times New Roman"/>
          <w:sz w:val="18"/>
          <w:szCs w:val="18"/>
          <w:lang w:eastAsia="nl-NL"/>
        </w:rPr>
        <w:t xml:space="preserve">eavanceerdheid </w:t>
      </w:r>
      <w:r w:rsidRPr="000B0065" w:rsidR="00773C55">
        <w:rPr>
          <w:rFonts w:ascii="Verdana" w:hAnsi="Verdana" w:eastAsia="Times New Roman" w:cs="Times New Roman"/>
          <w:sz w:val="18"/>
          <w:szCs w:val="18"/>
          <w:lang w:eastAsia="nl-NL"/>
        </w:rPr>
        <w:t>van een m</w:t>
      </w:r>
      <w:r w:rsidRPr="000B0065" w:rsidR="00F61DD9">
        <w:rPr>
          <w:rFonts w:ascii="Verdana" w:hAnsi="Verdana" w:eastAsia="Times New Roman" w:cs="Times New Roman"/>
          <w:sz w:val="18"/>
          <w:szCs w:val="18"/>
          <w:lang w:eastAsia="nl-NL"/>
        </w:rPr>
        <w:t>a</w:t>
      </w:r>
      <w:r w:rsidRPr="000B0065" w:rsidR="00773C55">
        <w:rPr>
          <w:rFonts w:ascii="Verdana" w:hAnsi="Verdana" w:eastAsia="Times New Roman" w:cs="Times New Roman"/>
          <w:sz w:val="18"/>
          <w:szCs w:val="18"/>
          <w:lang w:eastAsia="nl-NL"/>
        </w:rPr>
        <w:t>terial</w:t>
      </w:r>
      <w:r w:rsidRPr="000B0065" w:rsidR="00C054D6">
        <w:rPr>
          <w:rFonts w:ascii="Verdana" w:hAnsi="Verdana" w:eastAsia="Times New Roman" w:cs="Times New Roman"/>
          <w:sz w:val="18"/>
          <w:szCs w:val="18"/>
          <w:lang w:eastAsia="nl-NL"/>
        </w:rPr>
        <w:t>en</w:t>
      </w:r>
      <w:r w:rsidRPr="000B0065" w:rsidR="004B4FCD">
        <w:rPr>
          <w:rFonts w:ascii="Verdana" w:hAnsi="Verdana" w:eastAsia="Times New Roman" w:cs="Times New Roman"/>
          <w:sz w:val="18"/>
          <w:szCs w:val="18"/>
          <w:lang w:eastAsia="nl-NL"/>
        </w:rPr>
        <w:t xml:space="preserve">technologie </w:t>
      </w:r>
      <w:r w:rsidR="00B16E14">
        <w:rPr>
          <w:rFonts w:ascii="Verdana" w:hAnsi="Verdana" w:eastAsia="Times New Roman" w:cs="Times New Roman"/>
          <w:sz w:val="18"/>
          <w:szCs w:val="18"/>
          <w:lang w:eastAsia="nl-NL"/>
        </w:rPr>
        <w:t>onderdeel te maken van de definitie</w:t>
      </w:r>
      <w:r w:rsidRPr="000B0065" w:rsidR="00B16E14">
        <w:rPr>
          <w:rFonts w:ascii="Verdana" w:hAnsi="Verdana" w:eastAsia="Times New Roman" w:cs="Times New Roman"/>
          <w:sz w:val="18"/>
          <w:szCs w:val="18"/>
          <w:lang w:eastAsia="nl-NL"/>
        </w:rPr>
        <w:t xml:space="preserve"> </w:t>
      </w:r>
      <w:r w:rsidRPr="000B0065" w:rsidR="0045059B">
        <w:rPr>
          <w:rFonts w:ascii="Verdana" w:hAnsi="Verdana" w:eastAsia="Times New Roman" w:cs="Times New Roman"/>
          <w:sz w:val="18"/>
          <w:szCs w:val="18"/>
          <w:lang w:eastAsia="nl-NL"/>
        </w:rPr>
        <w:t xml:space="preserve">en </w:t>
      </w:r>
      <w:r w:rsidR="00B16E14">
        <w:rPr>
          <w:rFonts w:ascii="Verdana" w:hAnsi="Verdana" w:eastAsia="Times New Roman" w:cs="Times New Roman"/>
          <w:sz w:val="18"/>
          <w:szCs w:val="18"/>
          <w:lang w:eastAsia="nl-NL"/>
        </w:rPr>
        <w:t xml:space="preserve">zo </w:t>
      </w:r>
      <w:r w:rsidRPr="000B0065" w:rsidR="0045059B">
        <w:rPr>
          <w:rFonts w:ascii="Verdana" w:hAnsi="Verdana" w:eastAsia="Times New Roman" w:cs="Times New Roman"/>
          <w:sz w:val="18"/>
          <w:szCs w:val="18"/>
          <w:lang w:eastAsia="nl-NL"/>
        </w:rPr>
        <w:t xml:space="preserve">het </w:t>
      </w:r>
      <w:r w:rsidR="00B16E14">
        <w:rPr>
          <w:rFonts w:ascii="Verdana" w:hAnsi="Verdana" w:eastAsia="Times New Roman" w:cs="Times New Roman"/>
          <w:sz w:val="18"/>
          <w:szCs w:val="18"/>
          <w:lang w:eastAsia="nl-NL"/>
        </w:rPr>
        <w:t>toepassings</w:t>
      </w:r>
      <w:r w:rsidRPr="000B0065" w:rsidR="0045059B">
        <w:rPr>
          <w:rFonts w:ascii="Verdana" w:hAnsi="Verdana" w:eastAsia="Times New Roman" w:cs="Times New Roman"/>
          <w:sz w:val="18"/>
          <w:szCs w:val="18"/>
          <w:lang w:eastAsia="nl-NL"/>
        </w:rPr>
        <w:t>bereik te beperken</w:t>
      </w:r>
      <w:r w:rsidR="00037523">
        <w:rPr>
          <w:rFonts w:ascii="Verdana" w:hAnsi="Verdana" w:eastAsia="Times New Roman" w:cs="Times New Roman"/>
          <w:sz w:val="18"/>
          <w:szCs w:val="18"/>
          <w:lang w:eastAsia="nl-NL"/>
        </w:rPr>
        <w:t xml:space="preserve"> tot de meest risicovolle toepassingen</w:t>
      </w:r>
      <w:r w:rsidRPr="000B0065" w:rsidR="00773C55">
        <w:rPr>
          <w:rFonts w:ascii="Verdana" w:hAnsi="Verdana" w:eastAsia="Times New Roman" w:cs="Times New Roman"/>
          <w:sz w:val="18"/>
          <w:szCs w:val="18"/>
          <w:lang w:eastAsia="nl-NL"/>
        </w:rPr>
        <w:t xml:space="preserve">. </w:t>
      </w:r>
      <w:r w:rsidRPr="000B0065" w:rsidR="00F61DD9">
        <w:rPr>
          <w:rFonts w:ascii="Verdana" w:hAnsi="Verdana" w:eastAsia="Times New Roman" w:cs="Times New Roman"/>
          <w:sz w:val="18"/>
          <w:szCs w:val="18"/>
          <w:lang w:eastAsia="nl-NL"/>
        </w:rPr>
        <w:t xml:space="preserve">Voor de </w:t>
      </w:r>
      <w:r w:rsidRPr="000B0065" w:rsidR="00E058B7">
        <w:rPr>
          <w:rFonts w:ascii="Verdana" w:hAnsi="Verdana" w:eastAsia="Times New Roman" w:cs="Times New Roman"/>
          <w:sz w:val="18"/>
          <w:szCs w:val="18"/>
          <w:lang w:eastAsia="nl-NL"/>
        </w:rPr>
        <w:t>sub technologie</w:t>
      </w:r>
      <w:r w:rsidRPr="000B0065" w:rsidR="00F61DD9">
        <w:rPr>
          <w:rFonts w:ascii="Verdana" w:hAnsi="Verdana" w:eastAsia="Times New Roman" w:cs="Times New Roman"/>
          <w:sz w:val="18"/>
          <w:szCs w:val="18"/>
          <w:lang w:eastAsia="nl-NL"/>
        </w:rPr>
        <w:t xml:space="preserve"> </w:t>
      </w:r>
      <w:r w:rsidRPr="006424AD" w:rsidR="00037523">
        <w:rPr>
          <w:rFonts w:ascii="Verdana" w:hAnsi="Verdana"/>
          <w:i/>
          <w:iCs/>
          <w:sz w:val="18"/>
          <w:szCs w:val="18"/>
        </w:rPr>
        <w:t>h</w:t>
      </w:r>
      <w:r w:rsidRPr="006424AD" w:rsidR="00F61DD9">
        <w:rPr>
          <w:rFonts w:ascii="Verdana" w:hAnsi="Verdana"/>
          <w:i/>
          <w:iCs/>
          <w:sz w:val="18"/>
          <w:szCs w:val="18"/>
        </w:rPr>
        <w:t>igh-entropy alloys</w:t>
      </w:r>
      <w:r w:rsidRPr="000B0065" w:rsidR="00F61DD9">
        <w:rPr>
          <w:rFonts w:ascii="Verdana" w:hAnsi="Verdana"/>
          <w:sz w:val="18"/>
          <w:szCs w:val="18"/>
        </w:rPr>
        <w:t xml:space="preserve"> (HEA) is besloten de verwijzing naar </w:t>
      </w:r>
      <w:r w:rsidRPr="000B0065" w:rsidR="00240178">
        <w:rPr>
          <w:rFonts w:ascii="Verdana" w:hAnsi="Verdana"/>
          <w:sz w:val="18"/>
          <w:szCs w:val="18"/>
        </w:rPr>
        <w:t>commerciële</w:t>
      </w:r>
      <w:r w:rsidRPr="000B0065" w:rsidR="00F61DD9">
        <w:rPr>
          <w:rFonts w:ascii="Verdana" w:hAnsi="Verdana"/>
          <w:sz w:val="18"/>
          <w:szCs w:val="18"/>
        </w:rPr>
        <w:t xml:space="preserve"> standaarden weg te laten. </w:t>
      </w:r>
      <w:r w:rsidRPr="000B0065" w:rsidR="00560A6F">
        <w:rPr>
          <w:rFonts w:ascii="Verdana" w:hAnsi="Verdana"/>
          <w:sz w:val="18"/>
          <w:szCs w:val="18"/>
        </w:rPr>
        <w:t xml:space="preserve">De </w:t>
      </w:r>
      <w:r w:rsidRPr="004E717B" w:rsidR="00560A6F">
        <w:rPr>
          <w:rFonts w:ascii="Verdana" w:hAnsi="Verdana"/>
          <w:sz w:val="18"/>
          <w:szCs w:val="18"/>
        </w:rPr>
        <w:t xml:space="preserve">industriële toepassing van </w:t>
      </w:r>
      <w:r w:rsidR="00B16E14">
        <w:rPr>
          <w:rFonts w:ascii="Verdana" w:hAnsi="Verdana"/>
          <w:sz w:val="18"/>
          <w:szCs w:val="18"/>
        </w:rPr>
        <w:t xml:space="preserve">HEA’s </w:t>
      </w:r>
      <w:r w:rsidRPr="00B16E14" w:rsidR="00560A6F">
        <w:rPr>
          <w:rFonts w:ascii="Verdana" w:hAnsi="Verdana"/>
          <w:sz w:val="18"/>
          <w:szCs w:val="18"/>
        </w:rPr>
        <w:t>is</w:t>
      </w:r>
      <w:r w:rsidRPr="004E717B" w:rsidR="00560A6F">
        <w:rPr>
          <w:rFonts w:ascii="Verdana" w:hAnsi="Verdana"/>
          <w:sz w:val="18"/>
          <w:szCs w:val="18"/>
        </w:rPr>
        <w:t xml:space="preserve"> nog niet wijdverspreid</w:t>
      </w:r>
      <w:r w:rsidR="006A25C9">
        <w:rPr>
          <w:rFonts w:ascii="Verdana" w:hAnsi="Verdana"/>
          <w:sz w:val="18"/>
          <w:szCs w:val="18"/>
        </w:rPr>
        <w:t>, waardoor geen duidelijke commerciële standaarden beschikbaar zijn</w:t>
      </w:r>
      <w:r w:rsidRPr="000B0065" w:rsidR="004B4FCD">
        <w:rPr>
          <w:rFonts w:ascii="Verdana" w:hAnsi="Verdana"/>
          <w:sz w:val="18"/>
          <w:szCs w:val="18"/>
        </w:rPr>
        <w:t xml:space="preserve">. </w:t>
      </w:r>
      <w:r w:rsidRPr="000B0065" w:rsidR="00D34E9C">
        <w:rPr>
          <w:rFonts w:ascii="Verdana" w:hAnsi="Verdana"/>
          <w:sz w:val="18"/>
          <w:szCs w:val="18"/>
        </w:rPr>
        <w:t xml:space="preserve">De verwachting is dat deze wijziging </w:t>
      </w:r>
      <w:r w:rsidRPr="000B0065" w:rsidR="006E08C1">
        <w:rPr>
          <w:rFonts w:ascii="Verdana" w:hAnsi="Verdana"/>
          <w:sz w:val="18"/>
          <w:szCs w:val="18"/>
        </w:rPr>
        <w:t xml:space="preserve">geen </w:t>
      </w:r>
      <w:r w:rsidRPr="000B0065" w:rsidR="00D34E9C">
        <w:rPr>
          <w:rFonts w:ascii="Verdana" w:hAnsi="Verdana"/>
          <w:sz w:val="18"/>
          <w:szCs w:val="18"/>
        </w:rPr>
        <w:t xml:space="preserve">impact </w:t>
      </w:r>
      <w:r w:rsidRPr="000B0065" w:rsidR="006E08C1">
        <w:rPr>
          <w:rFonts w:ascii="Verdana" w:hAnsi="Verdana"/>
          <w:sz w:val="18"/>
          <w:szCs w:val="18"/>
        </w:rPr>
        <w:t xml:space="preserve">zal </w:t>
      </w:r>
      <w:r w:rsidRPr="000B0065" w:rsidR="00D34E9C">
        <w:rPr>
          <w:rFonts w:ascii="Verdana" w:hAnsi="Verdana"/>
          <w:sz w:val="18"/>
          <w:szCs w:val="18"/>
        </w:rPr>
        <w:t>hebben op de het aantal aanvragen en daarmee</w:t>
      </w:r>
      <w:r w:rsidRPr="000B0065" w:rsidR="006E08C1">
        <w:rPr>
          <w:rFonts w:ascii="Verdana" w:hAnsi="Verdana"/>
          <w:sz w:val="18"/>
          <w:szCs w:val="18"/>
        </w:rPr>
        <w:t xml:space="preserve"> de</w:t>
      </w:r>
      <w:r w:rsidRPr="000B0065" w:rsidR="00D34E9C">
        <w:rPr>
          <w:rFonts w:ascii="Verdana" w:hAnsi="Verdana"/>
          <w:sz w:val="18"/>
          <w:szCs w:val="18"/>
        </w:rPr>
        <w:t xml:space="preserve"> </w:t>
      </w:r>
      <w:r w:rsidRPr="000B0065" w:rsidR="004B4FCD">
        <w:rPr>
          <w:rFonts w:ascii="Verdana" w:hAnsi="Verdana"/>
          <w:sz w:val="18"/>
          <w:szCs w:val="18"/>
        </w:rPr>
        <w:t>lastendruk</w:t>
      </w:r>
      <w:r w:rsidRPr="000B0065" w:rsidR="00D34E9C">
        <w:rPr>
          <w:rFonts w:ascii="Verdana" w:hAnsi="Verdana"/>
          <w:sz w:val="18"/>
          <w:szCs w:val="18"/>
        </w:rPr>
        <w:t xml:space="preserve">. </w:t>
      </w:r>
    </w:p>
    <w:p w:rsidRPr="000B0065" w:rsidR="00B51B1D" w:rsidP="006424AD" w:rsidRDefault="006A25C9" w14:paraId="4CE00043" w14:textId="130736A9">
      <w:pPr>
        <w:rPr>
          <w:rFonts w:ascii="Verdana" w:hAnsi="Verdana"/>
          <w:sz w:val="18"/>
          <w:szCs w:val="18"/>
        </w:rPr>
      </w:pPr>
      <w:r>
        <w:rPr>
          <w:rFonts w:ascii="Verdana" w:hAnsi="Verdana"/>
          <w:sz w:val="18"/>
          <w:szCs w:val="18"/>
        </w:rPr>
        <w:t>‘C</w:t>
      </w:r>
      <w:r w:rsidRPr="000B0065" w:rsidR="008643FB">
        <w:rPr>
          <w:rFonts w:ascii="Verdana" w:hAnsi="Verdana"/>
          <w:sz w:val="18"/>
          <w:szCs w:val="18"/>
        </w:rPr>
        <w:t>ommerciële</w:t>
      </w:r>
      <w:r w:rsidRPr="000B0065" w:rsidR="00B65A0C">
        <w:rPr>
          <w:rFonts w:ascii="Verdana" w:hAnsi="Verdana"/>
          <w:sz w:val="18"/>
          <w:szCs w:val="18"/>
        </w:rPr>
        <w:t xml:space="preserve"> standaarden</w:t>
      </w:r>
      <w:r>
        <w:rPr>
          <w:rFonts w:ascii="Verdana" w:hAnsi="Verdana"/>
          <w:sz w:val="18"/>
          <w:szCs w:val="18"/>
        </w:rPr>
        <w:t>’</w:t>
      </w:r>
      <w:r w:rsidRPr="000B0065" w:rsidR="00B65A0C">
        <w:rPr>
          <w:rFonts w:ascii="Verdana" w:hAnsi="Verdana"/>
          <w:sz w:val="18"/>
          <w:szCs w:val="18"/>
        </w:rPr>
        <w:t xml:space="preserve"> worden ook genoemd in de omschrijving van de geavanceerde </w:t>
      </w:r>
      <w:r w:rsidRPr="000B0065" w:rsidR="008643FB">
        <w:rPr>
          <w:rFonts w:ascii="Verdana" w:hAnsi="Verdana"/>
          <w:sz w:val="18"/>
          <w:szCs w:val="18"/>
        </w:rPr>
        <w:t>materiaaltechnologie</w:t>
      </w:r>
      <w:r w:rsidRPr="004E717B" w:rsidR="00B65A0C">
        <w:rPr>
          <w:rFonts w:ascii="Verdana" w:hAnsi="Verdana"/>
          <w:sz w:val="18"/>
          <w:szCs w:val="18"/>
        </w:rPr>
        <w:t xml:space="preserve"> ten behoeve van het produceren van materialen die h</w:t>
      </w:r>
      <w:r w:rsidRPr="000B0065" w:rsidR="008643FB">
        <w:rPr>
          <w:rFonts w:ascii="Verdana" w:hAnsi="Verdana"/>
          <w:sz w:val="18"/>
          <w:szCs w:val="18"/>
        </w:rPr>
        <w:t>et mogelijk</w:t>
      </w:r>
      <w:r w:rsidRPr="000B0065" w:rsidR="00AE4A9E">
        <w:rPr>
          <w:rFonts w:ascii="Verdana" w:hAnsi="Verdana"/>
          <w:sz w:val="18"/>
          <w:szCs w:val="18"/>
        </w:rPr>
        <w:t xml:space="preserve"> </w:t>
      </w:r>
      <w:r w:rsidRPr="004E717B" w:rsidR="00B65A0C">
        <w:rPr>
          <w:rFonts w:ascii="Verdana" w:hAnsi="Verdana"/>
          <w:sz w:val="18"/>
          <w:szCs w:val="18"/>
        </w:rPr>
        <w:t>maken om energie op te slaan, transporteren of te converteren van energievorm/drager</w:t>
      </w:r>
      <w:r w:rsidRPr="000B0065" w:rsidR="00B65A0C">
        <w:rPr>
          <w:rFonts w:ascii="Verdana" w:hAnsi="Verdana"/>
          <w:sz w:val="18"/>
          <w:szCs w:val="18"/>
        </w:rPr>
        <w:t xml:space="preserve">. </w:t>
      </w:r>
      <w:r w:rsidRPr="000B0065" w:rsidR="00016022">
        <w:rPr>
          <w:rFonts w:ascii="Verdana" w:hAnsi="Verdana"/>
          <w:sz w:val="18"/>
          <w:szCs w:val="18"/>
        </w:rPr>
        <w:t xml:space="preserve">Na analyse is besloten ook hier de verwijzing naar </w:t>
      </w:r>
      <w:r w:rsidRPr="000B0065" w:rsidR="006E08C1">
        <w:rPr>
          <w:rFonts w:ascii="Verdana" w:hAnsi="Verdana"/>
          <w:sz w:val="18"/>
          <w:szCs w:val="18"/>
        </w:rPr>
        <w:t>commerciële</w:t>
      </w:r>
      <w:r w:rsidRPr="000B0065" w:rsidR="0045059B">
        <w:rPr>
          <w:rFonts w:ascii="Verdana" w:hAnsi="Verdana"/>
          <w:sz w:val="18"/>
          <w:szCs w:val="18"/>
        </w:rPr>
        <w:t xml:space="preserve"> </w:t>
      </w:r>
      <w:r w:rsidRPr="000B0065" w:rsidR="00016022">
        <w:rPr>
          <w:rFonts w:ascii="Verdana" w:hAnsi="Verdana"/>
          <w:sz w:val="18"/>
          <w:szCs w:val="18"/>
        </w:rPr>
        <w:t>standaarden uit</w:t>
      </w:r>
      <w:r w:rsidRPr="000B0065" w:rsidR="0045059B">
        <w:rPr>
          <w:rFonts w:ascii="Verdana" w:hAnsi="Verdana"/>
          <w:sz w:val="18"/>
          <w:szCs w:val="18"/>
        </w:rPr>
        <w:t xml:space="preserve"> de technologieomschrijving</w:t>
      </w:r>
      <w:r w:rsidRPr="000B0065" w:rsidR="00016022">
        <w:rPr>
          <w:rFonts w:ascii="Verdana" w:hAnsi="Verdana"/>
          <w:sz w:val="18"/>
          <w:szCs w:val="18"/>
        </w:rPr>
        <w:t xml:space="preserve"> </w:t>
      </w:r>
      <w:r w:rsidRPr="000B0065" w:rsidR="0045059B">
        <w:rPr>
          <w:rFonts w:ascii="Verdana" w:hAnsi="Verdana"/>
          <w:sz w:val="18"/>
          <w:szCs w:val="18"/>
        </w:rPr>
        <w:t>weg te laten</w:t>
      </w:r>
      <w:r w:rsidRPr="000B0065" w:rsidR="00016022">
        <w:rPr>
          <w:rFonts w:ascii="Verdana" w:hAnsi="Verdana"/>
          <w:sz w:val="18"/>
          <w:szCs w:val="18"/>
        </w:rPr>
        <w:t xml:space="preserve">. </w:t>
      </w:r>
      <w:r w:rsidRPr="000B0065">
        <w:rPr>
          <w:rFonts w:ascii="Verdana" w:hAnsi="Verdana"/>
          <w:sz w:val="18"/>
          <w:szCs w:val="18"/>
        </w:rPr>
        <w:t>Er zijn</w:t>
      </w:r>
      <w:r>
        <w:rPr>
          <w:rFonts w:ascii="Verdana" w:hAnsi="Verdana"/>
          <w:sz w:val="18"/>
          <w:szCs w:val="18"/>
        </w:rPr>
        <w:t xml:space="preserve"> wel commerciële</w:t>
      </w:r>
      <w:r w:rsidRPr="000B0065">
        <w:rPr>
          <w:rFonts w:ascii="Verdana" w:hAnsi="Verdana"/>
          <w:sz w:val="18"/>
          <w:szCs w:val="18"/>
        </w:rPr>
        <w:t xml:space="preserve"> standaarden voor functies die bij kunnen dragen aan de</w:t>
      </w:r>
      <w:r w:rsidRPr="004E717B">
        <w:rPr>
          <w:rFonts w:ascii="Verdana" w:hAnsi="Verdana"/>
          <w:sz w:val="18"/>
          <w:szCs w:val="18"/>
        </w:rPr>
        <w:t xml:space="preserve"> betrouwbaarheid, energieopslagcapaciteit of het temperatuurbereik</w:t>
      </w:r>
      <w:r>
        <w:rPr>
          <w:rFonts w:ascii="Verdana" w:hAnsi="Verdana"/>
          <w:sz w:val="18"/>
          <w:szCs w:val="18"/>
        </w:rPr>
        <w:t xml:space="preserve"> van materialen, maar h</w:t>
      </w:r>
      <w:r w:rsidRPr="000B0065" w:rsidR="00016022">
        <w:rPr>
          <w:rFonts w:ascii="Verdana" w:hAnsi="Verdana"/>
          <w:sz w:val="18"/>
          <w:szCs w:val="18"/>
        </w:rPr>
        <w:t xml:space="preserve">et </w:t>
      </w:r>
      <w:r w:rsidRPr="000B0065" w:rsidR="00C054D6">
        <w:rPr>
          <w:rFonts w:ascii="Verdana" w:hAnsi="Verdana"/>
          <w:sz w:val="18"/>
          <w:szCs w:val="18"/>
        </w:rPr>
        <w:t>technologiegebied</w:t>
      </w:r>
      <w:r w:rsidRPr="000B0065" w:rsidR="00016022">
        <w:rPr>
          <w:rFonts w:ascii="Verdana" w:hAnsi="Verdana"/>
          <w:sz w:val="18"/>
          <w:szCs w:val="18"/>
        </w:rPr>
        <w:t xml:space="preserve"> is nog sterk in ontwikkeling. Voor </w:t>
      </w:r>
      <w:r>
        <w:rPr>
          <w:rFonts w:ascii="Verdana" w:hAnsi="Verdana"/>
          <w:sz w:val="18"/>
          <w:szCs w:val="18"/>
        </w:rPr>
        <w:t xml:space="preserve">dergelijke </w:t>
      </w:r>
      <w:r w:rsidRPr="000B0065" w:rsidR="00016022">
        <w:rPr>
          <w:rFonts w:ascii="Verdana" w:hAnsi="Verdana"/>
          <w:sz w:val="18"/>
          <w:szCs w:val="18"/>
        </w:rPr>
        <w:t>opkomende disruptieve technologieën</w:t>
      </w:r>
      <w:r w:rsidRPr="000B0065" w:rsidR="0045059B">
        <w:rPr>
          <w:rFonts w:ascii="Verdana" w:hAnsi="Verdana"/>
          <w:sz w:val="18"/>
          <w:szCs w:val="18"/>
        </w:rPr>
        <w:t xml:space="preserve"> duurt het</w:t>
      </w:r>
      <w:r w:rsidRPr="000B0065" w:rsidR="00016022">
        <w:rPr>
          <w:rFonts w:ascii="Verdana" w:hAnsi="Verdana"/>
          <w:sz w:val="18"/>
          <w:szCs w:val="18"/>
        </w:rPr>
        <w:t xml:space="preserve"> enige tijd voordat </w:t>
      </w:r>
      <w:r>
        <w:rPr>
          <w:rFonts w:ascii="Verdana" w:hAnsi="Verdana"/>
          <w:sz w:val="18"/>
          <w:szCs w:val="18"/>
        </w:rPr>
        <w:t xml:space="preserve">algemeen geaccepteerde commerciële </w:t>
      </w:r>
      <w:r w:rsidRPr="000B0065" w:rsidR="00016022">
        <w:rPr>
          <w:rFonts w:ascii="Verdana" w:hAnsi="Verdana"/>
          <w:sz w:val="18"/>
          <w:szCs w:val="18"/>
        </w:rPr>
        <w:t>standaarden zijn vastgesteld</w:t>
      </w:r>
      <w:r>
        <w:rPr>
          <w:rFonts w:ascii="Verdana" w:hAnsi="Verdana"/>
          <w:sz w:val="18"/>
          <w:szCs w:val="18"/>
        </w:rPr>
        <w:t xml:space="preserve">. Deze </w:t>
      </w:r>
      <w:r w:rsidRPr="000B0065" w:rsidR="00DB3A6B">
        <w:rPr>
          <w:rFonts w:ascii="Verdana" w:hAnsi="Verdana"/>
          <w:sz w:val="18"/>
          <w:szCs w:val="18"/>
        </w:rPr>
        <w:t xml:space="preserve">zijn </w:t>
      </w:r>
      <w:r>
        <w:rPr>
          <w:rFonts w:ascii="Verdana" w:hAnsi="Verdana"/>
          <w:sz w:val="18"/>
          <w:szCs w:val="18"/>
        </w:rPr>
        <w:t xml:space="preserve">bovendien </w:t>
      </w:r>
      <w:r w:rsidRPr="000B0065" w:rsidR="00DB3A6B">
        <w:rPr>
          <w:rFonts w:ascii="Verdana" w:hAnsi="Verdana"/>
          <w:sz w:val="18"/>
          <w:szCs w:val="18"/>
        </w:rPr>
        <w:t xml:space="preserve">ook </w:t>
      </w:r>
      <w:r w:rsidRPr="000B0065" w:rsidR="00FB13D3">
        <w:rPr>
          <w:rFonts w:ascii="Verdana" w:hAnsi="Verdana"/>
          <w:sz w:val="18"/>
          <w:szCs w:val="18"/>
        </w:rPr>
        <w:t xml:space="preserve">vaak </w:t>
      </w:r>
      <w:r w:rsidRPr="000B0065" w:rsidR="00DB3A6B">
        <w:rPr>
          <w:rFonts w:ascii="Verdana" w:hAnsi="Verdana"/>
          <w:sz w:val="18"/>
          <w:szCs w:val="18"/>
        </w:rPr>
        <w:t>sectorspecifiek</w:t>
      </w:r>
      <w:r>
        <w:rPr>
          <w:rFonts w:ascii="Verdana" w:hAnsi="Verdana"/>
          <w:sz w:val="18"/>
          <w:szCs w:val="18"/>
        </w:rPr>
        <w:t xml:space="preserve"> en daardoor moeilijk te gebruiken voor algemene toepassing in deze regeling</w:t>
      </w:r>
      <w:r w:rsidRPr="000B0065" w:rsidR="0045059B">
        <w:rPr>
          <w:rFonts w:ascii="Verdana" w:hAnsi="Verdana"/>
          <w:sz w:val="18"/>
          <w:szCs w:val="18"/>
        </w:rPr>
        <w:t xml:space="preserve">. </w:t>
      </w:r>
      <w:r w:rsidRPr="000B0065" w:rsidR="0073122B">
        <w:rPr>
          <w:rFonts w:ascii="Verdana" w:hAnsi="Verdana"/>
          <w:sz w:val="18"/>
          <w:szCs w:val="18"/>
        </w:rPr>
        <w:t xml:space="preserve">Door het </w:t>
      </w:r>
      <w:r w:rsidRPr="000B0065" w:rsidR="006E08C1">
        <w:rPr>
          <w:rFonts w:ascii="Verdana" w:hAnsi="Verdana"/>
          <w:sz w:val="18"/>
          <w:szCs w:val="18"/>
        </w:rPr>
        <w:t>weglaten van</w:t>
      </w:r>
      <w:r w:rsidRPr="000B0065" w:rsidR="0073122B">
        <w:rPr>
          <w:rFonts w:ascii="Verdana" w:hAnsi="Verdana"/>
          <w:sz w:val="18"/>
          <w:szCs w:val="18"/>
        </w:rPr>
        <w:t xml:space="preserve"> </w:t>
      </w:r>
      <w:r w:rsidR="00B70DE4">
        <w:rPr>
          <w:rFonts w:ascii="Verdana" w:hAnsi="Verdana"/>
          <w:sz w:val="18"/>
          <w:szCs w:val="18"/>
        </w:rPr>
        <w:t xml:space="preserve">de verwijzing naar commerciële </w:t>
      </w:r>
      <w:r w:rsidRPr="000B0065" w:rsidR="0073122B">
        <w:rPr>
          <w:rFonts w:ascii="Verdana" w:hAnsi="Verdana"/>
          <w:sz w:val="18"/>
          <w:szCs w:val="18"/>
        </w:rPr>
        <w:t xml:space="preserve">standaarden wordt de toepassing van deze </w:t>
      </w:r>
      <w:r w:rsidRPr="000B0065" w:rsidR="00DB3A6B">
        <w:rPr>
          <w:rFonts w:ascii="Verdana" w:hAnsi="Verdana"/>
          <w:sz w:val="18"/>
          <w:szCs w:val="18"/>
        </w:rPr>
        <w:t>technologie</w:t>
      </w:r>
      <w:r w:rsidR="00B70DE4">
        <w:rPr>
          <w:rFonts w:ascii="Verdana" w:hAnsi="Verdana"/>
          <w:sz w:val="18"/>
          <w:szCs w:val="18"/>
        </w:rPr>
        <w:t>-</w:t>
      </w:r>
      <w:r w:rsidRPr="000B0065" w:rsidR="0073122B">
        <w:rPr>
          <w:rFonts w:ascii="Verdana" w:hAnsi="Verdana"/>
          <w:sz w:val="18"/>
          <w:szCs w:val="18"/>
        </w:rPr>
        <w:t xml:space="preserve">afbakening </w:t>
      </w:r>
      <w:r w:rsidRPr="000B0065" w:rsidR="006E08C1">
        <w:rPr>
          <w:rFonts w:ascii="Verdana" w:hAnsi="Verdana"/>
          <w:sz w:val="18"/>
          <w:szCs w:val="18"/>
        </w:rPr>
        <w:t xml:space="preserve">door het BTI en </w:t>
      </w:r>
      <w:r w:rsidR="00B45319">
        <w:rPr>
          <w:rFonts w:ascii="Verdana" w:hAnsi="Verdana" w:cs="Arial"/>
          <w:sz w:val="18"/>
          <w:szCs w:val="18"/>
        </w:rPr>
        <w:t>ondernemingen</w:t>
      </w:r>
      <w:r w:rsidRPr="000B0065" w:rsidDel="00B45319" w:rsidR="00B45319">
        <w:rPr>
          <w:rFonts w:ascii="Verdana" w:hAnsi="Verdana"/>
          <w:sz w:val="18"/>
          <w:szCs w:val="18"/>
        </w:rPr>
        <w:t xml:space="preserve"> </w:t>
      </w:r>
      <w:r w:rsidRPr="000B0065" w:rsidR="0073122B">
        <w:rPr>
          <w:rFonts w:ascii="Verdana" w:hAnsi="Verdana"/>
          <w:sz w:val="18"/>
          <w:szCs w:val="18"/>
        </w:rPr>
        <w:t>vereenvoudigd</w:t>
      </w:r>
      <w:r w:rsidRPr="000B0065" w:rsidR="006E08C1">
        <w:rPr>
          <w:rFonts w:ascii="Verdana" w:hAnsi="Verdana"/>
          <w:sz w:val="18"/>
          <w:szCs w:val="18"/>
        </w:rPr>
        <w:t xml:space="preserve">. </w:t>
      </w:r>
      <w:r w:rsidRPr="000B0065" w:rsidR="00DB3A6B">
        <w:rPr>
          <w:rFonts w:ascii="Verdana" w:hAnsi="Verdana"/>
          <w:sz w:val="18"/>
          <w:szCs w:val="18"/>
        </w:rPr>
        <w:t xml:space="preserve">De impact van deze wijziging op de lastendruk is moeilijk in te schatten, maar zal onderdeel zijn van de verplichte evaluatie van de Wet Vifo vijf jaar na inwerkingtreding. </w:t>
      </w:r>
    </w:p>
    <w:p w:rsidRPr="000B0065" w:rsidR="00F339FF" w:rsidP="006424AD" w:rsidRDefault="00AD7018" w14:paraId="2CC8049D" w14:textId="191D3610">
      <w:pPr>
        <w:rPr>
          <w:rFonts w:ascii="Verdana" w:hAnsi="Verdana" w:eastAsia="Times New Roman" w:cs="Times New Roman"/>
          <w:sz w:val="18"/>
          <w:szCs w:val="18"/>
          <w:lang w:eastAsia="nl-NL"/>
        </w:rPr>
      </w:pPr>
      <w:r w:rsidRPr="000B0065">
        <w:rPr>
          <w:rFonts w:ascii="Verdana" w:hAnsi="Verdana" w:cs="Arial"/>
          <w:sz w:val="18"/>
          <w:szCs w:val="18"/>
        </w:rPr>
        <w:t>Een aantal reacties vallen buiten het bereik en/of functie</w:t>
      </w:r>
      <w:r w:rsidRPr="000B0065" w:rsidR="00DB3A6B">
        <w:rPr>
          <w:rFonts w:ascii="Verdana" w:hAnsi="Verdana" w:cs="Arial"/>
          <w:sz w:val="18"/>
          <w:szCs w:val="18"/>
        </w:rPr>
        <w:t xml:space="preserve"> van</w:t>
      </w:r>
      <w:r w:rsidRPr="000B0065">
        <w:rPr>
          <w:rFonts w:ascii="Verdana" w:hAnsi="Verdana" w:cs="Arial"/>
          <w:sz w:val="18"/>
          <w:szCs w:val="18"/>
        </w:rPr>
        <w:t xml:space="preserve"> </w:t>
      </w:r>
      <w:r w:rsidRPr="000B0065" w:rsidR="00020712">
        <w:rPr>
          <w:rFonts w:ascii="Verdana" w:hAnsi="Verdana" w:cs="Arial"/>
          <w:sz w:val="18"/>
          <w:szCs w:val="18"/>
        </w:rPr>
        <w:t xml:space="preserve">de </w:t>
      </w:r>
      <w:r w:rsidRPr="000B0065" w:rsidR="00DB3A6B">
        <w:rPr>
          <w:rFonts w:ascii="Verdana" w:hAnsi="Verdana" w:cs="Arial"/>
          <w:sz w:val="18"/>
          <w:szCs w:val="18"/>
        </w:rPr>
        <w:t>internet</w:t>
      </w:r>
      <w:r w:rsidRPr="000B0065" w:rsidR="00020712">
        <w:rPr>
          <w:rFonts w:ascii="Verdana" w:hAnsi="Verdana" w:cs="Arial"/>
          <w:sz w:val="18"/>
          <w:szCs w:val="18"/>
        </w:rPr>
        <w:t xml:space="preserve">consultatie van de wijziging van </w:t>
      </w:r>
      <w:r w:rsidRPr="000B0065">
        <w:rPr>
          <w:rFonts w:ascii="Verdana" w:hAnsi="Verdana" w:cs="Arial"/>
          <w:sz w:val="18"/>
          <w:szCs w:val="18"/>
        </w:rPr>
        <w:t xml:space="preserve">het </w:t>
      </w:r>
      <w:r w:rsidR="00B70DE4">
        <w:rPr>
          <w:rFonts w:ascii="Verdana" w:hAnsi="Verdana" w:cs="Arial"/>
          <w:sz w:val="18"/>
          <w:szCs w:val="18"/>
        </w:rPr>
        <w:t>Besluit sensitief</w:t>
      </w:r>
      <w:r w:rsidRPr="000B0065">
        <w:rPr>
          <w:rFonts w:ascii="Verdana" w:hAnsi="Verdana" w:cs="Arial"/>
          <w:sz w:val="18"/>
          <w:szCs w:val="18"/>
        </w:rPr>
        <w:t xml:space="preserve">. </w:t>
      </w:r>
      <w:r w:rsidRPr="000B0065" w:rsidR="00024CFF">
        <w:rPr>
          <w:rFonts w:ascii="Verdana" w:hAnsi="Verdana" w:cs="Arial"/>
          <w:sz w:val="18"/>
          <w:szCs w:val="18"/>
        </w:rPr>
        <w:t xml:space="preserve">Deze </w:t>
      </w:r>
      <w:r w:rsidRPr="000B0065">
        <w:rPr>
          <w:rFonts w:ascii="Verdana" w:hAnsi="Verdana" w:cs="Arial"/>
          <w:sz w:val="18"/>
          <w:szCs w:val="18"/>
        </w:rPr>
        <w:t>reacties</w:t>
      </w:r>
      <w:r w:rsidRPr="000B0065" w:rsidR="00024CFF">
        <w:rPr>
          <w:rFonts w:ascii="Verdana" w:hAnsi="Verdana" w:cs="Arial"/>
          <w:sz w:val="18"/>
          <w:szCs w:val="18"/>
        </w:rPr>
        <w:t xml:space="preserve"> hadden </w:t>
      </w:r>
      <w:r w:rsidRPr="000B0065">
        <w:rPr>
          <w:rFonts w:ascii="Verdana" w:hAnsi="Verdana" w:cs="Arial"/>
          <w:sz w:val="18"/>
          <w:szCs w:val="18"/>
        </w:rPr>
        <w:t xml:space="preserve">betrekking op de werking van de </w:t>
      </w:r>
      <w:r w:rsidRPr="000B0065" w:rsidR="00020712">
        <w:rPr>
          <w:rFonts w:ascii="Verdana" w:hAnsi="Verdana" w:cs="Arial"/>
          <w:sz w:val="18"/>
          <w:szCs w:val="18"/>
        </w:rPr>
        <w:t>Wet vifo</w:t>
      </w:r>
      <w:r w:rsidRPr="000B0065" w:rsidR="00024CFF">
        <w:rPr>
          <w:rFonts w:ascii="Verdana" w:hAnsi="Verdana" w:cs="Arial"/>
          <w:sz w:val="18"/>
          <w:szCs w:val="18"/>
        </w:rPr>
        <w:t xml:space="preserve"> </w:t>
      </w:r>
      <w:r w:rsidRPr="000B0065" w:rsidR="007909ED">
        <w:rPr>
          <w:rFonts w:ascii="Verdana" w:hAnsi="Verdana" w:cs="Arial"/>
          <w:sz w:val="18"/>
          <w:szCs w:val="18"/>
        </w:rPr>
        <w:t xml:space="preserve">(o.m. bij </w:t>
      </w:r>
      <w:r w:rsidRPr="000B0065" w:rsidR="00402078">
        <w:rPr>
          <w:rFonts w:ascii="Verdana" w:hAnsi="Verdana" w:cs="Arial"/>
          <w:sz w:val="18"/>
          <w:szCs w:val="18"/>
        </w:rPr>
        <w:t>vererving, schenking en patenten</w:t>
      </w:r>
      <w:r w:rsidRPr="000B0065" w:rsidR="007909ED">
        <w:rPr>
          <w:rFonts w:ascii="Verdana" w:hAnsi="Verdana" w:cs="Arial"/>
          <w:sz w:val="18"/>
          <w:szCs w:val="18"/>
        </w:rPr>
        <w:t>), de</w:t>
      </w:r>
      <w:r w:rsidR="004D6F4B">
        <w:rPr>
          <w:rFonts w:ascii="Verdana" w:hAnsi="Verdana" w:cs="Arial"/>
          <w:sz w:val="18"/>
          <w:szCs w:val="18"/>
        </w:rPr>
        <w:t xml:space="preserve"> voorgestelde herziening van de</w:t>
      </w:r>
      <w:r w:rsidRPr="000B0065" w:rsidR="007909ED">
        <w:rPr>
          <w:rFonts w:ascii="Verdana" w:hAnsi="Verdana" w:cs="Arial"/>
          <w:sz w:val="18"/>
          <w:szCs w:val="18"/>
        </w:rPr>
        <w:t xml:space="preserve"> Europese FDI</w:t>
      </w:r>
      <w:r w:rsidR="00B70DE4">
        <w:rPr>
          <w:rFonts w:ascii="Verdana" w:hAnsi="Verdana" w:cs="Arial"/>
          <w:sz w:val="18"/>
          <w:szCs w:val="18"/>
        </w:rPr>
        <w:t>-Ve</w:t>
      </w:r>
      <w:r w:rsidRPr="000B0065" w:rsidR="007909ED">
        <w:rPr>
          <w:rFonts w:ascii="Verdana" w:hAnsi="Verdana" w:cs="Arial"/>
          <w:sz w:val="18"/>
          <w:szCs w:val="18"/>
        </w:rPr>
        <w:t>rordening en het ondersteunen van</w:t>
      </w:r>
      <w:r w:rsidRPr="000B0065">
        <w:rPr>
          <w:rFonts w:ascii="Verdana" w:hAnsi="Verdana" w:eastAsia="Times New Roman" w:cs="Times New Roman"/>
          <w:sz w:val="18"/>
          <w:szCs w:val="18"/>
          <w:lang w:eastAsia="nl-NL"/>
        </w:rPr>
        <w:t xml:space="preserve"> het MKB en bedrijfsleven bij onderzoek en</w:t>
      </w:r>
      <w:r w:rsidRPr="000B0065" w:rsidR="007909ED">
        <w:rPr>
          <w:rFonts w:ascii="Verdana" w:hAnsi="Verdana" w:eastAsia="Times New Roman" w:cs="Times New Roman"/>
          <w:sz w:val="18"/>
          <w:szCs w:val="18"/>
          <w:lang w:eastAsia="nl-NL"/>
        </w:rPr>
        <w:t xml:space="preserve"> </w:t>
      </w:r>
      <w:r w:rsidRPr="000B0065" w:rsidR="001E22F1">
        <w:rPr>
          <w:rFonts w:ascii="Verdana" w:hAnsi="Verdana" w:eastAsia="Times New Roman" w:cs="Times New Roman"/>
          <w:sz w:val="18"/>
          <w:szCs w:val="18"/>
          <w:lang w:eastAsia="nl-NL"/>
        </w:rPr>
        <w:t>technologieontwikkeling</w:t>
      </w:r>
      <w:r w:rsidRPr="000B0065">
        <w:rPr>
          <w:rFonts w:ascii="Verdana" w:hAnsi="Verdana" w:eastAsia="Times New Roman" w:cs="Times New Roman"/>
          <w:sz w:val="18"/>
          <w:szCs w:val="18"/>
          <w:lang w:eastAsia="nl-NL"/>
        </w:rPr>
        <w:t xml:space="preserve">. </w:t>
      </w:r>
      <w:r w:rsidRPr="000B0065" w:rsidR="00DB3A6B">
        <w:rPr>
          <w:rFonts w:ascii="Verdana" w:hAnsi="Verdana" w:eastAsia="Times New Roman" w:cs="Times New Roman"/>
          <w:sz w:val="18"/>
          <w:szCs w:val="18"/>
          <w:lang w:eastAsia="nl-NL"/>
        </w:rPr>
        <w:t>In ee</w:t>
      </w:r>
      <w:r w:rsidRPr="000B0065" w:rsidR="0068261B">
        <w:rPr>
          <w:rFonts w:ascii="Verdana" w:hAnsi="Verdana" w:eastAsia="Times New Roman" w:cs="Times New Roman"/>
          <w:sz w:val="18"/>
          <w:szCs w:val="18"/>
          <w:lang w:eastAsia="nl-NL"/>
        </w:rPr>
        <w:t xml:space="preserve">n anonieme reactie </w:t>
      </w:r>
      <w:r w:rsidRPr="000B0065" w:rsidR="00DB3A6B">
        <w:rPr>
          <w:rFonts w:ascii="Verdana" w:hAnsi="Verdana" w:eastAsia="Times New Roman" w:cs="Times New Roman"/>
          <w:sz w:val="18"/>
          <w:szCs w:val="18"/>
          <w:lang w:eastAsia="nl-NL"/>
        </w:rPr>
        <w:t xml:space="preserve">is gevraagd </w:t>
      </w:r>
      <w:r w:rsidRPr="000B0065" w:rsidR="0068261B">
        <w:rPr>
          <w:rFonts w:ascii="Verdana" w:hAnsi="Verdana" w:eastAsia="Times New Roman" w:cs="Times New Roman"/>
          <w:sz w:val="18"/>
          <w:szCs w:val="18"/>
          <w:lang w:eastAsia="nl-NL"/>
        </w:rPr>
        <w:t xml:space="preserve">om een verduidelijking van </w:t>
      </w:r>
      <w:r w:rsidR="00B70DE4">
        <w:rPr>
          <w:rFonts w:ascii="Verdana" w:hAnsi="Verdana" w:eastAsia="Times New Roman" w:cs="Times New Roman"/>
          <w:sz w:val="18"/>
          <w:szCs w:val="18"/>
          <w:lang w:eastAsia="nl-NL"/>
        </w:rPr>
        <w:t xml:space="preserve">het begrip </w:t>
      </w:r>
      <w:r w:rsidRPr="000B0065" w:rsidR="0068261B">
        <w:rPr>
          <w:rFonts w:ascii="Verdana" w:hAnsi="Verdana" w:eastAsia="Times New Roman" w:cs="Times New Roman"/>
          <w:sz w:val="18"/>
          <w:szCs w:val="18"/>
          <w:lang w:eastAsia="nl-NL"/>
        </w:rPr>
        <w:t>‘actief zijn op</w:t>
      </w:r>
      <w:r w:rsidR="00B70DE4">
        <w:rPr>
          <w:rFonts w:ascii="Verdana" w:hAnsi="Verdana" w:eastAsia="Times New Roman" w:cs="Times New Roman"/>
          <w:sz w:val="18"/>
          <w:szCs w:val="18"/>
          <w:lang w:eastAsia="nl-NL"/>
        </w:rPr>
        <w:t>’</w:t>
      </w:r>
      <w:r w:rsidRPr="000B0065" w:rsidR="0068261B">
        <w:rPr>
          <w:rFonts w:ascii="Verdana" w:hAnsi="Verdana" w:eastAsia="Times New Roman" w:cs="Times New Roman"/>
          <w:sz w:val="18"/>
          <w:szCs w:val="18"/>
          <w:lang w:eastAsia="nl-NL"/>
        </w:rPr>
        <w:t xml:space="preserve"> </w:t>
      </w:r>
      <w:r w:rsidR="00B70DE4">
        <w:rPr>
          <w:rFonts w:ascii="Verdana" w:hAnsi="Verdana" w:eastAsia="Times New Roman" w:cs="Times New Roman"/>
          <w:sz w:val="18"/>
          <w:szCs w:val="18"/>
          <w:lang w:eastAsia="nl-NL"/>
        </w:rPr>
        <w:t xml:space="preserve">ten aanzien van een </w:t>
      </w:r>
      <w:r w:rsidRPr="000B0065" w:rsidR="0068261B">
        <w:rPr>
          <w:rFonts w:ascii="Verdana" w:hAnsi="Verdana" w:eastAsia="Times New Roman" w:cs="Times New Roman"/>
          <w:sz w:val="18"/>
          <w:szCs w:val="18"/>
          <w:lang w:eastAsia="nl-NL"/>
        </w:rPr>
        <w:t>technologie</w:t>
      </w:r>
      <w:r w:rsidR="00B70DE4">
        <w:rPr>
          <w:rFonts w:ascii="Verdana" w:hAnsi="Verdana" w:eastAsia="Times New Roman" w:cs="Times New Roman"/>
          <w:sz w:val="18"/>
          <w:szCs w:val="18"/>
          <w:lang w:eastAsia="nl-NL"/>
        </w:rPr>
        <w:t xml:space="preserve"> </w:t>
      </w:r>
      <w:r w:rsidRPr="000B0065" w:rsidR="00D32413">
        <w:rPr>
          <w:rFonts w:ascii="Verdana" w:hAnsi="Verdana" w:eastAsia="Times New Roman" w:cs="Times New Roman"/>
          <w:sz w:val="18"/>
          <w:szCs w:val="18"/>
          <w:lang w:eastAsia="nl-NL"/>
        </w:rPr>
        <w:t xml:space="preserve">in het </w:t>
      </w:r>
      <w:r w:rsidRPr="000B0065" w:rsidR="00DB3A6B">
        <w:rPr>
          <w:rFonts w:ascii="Verdana" w:hAnsi="Verdana" w:eastAsia="Times New Roman" w:cs="Times New Roman"/>
          <w:sz w:val="18"/>
          <w:szCs w:val="18"/>
          <w:lang w:eastAsia="nl-NL"/>
        </w:rPr>
        <w:t>wijzigings</w:t>
      </w:r>
      <w:r w:rsidRPr="000B0065" w:rsidR="00D32413">
        <w:rPr>
          <w:rFonts w:ascii="Verdana" w:hAnsi="Verdana" w:eastAsia="Times New Roman" w:cs="Times New Roman"/>
          <w:sz w:val="18"/>
          <w:szCs w:val="18"/>
          <w:lang w:eastAsia="nl-NL"/>
        </w:rPr>
        <w:t>besluit</w:t>
      </w:r>
      <w:r w:rsidRPr="000B0065" w:rsidR="0068261B">
        <w:rPr>
          <w:rFonts w:ascii="Verdana" w:hAnsi="Verdana" w:eastAsia="Times New Roman" w:cs="Times New Roman"/>
          <w:sz w:val="18"/>
          <w:szCs w:val="18"/>
          <w:lang w:eastAsia="nl-NL"/>
        </w:rPr>
        <w:t xml:space="preserve">. Hiervoor </w:t>
      </w:r>
      <w:r w:rsidRPr="000B0065" w:rsidR="0073122B">
        <w:rPr>
          <w:rFonts w:ascii="Verdana" w:hAnsi="Verdana" w:eastAsia="Times New Roman" w:cs="Times New Roman"/>
          <w:sz w:val="18"/>
          <w:szCs w:val="18"/>
          <w:lang w:eastAsia="nl-NL"/>
        </w:rPr>
        <w:t xml:space="preserve">wordt </w:t>
      </w:r>
      <w:r w:rsidRPr="000B0065" w:rsidR="0068261B">
        <w:rPr>
          <w:rFonts w:ascii="Verdana" w:hAnsi="Verdana" w:eastAsia="Times New Roman" w:cs="Times New Roman"/>
          <w:sz w:val="18"/>
          <w:szCs w:val="18"/>
          <w:lang w:eastAsia="nl-NL"/>
        </w:rPr>
        <w:t>verwezen naar de website van het BTI waar</w:t>
      </w:r>
      <w:r w:rsidRPr="000B0065" w:rsidR="00D32413">
        <w:rPr>
          <w:rFonts w:ascii="Verdana" w:hAnsi="Verdana" w:eastAsia="Times New Roman" w:cs="Times New Roman"/>
          <w:sz w:val="18"/>
          <w:szCs w:val="18"/>
          <w:lang w:eastAsia="nl-NL"/>
        </w:rPr>
        <w:t xml:space="preserve"> </w:t>
      </w:r>
      <w:r w:rsidRPr="000B0065" w:rsidR="00402078">
        <w:rPr>
          <w:rFonts w:ascii="Verdana" w:hAnsi="Verdana" w:eastAsia="Times New Roman" w:cs="Times New Roman"/>
          <w:sz w:val="18"/>
          <w:szCs w:val="18"/>
          <w:lang w:eastAsia="nl-NL"/>
        </w:rPr>
        <w:t xml:space="preserve">dit in een herziene </w:t>
      </w:r>
      <w:r w:rsidRPr="000B0065" w:rsidR="0068261B">
        <w:rPr>
          <w:rFonts w:ascii="Verdana" w:hAnsi="Verdana" w:eastAsia="Times New Roman" w:cs="Times New Roman"/>
          <w:sz w:val="18"/>
          <w:szCs w:val="18"/>
          <w:lang w:eastAsia="nl-NL"/>
        </w:rPr>
        <w:t xml:space="preserve">handleiding </w:t>
      </w:r>
      <w:r w:rsidRPr="000B0065" w:rsidR="00D32413">
        <w:rPr>
          <w:rFonts w:ascii="Verdana" w:hAnsi="Verdana" w:eastAsia="Times New Roman" w:cs="Times New Roman"/>
          <w:sz w:val="18"/>
          <w:szCs w:val="18"/>
          <w:lang w:eastAsia="nl-NL"/>
        </w:rPr>
        <w:t>wordt toegelicht</w:t>
      </w:r>
      <w:r w:rsidRPr="000B0065" w:rsidR="0068261B">
        <w:rPr>
          <w:rFonts w:ascii="Verdana" w:hAnsi="Verdana" w:eastAsia="Times New Roman" w:cs="Times New Roman"/>
          <w:sz w:val="18"/>
          <w:szCs w:val="18"/>
          <w:lang w:eastAsia="nl-NL"/>
        </w:rPr>
        <w:t xml:space="preserve">. </w:t>
      </w:r>
    </w:p>
    <w:p w:rsidRPr="000B0065" w:rsidR="00617833" w:rsidP="006424AD" w:rsidRDefault="00617833" w14:paraId="7A7837C4" w14:textId="77777777">
      <w:pPr>
        <w:rPr>
          <w:rFonts w:ascii="Verdana" w:hAnsi="Verdana" w:cs="Arial"/>
          <w:sz w:val="18"/>
          <w:szCs w:val="18"/>
        </w:rPr>
      </w:pPr>
    </w:p>
    <w:p w:rsidRPr="000B0065" w:rsidR="002531AD" w:rsidP="006424AD" w:rsidRDefault="002531AD" w14:paraId="7FD691B6" w14:textId="77777777">
      <w:pPr>
        <w:rPr>
          <w:rFonts w:ascii="Verdana" w:hAnsi="Verdana"/>
          <w:b/>
          <w:bCs/>
          <w:sz w:val="18"/>
          <w:szCs w:val="18"/>
        </w:rPr>
      </w:pPr>
      <w:r w:rsidRPr="000B0065">
        <w:rPr>
          <w:rFonts w:ascii="Verdana" w:hAnsi="Verdana"/>
          <w:b/>
          <w:bCs/>
          <w:sz w:val="18"/>
          <w:szCs w:val="18"/>
        </w:rPr>
        <w:t>II. ARTIKELEN</w:t>
      </w:r>
    </w:p>
    <w:p w:rsidRPr="000B0065" w:rsidR="002531AD" w:rsidP="006424AD" w:rsidRDefault="002531AD" w14:paraId="65A0F9C3" w14:textId="77777777">
      <w:pPr>
        <w:rPr>
          <w:rFonts w:ascii="Verdana" w:hAnsi="Verdana"/>
          <w:b/>
          <w:bCs/>
          <w:i/>
          <w:iCs/>
          <w:sz w:val="18"/>
          <w:szCs w:val="18"/>
        </w:rPr>
      </w:pPr>
      <w:r w:rsidRPr="000B0065">
        <w:rPr>
          <w:rFonts w:ascii="Verdana" w:hAnsi="Verdana"/>
          <w:b/>
          <w:bCs/>
          <w:i/>
          <w:iCs/>
          <w:sz w:val="18"/>
          <w:szCs w:val="18"/>
        </w:rPr>
        <w:t>Artikel I</w:t>
      </w:r>
    </w:p>
    <w:p w:rsidRPr="000B0065" w:rsidR="002531AD" w:rsidP="006424AD" w:rsidRDefault="002531AD" w14:paraId="6B9A9769" w14:textId="77777777">
      <w:pPr>
        <w:rPr>
          <w:rFonts w:ascii="Verdana" w:hAnsi="Verdana"/>
          <w:i/>
          <w:iCs/>
          <w:sz w:val="18"/>
          <w:szCs w:val="18"/>
        </w:rPr>
      </w:pPr>
      <w:r w:rsidRPr="000B0065">
        <w:rPr>
          <w:rFonts w:ascii="Verdana" w:hAnsi="Verdana"/>
          <w:i/>
          <w:iCs/>
          <w:sz w:val="18"/>
          <w:szCs w:val="18"/>
        </w:rPr>
        <w:t>onderdeel A</w:t>
      </w:r>
    </w:p>
    <w:p w:rsidRPr="000B0065" w:rsidR="002531AD" w:rsidP="006424AD" w:rsidRDefault="002531AD" w14:paraId="24AF94BA" w14:textId="21403D92">
      <w:pPr>
        <w:rPr>
          <w:rFonts w:ascii="Verdana" w:hAnsi="Verdana"/>
          <w:sz w:val="18"/>
          <w:szCs w:val="18"/>
        </w:rPr>
      </w:pPr>
      <w:r w:rsidRPr="000B0065">
        <w:rPr>
          <w:rFonts w:ascii="Verdana" w:hAnsi="Verdana"/>
          <w:sz w:val="18"/>
          <w:szCs w:val="18"/>
        </w:rPr>
        <w:t>Dit onderdeel ziet op een uitbreiding van de tabel in bijlage 2 van het Besluit sensitief. Deze tabel geeft omschrijvingen van technologieën die op grond van artikel 3 van het Besluit sensitief zijn aangewezen als sensitieve technologie. Het betreft technologieën die niet (geheel) op de EU-exportcontrolelijsten</w:t>
      </w:r>
      <w:r w:rsidRPr="000B0065">
        <w:rPr>
          <w:rStyle w:val="Voetnootmarkering"/>
          <w:rFonts w:ascii="Verdana" w:hAnsi="Verdana"/>
          <w:sz w:val="18"/>
          <w:szCs w:val="18"/>
        </w:rPr>
        <w:footnoteReference w:id="24"/>
      </w:r>
      <w:r w:rsidRPr="000B0065">
        <w:rPr>
          <w:rFonts w:ascii="Verdana" w:hAnsi="Verdana"/>
          <w:sz w:val="18"/>
          <w:szCs w:val="18"/>
        </w:rPr>
        <w:t xml:space="preserve"> voorkomen, maar die krachtens dit besluit wel als sensitief zijn aangemerkt. Iedere omschrijving die in deze tabel van een technologie wordt gegeven is gekoppeld aan een verwijzingscode die telkens begint met de letters AST gevolg door een cijfer. De letters AST staan voor «Aangewezen Sensitieve Technologie». Aan de vier bestaande omschrijvingen van </w:t>
      </w:r>
      <w:r w:rsidRPr="000B0065">
        <w:rPr>
          <w:rFonts w:ascii="Verdana" w:hAnsi="Verdana"/>
          <w:sz w:val="18"/>
          <w:szCs w:val="18"/>
        </w:rPr>
        <w:lastRenderedPageBreak/>
        <w:t xml:space="preserve">onderscheidenlijke technologieën (AST 1 tot en met AST 4) worden door dit wijzigingsbesluit zes nieuwe omschrijvingen toegevoegd gekoppeld aan evenzovele nieuwe verwijzingscodes. De nieuw toegevoegde omschrijvingen van (sub)technologieën hebben achtereenvolgens betrekking op: Geavanceerde materialen-technologie (AST 5), Artificiële Intelligentie </w:t>
      </w:r>
      <w:r w:rsidR="003D597F">
        <w:rPr>
          <w:rFonts w:ascii="Verdana" w:hAnsi="Verdana"/>
          <w:sz w:val="18"/>
          <w:szCs w:val="18"/>
        </w:rPr>
        <w:t xml:space="preserve">Technologie </w:t>
      </w:r>
      <w:r w:rsidRPr="000B0065">
        <w:rPr>
          <w:rFonts w:ascii="Verdana" w:hAnsi="Verdana"/>
          <w:sz w:val="18"/>
          <w:szCs w:val="18"/>
        </w:rPr>
        <w:t>(AST 6), Biotechnologie (AST 7), Nanotechnologie (AST 8), Sensor- en navigatietechnologie (AST 9) en Nucleaire technologie voor medisch gebruik (AST 10). De achtergrond van de uitbreiding van de tabel met deze (sub)technologieën komt aan bod in de paragrafen 2 en 3 van het algemeen deel van de nota van toelichting van dit wijzigingsbesluit. En op de inhoud van de in de tabel gegeven omschrijvingen van iedere (sub)technologie is in paragraaf 4 van die toelichting nader ingegaan, zodat hier wordt volstaan met daarnaar te verwijzen.</w:t>
      </w:r>
    </w:p>
    <w:p w:rsidRPr="000B0065" w:rsidR="002531AD" w:rsidP="006424AD" w:rsidRDefault="002531AD" w14:paraId="7EE96787" w14:textId="77777777">
      <w:pPr>
        <w:rPr>
          <w:rFonts w:ascii="Verdana" w:hAnsi="Verdana"/>
          <w:i/>
          <w:iCs/>
          <w:sz w:val="18"/>
          <w:szCs w:val="18"/>
        </w:rPr>
      </w:pPr>
      <w:r w:rsidRPr="000B0065">
        <w:rPr>
          <w:rFonts w:ascii="Verdana" w:hAnsi="Verdana"/>
          <w:i/>
          <w:iCs/>
          <w:sz w:val="18"/>
          <w:szCs w:val="18"/>
        </w:rPr>
        <w:t>onderdeel B</w:t>
      </w:r>
    </w:p>
    <w:p w:rsidRPr="000B0065" w:rsidR="002531AD" w:rsidP="006424AD" w:rsidRDefault="002531AD" w14:paraId="5B359C94" w14:textId="3886DE7C">
      <w:pPr>
        <w:rPr>
          <w:rFonts w:ascii="Verdana" w:hAnsi="Verdana"/>
          <w:sz w:val="18"/>
          <w:szCs w:val="18"/>
        </w:rPr>
      </w:pPr>
      <w:r w:rsidRPr="000B0065">
        <w:rPr>
          <w:rFonts w:ascii="Verdana" w:hAnsi="Verdana"/>
          <w:sz w:val="18"/>
          <w:szCs w:val="18"/>
        </w:rPr>
        <w:t>Dit onderdeel ziet op een uitbreiding van de tabel in bijlage 3 van het Besluit sensitief. Deze tabel duidt de sensitieve technologieën aan die tevens als zeer sensitief zijn aan te merken. Die aanduiding gebeurt met verwijzingscodes, zodat met behulp daarvan vastgesteld kan worden welke technologieën het betreft. In de bestaande tabel worden verschillende verwijzingscodes toegevoegd, waardoor de technologieën die daaraan gekoppeld zijn eveneens als zeer sensitief zijn aangemerkt. Hieronder wordt toegelicht op basis van welke afwegingen sensitieve technologieën door toevoeging van verwijzingscodes aan tabel 3 als zeer sensitief zijn aangemerkt.</w:t>
      </w:r>
    </w:p>
    <w:tbl>
      <w:tblPr>
        <w:tblStyle w:val="Tabelraster"/>
        <w:tblW w:w="0" w:type="auto"/>
        <w:tblLook w:val="04A0" w:firstRow="1" w:lastRow="0" w:firstColumn="1" w:lastColumn="0" w:noHBand="0" w:noVBand="1"/>
      </w:tblPr>
      <w:tblGrid>
        <w:gridCol w:w="4531"/>
        <w:gridCol w:w="4531"/>
      </w:tblGrid>
      <w:tr w:rsidRPr="000B0065" w:rsidR="002531AD" w:rsidTr="00DE08DB" w14:paraId="35201C75" w14:textId="77777777">
        <w:tc>
          <w:tcPr>
            <w:tcW w:w="4531" w:type="dxa"/>
          </w:tcPr>
          <w:p w:rsidRPr="000B0065" w:rsidR="002531AD" w:rsidP="006424AD" w:rsidRDefault="002531AD" w14:paraId="32C4C165" w14:textId="77777777">
            <w:pPr>
              <w:rPr>
                <w:rFonts w:ascii="Verdana" w:hAnsi="Verdana"/>
                <w:sz w:val="18"/>
                <w:szCs w:val="18"/>
              </w:rPr>
            </w:pPr>
            <w:r w:rsidRPr="000B0065">
              <w:rPr>
                <w:rFonts w:ascii="Verdana" w:hAnsi="Verdana"/>
                <w:sz w:val="18"/>
                <w:szCs w:val="18"/>
              </w:rPr>
              <w:t>Categorie</w:t>
            </w:r>
          </w:p>
        </w:tc>
        <w:tc>
          <w:tcPr>
            <w:tcW w:w="4531" w:type="dxa"/>
          </w:tcPr>
          <w:p w:rsidRPr="000B0065" w:rsidR="002531AD" w:rsidP="006424AD" w:rsidRDefault="002531AD" w14:paraId="413BFB2F" w14:textId="77777777">
            <w:pPr>
              <w:rPr>
                <w:rFonts w:ascii="Verdana" w:hAnsi="Verdana"/>
                <w:sz w:val="18"/>
                <w:szCs w:val="18"/>
              </w:rPr>
            </w:pPr>
            <w:r w:rsidRPr="000B0065">
              <w:rPr>
                <w:rFonts w:ascii="Verdana" w:hAnsi="Verdana"/>
                <w:sz w:val="18"/>
                <w:szCs w:val="18"/>
              </w:rPr>
              <w:t>Producten voor tweeërlei gebruik die als zeer sensitief zijn beoordeeld</w:t>
            </w:r>
          </w:p>
        </w:tc>
      </w:tr>
      <w:tr w:rsidRPr="000B0065" w:rsidR="002531AD" w:rsidTr="00DE08DB" w14:paraId="433CB91A" w14:textId="77777777">
        <w:tc>
          <w:tcPr>
            <w:tcW w:w="4531" w:type="dxa"/>
          </w:tcPr>
          <w:p w:rsidRPr="000B0065" w:rsidR="002531AD" w:rsidP="006424AD" w:rsidRDefault="002531AD" w14:paraId="2BF07AF0" w14:textId="77777777">
            <w:pPr>
              <w:rPr>
                <w:rFonts w:ascii="Verdana" w:hAnsi="Verdana"/>
                <w:i/>
                <w:iCs/>
                <w:sz w:val="18"/>
                <w:szCs w:val="18"/>
              </w:rPr>
            </w:pPr>
            <w:r w:rsidRPr="000B0065">
              <w:rPr>
                <w:rFonts w:ascii="Verdana" w:hAnsi="Verdana"/>
                <w:i/>
                <w:iCs/>
                <w:sz w:val="18"/>
                <w:szCs w:val="18"/>
              </w:rPr>
              <w:t>CATEGORIE 5 – TELECOMMUNICATIE EN «INFORMATIEBEVEILIGING»</w:t>
            </w:r>
          </w:p>
          <w:p w:rsidRPr="000B0065" w:rsidR="002531AD" w:rsidP="006424AD" w:rsidRDefault="002531AD" w14:paraId="43A91923" w14:textId="77777777">
            <w:pPr>
              <w:rPr>
                <w:rFonts w:ascii="Verdana" w:hAnsi="Verdana"/>
                <w:i/>
                <w:iCs/>
                <w:sz w:val="18"/>
                <w:szCs w:val="18"/>
              </w:rPr>
            </w:pPr>
          </w:p>
          <w:p w:rsidRPr="000B0065" w:rsidR="002531AD" w:rsidP="006424AD" w:rsidRDefault="002531AD" w14:paraId="49362649" w14:textId="77777777">
            <w:pPr>
              <w:rPr>
                <w:rFonts w:ascii="Verdana" w:hAnsi="Verdana"/>
                <w:i/>
                <w:iCs/>
                <w:sz w:val="18"/>
                <w:szCs w:val="18"/>
              </w:rPr>
            </w:pPr>
          </w:p>
        </w:tc>
        <w:tc>
          <w:tcPr>
            <w:tcW w:w="4531" w:type="dxa"/>
          </w:tcPr>
          <w:p w:rsidRPr="000B0065" w:rsidR="002531AD" w:rsidP="006424AD" w:rsidRDefault="002531AD" w14:paraId="3D679ECE" w14:textId="77777777">
            <w:pPr>
              <w:rPr>
                <w:rFonts w:ascii="Verdana" w:hAnsi="Verdana"/>
                <w:sz w:val="18"/>
                <w:szCs w:val="18"/>
              </w:rPr>
            </w:pPr>
            <w:r w:rsidRPr="000B0065">
              <w:rPr>
                <w:rFonts w:ascii="Verdana" w:hAnsi="Verdana"/>
                <w:sz w:val="18"/>
                <w:szCs w:val="18"/>
              </w:rPr>
              <w:t>Toevoeging verwijzingscodes 5A002, 5A003, 5B002 en 5E002</w:t>
            </w:r>
          </w:p>
          <w:p w:rsidRPr="000B0065" w:rsidR="002531AD" w:rsidP="006424AD" w:rsidRDefault="002531AD" w14:paraId="4B4407F9" w14:textId="77777777">
            <w:pPr>
              <w:rPr>
                <w:rFonts w:ascii="Verdana" w:hAnsi="Verdana"/>
                <w:sz w:val="18"/>
                <w:szCs w:val="18"/>
              </w:rPr>
            </w:pPr>
          </w:p>
          <w:p w:rsidRPr="000B0065" w:rsidR="002531AD" w:rsidP="006424AD" w:rsidRDefault="002531AD" w14:paraId="0BF2ABB5" w14:textId="77777777">
            <w:pPr>
              <w:rPr>
                <w:rFonts w:ascii="Verdana" w:hAnsi="Verdana"/>
                <w:sz w:val="18"/>
                <w:szCs w:val="18"/>
              </w:rPr>
            </w:pPr>
            <w:r w:rsidRPr="000B0065">
              <w:rPr>
                <w:rFonts w:ascii="Verdana" w:hAnsi="Verdana"/>
                <w:sz w:val="18"/>
                <w:szCs w:val="18"/>
              </w:rPr>
              <w:t xml:space="preserve">Uit deze categorie zijn de technologieën waarnaar de verwijzingscodes 5A004 en 5D002  bijlage 3 van het Besluit sensitief verwijzen al als zeer sensitief aangemerkt vanwege onder meer hun toepassing in het ondergraven van genomen maatregelen op het gebied van informatiebeveiliging.  </w:t>
            </w:r>
          </w:p>
          <w:p w:rsidRPr="000B0065" w:rsidR="002531AD" w:rsidP="006424AD" w:rsidRDefault="002531AD" w14:paraId="77B206D5" w14:textId="77777777">
            <w:pPr>
              <w:rPr>
                <w:rFonts w:ascii="Verdana" w:hAnsi="Verdana"/>
                <w:sz w:val="18"/>
                <w:szCs w:val="18"/>
              </w:rPr>
            </w:pPr>
          </w:p>
          <w:p w:rsidRPr="000B0065" w:rsidR="002531AD" w:rsidP="006424AD" w:rsidRDefault="002531AD" w14:paraId="03BD0F8B" w14:textId="2FB61099">
            <w:pPr>
              <w:rPr>
                <w:rFonts w:ascii="Verdana" w:hAnsi="Verdana"/>
                <w:sz w:val="18"/>
                <w:szCs w:val="18"/>
              </w:rPr>
            </w:pPr>
            <w:r w:rsidRPr="000B0065">
              <w:rPr>
                <w:rFonts w:ascii="Verdana" w:hAnsi="Verdana"/>
                <w:sz w:val="18"/>
                <w:szCs w:val="18"/>
              </w:rPr>
              <w:t>Met het toenemende gebruik van ICT en digitale communicatie neemt het belang van de informatiebeveiliging toe. In vitale processen van Defensie en andere overheden worden hiervoor naast producten die specifiek voor militaire toepassingen en/of cryptografie zijn ontwikkeld ook producten gebruikt die daar geschikt voor worden gemaakt. De toegang tot technologie om via cryptografie systemen te kunnen ontwerpen of aan te passen voor de beveiliging van zeer gevoelige informatie is nodig om nieuwe risico’s te kunnen mitigeren en de continuïteit van vitale processen van Defensie en andere overheden te kunnen waarborgen. Gelet op dit grote belang voor de maatschappij wordt binnen categorie 5 de technologieën onder 5A002, 5A003</w:t>
            </w:r>
            <w:r w:rsidRPr="000B0065" w:rsidR="001A79F1">
              <w:rPr>
                <w:rFonts w:ascii="Verdana" w:hAnsi="Verdana"/>
                <w:sz w:val="18"/>
                <w:szCs w:val="18"/>
              </w:rPr>
              <w:t>,</w:t>
            </w:r>
            <w:r w:rsidRPr="000B0065">
              <w:rPr>
                <w:rFonts w:ascii="Verdana" w:hAnsi="Verdana"/>
                <w:sz w:val="18"/>
                <w:szCs w:val="18"/>
              </w:rPr>
              <w:t xml:space="preserve"> 5B002 en 5E002 ook aan bijlage 3 van het Besluit sensitief toegevoegd en als ‘zeer sensitief’ aangemerkt.</w:t>
            </w:r>
          </w:p>
          <w:p w:rsidRPr="000B0065" w:rsidR="002531AD" w:rsidP="006424AD" w:rsidRDefault="002531AD" w14:paraId="070A0C36" w14:textId="77777777">
            <w:pPr>
              <w:rPr>
                <w:rFonts w:ascii="Verdana" w:hAnsi="Verdana"/>
                <w:sz w:val="18"/>
                <w:szCs w:val="18"/>
              </w:rPr>
            </w:pPr>
          </w:p>
          <w:p w:rsidRPr="000B0065" w:rsidR="002531AD" w:rsidP="006424AD" w:rsidRDefault="002531AD" w14:paraId="27831663" w14:textId="77777777">
            <w:pPr>
              <w:spacing w:line="240" w:lineRule="atLeast"/>
              <w:rPr>
                <w:rFonts w:ascii="Verdana" w:hAnsi="Verdana" w:cs="Arial"/>
                <w:sz w:val="18"/>
                <w:szCs w:val="18"/>
              </w:rPr>
            </w:pPr>
            <w:r w:rsidRPr="000B0065">
              <w:rPr>
                <w:rFonts w:ascii="Verdana" w:hAnsi="Verdana" w:cs="Arial"/>
                <w:sz w:val="18"/>
                <w:szCs w:val="18"/>
              </w:rPr>
              <w:t xml:space="preserve">Uit deze categorie is verder verwijzingscode 5E001b2 als zeer sensitief aangemerkt vanwege het navolgende. Door een vergaande digitalisering van de samenleving is er een aanhoudende groei van dataverkeer. Satellietcommunicatie neemt daarin een belangrijke positie in en is daarmee van belang </w:t>
            </w:r>
            <w:r w:rsidRPr="000B0065">
              <w:rPr>
                <w:rFonts w:ascii="Verdana" w:hAnsi="Verdana" w:cs="Arial"/>
                <w:sz w:val="18"/>
                <w:szCs w:val="18"/>
              </w:rPr>
              <w:lastRenderedPageBreak/>
              <w:t xml:space="preserve">voor diverse vitale processen. Betrouwbare en veilige communicatienetwerken zijn daardoor van toenemend belang. Dit geldt bijvoorbeeld voor het keren en beheren van waterkwantiteit, vlucht- en vliegtuigafhandeling en communicatie met en tussen hulpdiensten, vooral tijdens rampen waarbij de infrastructuur beschadigd of niet beschikbaar is. Ook Defensie heeft te allen tijde waar ook ter wereld toegang nodig tot satellietcommunicatie om informatie uit te wisselen die essentieel is voor de taakuitvoering. Tegelijkertijd leiden ontwikkelingen in onder meer nanotechnologie, geavanceerde materialen en sensoren tot nieuwe ontwikkelingen en toepassingen van satellieten. Grote en kleine satellieten kennen civiele toepassingen, maar kunnen ook als militair inlichtingenplatform gebruikt worden. Laser satellietcommunicatie is een technologie die het mogelijk maakt om de beveiliging en snelheid  van dataverkeer te verbeteren. Deze satellietverbindingen zijn een alternatief voor de gebruikelijke op radiocommunicatie gebaseerde verbindingen en bieden een grote datacapaciteit in combinatie met uiterst lage vertragingstijden. Gerichte lichtbundels bieden een verbeterde bescherming omdat interceptie van signalen alleen mogelijk is in de bundel zelf. Hiermee kan Defensie de continuïteit in de militaire taakuitvoering beter garanderen en bij een bredere toepassing van deze technologie de kansen op uitval of verstoring van vitale processen verkleinen. </w:t>
            </w:r>
          </w:p>
          <w:p w:rsidRPr="000B0065" w:rsidR="002531AD" w:rsidP="006424AD" w:rsidRDefault="002531AD" w14:paraId="6AFE923A" w14:textId="77777777">
            <w:pPr>
              <w:spacing w:line="240" w:lineRule="atLeast"/>
              <w:rPr>
                <w:rFonts w:ascii="Verdana" w:hAnsi="Verdana"/>
                <w:sz w:val="18"/>
                <w:szCs w:val="18"/>
              </w:rPr>
            </w:pPr>
            <w:r w:rsidRPr="000B0065">
              <w:rPr>
                <w:rFonts w:ascii="Verdana" w:hAnsi="Verdana" w:cs="Arial"/>
                <w:sz w:val="18"/>
                <w:szCs w:val="18"/>
              </w:rPr>
              <w:t xml:space="preserve">In bijlage 3 van het besluit sensitief zijn reeds onderdelen op de dual-use goederen lijst die betrekking hebben op ruimtevaart technologieën als zeer sensitief aangemerkt. In aanvulling daarop wordt onderdeel 5E001b2 toegevoegd, waarmee technologie" voor de "ontwikkeling" of het "gebruik" van "laser"- communicatietechnieken via de exosfeer (vliegende platformen) als zeer sensitief wordt aangemerkt.   </w:t>
            </w:r>
          </w:p>
        </w:tc>
      </w:tr>
    </w:tbl>
    <w:p w:rsidRPr="000B0065" w:rsidR="002531AD" w:rsidP="006424AD" w:rsidRDefault="002531AD" w14:paraId="0B95E201" w14:textId="77777777">
      <w:pPr>
        <w:rPr>
          <w:rFonts w:ascii="Verdana" w:hAnsi="Verdana"/>
          <w:sz w:val="18"/>
          <w:szCs w:val="18"/>
        </w:rPr>
      </w:pPr>
    </w:p>
    <w:p w:rsidRPr="000B0065" w:rsidR="002531AD" w:rsidP="006424AD" w:rsidRDefault="002531AD" w14:paraId="100C05C0" w14:textId="77777777">
      <w:pPr>
        <w:rPr>
          <w:rFonts w:ascii="Verdana" w:hAnsi="Verdana"/>
          <w:sz w:val="18"/>
          <w:szCs w:val="18"/>
        </w:rPr>
      </w:pPr>
      <w:r w:rsidRPr="00740AC2">
        <w:rPr>
          <w:rFonts w:ascii="Verdana" w:hAnsi="Verdana"/>
          <w:sz w:val="18"/>
          <w:szCs w:val="18"/>
        </w:rPr>
        <w:t>De beoordeling in bovenstaand schema heeft betrekking op producten voor tweeërlei gebruik. Daarnaast is in paragraaf 4 van het algemeen deel van de toelichting voor enkele technologieën die niet (geheel) op de EU-exportcontrolelijsten voorkomen, maar die krachtens dit besluit wel als sensitief worden aangemerkt, uitgelegd dat die zeer sensitief zijn.</w:t>
      </w:r>
    </w:p>
    <w:p w:rsidRPr="000B0065" w:rsidR="002531AD" w:rsidP="006424AD" w:rsidRDefault="002531AD" w14:paraId="384551DF" w14:textId="77777777">
      <w:pPr>
        <w:rPr>
          <w:rFonts w:ascii="Verdana" w:hAnsi="Verdana"/>
          <w:b/>
          <w:bCs/>
          <w:i/>
          <w:iCs/>
          <w:sz w:val="18"/>
          <w:szCs w:val="18"/>
        </w:rPr>
      </w:pPr>
      <w:r w:rsidRPr="000B0065">
        <w:rPr>
          <w:rFonts w:ascii="Verdana" w:hAnsi="Verdana"/>
          <w:b/>
          <w:bCs/>
          <w:i/>
          <w:iCs/>
          <w:sz w:val="18"/>
          <w:szCs w:val="18"/>
        </w:rPr>
        <w:t>Artikel II</w:t>
      </w:r>
    </w:p>
    <w:p w:rsidRPr="000B0065" w:rsidR="002531AD" w:rsidP="006424AD" w:rsidRDefault="00AC643C" w14:paraId="5662978D" w14:textId="280CF0EB">
      <w:pPr>
        <w:rPr>
          <w:rFonts w:ascii="Verdana" w:hAnsi="Verdana"/>
          <w:sz w:val="18"/>
          <w:szCs w:val="18"/>
        </w:rPr>
      </w:pPr>
      <w:r>
        <w:rPr>
          <w:rFonts w:ascii="Verdana" w:hAnsi="Verdana"/>
          <w:sz w:val="18"/>
          <w:szCs w:val="18"/>
        </w:rPr>
        <w:t>I</w:t>
      </w:r>
      <w:r w:rsidRPr="000B0065" w:rsidR="002531AD">
        <w:rPr>
          <w:rFonts w:ascii="Verdana" w:hAnsi="Verdana"/>
          <w:sz w:val="18"/>
          <w:szCs w:val="18"/>
        </w:rPr>
        <w:t xml:space="preserve">nwerkingtreding </w:t>
      </w:r>
      <w:r>
        <w:rPr>
          <w:rFonts w:ascii="Verdana" w:hAnsi="Verdana"/>
          <w:sz w:val="18"/>
          <w:szCs w:val="18"/>
        </w:rPr>
        <w:t xml:space="preserve">vindt plaats </w:t>
      </w:r>
      <w:r w:rsidRPr="000B0065" w:rsidR="002531AD">
        <w:rPr>
          <w:rFonts w:ascii="Verdana" w:hAnsi="Verdana"/>
          <w:sz w:val="18"/>
          <w:szCs w:val="18"/>
        </w:rPr>
        <w:t>op één van de vaste verandermomenten</w:t>
      </w:r>
      <w:r w:rsidR="00E53844">
        <w:rPr>
          <w:rFonts w:ascii="Verdana" w:hAnsi="Verdana"/>
          <w:sz w:val="18"/>
          <w:szCs w:val="18"/>
        </w:rPr>
        <w:t xml:space="preserve"> voor </w:t>
      </w:r>
      <w:r w:rsidR="00E16949">
        <w:rPr>
          <w:rFonts w:ascii="Verdana" w:hAnsi="Verdana"/>
          <w:sz w:val="18"/>
          <w:szCs w:val="18"/>
        </w:rPr>
        <w:t xml:space="preserve">een </w:t>
      </w:r>
      <w:r w:rsidR="00E53844">
        <w:rPr>
          <w:rFonts w:ascii="Verdana" w:hAnsi="Verdana"/>
          <w:sz w:val="18"/>
          <w:szCs w:val="18"/>
        </w:rPr>
        <w:t>algemene maatregel van bestuur</w:t>
      </w:r>
      <w:r w:rsidRPr="000B0065" w:rsidR="002531AD">
        <w:rPr>
          <w:rFonts w:ascii="Verdana" w:hAnsi="Verdana"/>
          <w:sz w:val="18"/>
          <w:szCs w:val="18"/>
        </w:rPr>
        <w:t xml:space="preserve">. </w:t>
      </w:r>
    </w:p>
    <w:p w:rsidRPr="000B0065" w:rsidR="002531AD" w:rsidP="006424AD" w:rsidRDefault="002531AD" w14:paraId="1F5CD743" w14:textId="77777777">
      <w:pPr>
        <w:rPr>
          <w:rFonts w:ascii="Verdana" w:hAnsi="Verdana"/>
          <w:sz w:val="18"/>
          <w:szCs w:val="18"/>
        </w:rPr>
      </w:pPr>
    </w:p>
    <w:p w:rsidRPr="000B0065" w:rsidR="002531AD" w:rsidP="006424AD" w:rsidRDefault="002531AD" w14:paraId="47BAF36A" w14:textId="451C90CF">
      <w:pPr>
        <w:rPr>
          <w:rFonts w:ascii="Verdana" w:hAnsi="Verdana"/>
          <w:sz w:val="18"/>
          <w:szCs w:val="18"/>
        </w:rPr>
      </w:pPr>
      <w:r w:rsidRPr="000B0065">
        <w:rPr>
          <w:rFonts w:ascii="Verdana" w:hAnsi="Verdana"/>
          <w:sz w:val="18"/>
          <w:szCs w:val="18"/>
        </w:rPr>
        <w:t>De Minister van Economische Zaken</w:t>
      </w:r>
      <w:r w:rsidR="000E21BD">
        <w:rPr>
          <w:rFonts w:ascii="Verdana" w:hAnsi="Verdana"/>
          <w:sz w:val="18"/>
          <w:szCs w:val="18"/>
        </w:rPr>
        <w:t xml:space="preserve"> en Klimaat</w:t>
      </w:r>
      <w:r w:rsidRPr="000B0065">
        <w:rPr>
          <w:rFonts w:ascii="Verdana" w:hAnsi="Verdana"/>
          <w:sz w:val="18"/>
          <w:szCs w:val="18"/>
        </w:rPr>
        <w:t>,</w:t>
      </w:r>
    </w:p>
    <w:p w:rsidRPr="000B0065" w:rsidR="002531AD" w:rsidP="006424AD" w:rsidRDefault="002531AD" w14:paraId="6A190DAF" w14:textId="77777777">
      <w:pPr>
        <w:rPr>
          <w:rFonts w:ascii="Verdana" w:hAnsi="Verdana"/>
          <w:sz w:val="18"/>
          <w:szCs w:val="18"/>
        </w:rPr>
      </w:pPr>
    </w:p>
    <w:p w:rsidRPr="000B0065" w:rsidR="002531AD" w:rsidP="006424AD" w:rsidRDefault="002531AD" w14:paraId="3868891D" w14:textId="77777777">
      <w:pPr>
        <w:spacing w:line="240" w:lineRule="atLeast"/>
        <w:rPr>
          <w:rFonts w:ascii="Verdana" w:hAnsi="Verdana" w:cs="Arial"/>
          <w:sz w:val="18"/>
          <w:szCs w:val="18"/>
        </w:rPr>
      </w:pPr>
    </w:p>
    <w:sectPr w:rsidRPr="000B0065" w:rsidR="002531AD">
      <w:headerReference w:type="default" r:id="rId7"/>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AF02" w14:textId="77777777" w:rsidR="00C44E9E" w:rsidRDefault="00C44E9E" w:rsidP="0029152C">
      <w:pPr>
        <w:spacing w:after="0" w:line="240" w:lineRule="auto"/>
      </w:pPr>
      <w:r>
        <w:separator/>
      </w:r>
    </w:p>
  </w:endnote>
  <w:endnote w:type="continuationSeparator" w:id="0">
    <w:p w14:paraId="1E77E68E" w14:textId="77777777" w:rsidR="00C44E9E" w:rsidRDefault="00C44E9E" w:rsidP="0029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FF48" w14:textId="299833AC" w:rsidR="0029152C" w:rsidRDefault="0029152C">
    <w:pPr>
      <w:pStyle w:val="Voettekst"/>
    </w:pPr>
    <w:r>
      <w:rPr>
        <w:noProof/>
      </w:rPr>
      <mc:AlternateContent>
        <mc:Choice Requires="wps">
          <w:drawing>
            <wp:anchor distT="0" distB="0" distL="0" distR="0" simplePos="0" relativeHeight="251657728" behindDoc="0" locked="0" layoutInCell="1" allowOverlap="1" wp14:anchorId="4F030ED2" wp14:editId="5EF383DF">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E465EA" w14:textId="4B26B4CC" w:rsidR="0029152C" w:rsidRPr="0029152C" w:rsidRDefault="0029152C" w:rsidP="0029152C">
                          <w:pPr>
                            <w:spacing w:after="0"/>
                            <w:rPr>
                              <w:rFonts w:ascii="Calibri" w:eastAsia="Calibri" w:hAnsi="Calibri" w:cs="Calibri"/>
                              <w:noProof/>
                              <w:color w:val="000000"/>
                              <w:sz w:val="20"/>
                              <w:szCs w:val="20"/>
                            </w:rPr>
                          </w:pPr>
                          <w:r w:rsidRPr="002915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030ED2"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EE465EA" w14:textId="4B26B4CC" w:rsidR="0029152C" w:rsidRPr="0029152C" w:rsidRDefault="0029152C" w:rsidP="0029152C">
                    <w:pPr>
                      <w:spacing w:after="0"/>
                      <w:rPr>
                        <w:rFonts w:ascii="Calibri" w:eastAsia="Calibri" w:hAnsi="Calibri" w:cs="Calibri"/>
                        <w:noProof/>
                        <w:color w:val="000000"/>
                        <w:sz w:val="20"/>
                        <w:szCs w:val="20"/>
                      </w:rPr>
                    </w:pPr>
                    <w:r w:rsidRPr="0029152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35374"/>
      <w:docPartObj>
        <w:docPartGallery w:val="Page Numbers (Bottom of Page)"/>
        <w:docPartUnique/>
      </w:docPartObj>
    </w:sdtPr>
    <w:sdtEndPr/>
    <w:sdtContent>
      <w:p w14:paraId="427961CA" w14:textId="11BA3043" w:rsidR="005C1615" w:rsidRDefault="005C1615">
        <w:pPr>
          <w:pStyle w:val="Voettekst"/>
          <w:jc w:val="right"/>
        </w:pPr>
        <w:r>
          <w:fldChar w:fldCharType="begin"/>
        </w:r>
        <w:r>
          <w:instrText>PAGE   \* MERGEFORMAT</w:instrText>
        </w:r>
        <w:r>
          <w:fldChar w:fldCharType="separate"/>
        </w:r>
        <w:r>
          <w:t>2</w:t>
        </w:r>
        <w:r>
          <w:fldChar w:fldCharType="end"/>
        </w:r>
      </w:p>
    </w:sdtContent>
  </w:sdt>
  <w:p w14:paraId="4749B8B1" w14:textId="6B7A00B0" w:rsidR="0029152C" w:rsidRDefault="002915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2483" w14:textId="05828576" w:rsidR="0029152C" w:rsidRDefault="0029152C">
    <w:pPr>
      <w:pStyle w:val="Voettekst"/>
    </w:pPr>
    <w:r>
      <w:rPr>
        <w:noProof/>
      </w:rPr>
      <mc:AlternateContent>
        <mc:Choice Requires="wps">
          <w:drawing>
            <wp:anchor distT="0" distB="0" distL="0" distR="0" simplePos="0" relativeHeight="251656704" behindDoc="0" locked="0" layoutInCell="1" allowOverlap="1" wp14:anchorId="7B46AC86" wp14:editId="73E8EA0B">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AD74B" w14:textId="15D2500F" w:rsidR="0029152C" w:rsidRPr="0029152C" w:rsidRDefault="0029152C" w:rsidP="0029152C">
                          <w:pPr>
                            <w:spacing w:after="0"/>
                            <w:rPr>
                              <w:rFonts w:ascii="Calibri" w:eastAsia="Calibri" w:hAnsi="Calibri" w:cs="Calibri"/>
                              <w:noProof/>
                              <w:color w:val="000000"/>
                              <w:sz w:val="20"/>
                              <w:szCs w:val="20"/>
                            </w:rPr>
                          </w:pPr>
                          <w:r w:rsidRPr="002915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46AC86"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86AD74B" w14:textId="15D2500F" w:rsidR="0029152C" w:rsidRPr="0029152C" w:rsidRDefault="0029152C" w:rsidP="0029152C">
                    <w:pPr>
                      <w:spacing w:after="0"/>
                      <w:rPr>
                        <w:rFonts w:ascii="Calibri" w:eastAsia="Calibri" w:hAnsi="Calibri" w:cs="Calibri"/>
                        <w:noProof/>
                        <w:color w:val="000000"/>
                        <w:sz w:val="20"/>
                        <w:szCs w:val="20"/>
                      </w:rPr>
                    </w:pPr>
                    <w:r w:rsidRPr="0029152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16B7" w14:textId="77777777" w:rsidR="00C44E9E" w:rsidRDefault="00C44E9E" w:rsidP="0029152C">
      <w:pPr>
        <w:spacing w:after="0" w:line="240" w:lineRule="auto"/>
      </w:pPr>
      <w:r>
        <w:separator/>
      </w:r>
    </w:p>
  </w:footnote>
  <w:footnote w:type="continuationSeparator" w:id="0">
    <w:p w14:paraId="486C5C73" w14:textId="77777777" w:rsidR="00C44E9E" w:rsidRDefault="00C44E9E" w:rsidP="0029152C">
      <w:pPr>
        <w:spacing w:after="0" w:line="240" w:lineRule="auto"/>
      </w:pPr>
      <w:r>
        <w:continuationSeparator/>
      </w:r>
    </w:p>
  </w:footnote>
  <w:footnote w:id="1">
    <w:p w14:paraId="48E15604" w14:textId="2BFFDB4D" w:rsidR="00B92C74" w:rsidRDefault="00B92C74">
      <w:pPr>
        <w:pStyle w:val="Voetnoottekst"/>
      </w:pPr>
      <w:r>
        <w:rPr>
          <w:rStyle w:val="Voetnootmarkering"/>
        </w:rPr>
        <w:footnoteRef/>
      </w:r>
      <w:r>
        <w:t xml:space="preserve"> </w:t>
      </w:r>
      <w:r w:rsidR="00753E43">
        <w:t xml:space="preserve">Zie </w:t>
      </w:r>
      <w:r w:rsidR="006424AD" w:rsidRPr="006424AD">
        <w:t xml:space="preserve">verordening (EU) nr. 2021/821 van het Europees Parlement en de Raad van 20 mei 2021 tot instelling van een Unieregeling voor controle op de uitvoer, de tussenhandel, de technische bijstand, de doorvoer en de overbrenging van producten voor tweeërlei gebruik (PbEU 2021, L 206) </w:t>
      </w:r>
      <w:r w:rsidR="006424AD">
        <w:t xml:space="preserve">en </w:t>
      </w:r>
      <w:r w:rsidR="006424AD" w:rsidRPr="006424AD">
        <w:t>de lijst van goederen waarop het Gemeenschappelijk standpunt 2008/944/GBVB van de Raad van 8 december 2008 tot vaststelling van gemeenschappelijke voorschriften voor de controle op de uitvoer van militaire goederen en technologie (PbEU 2008, L 335) van toepassing is</w:t>
      </w:r>
      <w:r w:rsidR="006424AD">
        <w:t>.</w:t>
      </w:r>
    </w:p>
  </w:footnote>
  <w:footnote w:id="2">
    <w:p w14:paraId="3E17D5F7" w14:textId="77777777" w:rsidR="00CC6F48" w:rsidRPr="006424AD" w:rsidRDefault="00CC6F48" w:rsidP="00CC6F48">
      <w:pPr>
        <w:pStyle w:val="Voetnoottekst"/>
        <w:rPr>
          <w:rFonts w:ascii="Verdana" w:hAnsi="Verdana" w:cs="Arial"/>
          <w:sz w:val="16"/>
          <w:szCs w:val="16"/>
        </w:rPr>
      </w:pPr>
      <w:r w:rsidRPr="006424AD">
        <w:rPr>
          <w:rStyle w:val="Voetnootmarkering"/>
          <w:rFonts w:ascii="Verdana" w:hAnsi="Verdana" w:cs="Arial"/>
          <w:sz w:val="16"/>
          <w:szCs w:val="16"/>
        </w:rPr>
        <w:footnoteRef/>
      </w:r>
      <w:r w:rsidRPr="006424AD">
        <w:rPr>
          <w:rFonts w:ascii="Verdana" w:hAnsi="Verdana" w:cs="Arial"/>
          <w:sz w:val="16"/>
          <w:szCs w:val="16"/>
        </w:rPr>
        <w:t xml:space="preserve"> De Strategische Monitor 2023,</w:t>
      </w:r>
      <w:r w:rsidRPr="006424AD">
        <w:rPr>
          <w:rFonts w:ascii="Verdana" w:hAnsi="Verdana" w:cs="Arial"/>
          <w:color w:val="5E5E5E"/>
          <w:sz w:val="16"/>
          <w:szCs w:val="16"/>
          <w:shd w:val="clear" w:color="auto" w:fill="FFFFFF"/>
        </w:rPr>
        <w:t xml:space="preserve"> </w:t>
      </w:r>
      <w:r w:rsidRPr="006424AD">
        <w:rPr>
          <w:rFonts w:ascii="Verdana" w:hAnsi="Verdana" w:cs="Arial"/>
          <w:sz w:val="16"/>
          <w:szCs w:val="16"/>
        </w:rPr>
        <w:t>13 februari 2024, HCSS / Clingendael.</w:t>
      </w:r>
    </w:p>
  </w:footnote>
  <w:footnote w:id="3">
    <w:p w14:paraId="516CF247" w14:textId="77777777" w:rsidR="002531AD" w:rsidRPr="006424AD" w:rsidRDefault="002531AD" w:rsidP="002531AD">
      <w:pPr>
        <w:pStyle w:val="Voetnoottekst"/>
        <w:rPr>
          <w:rFonts w:ascii="Verdana" w:hAnsi="Verdana"/>
          <w:sz w:val="16"/>
          <w:szCs w:val="16"/>
        </w:rPr>
      </w:pPr>
      <w:r w:rsidRPr="006424AD">
        <w:rPr>
          <w:rStyle w:val="Voetnootmarkering"/>
          <w:rFonts w:ascii="Verdana" w:hAnsi="Verdana"/>
          <w:sz w:val="16"/>
          <w:szCs w:val="16"/>
        </w:rPr>
        <w:footnoteRef/>
      </w:r>
      <w:r w:rsidRPr="006424AD">
        <w:rPr>
          <w:rFonts w:ascii="Verdana" w:hAnsi="Verdana"/>
          <w:sz w:val="16"/>
          <w:szCs w:val="16"/>
        </w:rPr>
        <w:t xml:space="preserve"> Kamerstukken II 2023/24, 33009, nr. 140.</w:t>
      </w:r>
    </w:p>
  </w:footnote>
  <w:footnote w:id="4">
    <w:p w14:paraId="4F69A20B" w14:textId="77777777" w:rsidR="00FE36BF" w:rsidRPr="00133076" w:rsidRDefault="00FE36BF" w:rsidP="00FE36BF">
      <w:pPr>
        <w:pStyle w:val="Voetnoottekst"/>
        <w:rPr>
          <w:rFonts w:ascii="Verdana" w:hAnsi="Verdana"/>
          <w:sz w:val="16"/>
          <w:szCs w:val="16"/>
        </w:rPr>
      </w:pPr>
      <w:r w:rsidRPr="00133076">
        <w:rPr>
          <w:rStyle w:val="Voetnootmarkering"/>
          <w:rFonts w:ascii="Verdana" w:hAnsi="Verdana"/>
          <w:sz w:val="16"/>
          <w:szCs w:val="16"/>
        </w:rPr>
        <w:footnoteRef/>
      </w:r>
      <w:r w:rsidRPr="00133076">
        <w:rPr>
          <w:rFonts w:ascii="Verdana" w:hAnsi="Verdana"/>
          <w:sz w:val="16"/>
          <w:szCs w:val="16"/>
        </w:rPr>
        <w:t xml:space="preserve"> Verordening (EU) 2019/452 van het Europees Parlement en de Raad van 19 maart 2019 tot vaststelling van een kader voor de screening van buitenlandse directe investeringen in de Unie</w:t>
      </w:r>
      <w:r>
        <w:rPr>
          <w:rFonts w:ascii="Verdana" w:hAnsi="Verdana"/>
          <w:sz w:val="16"/>
          <w:szCs w:val="16"/>
        </w:rPr>
        <w:t xml:space="preserve"> geïmplementeerd in de Uitvoeringswet </w:t>
      </w:r>
      <w:r w:rsidRPr="00807E71">
        <w:rPr>
          <w:rFonts w:ascii="Verdana" w:hAnsi="Verdana"/>
          <w:sz w:val="16"/>
          <w:szCs w:val="16"/>
        </w:rPr>
        <w:t>screeningsverordening buitenlandse directe investeringen</w:t>
      </w:r>
      <w:r>
        <w:rPr>
          <w:rFonts w:ascii="Verdana" w:hAnsi="Verdana"/>
          <w:sz w:val="16"/>
          <w:szCs w:val="16"/>
        </w:rPr>
        <w:t>.</w:t>
      </w:r>
    </w:p>
  </w:footnote>
  <w:footnote w:id="5">
    <w:p w14:paraId="5DC79450" w14:textId="77777777" w:rsidR="00FE36BF" w:rsidRDefault="00FE36BF" w:rsidP="00FE36BF">
      <w:pPr>
        <w:pStyle w:val="Voetnoottekst"/>
      </w:pPr>
      <w:r>
        <w:rPr>
          <w:rStyle w:val="Voetnootmarkering"/>
        </w:rPr>
        <w:footnoteRef/>
      </w:r>
      <w:r w:rsidRPr="00D1100C">
        <w:rPr>
          <w:lang w:val="en-US"/>
        </w:rPr>
        <w:t xml:space="preserve"> </w:t>
      </w:r>
      <w:r w:rsidRPr="00D1100C">
        <w:rPr>
          <w:rFonts w:ascii="Verdana" w:hAnsi="Verdana"/>
          <w:sz w:val="16"/>
          <w:szCs w:val="16"/>
          <w:lang w:val="en-US"/>
        </w:rPr>
        <w:t xml:space="preserve">‘Proposal for a Regulation of the European Parliament and of the Council on the screening of foreign investments in the Union and repealing Regulation (EU) 2019/452 of the European Parliament and of the Council’, 10 februari 2026. </w:t>
      </w:r>
      <w:r w:rsidRPr="00D1100C">
        <w:rPr>
          <w:rFonts w:ascii="Verdana" w:hAnsi="Verdana"/>
          <w:sz w:val="16"/>
          <w:szCs w:val="16"/>
        </w:rPr>
        <w:t>Vindplaats: https://data.consilium.europa.eu/doc/document/ST-6254-2026-INIT/en/pdf</w:t>
      </w:r>
      <w:r w:rsidRPr="00344D23">
        <w:t xml:space="preserve"> </w:t>
      </w:r>
      <w:r w:rsidRPr="006424AD">
        <w:rPr>
          <w:b/>
          <w:bCs/>
        </w:rPr>
        <w:t>[</w:t>
      </w:r>
      <w:r w:rsidRPr="006424AD">
        <w:rPr>
          <w:rFonts w:ascii="Verdana" w:hAnsi="Verdana"/>
          <w:sz w:val="16"/>
          <w:szCs w:val="16"/>
        </w:rPr>
        <w:t>Aanhaling te vervangen na publicatie in PbEU</w:t>
      </w:r>
      <w:r w:rsidRPr="006424AD">
        <w:rPr>
          <w:rFonts w:ascii="Verdana" w:hAnsi="Verdana"/>
          <w:b/>
          <w:bCs/>
          <w:sz w:val="16"/>
          <w:szCs w:val="16"/>
        </w:rPr>
        <w:t>]</w:t>
      </w:r>
      <w:r w:rsidRPr="006424AD">
        <w:rPr>
          <w:rFonts w:ascii="Verdana" w:hAnsi="Verdana"/>
          <w:sz w:val="16"/>
          <w:szCs w:val="16"/>
        </w:rPr>
        <w:t>.</w:t>
      </w:r>
    </w:p>
  </w:footnote>
  <w:footnote w:id="6">
    <w:p w14:paraId="5B977B7D" w14:textId="2F98E45D" w:rsidR="002531AD" w:rsidRPr="006424AD" w:rsidRDefault="002531AD" w:rsidP="002531AD">
      <w:pPr>
        <w:pStyle w:val="Voetnoottekst"/>
        <w:rPr>
          <w:rFonts w:ascii="Verdana" w:hAnsi="Verdana"/>
          <w:sz w:val="16"/>
          <w:szCs w:val="16"/>
        </w:rPr>
      </w:pPr>
      <w:r w:rsidRPr="006424AD">
        <w:rPr>
          <w:rStyle w:val="Voetnootmarkering"/>
          <w:rFonts w:ascii="Verdana" w:hAnsi="Verdana"/>
          <w:sz w:val="16"/>
          <w:szCs w:val="16"/>
        </w:rPr>
        <w:footnoteRef/>
      </w:r>
      <w:r w:rsidRPr="006424AD">
        <w:rPr>
          <w:rFonts w:ascii="Verdana" w:hAnsi="Verdana"/>
          <w:sz w:val="16"/>
          <w:szCs w:val="16"/>
        </w:rPr>
        <w:t xml:space="preserve"> Te weten: Biotechnologie, Artificiële Intelligentie, Nanotechnologie en geavanceerde materialen.</w:t>
      </w:r>
    </w:p>
  </w:footnote>
  <w:footnote w:id="7">
    <w:p w14:paraId="4C5F5C6C" w14:textId="13833D18" w:rsidR="000150D9" w:rsidRPr="00066A7D" w:rsidRDefault="000150D9" w:rsidP="000150D9">
      <w:pPr>
        <w:pStyle w:val="Voetnoottekst"/>
        <w:rPr>
          <w:rFonts w:ascii="Verdana" w:hAnsi="Verdana" w:cs="Arial"/>
          <w:sz w:val="16"/>
          <w:szCs w:val="16"/>
        </w:rPr>
      </w:pPr>
      <w:r w:rsidRPr="00066A7D">
        <w:rPr>
          <w:rStyle w:val="Voetnootmarkering"/>
          <w:rFonts w:ascii="Verdana" w:hAnsi="Verdana" w:cs="Arial"/>
          <w:sz w:val="16"/>
          <w:szCs w:val="16"/>
        </w:rPr>
        <w:footnoteRef/>
      </w:r>
      <w:r w:rsidRPr="00066A7D">
        <w:rPr>
          <w:rFonts w:ascii="Verdana" w:hAnsi="Verdana" w:cs="Arial"/>
          <w:sz w:val="16"/>
          <w:szCs w:val="16"/>
        </w:rPr>
        <w:t xml:space="preserve"> In de Nationale Technologie Strategie omvatten Biomolecular and cell technologies het in kaart brengen, meten en gebruiken van moleculen zoals DNA, RNA, en eiwitten/ metabolieten. Deeltechnologieën hiervan zijn omics, </w:t>
      </w:r>
      <w:r w:rsidRPr="006424AD">
        <w:rPr>
          <w:rFonts w:ascii="Verdana" w:hAnsi="Verdana" w:cs="Arial"/>
          <w:i/>
          <w:iCs/>
          <w:sz w:val="16"/>
          <w:szCs w:val="16"/>
        </w:rPr>
        <w:t>gene editing</w:t>
      </w:r>
      <w:r w:rsidRPr="00066A7D">
        <w:rPr>
          <w:rFonts w:ascii="Verdana" w:hAnsi="Verdana" w:cs="Arial"/>
          <w:sz w:val="16"/>
          <w:szCs w:val="16"/>
        </w:rPr>
        <w:t>,</w:t>
      </w:r>
      <w:r w:rsidR="009C3E12">
        <w:rPr>
          <w:rFonts w:ascii="Verdana" w:hAnsi="Verdana" w:cs="Arial"/>
          <w:sz w:val="16"/>
          <w:szCs w:val="16"/>
        </w:rPr>
        <w:t xml:space="preserve"> </w:t>
      </w:r>
      <w:r w:rsidRPr="00066A7D">
        <w:rPr>
          <w:rFonts w:ascii="Verdana" w:hAnsi="Verdana" w:cs="Arial"/>
          <w:sz w:val="16"/>
          <w:szCs w:val="16"/>
        </w:rPr>
        <w:t>stamceltechnologie en synthetische celtechnologie.</w:t>
      </w:r>
    </w:p>
  </w:footnote>
  <w:footnote w:id="8">
    <w:p w14:paraId="3774AB33" w14:textId="77777777" w:rsidR="00C04FF8" w:rsidRPr="00066A7D" w:rsidRDefault="00C04FF8" w:rsidP="00C04FF8">
      <w:pPr>
        <w:pStyle w:val="Voetnoottekst"/>
        <w:rPr>
          <w:rFonts w:ascii="Verdana" w:hAnsi="Verdana" w:cs="Arial"/>
          <w:sz w:val="16"/>
          <w:szCs w:val="16"/>
        </w:rPr>
      </w:pPr>
      <w:r w:rsidRPr="00066A7D">
        <w:rPr>
          <w:rStyle w:val="Voetnootmarkering"/>
          <w:rFonts w:ascii="Verdana" w:hAnsi="Verdana" w:cs="Arial"/>
          <w:sz w:val="16"/>
          <w:szCs w:val="16"/>
        </w:rPr>
        <w:footnoteRef/>
      </w:r>
      <w:r w:rsidRPr="00066A7D">
        <w:rPr>
          <w:rFonts w:ascii="Verdana" w:hAnsi="Verdana" w:cs="Arial"/>
          <w:sz w:val="16"/>
          <w:szCs w:val="16"/>
        </w:rPr>
        <w:t xml:space="preserve"> Kamerstukken 2023/24, 36410-XIV, nr. 43. </w:t>
      </w:r>
    </w:p>
  </w:footnote>
  <w:footnote w:id="9">
    <w:p w14:paraId="1911506A" w14:textId="0AA97953" w:rsidR="0045506C" w:rsidRPr="006424AD" w:rsidRDefault="0045506C" w:rsidP="0045506C">
      <w:pPr>
        <w:pStyle w:val="Voetnoottekst"/>
        <w:rPr>
          <w:rFonts w:ascii="Verdana" w:hAnsi="Verdana"/>
          <w:sz w:val="16"/>
          <w:szCs w:val="16"/>
        </w:rPr>
      </w:pPr>
      <w:r w:rsidRPr="006424AD">
        <w:rPr>
          <w:rStyle w:val="Voetnootmarkering"/>
          <w:rFonts w:ascii="Verdana" w:hAnsi="Verdana"/>
          <w:sz w:val="16"/>
          <w:szCs w:val="16"/>
        </w:rPr>
        <w:footnoteRef/>
      </w:r>
      <w:r w:rsidRPr="006424AD">
        <w:rPr>
          <w:rFonts w:ascii="Verdana" w:hAnsi="Verdana"/>
          <w:sz w:val="16"/>
          <w:szCs w:val="16"/>
        </w:rPr>
        <w:t xml:space="preserve"> Met dit ‘</w:t>
      </w:r>
      <w:r w:rsidR="00EE2F0E">
        <w:rPr>
          <w:rFonts w:ascii="Verdana" w:hAnsi="Verdana"/>
          <w:sz w:val="16"/>
          <w:szCs w:val="16"/>
        </w:rPr>
        <w:t>minimum</w:t>
      </w:r>
      <w:r w:rsidRPr="006424AD">
        <w:rPr>
          <w:rFonts w:ascii="Verdana" w:hAnsi="Verdana"/>
          <w:sz w:val="16"/>
          <w:szCs w:val="16"/>
        </w:rPr>
        <w:t>toepassingsbereik’ wordt hier gedoeld op de technologieën en sectoren die lidstaten verplicht onder het toepassingsbereik van hun nationale stelsel van investeringstoetsing moeten opnemen.</w:t>
      </w:r>
    </w:p>
  </w:footnote>
  <w:footnote w:id="10">
    <w:p w14:paraId="4B08F7B2" w14:textId="679EF524" w:rsidR="00D0672B" w:rsidRPr="006424AD" w:rsidRDefault="00D0672B" w:rsidP="006424AD">
      <w:pPr>
        <w:spacing w:line="240" w:lineRule="atLeast"/>
        <w:rPr>
          <w:rFonts w:ascii="Verdana" w:hAnsi="Verdana"/>
          <w:sz w:val="16"/>
          <w:szCs w:val="16"/>
        </w:rPr>
      </w:pPr>
      <w:r w:rsidRPr="006424AD">
        <w:rPr>
          <w:rStyle w:val="Voetnootmarkering"/>
          <w:rFonts w:ascii="Verdana" w:hAnsi="Verdana"/>
          <w:sz w:val="16"/>
          <w:szCs w:val="16"/>
        </w:rPr>
        <w:footnoteRef/>
      </w:r>
      <w:r w:rsidRPr="006424AD">
        <w:rPr>
          <w:rFonts w:ascii="Verdana" w:hAnsi="Verdana"/>
          <w:sz w:val="16"/>
          <w:szCs w:val="16"/>
        </w:rPr>
        <w:t xml:space="preserve"> </w:t>
      </w:r>
      <w:r w:rsidR="0074678F" w:rsidRPr="0074678F">
        <w:rPr>
          <w:rFonts w:ascii="Verdana" w:hAnsi="Verdana"/>
          <w:sz w:val="16"/>
          <w:szCs w:val="16"/>
        </w:rPr>
        <w:t xml:space="preserve">In artikel 19 (1), onderdeel a, annex III, wordt biotechnologie uitsluitend aangehaald als een kritieke technologie waarop het effect van een buitenlandse directe investering betrokken dient te worden betrokken bij beoordeling van die buitenlandse directe investering op risico’s voor de veiligheid of openbare orde. </w:t>
      </w:r>
    </w:p>
  </w:footnote>
  <w:footnote w:id="11">
    <w:p w14:paraId="552198A9" w14:textId="77777777" w:rsidR="00C9584B" w:rsidRPr="00DF46FE" w:rsidRDefault="00C9584B" w:rsidP="00C9584B">
      <w:pPr>
        <w:pStyle w:val="Voetnoottekst"/>
        <w:rPr>
          <w:rFonts w:ascii="Verdana" w:hAnsi="Verdana"/>
          <w:sz w:val="16"/>
          <w:szCs w:val="16"/>
        </w:rPr>
      </w:pPr>
      <w:r>
        <w:rPr>
          <w:rStyle w:val="Voetnootmarkering"/>
        </w:rPr>
        <w:footnoteRef/>
      </w:r>
      <w:r>
        <w:t xml:space="preserve"> </w:t>
      </w:r>
      <w:r w:rsidRPr="00DF46FE">
        <w:rPr>
          <w:rFonts w:ascii="Verdana" w:hAnsi="Verdana"/>
          <w:sz w:val="16"/>
          <w:szCs w:val="16"/>
        </w:rPr>
        <w:t>Verordening (EU) 2024/1689 van het Europees Parlement en de Raad van 13 juni 2024 tot vaststelling van geharmoniseerde regels betreffende artificiële intelligentie en tot wijziging van de Verordeningen (EG) nr. 300/2008, (EU) nr. 167/2013, (EU) nr. 168/2013, (EU) 2018/858, (EU) 2018/1139 en (EU) 2019/2144, en de Richtlijnen 2014/90/EU, (EU) 2016/797 en (EU) 2020/1828 (verordening artificiële intelligentie)</w:t>
      </w:r>
    </w:p>
  </w:footnote>
  <w:footnote w:id="12">
    <w:p w14:paraId="0A4F511E" w14:textId="3DA73190" w:rsidR="009030C4" w:rsidRPr="00816FF2" w:rsidRDefault="009030C4" w:rsidP="009030C4">
      <w:pPr>
        <w:spacing w:line="240" w:lineRule="atLeast"/>
        <w:rPr>
          <w:rFonts w:ascii="Verdana" w:hAnsi="Verdana"/>
          <w:sz w:val="16"/>
          <w:szCs w:val="16"/>
        </w:rPr>
      </w:pPr>
      <w:r w:rsidRPr="00816FF2">
        <w:rPr>
          <w:rStyle w:val="Voetnootmarkering"/>
          <w:rFonts w:ascii="Verdana" w:hAnsi="Verdana"/>
          <w:sz w:val="16"/>
          <w:szCs w:val="16"/>
        </w:rPr>
        <w:footnoteRef/>
      </w:r>
      <w:r w:rsidRPr="00816FF2">
        <w:rPr>
          <w:rFonts w:ascii="Verdana" w:hAnsi="Verdana"/>
          <w:sz w:val="16"/>
          <w:szCs w:val="16"/>
        </w:rPr>
        <w:t xml:space="preserve"> </w:t>
      </w:r>
      <w:r w:rsidR="0002313C">
        <w:rPr>
          <w:rFonts w:ascii="Verdana" w:hAnsi="Verdana" w:cs="Arial"/>
          <w:sz w:val="16"/>
          <w:szCs w:val="16"/>
        </w:rPr>
        <w:t xml:space="preserve">Zie </w:t>
      </w:r>
      <w:r w:rsidRPr="00816FF2">
        <w:rPr>
          <w:rFonts w:ascii="Verdana" w:hAnsi="Verdana" w:cs="Arial"/>
          <w:sz w:val="16"/>
          <w:szCs w:val="16"/>
        </w:rPr>
        <w:t xml:space="preserve">artikel 19 (1), onderdeel a, </w:t>
      </w:r>
      <w:r w:rsidR="0002313C">
        <w:rPr>
          <w:rFonts w:ascii="Verdana" w:hAnsi="Verdana" w:cs="Arial"/>
          <w:sz w:val="16"/>
          <w:szCs w:val="16"/>
        </w:rPr>
        <w:t xml:space="preserve">jo. </w:t>
      </w:r>
      <w:r w:rsidRPr="00816FF2">
        <w:rPr>
          <w:rFonts w:ascii="Verdana" w:hAnsi="Verdana" w:cs="Arial"/>
          <w:sz w:val="16"/>
          <w:szCs w:val="16"/>
        </w:rPr>
        <w:t>annex III,</w:t>
      </w:r>
      <w:r w:rsidR="0099254A">
        <w:rPr>
          <w:rFonts w:ascii="Verdana" w:hAnsi="Verdana" w:cs="Arial"/>
          <w:sz w:val="16"/>
          <w:szCs w:val="16"/>
        </w:rPr>
        <w:t xml:space="preserve"> van de Verordening. De genoemde technologieën worden </w:t>
      </w:r>
      <w:r w:rsidRPr="00816FF2">
        <w:rPr>
          <w:rFonts w:ascii="Verdana" w:hAnsi="Verdana" w:cs="Arial"/>
          <w:sz w:val="16"/>
          <w:szCs w:val="16"/>
        </w:rPr>
        <w:t xml:space="preserve">uitsluitend aangehaald </w:t>
      </w:r>
      <w:r w:rsidR="0099254A">
        <w:rPr>
          <w:rFonts w:ascii="Verdana" w:hAnsi="Verdana" w:cs="Arial"/>
          <w:sz w:val="16"/>
          <w:szCs w:val="16"/>
        </w:rPr>
        <w:t xml:space="preserve">als </w:t>
      </w:r>
      <w:r w:rsidRPr="00816FF2">
        <w:rPr>
          <w:rFonts w:ascii="Verdana" w:hAnsi="Verdana" w:cs="Arial"/>
          <w:sz w:val="16"/>
          <w:szCs w:val="16"/>
        </w:rPr>
        <w:t>een kritieke technologie waar</w:t>
      </w:r>
      <w:r w:rsidRPr="0045506C">
        <w:rPr>
          <w:rFonts w:ascii="Verdana" w:hAnsi="Verdana" w:cs="Arial"/>
          <w:sz w:val="16"/>
          <w:szCs w:val="16"/>
        </w:rPr>
        <w:t>op</w:t>
      </w:r>
      <w:r w:rsidRPr="00816FF2">
        <w:rPr>
          <w:rFonts w:ascii="Verdana" w:hAnsi="Verdana" w:cs="Arial"/>
          <w:sz w:val="16"/>
          <w:szCs w:val="16"/>
        </w:rPr>
        <w:t xml:space="preserve"> </w:t>
      </w:r>
      <w:r w:rsidRPr="0045506C">
        <w:rPr>
          <w:rFonts w:ascii="Verdana" w:hAnsi="Verdana" w:cs="Arial"/>
          <w:sz w:val="16"/>
          <w:szCs w:val="16"/>
        </w:rPr>
        <w:t>het effect</w:t>
      </w:r>
      <w:r w:rsidRPr="00816FF2">
        <w:rPr>
          <w:rFonts w:ascii="Verdana" w:hAnsi="Verdana" w:cs="Arial"/>
          <w:sz w:val="16"/>
          <w:szCs w:val="16"/>
        </w:rPr>
        <w:t xml:space="preserve"> van </w:t>
      </w:r>
      <w:r w:rsidRPr="0045506C">
        <w:rPr>
          <w:rFonts w:ascii="Verdana" w:hAnsi="Verdana" w:cs="Arial"/>
          <w:sz w:val="16"/>
          <w:szCs w:val="16"/>
        </w:rPr>
        <w:t xml:space="preserve">een </w:t>
      </w:r>
      <w:r w:rsidRPr="00816FF2">
        <w:rPr>
          <w:rFonts w:ascii="Verdana" w:hAnsi="Verdana" w:cs="Arial"/>
          <w:sz w:val="16"/>
          <w:szCs w:val="16"/>
        </w:rPr>
        <w:t xml:space="preserve">buitenlandse </w:t>
      </w:r>
      <w:r w:rsidRPr="0045506C">
        <w:rPr>
          <w:rFonts w:ascii="Verdana" w:hAnsi="Verdana" w:cs="Arial"/>
          <w:sz w:val="16"/>
          <w:szCs w:val="16"/>
        </w:rPr>
        <w:t xml:space="preserve">directe </w:t>
      </w:r>
      <w:r w:rsidRPr="00816FF2">
        <w:rPr>
          <w:rFonts w:ascii="Verdana" w:hAnsi="Verdana" w:cs="Arial"/>
          <w:sz w:val="16"/>
          <w:szCs w:val="16"/>
        </w:rPr>
        <w:t xml:space="preserve">investering </w:t>
      </w:r>
      <w:r w:rsidRPr="0045506C">
        <w:rPr>
          <w:rFonts w:ascii="Verdana" w:hAnsi="Verdana" w:cs="Arial"/>
          <w:sz w:val="16"/>
          <w:szCs w:val="16"/>
        </w:rPr>
        <w:t xml:space="preserve">betrokken dient te worden betrokken bij beoordeling van die buitenlandse directe investering </w:t>
      </w:r>
      <w:r w:rsidRPr="00816FF2">
        <w:rPr>
          <w:rFonts w:ascii="Verdana" w:hAnsi="Verdana" w:cs="Arial"/>
          <w:sz w:val="16"/>
          <w:szCs w:val="16"/>
        </w:rPr>
        <w:t xml:space="preserve">op risico’s voor de veiligheid of openbare orde. </w:t>
      </w:r>
    </w:p>
  </w:footnote>
  <w:footnote w:id="13">
    <w:p w14:paraId="10FFFEA3" w14:textId="17145CF3" w:rsidR="000162C6" w:rsidRPr="00816FF2" w:rsidRDefault="000162C6" w:rsidP="000162C6">
      <w:pPr>
        <w:spacing w:line="240" w:lineRule="atLeast"/>
        <w:rPr>
          <w:rFonts w:ascii="Verdana" w:hAnsi="Verdana"/>
          <w:sz w:val="16"/>
          <w:szCs w:val="16"/>
        </w:rPr>
      </w:pPr>
      <w:r w:rsidRPr="00816FF2">
        <w:rPr>
          <w:rStyle w:val="Voetnootmarkering"/>
          <w:rFonts w:ascii="Verdana" w:hAnsi="Verdana"/>
          <w:sz w:val="16"/>
          <w:szCs w:val="16"/>
        </w:rPr>
        <w:footnoteRef/>
      </w:r>
      <w:r w:rsidRPr="00816FF2">
        <w:rPr>
          <w:rFonts w:ascii="Verdana" w:hAnsi="Verdana"/>
          <w:sz w:val="16"/>
          <w:szCs w:val="16"/>
        </w:rPr>
        <w:t xml:space="preserve"> </w:t>
      </w:r>
      <w:r w:rsidR="0099254A">
        <w:rPr>
          <w:rFonts w:ascii="Verdana" w:hAnsi="Verdana" w:cs="Arial"/>
          <w:sz w:val="16"/>
          <w:szCs w:val="16"/>
        </w:rPr>
        <w:t xml:space="preserve">Zie </w:t>
      </w:r>
      <w:r w:rsidR="0099254A" w:rsidRPr="00816FF2">
        <w:rPr>
          <w:rFonts w:ascii="Verdana" w:hAnsi="Verdana" w:cs="Arial"/>
          <w:sz w:val="16"/>
          <w:szCs w:val="16"/>
        </w:rPr>
        <w:t xml:space="preserve">artikel 19 (1), onderdeel a, </w:t>
      </w:r>
      <w:r w:rsidR="0099254A">
        <w:rPr>
          <w:rFonts w:ascii="Verdana" w:hAnsi="Verdana" w:cs="Arial"/>
          <w:sz w:val="16"/>
          <w:szCs w:val="16"/>
        </w:rPr>
        <w:t xml:space="preserve">jo. </w:t>
      </w:r>
      <w:r w:rsidR="0099254A" w:rsidRPr="00816FF2">
        <w:rPr>
          <w:rFonts w:ascii="Verdana" w:hAnsi="Verdana" w:cs="Arial"/>
          <w:sz w:val="16"/>
          <w:szCs w:val="16"/>
        </w:rPr>
        <w:t>annex III,</w:t>
      </w:r>
      <w:r w:rsidR="0099254A">
        <w:rPr>
          <w:rFonts w:ascii="Verdana" w:hAnsi="Verdana" w:cs="Arial"/>
          <w:sz w:val="16"/>
          <w:szCs w:val="16"/>
        </w:rPr>
        <w:t xml:space="preserve"> van de Verordening. De genoemde technologieën worden </w:t>
      </w:r>
      <w:r w:rsidR="0099254A" w:rsidRPr="00816FF2">
        <w:rPr>
          <w:rFonts w:ascii="Verdana" w:hAnsi="Verdana" w:cs="Arial"/>
          <w:sz w:val="16"/>
          <w:szCs w:val="16"/>
        </w:rPr>
        <w:t xml:space="preserve">uitsluitend aangehaald </w:t>
      </w:r>
      <w:r w:rsidR="0099254A">
        <w:rPr>
          <w:rFonts w:ascii="Verdana" w:hAnsi="Verdana" w:cs="Arial"/>
          <w:sz w:val="16"/>
          <w:szCs w:val="16"/>
        </w:rPr>
        <w:t xml:space="preserve">als </w:t>
      </w:r>
      <w:r w:rsidR="0099254A" w:rsidRPr="00816FF2">
        <w:rPr>
          <w:rFonts w:ascii="Verdana" w:hAnsi="Verdana" w:cs="Arial"/>
          <w:sz w:val="16"/>
          <w:szCs w:val="16"/>
        </w:rPr>
        <w:t>een kritieke technologie waar</w:t>
      </w:r>
      <w:r w:rsidR="0099254A" w:rsidRPr="0045506C">
        <w:rPr>
          <w:rFonts w:ascii="Verdana" w:hAnsi="Verdana" w:cs="Arial"/>
          <w:sz w:val="16"/>
          <w:szCs w:val="16"/>
        </w:rPr>
        <w:t>op</w:t>
      </w:r>
      <w:r w:rsidR="0099254A" w:rsidRPr="00816FF2">
        <w:rPr>
          <w:rFonts w:ascii="Verdana" w:hAnsi="Verdana" w:cs="Arial"/>
          <w:sz w:val="16"/>
          <w:szCs w:val="16"/>
        </w:rPr>
        <w:t xml:space="preserve"> </w:t>
      </w:r>
      <w:r w:rsidR="0099254A" w:rsidRPr="0045506C">
        <w:rPr>
          <w:rFonts w:ascii="Verdana" w:hAnsi="Verdana" w:cs="Arial"/>
          <w:sz w:val="16"/>
          <w:szCs w:val="16"/>
        </w:rPr>
        <w:t>het effect</w:t>
      </w:r>
      <w:r w:rsidR="0099254A" w:rsidRPr="00816FF2">
        <w:rPr>
          <w:rFonts w:ascii="Verdana" w:hAnsi="Verdana" w:cs="Arial"/>
          <w:sz w:val="16"/>
          <w:szCs w:val="16"/>
        </w:rPr>
        <w:t xml:space="preserve"> van </w:t>
      </w:r>
      <w:r w:rsidR="0099254A" w:rsidRPr="0045506C">
        <w:rPr>
          <w:rFonts w:ascii="Verdana" w:hAnsi="Verdana" w:cs="Arial"/>
          <w:sz w:val="16"/>
          <w:szCs w:val="16"/>
        </w:rPr>
        <w:t xml:space="preserve">een </w:t>
      </w:r>
      <w:r w:rsidR="0099254A" w:rsidRPr="00816FF2">
        <w:rPr>
          <w:rFonts w:ascii="Verdana" w:hAnsi="Verdana" w:cs="Arial"/>
          <w:sz w:val="16"/>
          <w:szCs w:val="16"/>
        </w:rPr>
        <w:t xml:space="preserve">buitenlandse </w:t>
      </w:r>
      <w:r w:rsidR="0099254A" w:rsidRPr="0045506C">
        <w:rPr>
          <w:rFonts w:ascii="Verdana" w:hAnsi="Verdana" w:cs="Arial"/>
          <w:sz w:val="16"/>
          <w:szCs w:val="16"/>
        </w:rPr>
        <w:t xml:space="preserve">directe </w:t>
      </w:r>
      <w:r w:rsidR="0099254A" w:rsidRPr="00816FF2">
        <w:rPr>
          <w:rFonts w:ascii="Verdana" w:hAnsi="Verdana" w:cs="Arial"/>
          <w:sz w:val="16"/>
          <w:szCs w:val="16"/>
        </w:rPr>
        <w:t xml:space="preserve">investering </w:t>
      </w:r>
      <w:r w:rsidR="0099254A" w:rsidRPr="0045506C">
        <w:rPr>
          <w:rFonts w:ascii="Verdana" w:hAnsi="Verdana" w:cs="Arial"/>
          <w:sz w:val="16"/>
          <w:szCs w:val="16"/>
        </w:rPr>
        <w:t xml:space="preserve">betrokken dient te worden betrokken bij beoordeling van die buitenlandse directe investering </w:t>
      </w:r>
      <w:r w:rsidR="0099254A" w:rsidRPr="00816FF2">
        <w:rPr>
          <w:rFonts w:ascii="Verdana" w:hAnsi="Verdana" w:cs="Arial"/>
          <w:sz w:val="16"/>
          <w:szCs w:val="16"/>
        </w:rPr>
        <w:t>op risico’s voor de veiligheid of openbare orde.</w:t>
      </w:r>
    </w:p>
  </w:footnote>
  <w:footnote w:id="14">
    <w:p w14:paraId="4DEC2E67" w14:textId="57EE28B5" w:rsidR="005D3480" w:rsidRPr="00816FF2" w:rsidRDefault="005D3480" w:rsidP="005D3480">
      <w:pPr>
        <w:spacing w:line="240" w:lineRule="atLeast"/>
        <w:rPr>
          <w:rFonts w:ascii="Verdana" w:hAnsi="Verdana"/>
          <w:sz w:val="16"/>
          <w:szCs w:val="16"/>
        </w:rPr>
      </w:pPr>
      <w:r w:rsidRPr="00816FF2">
        <w:rPr>
          <w:rStyle w:val="Voetnootmarkering"/>
          <w:rFonts w:ascii="Verdana" w:hAnsi="Verdana"/>
          <w:sz w:val="16"/>
          <w:szCs w:val="16"/>
        </w:rPr>
        <w:footnoteRef/>
      </w:r>
      <w:r w:rsidRPr="00816FF2">
        <w:rPr>
          <w:rFonts w:ascii="Verdana" w:hAnsi="Verdana"/>
          <w:sz w:val="16"/>
          <w:szCs w:val="16"/>
        </w:rPr>
        <w:t xml:space="preserve"> </w:t>
      </w:r>
      <w:r w:rsidR="0099254A">
        <w:rPr>
          <w:rFonts w:ascii="Verdana" w:hAnsi="Verdana" w:cs="Arial"/>
          <w:sz w:val="16"/>
          <w:szCs w:val="16"/>
        </w:rPr>
        <w:t xml:space="preserve">Zie </w:t>
      </w:r>
      <w:r w:rsidR="0099254A" w:rsidRPr="00816FF2">
        <w:rPr>
          <w:rFonts w:ascii="Verdana" w:hAnsi="Verdana" w:cs="Arial"/>
          <w:sz w:val="16"/>
          <w:szCs w:val="16"/>
        </w:rPr>
        <w:t xml:space="preserve">artikel 19 (1), onderdeel a, </w:t>
      </w:r>
      <w:r w:rsidR="0099254A">
        <w:rPr>
          <w:rFonts w:ascii="Verdana" w:hAnsi="Verdana" w:cs="Arial"/>
          <w:sz w:val="16"/>
          <w:szCs w:val="16"/>
        </w:rPr>
        <w:t xml:space="preserve">jo. </w:t>
      </w:r>
      <w:r w:rsidR="0099254A" w:rsidRPr="00816FF2">
        <w:rPr>
          <w:rFonts w:ascii="Verdana" w:hAnsi="Verdana" w:cs="Arial"/>
          <w:sz w:val="16"/>
          <w:szCs w:val="16"/>
        </w:rPr>
        <w:t>annex III,</w:t>
      </w:r>
      <w:r w:rsidR="0099254A">
        <w:rPr>
          <w:rFonts w:ascii="Verdana" w:hAnsi="Verdana" w:cs="Arial"/>
          <w:sz w:val="16"/>
          <w:szCs w:val="16"/>
        </w:rPr>
        <w:t xml:space="preserve"> van de Verordening. De genoemde technologieën worden </w:t>
      </w:r>
      <w:r w:rsidR="0099254A" w:rsidRPr="00816FF2">
        <w:rPr>
          <w:rFonts w:ascii="Verdana" w:hAnsi="Verdana" w:cs="Arial"/>
          <w:sz w:val="16"/>
          <w:szCs w:val="16"/>
        </w:rPr>
        <w:t xml:space="preserve">uitsluitend aangehaald </w:t>
      </w:r>
      <w:r w:rsidR="0099254A">
        <w:rPr>
          <w:rFonts w:ascii="Verdana" w:hAnsi="Verdana" w:cs="Arial"/>
          <w:sz w:val="16"/>
          <w:szCs w:val="16"/>
        </w:rPr>
        <w:t xml:space="preserve">als </w:t>
      </w:r>
      <w:r w:rsidR="0099254A" w:rsidRPr="00816FF2">
        <w:rPr>
          <w:rFonts w:ascii="Verdana" w:hAnsi="Verdana" w:cs="Arial"/>
          <w:sz w:val="16"/>
          <w:szCs w:val="16"/>
        </w:rPr>
        <w:t>een kritieke technologie waar</w:t>
      </w:r>
      <w:r w:rsidR="0099254A" w:rsidRPr="0045506C">
        <w:rPr>
          <w:rFonts w:ascii="Verdana" w:hAnsi="Verdana" w:cs="Arial"/>
          <w:sz w:val="16"/>
          <w:szCs w:val="16"/>
        </w:rPr>
        <w:t>op</w:t>
      </w:r>
      <w:r w:rsidR="0099254A" w:rsidRPr="00816FF2">
        <w:rPr>
          <w:rFonts w:ascii="Verdana" w:hAnsi="Verdana" w:cs="Arial"/>
          <w:sz w:val="16"/>
          <w:szCs w:val="16"/>
        </w:rPr>
        <w:t xml:space="preserve"> </w:t>
      </w:r>
      <w:r w:rsidR="0099254A" w:rsidRPr="0045506C">
        <w:rPr>
          <w:rFonts w:ascii="Verdana" w:hAnsi="Verdana" w:cs="Arial"/>
          <w:sz w:val="16"/>
          <w:szCs w:val="16"/>
        </w:rPr>
        <w:t>het effect</w:t>
      </w:r>
      <w:r w:rsidR="0099254A" w:rsidRPr="00816FF2">
        <w:rPr>
          <w:rFonts w:ascii="Verdana" w:hAnsi="Verdana" w:cs="Arial"/>
          <w:sz w:val="16"/>
          <w:szCs w:val="16"/>
        </w:rPr>
        <w:t xml:space="preserve"> van </w:t>
      </w:r>
      <w:r w:rsidR="0099254A" w:rsidRPr="0045506C">
        <w:rPr>
          <w:rFonts w:ascii="Verdana" w:hAnsi="Verdana" w:cs="Arial"/>
          <w:sz w:val="16"/>
          <w:szCs w:val="16"/>
        </w:rPr>
        <w:t xml:space="preserve">een </w:t>
      </w:r>
      <w:r w:rsidR="0099254A" w:rsidRPr="00816FF2">
        <w:rPr>
          <w:rFonts w:ascii="Verdana" w:hAnsi="Verdana" w:cs="Arial"/>
          <w:sz w:val="16"/>
          <w:szCs w:val="16"/>
        </w:rPr>
        <w:t xml:space="preserve">buitenlandse </w:t>
      </w:r>
      <w:r w:rsidR="0099254A" w:rsidRPr="0045506C">
        <w:rPr>
          <w:rFonts w:ascii="Verdana" w:hAnsi="Verdana" w:cs="Arial"/>
          <w:sz w:val="16"/>
          <w:szCs w:val="16"/>
        </w:rPr>
        <w:t xml:space="preserve">directe </w:t>
      </w:r>
      <w:r w:rsidR="0099254A" w:rsidRPr="00816FF2">
        <w:rPr>
          <w:rFonts w:ascii="Verdana" w:hAnsi="Verdana" w:cs="Arial"/>
          <w:sz w:val="16"/>
          <w:szCs w:val="16"/>
        </w:rPr>
        <w:t xml:space="preserve">investering </w:t>
      </w:r>
      <w:r w:rsidR="0099254A" w:rsidRPr="0045506C">
        <w:rPr>
          <w:rFonts w:ascii="Verdana" w:hAnsi="Verdana" w:cs="Arial"/>
          <w:sz w:val="16"/>
          <w:szCs w:val="16"/>
        </w:rPr>
        <w:t xml:space="preserve">betrokken dient te worden betrokken bij beoordeling van die buitenlandse directe investering </w:t>
      </w:r>
      <w:r w:rsidR="0099254A" w:rsidRPr="00816FF2">
        <w:rPr>
          <w:rFonts w:ascii="Verdana" w:hAnsi="Verdana" w:cs="Arial"/>
          <w:sz w:val="16"/>
          <w:szCs w:val="16"/>
        </w:rPr>
        <w:t>op risico’s voor de veiligheid of openbare orde.</w:t>
      </w:r>
    </w:p>
  </w:footnote>
  <w:footnote w:id="15">
    <w:p w14:paraId="236108BE" w14:textId="77777777" w:rsidR="002531AD" w:rsidRPr="006424AD" w:rsidRDefault="002531AD" w:rsidP="002531AD">
      <w:pPr>
        <w:pStyle w:val="Voetnoottekst"/>
        <w:rPr>
          <w:rFonts w:ascii="Verdana" w:hAnsi="Verdana" w:cs="Arial"/>
          <w:sz w:val="16"/>
          <w:szCs w:val="16"/>
        </w:rPr>
      </w:pPr>
      <w:r w:rsidRPr="006424AD">
        <w:rPr>
          <w:rStyle w:val="Voetnootmarkering"/>
          <w:rFonts w:ascii="Verdana" w:hAnsi="Verdana" w:cs="Arial"/>
          <w:sz w:val="16"/>
          <w:szCs w:val="16"/>
        </w:rPr>
        <w:footnoteRef/>
      </w:r>
      <w:r w:rsidRPr="006424AD">
        <w:rPr>
          <w:rFonts w:ascii="Verdana" w:hAnsi="Verdana" w:cs="Arial"/>
          <w:sz w:val="16"/>
          <w:szCs w:val="16"/>
        </w:rPr>
        <w:t xml:space="preserve"> Gezamenlijke mededeling aan het Europees Parlement, de Europese Raad en de Raad betreffende een “Strategie voor economische veiligheid van de EU” (JOIN(2023) 20 final).</w:t>
      </w:r>
    </w:p>
  </w:footnote>
  <w:footnote w:id="16">
    <w:p w14:paraId="5C992030" w14:textId="77777777" w:rsidR="002531AD" w:rsidRPr="006424AD" w:rsidRDefault="002531AD" w:rsidP="002531AD">
      <w:pPr>
        <w:pStyle w:val="Voetnoottekst"/>
        <w:rPr>
          <w:rFonts w:ascii="Verdana" w:hAnsi="Verdana" w:cs="Arial"/>
          <w:sz w:val="16"/>
          <w:szCs w:val="16"/>
        </w:rPr>
      </w:pPr>
      <w:r w:rsidRPr="006424AD">
        <w:rPr>
          <w:rStyle w:val="Voetnootmarkering"/>
          <w:rFonts w:ascii="Verdana" w:hAnsi="Verdana" w:cs="Arial"/>
          <w:sz w:val="16"/>
          <w:szCs w:val="16"/>
        </w:rPr>
        <w:footnoteRef/>
      </w:r>
      <w:r w:rsidRPr="006424AD">
        <w:rPr>
          <w:rFonts w:ascii="Verdana" w:hAnsi="Verdana" w:cs="Arial"/>
          <w:sz w:val="16"/>
          <w:szCs w:val="16"/>
        </w:rPr>
        <w:t xml:space="preserve"> Kamerstukken II 2022/23, 22112, nr. 3761.</w:t>
      </w:r>
    </w:p>
  </w:footnote>
  <w:footnote w:id="17">
    <w:p w14:paraId="7974AFFE" w14:textId="77777777" w:rsidR="002531AD" w:rsidRPr="006424AD" w:rsidRDefault="002531AD" w:rsidP="002531AD">
      <w:pPr>
        <w:pStyle w:val="Voetnoottekst"/>
        <w:rPr>
          <w:rFonts w:ascii="Verdana" w:hAnsi="Verdana" w:cs="Arial"/>
          <w:sz w:val="16"/>
          <w:szCs w:val="16"/>
        </w:rPr>
      </w:pPr>
      <w:r w:rsidRPr="006424AD">
        <w:rPr>
          <w:rStyle w:val="Voetnootmarkering"/>
          <w:rFonts w:ascii="Verdana" w:hAnsi="Verdana" w:cs="Arial"/>
          <w:sz w:val="16"/>
          <w:szCs w:val="16"/>
        </w:rPr>
        <w:footnoteRef/>
      </w:r>
      <w:r w:rsidRPr="006424AD">
        <w:rPr>
          <w:rFonts w:ascii="Verdana" w:hAnsi="Verdana" w:cs="Arial"/>
          <w:sz w:val="16"/>
          <w:szCs w:val="16"/>
        </w:rPr>
        <w:t xml:space="preserve"> Kamerstukken II 2022/23, </w:t>
      </w:r>
      <w:r w:rsidRPr="006424AD">
        <w:rPr>
          <w:rFonts w:ascii="Verdana" w:hAnsi="Verdana" w:cs="Arial"/>
          <w:sz w:val="16"/>
          <w:szCs w:val="16"/>
          <w:shd w:val="clear" w:color="auto" w:fill="FFFFFF"/>
        </w:rPr>
        <w:t>22112, nr. 3905</w:t>
      </w:r>
    </w:p>
  </w:footnote>
  <w:footnote w:id="18">
    <w:p w14:paraId="0C90AC52" w14:textId="77777777" w:rsidR="002531AD" w:rsidRPr="006424AD" w:rsidRDefault="002531AD" w:rsidP="002531AD">
      <w:pPr>
        <w:pStyle w:val="Voetnoottekst"/>
        <w:rPr>
          <w:rFonts w:ascii="Verdana" w:hAnsi="Verdana" w:cs="Arial"/>
          <w:sz w:val="16"/>
          <w:szCs w:val="16"/>
        </w:rPr>
      </w:pPr>
      <w:r w:rsidRPr="006424AD">
        <w:rPr>
          <w:rStyle w:val="Voetnootmarkering"/>
          <w:rFonts w:ascii="Verdana" w:hAnsi="Verdana" w:cs="Arial"/>
          <w:sz w:val="16"/>
          <w:szCs w:val="16"/>
        </w:rPr>
        <w:footnoteRef/>
      </w:r>
      <w:r w:rsidRPr="006424AD">
        <w:rPr>
          <w:rFonts w:ascii="Verdana" w:hAnsi="Verdana" w:cs="Arial"/>
          <w:sz w:val="16"/>
          <w:szCs w:val="16"/>
        </w:rPr>
        <w:t xml:space="preserve"> Deze tussentijdse evaluatie is te onderscheiden van de wettelijk verplichte evaluatie 5 jaar na de inwerkingtreding van de Wet vifo en is daarmee voorzien medio 2028.</w:t>
      </w:r>
    </w:p>
  </w:footnote>
  <w:footnote w:id="19">
    <w:p w14:paraId="252F81CF" w14:textId="77777777" w:rsidR="002531AD" w:rsidRPr="006424AD" w:rsidRDefault="002531AD" w:rsidP="002531AD">
      <w:pPr>
        <w:pStyle w:val="Voetnoottekst"/>
        <w:rPr>
          <w:rFonts w:ascii="Verdana" w:hAnsi="Verdana"/>
          <w:sz w:val="16"/>
          <w:szCs w:val="16"/>
        </w:rPr>
      </w:pPr>
      <w:r w:rsidRPr="006424AD">
        <w:rPr>
          <w:rStyle w:val="Voetnootmarkering"/>
          <w:rFonts w:ascii="Verdana" w:hAnsi="Verdana" w:cs="Arial"/>
          <w:sz w:val="16"/>
          <w:szCs w:val="16"/>
        </w:rPr>
        <w:footnoteRef/>
      </w:r>
      <w:r w:rsidRPr="006424AD">
        <w:rPr>
          <w:rFonts w:ascii="Verdana" w:hAnsi="Verdana" w:cs="Arial"/>
          <w:sz w:val="16"/>
          <w:szCs w:val="16"/>
        </w:rPr>
        <w:t xml:space="preserve"> Kamerstukken II 2022/23, 35880, nr. 13</w:t>
      </w:r>
    </w:p>
  </w:footnote>
  <w:footnote w:id="20">
    <w:p w14:paraId="3B84F2F1" w14:textId="29D053BB" w:rsidR="00FB13D3" w:rsidRPr="006424AD" w:rsidRDefault="00FB13D3">
      <w:pPr>
        <w:pStyle w:val="Voetnoottekst"/>
        <w:rPr>
          <w:rFonts w:ascii="Verdana" w:hAnsi="Verdana"/>
          <w:sz w:val="16"/>
          <w:szCs w:val="16"/>
        </w:rPr>
      </w:pPr>
      <w:r w:rsidRPr="006424AD">
        <w:rPr>
          <w:rStyle w:val="Voetnootmarkering"/>
          <w:rFonts w:ascii="Verdana" w:hAnsi="Verdana"/>
          <w:sz w:val="16"/>
          <w:szCs w:val="16"/>
        </w:rPr>
        <w:footnoteRef/>
      </w:r>
      <w:r w:rsidRPr="006424AD">
        <w:rPr>
          <w:rFonts w:ascii="Verdana" w:hAnsi="Verdana"/>
          <w:sz w:val="16"/>
          <w:szCs w:val="16"/>
        </w:rPr>
        <w:t xml:space="preserve"> Kamerstuk</w:t>
      </w:r>
      <w:r w:rsidR="002D3D4E">
        <w:rPr>
          <w:rFonts w:ascii="Verdana" w:hAnsi="Verdana"/>
          <w:sz w:val="16"/>
          <w:szCs w:val="16"/>
        </w:rPr>
        <w:t>ken II, 2025/26,</w:t>
      </w:r>
      <w:r w:rsidRPr="006424AD">
        <w:rPr>
          <w:rFonts w:ascii="Verdana" w:hAnsi="Verdana"/>
          <w:sz w:val="16"/>
          <w:szCs w:val="16"/>
        </w:rPr>
        <w:t xml:space="preserve"> </w:t>
      </w:r>
      <w:r w:rsidR="002D3D4E" w:rsidRPr="002D3D4E">
        <w:rPr>
          <w:rFonts w:ascii="Verdana" w:hAnsi="Verdana"/>
          <w:sz w:val="16"/>
          <w:szCs w:val="16"/>
        </w:rPr>
        <w:t>35 153, nr. 31</w:t>
      </w:r>
    </w:p>
  </w:footnote>
  <w:footnote w:id="21">
    <w:p w14:paraId="1D9C64FA" w14:textId="77777777" w:rsidR="00D17892" w:rsidRPr="002B2881" w:rsidRDefault="00D17892" w:rsidP="00D17892">
      <w:pPr>
        <w:pStyle w:val="Voetnoottekst"/>
        <w:rPr>
          <w:rFonts w:ascii="Verdana" w:hAnsi="Verdana"/>
          <w:sz w:val="16"/>
          <w:szCs w:val="16"/>
        </w:rPr>
      </w:pPr>
      <w:r w:rsidRPr="002B2881">
        <w:rPr>
          <w:rStyle w:val="Voetnootmarkering"/>
          <w:rFonts w:ascii="Verdana" w:hAnsi="Verdana"/>
          <w:sz w:val="16"/>
          <w:szCs w:val="16"/>
        </w:rPr>
        <w:footnoteRef/>
      </w:r>
      <w:r w:rsidRPr="002B2881">
        <w:rPr>
          <w:rFonts w:ascii="Verdana" w:hAnsi="Verdana"/>
          <w:sz w:val="16"/>
          <w:szCs w:val="16"/>
        </w:rPr>
        <w:t xml:space="preserve"> Administratieve lasten bedragen voor simpele zaken 913.600 euro (100 * 9.136) en voor complexe zaken 2.081.700 euro (25 * 83.268). </w:t>
      </w:r>
    </w:p>
  </w:footnote>
  <w:footnote w:id="22">
    <w:p w14:paraId="2A93A8A2" w14:textId="77777777" w:rsidR="002531AD" w:rsidRPr="006424AD" w:rsidRDefault="002531AD" w:rsidP="002531AD">
      <w:pPr>
        <w:pStyle w:val="Voetnoottekst"/>
        <w:rPr>
          <w:rFonts w:ascii="Verdana" w:hAnsi="Verdana"/>
          <w:sz w:val="16"/>
          <w:szCs w:val="16"/>
        </w:rPr>
      </w:pPr>
      <w:r w:rsidRPr="006424AD">
        <w:rPr>
          <w:rStyle w:val="Voetnootmarkering"/>
          <w:rFonts w:ascii="Verdana" w:hAnsi="Verdana"/>
          <w:sz w:val="16"/>
          <w:szCs w:val="16"/>
        </w:rPr>
        <w:footnoteRef/>
      </w:r>
      <w:r w:rsidRPr="006424AD">
        <w:rPr>
          <w:rFonts w:ascii="Verdana" w:hAnsi="Verdana"/>
          <w:sz w:val="16"/>
          <w:szCs w:val="16"/>
        </w:rPr>
        <w:t xml:space="preserve"> Kamerstukken II  2023/2024  30.821, TK, 235  </w:t>
      </w:r>
    </w:p>
  </w:footnote>
  <w:footnote w:id="23">
    <w:p w14:paraId="0113C64E" w14:textId="584A02C4" w:rsidR="000D258C" w:rsidRPr="006424AD" w:rsidRDefault="000D258C">
      <w:pPr>
        <w:pStyle w:val="Voetnoottekst"/>
        <w:rPr>
          <w:rFonts w:ascii="Verdana" w:hAnsi="Verdana"/>
          <w:sz w:val="16"/>
          <w:szCs w:val="16"/>
        </w:rPr>
      </w:pPr>
      <w:r w:rsidRPr="006424AD">
        <w:rPr>
          <w:rStyle w:val="Voetnootmarkering"/>
          <w:rFonts w:ascii="Verdana" w:hAnsi="Verdana"/>
          <w:sz w:val="16"/>
          <w:szCs w:val="16"/>
        </w:rPr>
        <w:footnoteRef/>
      </w:r>
      <w:r w:rsidRPr="006424AD">
        <w:rPr>
          <w:rFonts w:ascii="Verdana" w:hAnsi="Verdana"/>
          <w:sz w:val="16"/>
          <w:szCs w:val="16"/>
        </w:rPr>
        <w:t xml:space="preserve"> Bron: Handboek Meting Regeldrukkosten 2023 </w:t>
      </w:r>
    </w:p>
  </w:footnote>
  <w:footnote w:id="24">
    <w:p w14:paraId="41DF710B" w14:textId="77777777" w:rsidR="002531AD" w:rsidRPr="002B2881" w:rsidRDefault="002531AD" w:rsidP="002531AD">
      <w:pPr>
        <w:pStyle w:val="Voetnoottekst"/>
        <w:rPr>
          <w:rFonts w:ascii="Verdana" w:hAnsi="Verdana"/>
          <w:sz w:val="16"/>
          <w:szCs w:val="16"/>
        </w:rPr>
      </w:pPr>
      <w:r w:rsidRPr="006424AD">
        <w:rPr>
          <w:rStyle w:val="Voetnootmarkering"/>
          <w:rFonts w:ascii="Verdana" w:hAnsi="Verdana"/>
          <w:sz w:val="16"/>
          <w:szCs w:val="16"/>
        </w:rPr>
        <w:footnoteRef/>
      </w:r>
      <w:r w:rsidRPr="006424AD">
        <w:rPr>
          <w:rFonts w:ascii="Verdana" w:hAnsi="Verdana"/>
          <w:sz w:val="16"/>
          <w:szCs w:val="16"/>
        </w:rPr>
        <w:t xml:space="preserve"> </w:t>
      </w:r>
      <w:r w:rsidRPr="002B2881">
        <w:rPr>
          <w:rFonts w:ascii="Verdana" w:hAnsi="Verdana"/>
          <w:sz w:val="16"/>
          <w:szCs w:val="16"/>
        </w:rPr>
        <w:t>Met EU-exportcontrolelijsten wordt hier bedoeld: de lijst van goederen krachtens artikel 3, eerste lid, van de verordening (EU) nr. 2021/821 van het Europees Parlement en de Raad van 20 mei 2021 tot instelling van een Unieregeling voor controle op de uitvoer, de tussenhandel, de technische bijstand, de doorvoer en de overbrenging van producten voor tweeërlei gebruik (PbEU 2021, L 206) alsmede de goederen die zijn opgenomen in de gemeenschappelijke EU-lijst van militaire goederen.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39457"/>
      <w:docPartObj>
        <w:docPartGallery w:val="Watermarks"/>
        <w:docPartUnique/>
      </w:docPartObj>
    </w:sdtPr>
    <w:sdtEndPr/>
    <w:sdtContent>
      <w:p w14:paraId="5C390536" w14:textId="43487420" w:rsidR="0051645D" w:rsidRDefault="00C44E9E">
        <w:pPr>
          <w:pStyle w:val="Koptekst"/>
        </w:pPr>
        <w:r>
          <w:pict w14:anchorId="27099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E42F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703CC"/>
    <w:multiLevelType w:val="hybridMultilevel"/>
    <w:tmpl w:val="AD9EF5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CD202D"/>
    <w:multiLevelType w:val="hybridMultilevel"/>
    <w:tmpl w:val="DB0C1F1E"/>
    <w:lvl w:ilvl="0" w:tplc="04130001">
      <w:start w:val="1"/>
      <w:numFmt w:val="bullet"/>
      <w:lvlText w:val=""/>
      <w:lvlJc w:val="left"/>
      <w:pPr>
        <w:ind w:left="720" w:hanging="360"/>
      </w:pPr>
      <w:rPr>
        <w:rFonts w:ascii="Symbol" w:hAnsi="Symbol" w:hint="default"/>
      </w:rPr>
    </w:lvl>
    <w:lvl w:ilvl="1" w:tplc="203E4D96">
      <w:start w:val="15"/>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224923"/>
    <w:multiLevelType w:val="hybridMultilevel"/>
    <w:tmpl w:val="F2264E40"/>
    <w:lvl w:ilvl="0" w:tplc="0413000F">
      <w:start w:val="1"/>
      <w:numFmt w:val="decimal"/>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4" w15:restartNumberingAfterBreak="0">
    <w:nsid w:val="08A01F36"/>
    <w:multiLevelType w:val="hybridMultilevel"/>
    <w:tmpl w:val="315E3B12"/>
    <w:lvl w:ilvl="0" w:tplc="E2C8A3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28619E"/>
    <w:multiLevelType w:val="hybridMultilevel"/>
    <w:tmpl w:val="2C88C380"/>
    <w:lvl w:ilvl="0" w:tplc="CE3202D0">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2F278D0"/>
    <w:multiLevelType w:val="hybridMultilevel"/>
    <w:tmpl w:val="31EEF0A6"/>
    <w:lvl w:ilvl="0" w:tplc="E2C8A3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D6456F"/>
    <w:multiLevelType w:val="hybridMultilevel"/>
    <w:tmpl w:val="12FA7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211AEA"/>
    <w:multiLevelType w:val="hybridMultilevel"/>
    <w:tmpl w:val="4FDC0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2C0FDF"/>
    <w:multiLevelType w:val="hybridMultilevel"/>
    <w:tmpl w:val="4372F5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1C4DD3"/>
    <w:multiLevelType w:val="hybridMultilevel"/>
    <w:tmpl w:val="D06A2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EB0D32"/>
    <w:multiLevelType w:val="hybridMultilevel"/>
    <w:tmpl w:val="B76E8D40"/>
    <w:lvl w:ilvl="0" w:tplc="62ACC334">
      <w:start w:val="1"/>
      <w:numFmt w:val="decimal"/>
      <w:lvlText w:val="%1."/>
      <w:lvlJc w:val="left"/>
      <w:pPr>
        <w:ind w:left="1020" w:hanging="360"/>
      </w:pPr>
    </w:lvl>
    <w:lvl w:ilvl="1" w:tplc="566018FE">
      <w:start w:val="1"/>
      <w:numFmt w:val="decimal"/>
      <w:lvlText w:val="%2."/>
      <w:lvlJc w:val="left"/>
      <w:pPr>
        <w:ind w:left="1020" w:hanging="360"/>
      </w:pPr>
    </w:lvl>
    <w:lvl w:ilvl="2" w:tplc="2A9AD57E">
      <w:start w:val="1"/>
      <w:numFmt w:val="decimal"/>
      <w:lvlText w:val="%3."/>
      <w:lvlJc w:val="left"/>
      <w:pPr>
        <w:ind w:left="1020" w:hanging="360"/>
      </w:pPr>
    </w:lvl>
    <w:lvl w:ilvl="3" w:tplc="FD4A99E0">
      <w:start w:val="1"/>
      <w:numFmt w:val="decimal"/>
      <w:lvlText w:val="%4."/>
      <w:lvlJc w:val="left"/>
      <w:pPr>
        <w:ind w:left="1020" w:hanging="360"/>
      </w:pPr>
    </w:lvl>
    <w:lvl w:ilvl="4" w:tplc="9D624150">
      <w:start w:val="1"/>
      <w:numFmt w:val="decimal"/>
      <w:lvlText w:val="%5."/>
      <w:lvlJc w:val="left"/>
      <w:pPr>
        <w:ind w:left="1020" w:hanging="360"/>
      </w:pPr>
    </w:lvl>
    <w:lvl w:ilvl="5" w:tplc="2B1AE242">
      <w:start w:val="1"/>
      <w:numFmt w:val="decimal"/>
      <w:lvlText w:val="%6."/>
      <w:lvlJc w:val="left"/>
      <w:pPr>
        <w:ind w:left="1020" w:hanging="360"/>
      </w:pPr>
    </w:lvl>
    <w:lvl w:ilvl="6" w:tplc="77E4FA24">
      <w:start w:val="1"/>
      <w:numFmt w:val="decimal"/>
      <w:lvlText w:val="%7."/>
      <w:lvlJc w:val="left"/>
      <w:pPr>
        <w:ind w:left="1020" w:hanging="360"/>
      </w:pPr>
    </w:lvl>
    <w:lvl w:ilvl="7" w:tplc="D514094A">
      <w:start w:val="1"/>
      <w:numFmt w:val="decimal"/>
      <w:lvlText w:val="%8."/>
      <w:lvlJc w:val="left"/>
      <w:pPr>
        <w:ind w:left="1020" w:hanging="360"/>
      </w:pPr>
    </w:lvl>
    <w:lvl w:ilvl="8" w:tplc="C330BA6A">
      <w:start w:val="1"/>
      <w:numFmt w:val="decimal"/>
      <w:lvlText w:val="%9."/>
      <w:lvlJc w:val="left"/>
      <w:pPr>
        <w:ind w:left="1020" w:hanging="360"/>
      </w:pPr>
    </w:lvl>
  </w:abstractNum>
  <w:abstractNum w:abstractNumId="12" w15:restartNumberingAfterBreak="0">
    <w:nsid w:val="3EE34E16"/>
    <w:multiLevelType w:val="hybridMultilevel"/>
    <w:tmpl w:val="E88CC3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FBC61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42A4654"/>
    <w:multiLevelType w:val="hybridMultilevel"/>
    <w:tmpl w:val="8FF41DBE"/>
    <w:lvl w:ilvl="0" w:tplc="506CB4B6">
      <w:start w:val="1"/>
      <w:numFmt w:val="decimal"/>
      <w:lvlText w:val="%1."/>
      <w:lvlJc w:val="left"/>
      <w:pPr>
        <w:ind w:left="1020" w:hanging="360"/>
      </w:pPr>
    </w:lvl>
    <w:lvl w:ilvl="1" w:tplc="50BCC38A">
      <w:start w:val="1"/>
      <w:numFmt w:val="decimal"/>
      <w:lvlText w:val="%2."/>
      <w:lvlJc w:val="left"/>
      <w:pPr>
        <w:ind w:left="1020" w:hanging="360"/>
      </w:pPr>
    </w:lvl>
    <w:lvl w:ilvl="2" w:tplc="FE943C6E">
      <w:start w:val="1"/>
      <w:numFmt w:val="decimal"/>
      <w:lvlText w:val="%3."/>
      <w:lvlJc w:val="left"/>
      <w:pPr>
        <w:ind w:left="1020" w:hanging="360"/>
      </w:pPr>
    </w:lvl>
    <w:lvl w:ilvl="3" w:tplc="C0201E28">
      <w:start w:val="1"/>
      <w:numFmt w:val="decimal"/>
      <w:lvlText w:val="%4."/>
      <w:lvlJc w:val="left"/>
      <w:pPr>
        <w:ind w:left="1020" w:hanging="360"/>
      </w:pPr>
    </w:lvl>
    <w:lvl w:ilvl="4" w:tplc="557CF236">
      <w:start w:val="1"/>
      <w:numFmt w:val="decimal"/>
      <w:lvlText w:val="%5."/>
      <w:lvlJc w:val="left"/>
      <w:pPr>
        <w:ind w:left="1020" w:hanging="360"/>
      </w:pPr>
    </w:lvl>
    <w:lvl w:ilvl="5" w:tplc="8D2E8106">
      <w:start w:val="1"/>
      <w:numFmt w:val="decimal"/>
      <w:lvlText w:val="%6."/>
      <w:lvlJc w:val="left"/>
      <w:pPr>
        <w:ind w:left="1020" w:hanging="360"/>
      </w:pPr>
    </w:lvl>
    <w:lvl w:ilvl="6" w:tplc="2DB4A33C">
      <w:start w:val="1"/>
      <w:numFmt w:val="decimal"/>
      <w:lvlText w:val="%7."/>
      <w:lvlJc w:val="left"/>
      <w:pPr>
        <w:ind w:left="1020" w:hanging="360"/>
      </w:pPr>
    </w:lvl>
    <w:lvl w:ilvl="7" w:tplc="DAB848D8">
      <w:start w:val="1"/>
      <w:numFmt w:val="decimal"/>
      <w:lvlText w:val="%8."/>
      <w:lvlJc w:val="left"/>
      <w:pPr>
        <w:ind w:left="1020" w:hanging="360"/>
      </w:pPr>
    </w:lvl>
    <w:lvl w:ilvl="8" w:tplc="D4B22D6E">
      <w:start w:val="1"/>
      <w:numFmt w:val="decimal"/>
      <w:lvlText w:val="%9."/>
      <w:lvlJc w:val="left"/>
      <w:pPr>
        <w:ind w:left="1020" w:hanging="360"/>
      </w:pPr>
    </w:lvl>
  </w:abstractNum>
  <w:abstractNum w:abstractNumId="15" w15:restartNumberingAfterBreak="0">
    <w:nsid w:val="4BF95A6A"/>
    <w:multiLevelType w:val="hybridMultilevel"/>
    <w:tmpl w:val="DF9AD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01348F"/>
    <w:multiLevelType w:val="hybridMultilevel"/>
    <w:tmpl w:val="669A7F6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F1A6B69"/>
    <w:multiLevelType w:val="hybridMultilevel"/>
    <w:tmpl w:val="B5CC013C"/>
    <w:lvl w:ilvl="0" w:tplc="BDE21442">
      <w:start w:val="1"/>
      <w:numFmt w:val="decimal"/>
      <w:lvlText w:val="%1."/>
      <w:lvlJc w:val="left"/>
      <w:pPr>
        <w:ind w:left="1020" w:hanging="360"/>
      </w:pPr>
    </w:lvl>
    <w:lvl w:ilvl="1" w:tplc="AAAC0512">
      <w:start w:val="1"/>
      <w:numFmt w:val="decimal"/>
      <w:lvlText w:val="%2."/>
      <w:lvlJc w:val="left"/>
      <w:pPr>
        <w:ind w:left="1020" w:hanging="360"/>
      </w:pPr>
    </w:lvl>
    <w:lvl w:ilvl="2" w:tplc="E92265BC">
      <w:start w:val="1"/>
      <w:numFmt w:val="decimal"/>
      <w:lvlText w:val="%3."/>
      <w:lvlJc w:val="left"/>
      <w:pPr>
        <w:ind w:left="1020" w:hanging="360"/>
      </w:pPr>
    </w:lvl>
    <w:lvl w:ilvl="3" w:tplc="4A5C400C">
      <w:start w:val="1"/>
      <w:numFmt w:val="decimal"/>
      <w:lvlText w:val="%4."/>
      <w:lvlJc w:val="left"/>
      <w:pPr>
        <w:ind w:left="1020" w:hanging="360"/>
      </w:pPr>
    </w:lvl>
    <w:lvl w:ilvl="4" w:tplc="5E08DF92">
      <w:start w:val="1"/>
      <w:numFmt w:val="decimal"/>
      <w:lvlText w:val="%5."/>
      <w:lvlJc w:val="left"/>
      <w:pPr>
        <w:ind w:left="1020" w:hanging="360"/>
      </w:pPr>
    </w:lvl>
    <w:lvl w:ilvl="5" w:tplc="A164E78C">
      <w:start w:val="1"/>
      <w:numFmt w:val="decimal"/>
      <w:lvlText w:val="%6."/>
      <w:lvlJc w:val="left"/>
      <w:pPr>
        <w:ind w:left="1020" w:hanging="360"/>
      </w:pPr>
    </w:lvl>
    <w:lvl w:ilvl="6" w:tplc="9C0E53F0">
      <w:start w:val="1"/>
      <w:numFmt w:val="decimal"/>
      <w:lvlText w:val="%7."/>
      <w:lvlJc w:val="left"/>
      <w:pPr>
        <w:ind w:left="1020" w:hanging="360"/>
      </w:pPr>
    </w:lvl>
    <w:lvl w:ilvl="7" w:tplc="A6885532">
      <w:start w:val="1"/>
      <w:numFmt w:val="decimal"/>
      <w:lvlText w:val="%8."/>
      <w:lvlJc w:val="left"/>
      <w:pPr>
        <w:ind w:left="1020" w:hanging="360"/>
      </w:pPr>
    </w:lvl>
    <w:lvl w:ilvl="8" w:tplc="EF38E14C">
      <w:start w:val="1"/>
      <w:numFmt w:val="decimal"/>
      <w:lvlText w:val="%9."/>
      <w:lvlJc w:val="left"/>
      <w:pPr>
        <w:ind w:left="1020" w:hanging="360"/>
      </w:pPr>
    </w:lvl>
  </w:abstractNum>
  <w:abstractNum w:abstractNumId="18" w15:restartNumberingAfterBreak="0">
    <w:nsid w:val="54517486"/>
    <w:multiLevelType w:val="hybridMultilevel"/>
    <w:tmpl w:val="09DEC548"/>
    <w:lvl w:ilvl="0" w:tplc="E2C8A3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98222CE"/>
    <w:multiLevelType w:val="hybridMultilevel"/>
    <w:tmpl w:val="3398C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0987ECC"/>
    <w:multiLevelType w:val="hybridMultilevel"/>
    <w:tmpl w:val="7EF4DDD4"/>
    <w:lvl w:ilvl="0" w:tplc="69544488">
      <w:start w:val="2"/>
      <w:numFmt w:val="bullet"/>
      <w:lvlText w:val="–"/>
      <w:lvlJc w:val="left"/>
      <w:pPr>
        <w:ind w:left="644" w:hanging="360"/>
      </w:pPr>
      <w:rPr>
        <w:rFonts w:ascii="Calibri" w:eastAsiaTheme="minorHAnsi" w:hAnsi="Calibri" w:cs="Calibr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1" w15:restartNumberingAfterBreak="0">
    <w:nsid w:val="65A5392D"/>
    <w:multiLevelType w:val="hybridMultilevel"/>
    <w:tmpl w:val="DE005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A83C64"/>
    <w:multiLevelType w:val="hybridMultilevel"/>
    <w:tmpl w:val="1EECA084"/>
    <w:lvl w:ilvl="0" w:tplc="E2C8A3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1B4845"/>
    <w:multiLevelType w:val="hybridMultilevel"/>
    <w:tmpl w:val="8B6050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B804922"/>
    <w:multiLevelType w:val="hybridMultilevel"/>
    <w:tmpl w:val="CA34A24A"/>
    <w:lvl w:ilvl="0" w:tplc="E2C8A3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AF05BC"/>
    <w:multiLevelType w:val="hybridMultilevel"/>
    <w:tmpl w:val="8040A7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D528AD"/>
    <w:multiLevelType w:val="hybridMultilevel"/>
    <w:tmpl w:val="47363EAA"/>
    <w:lvl w:ilvl="0" w:tplc="64E04370">
      <w:start w:val="1"/>
      <w:numFmt w:val="decimal"/>
      <w:lvlText w:val="%1."/>
      <w:lvlJc w:val="left"/>
      <w:pPr>
        <w:ind w:left="1020" w:hanging="360"/>
      </w:pPr>
    </w:lvl>
    <w:lvl w:ilvl="1" w:tplc="9CAC1614">
      <w:start w:val="1"/>
      <w:numFmt w:val="decimal"/>
      <w:lvlText w:val="%2."/>
      <w:lvlJc w:val="left"/>
      <w:pPr>
        <w:ind w:left="1020" w:hanging="360"/>
      </w:pPr>
    </w:lvl>
    <w:lvl w:ilvl="2" w:tplc="4244B386">
      <w:start w:val="1"/>
      <w:numFmt w:val="decimal"/>
      <w:lvlText w:val="%3."/>
      <w:lvlJc w:val="left"/>
      <w:pPr>
        <w:ind w:left="1020" w:hanging="360"/>
      </w:pPr>
    </w:lvl>
    <w:lvl w:ilvl="3" w:tplc="A0B6059C">
      <w:start w:val="1"/>
      <w:numFmt w:val="decimal"/>
      <w:lvlText w:val="%4."/>
      <w:lvlJc w:val="left"/>
      <w:pPr>
        <w:ind w:left="1020" w:hanging="360"/>
      </w:pPr>
    </w:lvl>
    <w:lvl w:ilvl="4" w:tplc="B55AD8BC">
      <w:start w:val="1"/>
      <w:numFmt w:val="decimal"/>
      <w:lvlText w:val="%5."/>
      <w:lvlJc w:val="left"/>
      <w:pPr>
        <w:ind w:left="1020" w:hanging="360"/>
      </w:pPr>
    </w:lvl>
    <w:lvl w:ilvl="5" w:tplc="4A4CD7D6">
      <w:start w:val="1"/>
      <w:numFmt w:val="decimal"/>
      <w:lvlText w:val="%6."/>
      <w:lvlJc w:val="left"/>
      <w:pPr>
        <w:ind w:left="1020" w:hanging="360"/>
      </w:pPr>
    </w:lvl>
    <w:lvl w:ilvl="6" w:tplc="E7F2BFAE">
      <w:start w:val="1"/>
      <w:numFmt w:val="decimal"/>
      <w:lvlText w:val="%7."/>
      <w:lvlJc w:val="left"/>
      <w:pPr>
        <w:ind w:left="1020" w:hanging="360"/>
      </w:pPr>
    </w:lvl>
    <w:lvl w:ilvl="7" w:tplc="F2A0A896">
      <w:start w:val="1"/>
      <w:numFmt w:val="decimal"/>
      <w:lvlText w:val="%8."/>
      <w:lvlJc w:val="left"/>
      <w:pPr>
        <w:ind w:left="1020" w:hanging="360"/>
      </w:pPr>
    </w:lvl>
    <w:lvl w:ilvl="8" w:tplc="01AC5A30">
      <w:start w:val="1"/>
      <w:numFmt w:val="decimal"/>
      <w:lvlText w:val="%9."/>
      <w:lvlJc w:val="left"/>
      <w:pPr>
        <w:ind w:left="1020" w:hanging="360"/>
      </w:pPr>
    </w:lvl>
  </w:abstractNum>
  <w:abstractNum w:abstractNumId="27" w15:restartNumberingAfterBreak="0">
    <w:nsid w:val="7B386343"/>
    <w:multiLevelType w:val="hybridMultilevel"/>
    <w:tmpl w:val="D7CC42F4"/>
    <w:lvl w:ilvl="0" w:tplc="F126EE3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C46EA2"/>
    <w:multiLevelType w:val="hybridMultilevel"/>
    <w:tmpl w:val="843EBF76"/>
    <w:lvl w:ilvl="0" w:tplc="CE3202D0">
      <w:numFmt w:val="bullet"/>
      <w:lvlText w:val="–"/>
      <w:lvlJc w:val="left"/>
      <w:pPr>
        <w:ind w:left="1068" w:hanging="360"/>
      </w:pPr>
      <w:rPr>
        <w:rFonts w:ascii="Calibri" w:eastAsiaTheme="minorHAnsi" w:hAnsi="Calibri" w:cs="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7FDE493E"/>
    <w:multiLevelType w:val="hybridMultilevel"/>
    <w:tmpl w:val="208E4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5364198">
    <w:abstractNumId w:val="3"/>
  </w:num>
  <w:num w:numId="2" w16cid:durableId="1640497924">
    <w:abstractNumId w:val="8"/>
  </w:num>
  <w:num w:numId="3" w16cid:durableId="1691640882">
    <w:abstractNumId w:val="2"/>
  </w:num>
  <w:num w:numId="4" w16cid:durableId="212430313">
    <w:abstractNumId w:val="7"/>
  </w:num>
  <w:num w:numId="5" w16cid:durableId="1242134266">
    <w:abstractNumId w:val="19"/>
  </w:num>
  <w:num w:numId="6" w16cid:durableId="598877069">
    <w:abstractNumId w:val="15"/>
  </w:num>
  <w:num w:numId="7" w16cid:durableId="302123154">
    <w:abstractNumId w:val="9"/>
  </w:num>
  <w:num w:numId="8" w16cid:durableId="2053191328">
    <w:abstractNumId w:val="10"/>
  </w:num>
  <w:num w:numId="9" w16cid:durableId="198933458">
    <w:abstractNumId w:val="4"/>
  </w:num>
  <w:num w:numId="10" w16cid:durableId="1197700539">
    <w:abstractNumId w:val="24"/>
  </w:num>
  <w:num w:numId="11" w16cid:durableId="1730228974">
    <w:abstractNumId w:val="6"/>
  </w:num>
  <w:num w:numId="12" w16cid:durableId="562179167">
    <w:abstractNumId w:val="22"/>
  </w:num>
  <w:num w:numId="13" w16cid:durableId="539560758">
    <w:abstractNumId w:val="18"/>
  </w:num>
  <w:num w:numId="14" w16cid:durableId="1003125677">
    <w:abstractNumId w:val="5"/>
  </w:num>
  <w:num w:numId="15" w16cid:durableId="273219678">
    <w:abstractNumId w:val="28"/>
  </w:num>
  <w:num w:numId="16" w16cid:durableId="846016988">
    <w:abstractNumId w:val="0"/>
  </w:num>
  <w:num w:numId="17" w16cid:durableId="899023469">
    <w:abstractNumId w:val="20"/>
  </w:num>
  <w:num w:numId="18" w16cid:durableId="1159077202">
    <w:abstractNumId w:val="27"/>
  </w:num>
  <w:num w:numId="19" w16cid:durableId="2058506384">
    <w:abstractNumId w:val="25"/>
  </w:num>
  <w:num w:numId="20" w16cid:durableId="1689141704">
    <w:abstractNumId w:val="16"/>
  </w:num>
  <w:num w:numId="21" w16cid:durableId="350028767">
    <w:abstractNumId w:val="14"/>
  </w:num>
  <w:num w:numId="22" w16cid:durableId="1545675915">
    <w:abstractNumId w:val="17"/>
  </w:num>
  <w:num w:numId="23" w16cid:durableId="334382582">
    <w:abstractNumId w:val="11"/>
  </w:num>
  <w:num w:numId="24" w16cid:durableId="625476996">
    <w:abstractNumId w:val="26"/>
  </w:num>
  <w:num w:numId="25" w16cid:durableId="189534870">
    <w:abstractNumId w:val="13"/>
  </w:num>
  <w:num w:numId="26" w16cid:durableId="1540240215">
    <w:abstractNumId w:val="12"/>
  </w:num>
  <w:num w:numId="27" w16cid:durableId="1970282347">
    <w:abstractNumId w:val="29"/>
  </w:num>
  <w:num w:numId="28" w16cid:durableId="1829982552">
    <w:abstractNumId w:val="21"/>
  </w:num>
  <w:num w:numId="29" w16cid:durableId="178475897">
    <w:abstractNumId w:val="1"/>
  </w:num>
  <w:num w:numId="30" w16cid:durableId="5895809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83"/>
    <w:rsid w:val="00000487"/>
    <w:rsid w:val="00000CC4"/>
    <w:rsid w:val="00002A24"/>
    <w:rsid w:val="0000318F"/>
    <w:rsid w:val="00003B82"/>
    <w:rsid w:val="00003D3E"/>
    <w:rsid w:val="00006CDB"/>
    <w:rsid w:val="00006FE5"/>
    <w:rsid w:val="00011400"/>
    <w:rsid w:val="00012ADE"/>
    <w:rsid w:val="0001388A"/>
    <w:rsid w:val="00014321"/>
    <w:rsid w:val="000150D9"/>
    <w:rsid w:val="00016022"/>
    <w:rsid w:val="000162C6"/>
    <w:rsid w:val="00017222"/>
    <w:rsid w:val="00020022"/>
    <w:rsid w:val="00020712"/>
    <w:rsid w:val="00020DE3"/>
    <w:rsid w:val="0002313C"/>
    <w:rsid w:val="00024042"/>
    <w:rsid w:val="00024CFF"/>
    <w:rsid w:val="000262BF"/>
    <w:rsid w:val="00027862"/>
    <w:rsid w:val="00032420"/>
    <w:rsid w:val="00033114"/>
    <w:rsid w:val="000333E8"/>
    <w:rsid w:val="00033E0B"/>
    <w:rsid w:val="00037523"/>
    <w:rsid w:val="00037533"/>
    <w:rsid w:val="00037F02"/>
    <w:rsid w:val="00041E70"/>
    <w:rsid w:val="00042542"/>
    <w:rsid w:val="00043D4E"/>
    <w:rsid w:val="0004767E"/>
    <w:rsid w:val="000479C9"/>
    <w:rsid w:val="00047C56"/>
    <w:rsid w:val="00050965"/>
    <w:rsid w:val="00050AC0"/>
    <w:rsid w:val="0005186A"/>
    <w:rsid w:val="0005364E"/>
    <w:rsid w:val="00057247"/>
    <w:rsid w:val="00057760"/>
    <w:rsid w:val="00057770"/>
    <w:rsid w:val="00060D28"/>
    <w:rsid w:val="00062897"/>
    <w:rsid w:val="00062CB7"/>
    <w:rsid w:val="00065620"/>
    <w:rsid w:val="0007025E"/>
    <w:rsid w:val="000712B8"/>
    <w:rsid w:val="000740C0"/>
    <w:rsid w:val="00074B2F"/>
    <w:rsid w:val="00074D96"/>
    <w:rsid w:val="00074FCA"/>
    <w:rsid w:val="0007675A"/>
    <w:rsid w:val="00076842"/>
    <w:rsid w:val="00081833"/>
    <w:rsid w:val="00083628"/>
    <w:rsid w:val="000836F5"/>
    <w:rsid w:val="000842CF"/>
    <w:rsid w:val="0008472D"/>
    <w:rsid w:val="00087A92"/>
    <w:rsid w:val="00087B48"/>
    <w:rsid w:val="00090716"/>
    <w:rsid w:val="0009149A"/>
    <w:rsid w:val="00091C61"/>
    <w:rsid w:val="00092AE4"/>
    <w:rsid w:val="00093261"/>
    <w:rsid w:val="00094581"/>
    <w:rsid w:val="000946E5"/>
    <w:rsid w:val="00095C13"/>
    <w:rsid w:val="000A0166"/>
    <w:rsid w:val="000A0947"/>
    <w:rsid w:val="000A1EF5"/>
    <w:rsid w:val="000A4933"/>
    <w:rsid w:val="000A6732"/>
    <w:rsid w:val="000B0065"/>
    <w:rsid w:val="000B1C7B"/>
    <w:rsid w:val="000B4C98"/>
    <w:rsid w:val="000B51CC"/>
    <w:rsid w:val="000B6232"/>
    <w:rsid w:val="000C61C9"/>
    <w:rsid w:val="000C655A"/>
    <w:rsid w:val="000C66AA"/>
    <w:rsid w:val="000C7374"/>
    <w:rsid w:val="000D07A0"/>
    <w:rsid w:val="000D117D"/>
    <w:rsid w:val="000D1D6A"/>
    <w:rsid w:val="000D258C"/>
    <w:rsid w:val="000D2AC0"/>
    <w:rsid w:val="000D447C"/>
    <w:rsid w:val="000D4782"/>
    <w:rsid w:val="000D70F4"/>
    <w:rsid w:val="000E01CB"/>
    <w:rsid w:val="000E1188"/>
    <w:rsid w:val="000E21BD"/>
    <w:rsid w:val="000E249D"/>
    <w:rsid w:val="000E3CF0"/>
    <w:rsid w:val="000E52D2"/>
    <w:rsid w:val="000E60D7"/>
    <w:rsid w:val="000E6589"/>
    <w:rsid w:val="000E70A3"/>
    <w:rsid w:val="000E75E8"/>
    <w:rsid w:val="000F0FF8"/>
    <w:rsid w:val="000F16CD"/>
    <w:rsid w:val="000F31B8"/>
    <w:rsid w:val="000F4553"/>
    <w:rsid w:val="000F45F9"/>
    <w:rsid w:val="000F70D8"/>
    <w:rsid w:val="000F7338"/>
    <w:rsid w:val="000F7558"/>
    <w:rsid w:val="000F7EC6"/>
    <w:rsid w:val="00101FE8"/>
    <w:rsid w:val="00102F9A"/>
    <w:rsid w:val="001058C4"/>
    <w:rsid w:val="00106E9F"/>
    <w:rsid w:val="001109CA"/>
    <w:rsid w:val="00110B0F"/>
    <w:rsid w:val="00112FEE"/>
    <w:rsid w:val="001137FC"/>
    <w:rsid w:val="00113DC7"/>
    <w:rsid w:val="00115E8D"/>
    <w:rsid w:val="001168DC"/>
    <w:rsid w:val="00120577"/>
    <w:rsid w:val="001215FD"/>
    <w:rsid w:val="001231CA"/>
    <w:rsid w:val="00123971"/>
    <w:rsid w:val="0012764B"/>
    <w:rsid w:val="00130D7C"/>
    <w:rsid w:val="001331B0"/>
    <w:rsid w:val="00134144"/>
    <w:rsid w:val="001376D4"/>
    <w:rsid w:val="00137D9C"/>
    <w:rsid w:val="00137E87"/>
    <w:rsid w:val="00140815"/>
    <w:rsid w:val="001408EB"/>
    <w:rsid w:val="00140D8E"/>
    <w:rsid w:val="00141FA2"/>
    <w:rsid w:val="001444F8"/>
    <w:rsid w:val="00145098"/>
    <w:rsid w:val="00146B67"/>
    <w:rsid w:val="00150EE8"/>
    <w:rsid w:val="0015234C"/>
    <w:rsid w:val="001526E5"/>
    <w:rsid w:val="001528DC"/>
    <w:rsid w:val="00153A3A"/>
    <w:rsid w:val="001542B7"/>
    <w:rsid w:val="00155509"/>
    <w:rsid w:val="00156E1B"/>
    <w:rsid w:val="00161450"/>
    <w:rsid w:val="00161A36"/>
    <w:rsid w:val="00161C12"/>
    <w:rsid w:val="00162F99"/>
    <w:rsid w:val="00165CB1"/>
    <w:rsid w:val="001672C9"/>
    <w:rsid w:val="0016742A"/>
    <w:rsid w:val="00172077"/>
    <w:rsid w:val="001753CB"/>
    <w:rsid w:val="001770E2"/>
    <w:rsid w:val="00177343"/>
    <w:rsid w:val="0017735D"/>
    <w:rsid w:val="0018236C"/>
    <w:rsid w:val="001825BD"/>
    <w:rsid w:val="00183D66"/>
    <w:rsid w:val="00184146"/>
    <w:rsid w:val="00184926"/>
    <w:rsid w:val="0018524C"/>
    <w:rsid w:val="0018598E"/>
    <w:rsid w:val="001875E7"/>
    <w:rsid w:val="00187C2A"/>
    <w:rsid w:val="001914C3"/>
    <w:rsid w:val="001934AD"/>
    <w:rsid w:val="001947EB"/>
    <w:rsid w:val="00194F5B"/>
    <w:rsid w:val="00195066"/>
    <w:rsid w:val="0019711F"/>
    <w:rsid w:val="001A01FC"/>
    <w:rsid w:val="001A03FA"/>
    <w:rsid w:val="001A1029"/>
    <w:rsid w:val="001A3DDE"/>
    <w:rsid w:val="001A52B9"/>
    <w:rsid w:val="001A6E91"/>
    <w:rsid w:val="001A79F1"/>
    <w:rsid w:val="001A79FF"/>
    <w:rsid w:val="001B104D"/>
    <w:rsid w:val="001B3BEF"/>
    <w:rsid w:val="001B52AB"/>
    <w:rsid w:val="001B595B"/>
    <w:rsid w:val="001B629B"/>
    <w:rsid w:val="001B662E"/>
    <w:rsid w:val="001B71BF"/>
    <w:rsid w:val="001B7E82"/>
    <w:rsid w:val="001C17E7"/>
    <w:rsid w:val="001C2973"/>
    <w:rsid w:val="001C2FB7"/>
    <w:rsid w:val="001C6B8E"/>
    <w:rsid w:val="001C6BB5"/>
    <w:rsid w:val="001D09C5"/>
    <w:rsid w:val="001D19AA"/>
    <w:rsid w:val="001D2A04"/>
    <w:rsid w:val="001D60AF"/>
    <w:rsid w:val="001D6488"/>
    <w:rsid w:val="001E00B7"/>
    <w:rsid w:val="001E023A"/>
    <w:rsid w:val="001E11A9"/>
    <w:rsid w:val="001E2145"/>
    <w:rsid w:val="001E22F1"/>
    <w:rsid w:val="001E2456"/>
    <w:rsid w:val="001E3AC0"/>
    <w:rsid w:val="001E4034"/>
    <w:rsid w:val="001E67B5"/>
    <w:rsid w:val="001E6A7D"/>
    <w:rsid w:val="001F1279"/>
    <w:rsid w:val="001F4DB1"/>
    <w:rsid w:val="001F67B0"/>
    <w:rsid w:val="001F7731"/>
    <w:rsid w:val="0020318D"/>
    <w:rsid w:val="00204CF5"/>
    <w:rsid w:val="0020504F"/>
    <w:rsid w:val="0020677E"/>
    <w:rsid w:val="002104E0"/>
    <w:rsid w:val="00210F0A"/>
    <w:rsid w:val="00210FEE"/>
    <w:rsid w:val="00211A99"/>
    <w:rsid w:val="00212D51"/>
    <w:rsid w:val="002134E2"/>
    <w:rsid w:val="0021415D"/>
    <w:rsid w:val="00214607"/>
    <w:rsid w:val="00216162"/>
    <w:rsid w:val="00221033"/>
    <w:rsid w:val="00221A5A"/>
    <w:rsid w:val="002244FF"/>
    <w:rsid w:val="00226F2E"/>
    <w:rsid w:val="00227BB7"/>
    <w:rsid w:val="0023016D"/>
    <w:rsid w:val="00232A93"/>
    <w:rsid w:val="00235F5D"/>
    <w:rsid w:val="00240178"/>
    <w:rsid w:val="002421E9"/>
    <w:rsid w:val="00242942"/>
    <w:rsid w:val="002431FA"/>
    <w:rsid w:val="002440C8"/>
    <w:rsid w:val="002444E0"/>
    <w:rsid w:val="00244810"/>
    <w:rsid w:val="00250C88"/>
    <w:rsid w:val="00251940"/>
    <w:rsid w:val="00251FC5"/>
    <w:rsid w:val="00252095"/>
    <w:rsid w:val="002531AD"/>
    <w:rsid w:val="00255C9C"/>
    <w:rsid w:val="002572CD"/>
    <w:rsid w:val="0025743B"/>
    <w:rsid w:val="00260970"/>
    <w:rsid w:val="00261F6F"/>
    <w:rsid w:val="00262543"/>
    <w:rsid w:val="002635EE"/>
    <w:rsid w:val="002640A8"/>
    <w:rsid w:val="002655F9"/>
    <w:rsid w:val="002660E5"/>
    <w:rsid w:val="00267495"/>
    <w:rsid w:val="00270E43"/>
    <w:rsid w:val="00271AF2"/>
    <w:rsid w:val="0027419B"/>
    <w:rsid w:val="002742D8"/>
    <w:rsid w:val="00275AF2"/>
    <w:rsid w:val="00280FEB"/>
    <w:rsid w:val="002815BC"/>
    <w:rsid w:val="00282046"/>
    <w:rsid w:val="002823FB"/>
    <w:rsid w:val="00282B30"/>
    <w:rsid w:val="002846AF"/>
    <w:rsid w:val="002856DF"/>
    <w:rsid w:val="00287F49"/>
    <w:rsid w:val="00290A9E"/>
    <w:rsid w:val="0029152C"/>
    <w:rsid w:val="002919F5"/>
    <w:rsid w:val="00291D39"/>
    <w:rsid w:val="00292A0D"/>
    <w:rsid w:val="002935A5"/>
    <w:rsid w:val="0029415F"/>
    <w:rsid w:val="002943F4"/>
    <w:rsid w:val="002960C9"/>
    <w:rsid w:val="0029738B"/>
    <w:rsid w:val="0029750C"/>
    <w:rsid w:val="00297D4C"/>
    <w:rsid w:val="002A0050"/>
    <w:rsid w:val="002A0559"/>
    <w:rsid w:val="002A15EE"/>
    <w:rsid w:val="002A4977"/>
    <w:rsid w:val="002A4FBE"/>
    <w:rsid w:val="002A53A6"/>
    <w:rsid w:val="002A6821"/>
    <w:rsid w:val="002B2269"/>
    <w:rsid w:val="002B2881"/>
    <w:rsid w:val="002B3D92"/>
    <w:rsid w:val="002B4142"/>
    <w:rsid w:val="002B4246"/>
    <w:rsid w:val="002B65DC"/>
    <w:rsid w:val="002B7104"/>
    <w:rsid w:val="002C1D6D"/>
    <w:rsid w:val="002C2204"/>
    <w:rsid w:val="002C2469"/>
    <w:rsid w:val="002C29D5"/>
    <w:rsid w:val="002C32D6"/>
    <w:rsid w:val="002C6D7D"/>
    <w:rsid w:val="002D17E2"/>
    <w:rsid w:val="002D33C3"/>
    <w:rsid w:val="002D382F"/>
    <w:rsid w:val="002D3D4E"/>
    <w:rsid w:val="002D44D2"/>
    <w:rsid w:val="002D4BCC"/>
    <w:rsid w:val="002D5DE0"/>
    <w:rsid w:val="002E03B7"/>
    <w:rsid w:val="002E11E2"/>
    <w:rsid w:val="002E4A28"/>
    <w:rsid w:val="002E5150"/>
    <w:rsid w:val="002E7833"/>
    <w:rsid w:val="002F096D"/>
    <w:rsid w:val="002F4638"/>
    <w:rsid w:val="002F5E6B"/>
    <w:rsid w:val="002F60A4"/>
    <w:rsid w:val="0030106A"/>
    <w:rsid w:val="00301950"/>
    <w:rsid w:val="00301F97"/>
    <w:rsid w:val="00302DA1"/>
    <w:rsid w:val="00303987"/>
    <w:rsid w:val="00303D96"/>
    <w:rsid w:val="00304CD6"/>
    <w:rsid w:val="00306EC9"/>
    <w:rsid w:val="00307BE9"/>
    <w:rsid w:val="00307FE5"/>
    <w:rsid w:val="003100EA"/>
    <w:rsid w:val="00310D86"/>
    <w:rsid w:val="0031286A"/>
    <w:rsid w:val="00313D17"/>
    <w:rsid w:val="003140B0"/>
    <w:rsid w:val="00314B53"/>
    <w:rsid w:val="0031731A"/>
    <w:rsid w:val="00320BF9"/>
    <w:rsid w:val="003223C0"/>
    <w:rsid w:val="0032347A"/>
    <w:rsid w:val="00325F61"/>
    <w:rsid w:val="00326F4C"/>
    <w:rsid w:val="00327669"/>
    <w:rsid w:val="00327846"/>
    <w:rsid w:val="003300A4"/>
    <w:rsid w:val="00330643"/>
    <w:rsid w:val="00331533"/>
    <w:rsid w:val="0033199C"/>
    <w:rsid w:val="00332BE2"/>
    <w:rsid w:val="00332C8B"/>
    <w:rsid w:val="00333446"/>
    <w:rsid w:val="00334167"/>
    <w:rsid w:val="0033442B"/>
    <w:rsid w:val="003350D7"/>
    <w:rsid w:val="00335B70"/>
    <w:rsid w:val="00336CC0"/>
    <w:rsid w:val="00341068"/>
    <w:rsid w:val="00342727"/>
    <w:rsid w:val="0034475E"/>
    <w:rsid w:val="00344B28"/>
    <w:rsid w:val="00344D23"/>
    <w:rsid w:val="00347ED9"/>
    <w:rsid w:val="003538AB"/>
    <w:rsid w:val="00354767"/>
    <w:rsid w:val="003548F2"/>
    <w:rsid w:val="00355392"/>
    <w:rsid w:val="003554C1"/>
    <w:rsid w:val="00355B1B"/>
    <w:rsid w:val="00355DB0"/>
    <w:rsid w:val="0035600C"/>
    <w:rsid w:val="0036028F"/>
    <w:rsid w:val="00361C5B"/>
    <w:rsid w:val="0036270D"/>
    <w:rsid w:val="00363D4F"/>
    <w:rsid w:val="00363F62"/>
    <w:rsid w:val="00364A36"/>
    <w:rsid w:val="003673D2"/>
    <w:rsid w:val="00370343"/>
    <w:rsid w:val="00371846"/>
    <w:rsid w:val="0037281E"/>
    <w:rsid w:val="003737BF"/>
    <w:rsid w:val="0037510D"/>
    <w:rsid w:val="00375F16"/>
    <w:rsid w:val="0037782A"/>
    <w:rsid w:val="00377912"/>
    <w:rsid w:val="00381ED7"/>
    <w:rsid w:val="003852A3"/>
    <w:rsid w:val="003874E8"/>
    <w:rsid w:val="00390226"/>
    <w:rsid w:val="0039028E"/>
    <w:rsid w:val="003905FD"/>
    <w:rsid w:val="00392BBF"/>
    <w:rsid w:val="003A7DCC"/>
    <w:rsid w:val="003B0A63"/>
    <w:rsid w:val="003B18D8"/>
    <w:rsid w:val="003B2F76"/>
    <w:rsid w:val="003B37DA"/>
    <w:rsid w:val="003B3F66"/>
    <w:rsid w:val="003B450E"/>
    <w:rsid w:val="003B6142"/>
    <w:rsid w:val="003C0234"/>
    <w:rsid w:val="003C228C"/>
    <w:rsid w:val="003C2EF7"/>
    <w:rsid w:val="003C404B"/>
    <w:rsid w:val="003C4CD3"/>
    <w:rsid w:val="003C601C"/>
    <w:rsid w:val="003D422F"/>
    <w:rsid w:val="003D4474"/>
    <w:rsid w:val="003D597F"/>
    <w:rsid w:val="003E0AC9"/>
    <w:rsid w:val="003E0D1B"/>
    <w:rsid w:val="003E1F3E"/>
    <w:rsid w:val="003E25F2"/>
    <w:rsid w:val="003E677F"/>
    <w:rsid w:val="003E7157"/>
    <w:rsid w:val="003F1A56"/>
    <w:rsid w:val="003F49F7"/>
    <w:rsid w:val="003F4BE9"/>
    <w:rsid w:val="003F6055"/>
    <w:rsid w:val="003F6FF9"/>
    <w:rsid w:val="00401607"/>
    <w:rsid w:val="00402078"/>
    <w:rsid w:val="004031DB"/>
    <w:rsid w:val="004058DC"/>
    <w:rsid w:val="00407D67"/>
    <w:rsid w:val="004100BA"/>
    <w:rsid w:val="00413E14"/>
    <w:rsid w:val="00414BA4"/>
    <w:rsid w:val="0042078A"/>
    <w:rsid w:val="00420F79"/>
    <w:rsid w:val="00424EB6"/>
    <w:rsid w:val="00425368"/>
    <w:rsid w:val="004300AC"/>
    <w:rsid w:val="004325F7"/>
    <w:rsid w:val="0043450D"/>
    <w:rsid w:val="00435019"/>
    <w:rsid w:val="00436357"/>
    <w:rsid w:val="00437339"/>
    <w:rsid w:val="00442294"/>
    <w:rsid w:val="00442295"/>
    <w:rsid w:val="00444C6E"/>
    <w:rsid w:val="0045059B"/>
    <w:rsid w:val="00451A19"/>
    <w:rsid w:val="00453368"/>
    <w:rsid w:val="00453BE3"/>
    <w:rsid w:val="00453F2E"/>
    <w:rsid w:val="00454F9C"/>
    <w:rsid w:val="0045506C"/>
    <w:rsid w:val="00455A65"/>
    <w:rsid w:val="004563A8"/>
    <w:rsid w:val="00457244"/>
    <w:rsid w:val="00457506"/>
    <w:rsid w:val="00457B4F"/>
    <w:rsid w:val="0046545D"/>
    <w:rsid w:val="00465922"/>
    <w:rsid w:val="0047105E"/>
    <w:rsid w:val="0047213D"/>
    <w:rsid w:val="0047242F"/>
    <w:rsid w:val="0047346B"/>
    <w:rsid w:val="0047359A"/>
    <w:rsid w:val="00474586"/>
    <w:rsid w:val="00481DC9"/>
    <w:rsid w:val="00482E1C"/>
    <w:rsid w:val="0048588A"/>
    <w:rsid w:val="00490C89"/>
    <w:rsid w:val="00496843"/>
    <w:rsid w:val="004A059D"/>
    <w:rsid w:val="004A5A2C"/>
    <w:rsid w:val="004A5F8F"/>
    <w:rsid w:val="004A6AA2"/>
    <w:rsid w:val="004B154E"/>
    <w:rsid w:val="004B19C9"/>
    <w:rsid w:val="004B214B"/>
    <w:rsid w:val="004B25DF"/>
    <w:rsid w:val="004B2C0B"/>
    <w:rsid w:val="004B2C51"/>
    <w:rsid w:val="004B4FCD"/>
    <w:rsid w:val="004B5A96"/>
    <w:rsid w:val="004B5FBC"/>
    <w:rsid w:val="004B6728"/>
    <w:rsid w:val="004C02A4"/>
    <w:rsid w:val="004C0CDA"/>
    <w:rsid w:val="004C27D9"/>
    <w:rsid w:val="004C2CD8"/>
    <w:rsid w:val="004C3AAE"/>
    <w:rsid w:val="004C3DBB"/>
    <w:rsid w:val="004D26B7"/>
    <w:rsid w:val="004D5720"/>
    <w:rsid w:val="004D61E0"/>
    <w:rsid w:val="004D6F4B"/>
    <w:rsid w:val="004D7512"/>
    <w:rsid w:val="004E3074"/>
    <w:rsid w:val="004E49E1"/>
    <w:rsid w:val="004E4DC1"/>
    <w:rsid w:val="004E717B"/>
    <w:rsid w:val="004F022D"/>
    <w:rsid w:val="004F02D9"/>
    <w:rsid w:val="004F2054"/>
    <w:rsid w:val="004F2C12"/>
    <w:rsid w:val="004F534C"/>
    <w:rsid w:val="004F7984"/>
    <w:rsid w:val="004F7F1C"/>
    <w:rsid w:val="00500128"/>
    <w:rsid w:val="00503653"/>
    <w:rsid w:val="005037DE"/>
    <w:rsid w:val="0050654C"/>
    <w:rsid w:val="00511BD4"/>
    <w:rsid w:val="005146CC"/>
    <w:rsid w:val="0051645D"/>
    <w:rsid w:val="00516BF7"/>
    <w:rsid w:val="005179CF"/>
    <w:rsid w:val="005238C3"/>
    <w:rsid w:val="0052460D"/>
    <w:rsid w:val="005252E0"/>
    <w:rsid w:val="00525766"/>
    <w:rsid w:val="00527211"/>
    <w:rsid w:val="0053079D"/>
    <w:rsid w:val="00530E29"/>
    <w:rsid w:val="00530FD7"/>
    <w:rsid w:val="0053655A"/>
    <w:rsid w:val="00536D1E"/>
    <w:rsid w:val="00542328"/>
    <w:rsid w:val="00542C12"/>
    <w:rsid w:val="0054595C"/>
    <w:rsid w:val="005468BF"/>
    <w:rsid w:val="00546BD4"/>
    <w:rsid w:val="00547306"/>
    <w:rsid w:val="005478B6"/>
    <w:rsid w:val="00547F27"/>
    <w:rsid w:val="00553CD7"/>
    <w:rsid w:val="00556448"/>
    <w:rsid w:val="0056015A"/>
    <w:rsid w:val="00560A6F"/>
    <w:rsid w:val="00561329"/>
    <w:rsid w:val="00561C14"/>
    <w:rsid w:val="0056240F"/>
    <w:rsid w:val="00562F79"/>
    <w:rsid w:val="00564437"/>
    <w:rsid w:val="005652E7"/>
    <w:rsid w:val="00566CF3"/>
    <w:rsid w:val="00574DAD"/>
    <w:rsid w:val="00586F12"/>
    <w:rsid w:val="005915AD"/>
    <w:rsid w:val="00591605"/>
    <w:rsid w:val="00594F38"/>
    <w:rsid w:val="005951AF"/>
    <w:rsid w:val="005955C9"/>
    <w:rsid w:val="00597AE2"/>
    <w:rsid w:val="005A29D0"/>
    <w:rsid w:val="005A38A4"/>
    <w:rsid w:val="005A43CF"/>
    <w:rsid w:val="005A5D1D"/>
    <w:rsid w:val="005A7431"/>
    <w:rsid w:val="005A74BC"/>
    <w:rsid w:val="005A7E33"/>
    <w:rsid w:val="005B0552"/>
    <w:rsid w:val="005B1419"/>
    <w:rsid w:val="005B1E49"/>
    <w:rsid w:val="005B27B6"/>
    <w:rsid w:val="005B5F9F"/>
    <w:rsid w:val="005B784A"/>
    <w:rsid w:val="005C1615"/>
    <w:rsid w:val="005C47D1"/>
    <w:rsid w:val="005C5EBA"/>
    <w:rsid w:val="005D0B4C"/>
    <w:rsid w:val="005D3480"/>
    <w:rsid w:val="005D4772"/>
    <w:rsid w:val="005D5CE8"/>
    <w:rsid w:val="005E2A1A"/>
    <w:rsid w:val="005E36CA"/>
    <w:rsid w:val="005E40DC"/>
    <w:rsid w:val="005E4C6E"/>
    <w:rsid w:val="005E69A0"/>
    <w:rsid w:val="005E6B6E"/>
    <w:rsid w:val="005E6DD3"/>
    <w:rsid w:val="005E78AC"/>
    <w:rsid w:val="005F16F1"/>
    <w:rsid w:val="005F24C7"/>
    <w:rsid w:val="005F45B0"/>
    <w:rsid w:val="005F4AD3"/>
    <w:rsid w:val="005F5A72"/>
    <w:rsid w:val="005F735E"/>
    <w:rsid w:val="005F7535"/>
    <w:rsid w:val="00600086"/>
    <w:rsid w:val="006013FC"/>
    <w:rsid w:val="0060401E"/>
    <w:rsid w:val="006068C7"/>
    <w:rsid w:val="00610D95"/>
    <w:rsid w:val="0061222A"/>
    <w:rsid w:val="006125D4"/>
    <w:rsid w:val="0061423B"/>
    <w:rsid w:val="00615BEE"/>
    <w:rsid w:val="00616D90"/>
    <w:rsid w:val="00617833"/>
    <w:rsid w:val="0062159E"/>
    <w:rsid w:val="00621EEA"/>
    <w:rsid w:val="00624A72"/>
    <w:rsid w:val="00626FCF"/>
    <w:rsid w:val="006309AC"/>
    <w:rsid w:val="00630C2A"/>
    <w:rsid w:val="00630E0C"/>
    <w:rsid w:val="006314E9"/>
    <w:rsid w:val="00633318"/>
    <w:rsid w:val="00641732"/>
    <w:rsid w:val="006424AD"/>
    <w:rsid w:val="006465C6"/>
    <w:rsid w:val="00647585"/>
    <w:rsid w:val="00647A56"/>
    <w:rsid w:val="0065324A"/>
    <w:rsid w:val="00655F7E"/>
    <w:rsid w:val="00656E98"/>
    <w:rsid w:val="0066041E"/>
    <w:rsid w:val="00660F95"/>
    <w:rsid w:val="006611B9"/>
    <w:rsid w:val="00663375"/>
    <w:rsid w:val="00663591"/>
    <w:rsid w:val="006646E2"/>
    <w:rsid w:val="00664768"/>
    <w:rsid w:val="00666EF5"/>
    <w:rsid w:val="0067305F"/>
    <w:rsid w:val="006775E1"/>
    <w:rsid w:val="006805E2"/>
    <w:rsid w:val="00680857"/>
    <w:rsid w:val="00682202"/>
    <w:rsid w:val="0068261B"/>
    <w:rsid w:val="00692E02"/>
    <w:rsid w:val="00692FA1"/>
    <w:rsid w:val="00693C80"/>
    <w:rsid w:val="00696177"/>
    <w:rsid w:val="006A03F2"/>
    <w:rsid w:val="006A0AE0"/>
    <w:rsid w:val="006A0B44"/>
    <w:rsid w:val="006A18F3"/>
    <w:rsid w:val="006A1F47"/>
    <w:rsid w:val="006A25C9"/>
    <w:rsid w:val="006A2801"/>
    <w:rsid w:val="006A5878"/>
    <w:rsid w:val="006A5BE0"/>
    <w:rsid w:val="006A65B4"/>
    <w:rsid w:val="006A7D54"/>
    <w:rsid w:val="006B0072"/>
    <w:rsid w:val="006B2586"/>
    <w:rsid w:val="006B3DBC"/>
    <w:rsid w:val="006B3F78"/>
    <w:rsid w:val="006B42D8"/>
    <w:rsid w:val="006B5D3D"/>
    <w:rsid w:val="006B684C"/>
    <w:rsid w:val="006C4291"/>
    <w:rsid w:val="006C5BB0"/>
    <w:rsid w:val="006C7A54"/>
    <w:rsid w:val="006C7FBB"/>
    <w:rsid w:val="006D14C1"/>
    <w:rsid w:val="006D1D5D"/>
    <w:rsid w:val="006D3977"/>
    <w:rsid w:val="006D449A"/>
    <w:rsid w:val="006D7894"/>
    <w:rsid w:val="006E08C1"/>
    <w:rsid w:val="006E1D88"/>
    <w:rsid w:val="006E4812"/>
    <w:rsid w:val="006F050B"/>
    <w:rsid w:val="006F0E77"/>
    <w:rsid w:val="006F3B5E"/>
    <w:rsid w:val="007026F5"/>
    <w:rsid w:val="00704064"/>
    <w:rsid w:val="00707211"/>
    <w:rsid w:val="0071150C"/>
    <w:rsid w:val="0071231D"/>
    <w:rsid w:val="00714A0D"/>
    <w:rsid w:val="0071644F"/>
    <w:rsid w:val="00716797"/>
    <w:rsid w:val="00716DF6"/>
    <w:rsid w:val="00717939"/>
    <w:rsid w:val="007207C5"/>
    <w:rsid w:val="00720B74"/>
    <w:rsid w:val="007252CC"/>
    <w:rsid w:val="0072556F"/>
    <w:rsid w:val="00725EF6"/>
    <w:rsid w:val="00726793"/>
    <w:rsid w:val="0073122B"/>
    <w:rsid w:val="00731912"/>
    <w:rsid w:val="00737C50"/>
    <w:rsid w:val="00740035"/>
    <w:rsid w:val="007401E1"/>
    <w:rsid w:val="00740AC2"/>
    <w:rsid w:val="00741C74"/>
    <w:rsid w:val="00742D4C"/>
    <w:rsid w:val="00744148"/>
    <w:rsid w:val="007444D9"/>
    <w:rsid w:val="0074678F"/>
    <w:rsid w:val="007524E3"/>
    <w:rsid w:val="00753E43"/>
    <w:rsid w:val="007554D0"/>
    <w:rsid w:val="00760A88"/>
    <w:rsid w:val="00760B39"/>
    <w:rsid w:val="007612E3"/>
    <w:rsid w:val="00763187"/>
    <w:rsid w:val="00764F83"/>
    <w:rsid w:val="00766602"/>
    <w:rsid w:val="0076680D"/>
    <w:rsid w:val="00770643"/>
    <w:rsid w:val="007712BC"/>
    <w:rsid w:val="00772A02"/>
    <w:rsid w:val="00772C37"/>
    <w:rsid w:val="00773C55"/>
    <w:rsid w:val="00774F79"/>
    <w:rsid w:val="00775413"/>
    <w:rsid w:val="00777913"/>
    <w:rsid w:val="007806AB"/>
    <w:rsid w:val="00780CEC"/>
    <w:rsid w:val="007822D7"/>
    <w:rsid w:val="0078270B"/>
    <w:rsid w:val="007856F1"/>
    <w:rsid w:val="007909ED"/>
    <w:rsid w:val="00790C88"/>
    <w:rsid w:val="007928CC"/>
    <w:rsid w:val="0079670C"/>
    <w:rsid w:val="00796E23"/>
    <w:rsid w:val="007A0766"/>
    <w:rsid w:val="007A1106"/>
    <w:rsid w:val="007A2CBE"/>
    <w:rsid w:val="007A3069"/>
    <w:rsid w:val="007A552D"/>
    <w:rsid w:val="007A6ECF"/>
    <w:rsid w:val="007A7248"/>
    <w:rsid w:val="007B01A0"/>
    <w:rsid w:val="007B135B"/>
    <w:rsid w:val="007B2BB5"/>
    <w:rsid w:val="007B612C"/>
    <w:rsid w:val="007B6844"/>
    <w:rsid w:val="007B7575"/>
    <w:rsid w:val="007B7657"/>
    <w:rsid w:val="007C1670"/>
    <w:rsid w:val="007C2295"/>
    <w:rsid w:val="007C287D"/>
    <w:rsid w:val="007C6633"/>
    <w:rsid w:val="007C7122"/>
    <w:rsid w:val="007C75AD"/>
    <w:rsid w:val="007C77A3"/>
    <w:rsid w:val="007D1E32"/>
    <w:rsid w:val="007D2200"/>
    <w:rsid w:val="007D3871"/>
    <w:rsid w:val="007D3D17"/>
    <w:rsid w:val="007D44EF"/>
    <w:rsid w:val="007D5E14"/>
    <w:rsid w:val="007D6358"/>
    <w:rsid w:val="007D6E80"/>
    <w:rsid w:val="007D71AE"/>
    <w:rsid w:val="007E0D17"/>
    <w:rsid w:val="007E1AB4"/>
    <w:rsid w:val="007E46C2"/>
    <w:rsid w:val="007E523C"/>
    <w:rsid w:val="007E7189"/>
    <w:rsid w:val="007F0B54"/>
    <w:rsid w:val="007F340B"/>
    <w:rsid w:val="007F3BCF"/>
    <w:rsid w:val="007F4362"/>
    <w:rsid w:val="007F5326"/>
    <w:rsid w:val="007F7527"/>
    <w:rsid w:val="0080296B"/>
    <w:rsid w:val="00804F2A"/>
    <w:rsid w:val="00806A7E"/>
    <w:rsid w:val="00807E71"/>
    <w:rsid w:val="008125E8"/>
    <w:rsid w:val="00814B5F"/>
    <w:rsid w:val="0081542C"/>
    <w:rsid w:val="008154F1"/>
    <w:rsid w:val="00816650"/>
    <w:rsid w:val="00817AFE"/>
    <w:rsid w:val="00821174"/>
    <w:rsid w:val="0082159C"/>
    <w:rsid w:val="008254F5"/>
    <w:rsid w:val="008265DF"/>
    <w:rsid w:val="008276C4"/>
    <w:rsid w:val="0083011D"/>
    <w:rsid w:val="00830679"/>
    <w:rsid w:val="00831539"/>
    <w:rsid w:val="00832459"/>
    <w:rsid w:val="00832820"/>
    <w:rsid w:val="008328B3"/>
    <w:rsid w:val="00834B3D"/>
    <w:rsid w:val="008352B1"/>
    <w:rsid w:val="00836FB6"/>
    <w:rsid w:val="00837655"/>
    <w:rsid w:val="0084035B"/>
    <w:rsid w:val="00840918"/>
    <w:rsid w:val="00841E1E"/>
    <w:rsid w:val="00842B17"/>
    <w:rsid w:val="00844EDE"/>
    <w:rsid w:val="008458FF"/>
    <w:rsid w:val="00845CB8"/>
    <w:rsid w:val="00845E04"/>
    <w:rsid w:val="0084636C"/>
    <w:rsid w:val="008504C7"/>
    <w:rsid w:val="00850B80"/>
    <w:rsid w:val="00850E7D"/>
    <w:rsid w:val="00850FAD"/>
    <w:rsid w:val="00855294"/>
    <w:rsid w:val="008573B3"/>
    <w:rsid w:val="00860D6C"/>
    <w:rsid w:val="008623AA"/>
    <w:rsid w:val="00862C2E"/>
    <w:rsid w:val="008643FB"/>
    <w:rsid w:val="00864789"/>
    <w:rsid w:val="00866414"/>
    <w:rsid w:val="00867035"/>
    <w:rsid w:val="00867C18"/>
    <w:rsid w:val="00871A91"/>
    <w:rsid w:val="00872190"/>
    <w:rsid w:val="00872485"/>
    <w:rsid w:val="0087394B"/>
    <w:rsid w:val="00876815"/>
    <w:rsid w:val="00877E8F"/>
    <w:rsid w:val="00881373"/>
    <w:rsid w:val="008817D0"/>
    <w:rsid w:val="008820A9"/>
    <w:rsid w:val="00884463"/>
    <w:rsid w:val="00887898"/>
    <w:rsid w:val="00893373"/>
    <w:rsid w:val="0089396D"/>
    <w:rsid w:val="00897B4E"/>
    <w:rsid w:val="008A27DD"/>
    <w:rsid w:val="008A29E4"/>
    <w:rsid w:val="008A365D"/>
    <w:rsid w:val="008A4D77"/>
    <w:rsid w:val="008A5014"/>
    <w:rsid w:val="008A5FEB"/>
    <w:rsid w:val="008A61F4"/>
    <w:rsid w:val="008A6E4E"/>
    <w:rsid w:val="008A7CD4"/>
    <w:rsid w:val="008B15A8"/>
    <w:rsid w:val="008B1EFF"/>
    <w:rsid w:val="008B5CB1"/>
    <w:rsid w:val="008B6557"/>
    <w:rsid w:val="008C07F5"/>
    <w:rsid w:val="008C1381"/>
    <w:rsid w:val="008C4611"/>
    <w:rsid w:val="008C48CA"/>
    <w:rsid w:val="008C57D4"/>
    <w:rsid w:val="008C60B6"/>
    <w:rsid w:val="008C750F"/>
    <w:rsid w:val="008C7A35"/>
    <w:rsid w:val="008C7A66"/>
    <w:rsid w:val="008D0888"/>
    <w:rsid w:val="008D0B0E"/>
    <w:rsid w:val="008D1E85"/>
    <w:rsid w:val="008D5DDB"/>
    <w:rsid w:val="008E1F2E"/>
    <w:rsid w:val="008E2C8E"/>
    <w:rsid w:val="008E48DF"/>
    <w:rsid w:val="008E4B07"/>
    <w:rsid w:val="008E6B92"/>
    <w:rsid w:val="008F06A6"/>
    <w:rsid w:val="008F18FF"/>
    <w:rsid w:val="008F2603"/>
    <w:rsid w:val="008F2E02"/>
    <w:rsid w:val="008F4504"/>
    <w:rsid w:val="008F7513"/>
    <w:rsid w:val="008F7884"/>
    <w:rsid w:val="00901CE7"/>
    <w:rsid w:val="009030C4"/>
    <w:rsid w:val="00903255"/>
    <w:rsid w:val="009046B6"/>
    <w:rsid w:val="00907007"/>
    <w:rsid w:val="00910C6E"/>
    <w:rsid w:val="00912ADC"/>
    <w:rsid w:val="009150F9"/>
    <w:rsid w:val="00917079"/>
    <w:rsid w:val="00921871"/>
    <w:rsid w:val="00921A4B"/>
    <w:rsid w:val="0092343D"/>
    <w:rsid w:val="0092461C"/>
    <w:rsid w:val="009246D2"/>
    <w:rsid w:val="0092695F"/>
    <w:rsid w:val="00927187"/>
    <w:rsid w:val="00927416"/>
    <w:rsid w:val="00927A10"/>
    <w:rsid w:val="00930DBB"/>
    <w:rsid w:val="00930E92"/>
    <w:rsid w:val="0093243C"/>
    <w:rsid w:val="009330C6"/>
    <w:rsid w:val="009330D7"/>
    <w:rsid w:val="00933F8E"/>
    <w:rsid w:val="00934E1E"/>
    <w:rsid w:val="0093538C"/>
    <w:rsid w:val="00937937"/>
    <w:rsid w:val="00937949"/>
    <w:rsid w:val="009426B5"/>
    <w:rsid w:val="00943EBB"/>
    <w:rsid w:val="009442EC"/>
    <w:rsid w:val="009448BF"/>
    <w:rsid w:val="0094552D"/>
    <w:rsid w:val="009460FF"/>
    <w:rsid w:val="00946916"/>
    <w:rsid w:val="00947B40"/>
    <w:rsid w:val="009502E6"/>
    <w:rsid w:val="009513D3"/>
    <w:rsid w:val="009516B5"/>
    <w:rsid w:val="009535A3"/>
    <w:rsid w:val="00955D08"/>
    <w:rsid w:val="00956D15"/>
    <w:rsid w:val="0096162E"/>
    <w:rsid w:val="00963802"/>
    <w:rsid w:val="00964A58"/>
    <w:rsid w:val="00966D58"/>
    <w:rsid w:val="00967119"/>
    <w:rsid w:val="00967E4A"/>
    <w:rsid w:val="00970B92"/>
    <w:rsid w:val="00973AB0"/>
    <w:rsid w:val="0097535F"/>
    <w:rsid w:val="0097638B"/>
    <w:rsid w:val="00980012"/>
    <w:rsid w:val="00981C48"/>
    <w:rsid w:val="00983C8E"/>
    <w:rsid w:val="009841BF"/>
    <w:rsid w:val="0098456F"/>
    <w:rsid w:val="009848BB"/>
    <w:rsid w:val="00984DC1"/>
    <w:rsid w:val="009851D2"/>
    <w:rsid w:val="0098609A"/>
    <w:rsid w:val="00987378"/>
    <w:rsid w:val="00990BE8"/>
    <w:rsid w:val="00991464"/>
    <w:rsid w:val="00991831"/>
    <w:rsid w:val="0099254A"/>
    <w:rsid w:val="009929B5"/>
    <w:rsid w:val="00993B2B"/>
    <w:rsid w:val="00994444"/>
    <w:rsid w:val="009A1083"/>
    <w:rsid w:val="009A1E18"/>
    <w:rsid w:val="009A32CF"/>
    <w:rsid w:val="009A451E"/>
    <w:rsid w:val="009A655A"/>
    <w:rsid w:val="009B0F3F"/>
    <w:rsid w:val="009B2377"/>
    <w:rsid w:val="009B2F71"/>
    <w:rsid w:val="009B4E0D"/>
    <w:rsid w:val="009B50CF"/>
    <w:rsid w:val="009B5397"/>
    <w:rsid w:val="009B5F2E"/>
    <w:rsid w:val="009B73DF"/>
    <w:rsid w:val="009B7C3C"/>
    <w:rsid w:val="009C0A9F"/>
    <w:rsid w:val="009C14B4"/>
    <w:rsid w:val="009C1591"/>
    <w:rsid w:val="009C15D7"/>
    <w:rsid w:val="009C1A44"/>
    <w:rsid w:val="009C2395"/>
    <w:rsid w:val="009C2EFA"/>
    <w:rsid w:val="009C3C4A"/>
    <w:rsid w:val="009C3E12"/>
    <w:rsid w:val="009C3E3C"/>
    <w:rsid w:val="009C48A1"/>
    <w:rsid w:val="009C53E8"/>
    <w:rsid w:val="009C617E"/>
    <w:rsid w:val="009C7F4D"/>
    <w:rsid w:val="009D3090"/>
    <w:rsid w:val="009D4FC2"/>
    <w:rsid w:val="009D517E"/>
    <w:rsid w:val="009D72BD"/>
    <w:rsid w:val="009D75B4"/>
    <w:rsid w:val="009D7D9B"/>
    <w:rsid w:val="009E196F"/>
    <w:rsid w:val="009E34E5"/>
    <w:rsid w:val="009E3A73"/>
    <w:rsid w:val="009E3B7E"/>
    <w:rsid w:val="009E4028"/>
    <w:rsid w:val="009E4A43"/>
    <w:rsid w:val="009E5069"/>
    <w:rsid w:val="009E59F7"/>
    <w:rsid w:val="009E5E94"/>
    <w:rsid w:val="009E750B"/>
    <w:rsid w:val="009F5284"/>
    <w:rsid w:val="009F5596"/>
    <w:rsid w:val="009F5707"/>
    <w:rsid w:val="009F6330"/>
    <w:rsid w:val="009F7839"/>
    <w:rsid w:val="00A01490"/>
    <w:rsid w:val="00A0226A"/>
    <w:rsid w:val="00A02378"/>
    <w:rsid w:val="00A02F89"/>
    <w:rsid w:val="00A03B0C"/>
    <w:rsid w:val="00A063C0"/>
    <w:rsid w:val="00A069CD"/>
    <w:rsid w:val="00A072E9"/>
    <w:rsid w:val="00A07575"/>
    <w:rsid w:val="00A07BC6"/>
    <w:rsid w:val="00A10C0F"/>
    <w:rsid w:val="00A11ACD"/>
    <w:rsid w:val="00A127AC"/>
    <w:rsid w:val="00A132F8"/>
    <w:rsid w:val="00A1615A"/>
    <w:rsid w:val="00A200E9"/>
    <w:rsid w:val="00A204EB"/>
    <w:rsid w:val="00A2129E"/>
    <w:rsid w:val="00A21AE2"/>
    <w:rsid w:val="00A23969"/>
    <w:rsid w:val="00A23D3F"/>
    <w:rsid w:val="00A260AD"/>
    <w:rsid w:val="00A26764"/>
    <w:rsid w:val="00A300BA"/>
    <w:rsid w:val="00A3236F"/>
    <w:rsid w:val="00A33384"/>
    <w:rsid w:val="00A34B2E"/>
    <w:rsid w:val="00A36F6A"/>
    <w:rsid w:val="00A36F93"/>
    <w:rsid w:val="00A37EE5"/>
    <w:rsid w:val="00A4243A"/>
    <w:rsid w:val="00A42FCC"/>
    <w:rsid w:val="00A46702"/>
    <w:rsid w:val="00A469C8"/>
    <w:rsid w:val="00A46B8B"/>
    <w:rsid w:val="00A471FE"/>
    <w:rsid w:val="00A47CE8"/>
    <w:rsid w:val="00A47E48"/>
    <w:rsid w:val="00A52086"/>
    <w:rsid w:val="00A5213A"/>
    <w:rsid w:val="00A52247"/>
    <w:rsid w:val="00A52FE3"/>
    <w:rsid w:val="00A546AD"/>
    <w:rsid w:val="00A55869"/>
    <w:rsid w:val="00A559C2"/>
    <w:rsid w:val="00A561CF"/>
    <w:rsid w:val="00A5709A"/>
    <w:rsid w:val="00A573C5"/>
    <w:rsid w:val="00A57C85"/>
    <w:rsid w:val="00A6035B"/>
    <w:rsid w:val="00A605F1"/>
    <w:rsid w:val="00A62E96"/>
    <w:rsid w:val="00A63277"/>
    <w:rsid w:val="00A64C33"/>
    <w:rsid w:val="00A66235"/>
    <w:rsid w:val="00A6691D"/>
    <w:rsid w:val="00A6699D"/>
    <w:rsid w:val="00A67A5B"/>
    <w:rsid w:val="00A749F9"/>
    <w:rsid w:val="00A74DB2"/>
    <w:rsid w:val="00A759CF"/>
    <w:rsid w:val="00A75EBC"/>
    <w:rsid w:val="00A76247"/>
    <w:rsid w:val="00A8058B"/>
    <w:rsid w:val="00A80B61"/>
    <w:rsid w:val="00A8640D"/>
    <w:rsid w:val="00A874C9"/>
    <w:rsid w:val="00A87CF4"/>
    <w:rsid w:val="00A913F9"/>
    <w:rsid w:val="00A91BBB"/>
    <w:rsid w:val="00A9437D"/>
    <w:rsid w:val="00AA08E6"/>
    <w:rsid w:val="00AA117C"/>
    <w:rsid w:val="00AA2161"/>
    <w:rsid w:val="00AA4FE2"/>
    <w:rsid w:val="00AA514D"/>
    <w:rsid w:val="00AA5DD3"/>
    <w:rsid w:val="00AA78FC"/>
    <w:rsid w:val="00AB02B6"/>
    <w:rsid w:val="00AB07FF"/>
    <w:rsid w:val="00AB1B1C"/>
    <w:rsid w:val="00AB2863"/>
    <w:rsid w:val="00AB3259"/>
    <w:rsid w:val="00AB538D"/>
    <w:rsid w:val="00AB7C96"/>
    <w:rsid w:val="00AB7D5E"/>
    <w:rsid w:val="00AB7F5A"/>
    <w:rsid w:val="00AC067C"/>
    <w:rsid w:val="00AC126D"/>
    <w:rsid w:val="00AC1EBC"/>
    <w:rsid w:val="00AC2041"/>
    <w:rsid w:val="00AC260C"/>
    <w:rsid w:val="00AC270B"/>
    <w:rsid w:val="00AC4402"/>
    <w:rsid w:val="00AC643C"/>
    <w:rsid w:val="00AD3F7A"/>
    <w:rsid w:val="00AD7018"/>
    <w:rsid w:val="00AD71DA"/>
    <w:rsid w:val="00AE2894"/>
    <w:rsid w:val="00AE4A9E"/>
    <w:rsid w:val="00AE52C7"/>
    <w:rsid w:val="00AE52F6"/>
    <w:rsid w:val="00AE66E6"/>
    <w:rsid w:val="00AF0C25"/>
    <w:rsid w:val="00AF506F"/>
    <w:rsid w:val="00B01DFE"/>
    <w:rsid w:val="00B02673"/>
    <w:rsid w:val="00B06F31"/>
    <w:rsid w:val="00B14896"/>
    <w:rsid w:val="00B16849"/>
    <w:rsid w:val="00B16A6F"/>
    <w:rsid w:val="00B16E14"/>
    <w:rsid w:val="00B202D5"/>
    <w:rsid w:val="00B23320"/>
    <w:rsid w:val="00B24519"/>
    <w:rsid w:val="00B25193"/>
    <w:rsid w:val="00B25708"/>
    <w:rsid w:val="00B25DC2"/>
    <w:rsid w:val="00B3084C"/>
    <w:rsid w:val="00B312E8"/>
    <w:rsid w:val="00B340B5"/>
    <w:rsid w:val="00B35090"/>
    <w:rsid w:val="00B351FB"/>
    <w:rsid w:val="00B36EE8"/>
    <w:rsid w:val="00B406EB"/>
    <w:rsid w:val="00B41BE1"/>
    <w:rsid w:val="00B42887"/>
    <w:rsid w:val="00B43AB5"/>
    <w:rsid w:val="00B45319"/>
    <w:rsid w:val="00B4774E"/>
    <w:rsid w:val="00B478A0"/>
    <w:rsid w:val="00B5073C"/>
    <w:rsid w:val="00B515BE"/>
    <w:rsid w:val="00B51877"/>
    <w:rsid w:val="00B51B1D"/>
    <w:rsid w:val="00B52214"/>
    <w:rsid w:val="00B533CF"/>
    <w:rsid w:val="00B55E69"/>
    <w:rsid w:val="00B61659"/>
    <w:rsid w:val="00B62511"/>
    <w:rsid w:val="00B631D6"/>
    <w:rsid w:val="00B640B2"/>
    <w:rsid w:val="00B641D2"/>
    <w:rsid w:val="00B655F4"/>
    <w:rsid w:val="00B65621"/>
    <w:rsid w:val="00B65A0C"/>
    <w:rsid w:val="00B67B57"/>
    <w:rsid w:val="00B67EC7"/>
    <w:rsid w:val="00B702BC"/>
    <w:rsid w:val="00B70BFB"/>
    <w:rsid w:val="00B70DE4"/>
    <w:rsid w:val="00B71A3C"/>
    <w:rsid w:val="00B74BFD"/>
    <w:rsid w:val="00B74C87"/>
    <w:rsid w:val="00B74D34"/>
    <w:rsid w:val="00B761B0"/>
    <w:rsid w:val="00B764A6"/>
    <w:rsid w:val="00B76E4F"/>
    <w:rsid w:val="00B77981"/>
    <w:rsid w:val="00B81317"/>
    <w:rsid w:val="00B825BE"/>
    <w:rsid w:val="00B86757"/>
    <w:rsid w:val="00B877DC"/>
    <w:rsid w:val="00B87AA3"/>
    <w:rsid w:val="00B91460"/>
    <w:rsid w:val="00B92C74"/>
    <w:rsid w:val="00B954D4"/>
    <w:rsid w:val="00BA0EB5"/>
    <w:rsid w:val="00BA13D6"/>
    <w:rsid w:val="00BA45D0"/>
    <w:rsid w:val="00BA786C"/>
    <w:rsid w:val="00BB28DA"/>
    <w:rsid w:val="00BB298E"/>
    <w:rsid w:val="00BB2AD6"/>
    <w:rsid w:val="00BB3409"/>
    <w:rsid w:val="00BB43E5"/>
    <w:rsid w:val="00BB61F0"/>
    <w:rsid w:val="00BB629E"/>
    <w:rsid w:val="00BB6BAB"/>
    <w:rsid w:val="00BC0CFF"/>
    <w:rsid w:val="00BC3EF2"/>
    <w:rsid w:val="00BC5E1B"/>
    <w:rsid w:val="00BC6C2C"/>
    <w:rsid w:val="00BD0D42"/>
    <w:rsid w:val="00BD1DBA"/>
    <w:rsid w:val="00BD23D6"/>
    <w:rsid w:val="00BD26A2"/>
    <w:rsid w:val="00BD26D8"/>
    <w:rsid w:val="00BD7343"/>
    <w:rsid w:val="00BD7ECA"/>
    <w:rsid w:val="00BE01F3"/>
    <w:rsid w:val="00BE1F90"/>
    <w:rsid w:val="00BE2341"/>
    <w:rsid w:val="00BE503E"/>
    <w:rsid w:val="00BF0B10"/>
    <w:rsid w:val="00BF0C67"/>
    <w:rsid w:val="00BF0FB0"/>
    <w:rsid w:val="00BF19E1"/>
    <w:rsid w:val="00BF2782"/>
    <w:rsid w:val="00BF2D8E"/>
    <w:rsid w:val="00BF3872"/>
    <w:rsid w:val="00BF3B6F"/>
    <w:rsid w:val="00BF54C4"/>
    <w:rsid w:val="00BF5706"/>
    <w:rsid w:val="00BF644D"/>
    <w:rsid w:val="00BF654A"/>
    <w:rsid w:val="00BF6939"/>
    <w:rsid w:val="00C002BB"/>
    <w:rsid w:val="00C00E2E"/>
    <w:rsid w:val="00C02540"/>
    <w:rsid w:val="00C02581"/>
    <w:rsid w:val="00C02A7E"/>
    <w:rsid w:val="00C04FF8"/>
    <w:rsid w:val="00C0516A"/>
    <w:rsid w:val="00C053D5"/>
    <w:rsid w:val="00C054D6"/>
    <w:rsid w:val="00C055E8"/>
    <w:rsid w:val="00C05BFB"/>
    <w:rsid w:val="00C065BA"/>
    <w:rsid w:val="00C10436"/>
    <w:rsid w:val="00C10D02"/>
    <w:rsid w:val="00C15031"/>
    <w:rsid w:val="00C1566A"/>
    <w:rsid w:val="00C20164"/>
    <w:rsid w:val="00C2034A"/>
    <w:rsid w:val="00C20FF0"/>
    <w:rsid w:val="00C23D8B"/>
    <w:rsid w:val="00C24487"/>
    <w:rsid w:val="00C2520E"/>
    <w:rsid w:val="00C2622F"/>
    <w:rsid w:val="00C262BE"/>
    <w:rsid w:val="00C2646B"/>
    <w:rsid w:val="00C26809"/>
    <w:rsid w:val="00C27464"/>
    <w:rsid w:val="00C2781E"/>
    <w:rsid w:val="00C30EF6"/>
    <w:rsid w:val="00C32BA0"/>
    <w:rsid w:val="00C332D7"/>
    <w:rsid w:val="00C33837"/>
    <w:rsid w:val="00C338C6"/>
    <w:rsid w:val="00C35DDE"/>
    <w:rsid w:val="00C3666B"/>
    <w:rsid w:val="00C429C1"/>
    <w:rsid w:val="00C449AD"/>
    <w:rsid w:val="00C44E9E"/>
    <w:rsid w:val="00C46AA3"/>
    <w:rsid w:val="00C46E34"/>
    <w:rsid w:val="00C51FF0"/>
    <w:rsid w:val="00C56B70"/>
    <w:rsid w:val="00C6033A"/>
    <w:rsid w:val="00C64B1A"/>
    <w:rsid w:val="00C67C9C"/>
    <w:rsid w:val="00C704AF"/>
    <w:rsid w:val="00C708BE"/>
    <w:rsid w:val="00C738E2"/>
    <w:rsid w:val="00C739F4"/>
    <w:rsid w:val="00C7401A"/>
    <w:rsid w:val="00C741D2"/>
    <w:rsid w:val="00C756FA"/>
    <w:rsid w:val="00C758AB"/>
    <w:rsid w:val="00C76E79"/>
    <w:rsid w:val="00C8098B"/>
    <w:rsid w:val="00C832FD"/>
    <w:rsid w:val="00C84843"/>
    <w:rsid w:val="00C85E82"/>
    <w:rsid w:val="00C86B3A"/>
    <w:rsid w:val="00C86ED2"/>
    <w:rsid w:val="00C92FAE"/>
    <w:rsid w:val="00C93EB6"/>
    <w:rsid w:val="00C93F0F"/>
    <w:rsid w:val="00C9584B"/>
    <w:rsid w:val="00C97D78"/>
    <w:rsid w:val="00CA0EBC"/>
    <w:rsid w:val="00CA1DF7"/>
    <w:rsid w:val="00CA2EF7"/>
    <w:rsid w:val="00CA4417"/>
    <w:rsid w:val="00CA643A"/>
    <w:rsid w:val="00CA6C3D"/>
    <w:rsid w:val="00CA7BF2"/>
    <w:rsid w:val="00CA7CE1"/>
    <w:rsid w:val="00CA7E7B"/>
    <w:rsid w:val="00CB096E"/>
    <w:rsid w:val="00CB0FEB"/>
    <w:rsid w:val="00CB1AF6"/>
    <w:rsid w:val="00CB2710"/>
    <w:rsid w:val="00CB2B8E"/>
    <w:rsid w:val="00CB3423"/>
    <w:rsid w:val="00CB3D89"/>
    <w:rsid w:val="00CB57F1"/>
    <w:rsid w:val="00CB7435"/>
    <w:rsid w:val="00CB7721"/>
    <w:rsid w:val="00CC0686"/>
    <w:rsid w:val="00CC2E2E"/>
    <w:rsid w:val="00CC3489"/>
    <w:rsid w:val="00CC3887"/>
    <w:rsid w:val="00CC46CC"/>
    <w:rsid w:val="00CC4C3D"/>
    <w:rsid w:val="00CC5A69"/>
    <w:rsid w:val="00CC5AB9"/>
    <w:rsid w:val="00CC6F48"/>
    <w:rsid w:val="00CD0498"/>
    <w:rsid w:val="00CD1371"/>
    <w:rsid w:val="00CD1B5D"/>
    <w:rsid w:val="00CD223D"/>
    <w:rsid w:val="00CD2C1E"/>
    <w:rsid w:val="00CE0019"/>
    <w:rsid w:val="00CE0BF8"/>
    <w:rsid w:val="00CE2845"/>
    <w:rsid w:val="00CE4118"/>
    <w:rsid w:val="00CE5CDB"/>
    <w:rsid w:val="00CE6923"/>
    <w:rsid w:val="00CE6BE1"/>
    <w:rsid w:val="00CE7743"/>
    <w:rsid w:val="00CF1BBD"/>
    <w:rsid w:val="00CF1E1B"/>
    <w:rsid w:val="00CF249E"/>
    <w:rsid w:val="00CF501C"/>
    <w:rsid w:val="00CF66EA"/>
    <w:rsid w:val="00CF7FD1"/>
    <w:rsid w:val="00D04C06"/>
    <w:rsid w:val="00D058C5"/>
    <w:rsid w:val="00D0672B"/>
    <w:rsid w:val="00D11F9D"/>
    <w:rsid w:val="00D1340B"/>
    <w:rsid w:val="00D13CB4"/>
    <w:rsid w:val="00D14282"/>
    <w:rsid w:val="00D148CD"/>
    <w:rsid w:val="00D15940"/>
    <w:rsid w:val="00D1660D"/>
    <w:rsid w:val="00D17892"/>
    <w:rsid w:val="00D2187A"/>
    <w:rsid w:val="00D22718"/>
    <w:rsid w:val="00D23B48"/>
    <w:rsid w:val="00D23DCC"/>
    <w:rsid w:val="00D2408E"/>
    <w:rsid w:val="00D2480F"/>
    <w:rsid w:val="00D24AF9"/>
    <w:rsid w:val="00D257F7"/>
    <w:rsid w:val="00D2667A"/>
    <w:rsid w:val="00D270DF"/>
    <w:rsid w:val="00D27950"/>
    <w:rsid w:val="00D3127F"/>
    <w:rsid w:val="00D32413"/>
    <w:rsid w:val="00D348A5"/>
    <w:rsid w:val="00D34E9C"/>
    <w:rsid w:val="00D37FD1"/>
    <w:rsid w:val="00D402C7"/>
    <w:rsid w:val="00D4082E"/>
    <w:rsid w:val="00D40AFD"/>
    <w:rsid w:val="00D40FA8"/>
    <w:rsid w:val="00D438B6"/>
    <w:rsid w:val="00D43E49"/>
    <w:rsid w:val="00D455A2"/>
    <w:rsid w:val="00D464C6"/>
    <w:rsid w:val="00D47F20"/>
    <w:rsid w:val="00D502F4"/>
    <w:rsid w:val="00D529CC"/>
    <w:rsid w:val="00D5501F"/>
    <w:rsid w:val="00D55818"/>
    <w:rsid w:val="00D60D78"/>
    <w:rsid w:val="00D61084"/>
    <w:rsid w:val="00D63A97"/>
    <w:rsid w:val="00D63E40"/>
    <w:rsid w:val="00D641B0"/>
    <w:rsid w:val="00D66162"/>
    <w:rsid w:val="00D67A67"/>
    <w:rsid w:val="00D7206C"/>
    <w:rsid w:val="00D72CE4"/>
    <w:rsid w:val="00D80A8F"/>
    <w:rsid w:val="00D80D3A"/>
    <w:rsid w:val="00D80DC5"/>
    <w:rsid w:val="00D80FEA"/>
    <w:rsid w:val="00D824DE"/>
    <w:rsid w:val="00D830FD"/>
    <w:rsid w:val="00D847CB"/>
    <w:rsid w:val="00D84FC2"/>
    <w:rsid w:val="00D871BC"/>
    <w:rsid w:val="00D9150C"/>
    <w:rsid w:val="00D924C5"/>
    <w:rsid w:val="00D95156"/>
    <w:rsid w:val="00D96065"/>
    <w:rsid w:val="00DA21EC"/>
    <w:rsid w:val="00DA5F68"/>
    <w:rsid w:val="00DB02EA"/>
    <w:rsid w:val="00DB3A6B"/>
    <w:rsid w:val="00DC0406"/>
    <w:rsid w:val="00DC30FF"/>
    <w:rsid w:val="00DC3D32"/>
    <w:rsid w:val="00DC3FFB"/>
    <w:rsid w:val="00DC5A26"/>
    <w:rsid w:val="00DC6E99"/>
    <w:rsid w:val="00DD3771"/>
    <w:rsid w:val="00DD5B48"/>
    <w:rsid w:val="00DD6C0C"/>
    <w:rsid w:val="00DD7AA1"/>
    <w:rsid w:val="00DE0859"/>
    <w:rsid w:val="00DE15FC"/>
    <w:rsid w:val="00DE4068"/>
    <w:rsid w:val="00DF05C0"/>
    <w:rsid w:val="00DF32A9"/>
    <w:rsid w:val="00DF33A8"/>
    <w:rsid w:val="00DF4099"/>
    <w:rsid w:val="00DF47D7"/>
    <w:rsid w:val="00DF5BB4"/>
    <w:rsid w:val="00DF6132"/>
    <w:rsid w:val="00DF65C3"/>
    <w:rsid w:val="00DF75AC"/>
    <w:rsid w:val="00DF7E45"/>
    <w:rsid w:val="00E0445C"/>
    <w:rsid w:val="00E044B0"/>
    <w:rsid w:val="00E048CB"/>
    <w:rsid w:val="00E058B7"/>
    <w:rsid w:val="00E06A1E"/>
    <w:rsid w:val="00E10145"/>
    <w:rsid w:val="00E10479"/>
    <w:rsid w:val="00E1262E"/>
    <w:rsid w:val="00E1271D"/>
    <w:rsid w:val="00E15331"/>
    <w:rsid w:val="00E16167"/>
    <w:rsid w:val="00E1631B"/>
    <w:rsid w:val="00E167B1"/>
    <w:rsid w:val="00E16949"/>
    <w:rsid w:val="00E17752"/>
    <w:rsid w:val="00E17D74"/>
    <w:rsid w:val="00E205D4"/>
    <w:rsid w:val="00E20F75"/>
    <w:rsid w:val="00E22144"/>
    <w:rsid w:val="00E23360"/>
    <w:rsid w:val="00E27D0E"/>
    <w:rsid w:val="00E27F65"/>
    <w:rsid w:val="00E31007"/>
    <w:rsid w:val="00E34F1A"/>
    <w:rsid w:val="00E35EDC"/>
    <w:rsid w:val="00E4074D"/>
    <w:rsid w:val="00E40AFC"/>
    <w:rsid w:val="00E42A0A"/>
    <w:rsid w:val="00E42FC7"/>
    <w:rsid w:val="00E430A2"/>
    <w:rsid w:val="00E45904"/>
    <w:rsid w:val="00E4661F"/>
    <w:rsid w:val="00E47747"/>
    <w:rsid w:val="00E5134A"/>
    <w:rsid w:val="00E52949"/>
    <w:rsid w:val="00E53555"/>
    <w:rsid w:val="00E53844"/>
    <w:rsid w:val="00E538C5"/>
    <w:rsid w:val="00E53EA0"/>
    <w:rsid w:val="00E5514B"/>
    <w:rsid w:val="00E5761F"/>
    <w:rsid w:val="00E57E3E"/>
    <w:rsid w:val="00E62479"/>
    <w:rsid w:val="00E6391D"/>
    <w:rsid w:val="00E64125"/>
    <w:rsid w:val="00E65312"/>
    <w:rsid w:val="00E65C0E"/>
    <w:rsid w:val="00E66028"/>
    <w:rsid w:val="00E70E13"/>
    <w:rsid w:val="00E70F23"/>
    <w:rsid w:val="00E745B0"/>
    <w:rsid w:val="00E74658"/>
    <w:rsid w:val="00E822C2"/>
    <w:rsid w:val="00E822FB"/>
    <w:rsid w:val="00E82533"/>
    <w:rsid w:val="00E83969"/>
    <w:rsid w:val="00E83E12"/>
    <w:rsid w:val="00E848D1"/>
    <w:rsid w:val="00E85146"/>
    <w:rsid w:val="00E85644"/>
    <w:rsid w:val="00E85D13"/>
    <w:rsid w:val="00E9154C"/>
    <w:rsid w:val="00E946AA"/>
    <w:rsid w:val="00E948D4"/>
    <w:rsid w:val="00E94B3A"/>
    <w:rsid w:val="00EA030E"/>
    <w:rsid w:val="00EA19AC"/>
    <w:rsid w:val="00EA2234"/>
    <w:rsid w:val="00EA2E3E"/>
    <w:rsid w:val="00EA2E8C"/>
    <w:rsid w:val="00EA3CDA"/>
    <w:rsid w:val="00EA48AC"/>
    <w:rsid w:val="00EA4A65"/>
    <w:rsid w:val="00EA564A"/>
    <w:rsid w:val="00EA73AE"/>
    <w:rsid w:val="00EB24C0"/>
    <w:rsid w:val="00EB73E4"/>
    <w:rsid w:val="00EC00FB"/>
    <w:rsid w:val="00EC092D"/>
    <w:rsid w:val="00EC1044"/>
    <w:rsid w:val="00EC51CB"/>
    <w:rsid w:val="00EC5312"/>
    <w:rsid w:val="00EC7618"/>
    <w:rsid w:val="00EC78DF"/>
    <w:rsid w:val="00ED044E"/>
    <w:rsid w:val="00ED0998"/>
    <w:rsid w:val="00ED0CCB"/>
    <w:rsid w:val="00ED1FE3"/>
    <w:rsid w:val="00ED2220"/>
    <w:rsid w:val="00ED3250"/>
    <w:rsid w:val="00ED5879"/>
    <w:rsid w:val="00ED677C"/>
    <w:rsid w:val="00EE192B"/>
    <w:rsid w:val="00EE281E"/>
    <w:rsid w:val="00EE2F0E"/>
    <w:rsid w:val="00EE52E2"/>
    <w:rsid w:val="00EE6362"/>
    <w:rsid w:val="00EE778D"/>
    <w:rsid w:val="00EF033B"/>
    <w:rsid w:val="00EF08DF"/>
    <w:rsid w:val="00EF312A"/>
    <w:rsid w:val="00EF4056"/>
    <w:rsid w:val="00EF41AB"/>
    <w:rsid w:val="00EF59B3"/>
    <w:rsid w:val="00EF737E"/>
    <w:rsid w:val="00F0161C"/>
    <w:rsid w:val="00F01E80"/>
    <w:rsid w:val="00F06238"/>
    <w:rsid w:val="00F06FC8"/>
    <w:rsid w:val="00F10B13"/>
    <w:rsid w:val="00F114E5"/>
    <w:rsid w:val="00F11628"/>
    <w:rsid w:val="00F11DD1"/>
    <w:rsid w:val="00F11FDA"/>
    <w:rsid w:val="00F12064"/>
    <w:rsid w:val="00F12E8A"/>
    <w:rsid w:val="00F130F1"/>
    <w:rsid w:val="00F132E2"/>
    <w:rsid w:val="00F13DEE"/>
    <w:rsid w:val="00F14479"/>
    <w:rsid w:val="00F147A5"/>
    <w:rsid w:val="00F16375"/>
    <w:rsid w:val="00F1664E"/>
    <w:rsid w:val="00F244EE"/>
    <w:rsid w:val="00F32064"/>
    <w:rsid w:val="00F32B0F"/>
    <w:rsid w:val="00F339A0"/>
    <w:rsid w:val="00F339FF"/>
    <w:rsid w:val="00F36999"/>
    <w:rsid w:val="00F37610"/>
    <w:rsid w:val="00F41D26"/>
    <w:rsid w:val="00F4422A"/>
    <w:rsid w:val="00F44C66"/>
    <w:rsid w:val="00F44CB7"/>
    <w:rsid w:val="00F50337"/>
    <w:rsid w:val="00F51337"/>
    <w:rsid w:val="00F5208D"/>
    <w:rsid w:val="00F525E2"/>
    <w:rsid w:val="00F52BEE"/>
    <w:rsid w:val="00F54B0B"/>
    <w:rsid w:val="00F55428"/>
    <w:rsid w:val="00F6113F"/>
    <w:rsid w:val="00F61B66"/>
    <w:rsid w:val="00F61DD9"/>
    <w:rsid w:val="00F64AA4"/>
    <w:rsid w:val="00F70AA5"/>
    <w:rsid w:val="00F713E5"/>
    <w:rsid w:val="00F71840"/>
    <w:rsid w:val="00F71FC0"/>
    <w:rsid w:val="00F73EDA"/>
    <w:rsid w:val="00F745FF"/>
    <w:rsid w:val="00F74F55"/>
    <w:rsid w:val="00F75362"/>
    <w:rsid w:val="00F75867"/>
    <w:rsid w:val="00F76CB3"/>
    <w:rsid w:val="00F777D0"/>
    <w:rsid w:val="00F77A83"/>
    <w:rsid w:val="00F809E3"/>
    <w:rsid w:val="00F81EF0"/>
    <w:rsid w:val="00F824DE"/>
    <w:rsid w:val="00F83E78"/>
    <w:rsid w:val="00F905A8"/>
    <w:rsid w:val="00F90A97"/>
    <w:rsid w:val="00F91B4C"/>
    <w:rsid w:val="00F91E92"/>
    <w:rsid w:val="00F94FC1"/>
    <w:rsid w:val="00F95949"/>
    <w:rsid w:val="00FA1F4B"/>
    <w:rsid w:val="00FA324B"/>
    <w:rsid w:val="00FA3FAE"/>
    <w:rsid w:val="00FA513D"/>
    <w:rsid w:val="00FA7602"/>
    <w:rsid w:val="00FB13D3"/>
    <w:rsid w:val="00FB1958"/>
    <w:rsid w:val="00FB19A6"/>
    <w:rsid w:val="00FB5589"/>
    <w:rsid w:val="00FB6214"/>
    <w:rsid w:val="00FC0C62"/>
    <w:rsid w:val="00FC55FA"/>
    <w:rsid w:val="00FD0A3C"/>
    <w:rsid w:val="00FD1AB7"/>
    <w:rsid w:val="00FD1FA3"/>
    <w:rsid w:val="00FD1FD7"/>
    <w:rsid w:val="00FD23AA"/>
    <w:rsid w:val="00FD290D"/>
    <w:rsid w:val="00FD3DA1"/>
    <w:rsid w:val="00FD4BB9"/>
    <w:rsid w:val="00FD514F"/>
    <w:rsid w:val="00FD60AA"/>
    <w:rsid w:val="00FD69D0"/>
    <w:rsid w:val="00FD7FB0"/>
    <w:rsid w:val="00FE1206"/>
    <w:rsid w:val="00FE3684"/>
    <w:rsid w:val="00FE36BF"/>
    <w:rsid w:val="00FE440F"/>
    <w:rsid w:val="00FE49E5"/>
    <w:rsid w:val="00FE562F"/>
    <w:rsid w:val="00FE6482"/>
    <w:rsid w:val="00FE6798"/>
    <w:rsid w:val="00FE79EC"/>
    <w:rsid w:val="00FF0411"/>
    <w:rsid w:val="00FF052E"/>
    <w:rsid w:val="00FF24F7"/>
    <w:rsid w:val="00FF4629"/>
    <w:rsid w:val="00FF46FC"/>
    <w:rsid w:val="00FF70BF"/>
    <w:rsid w:val="00FF75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D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7A83"/>
    <w:pPr>
      <w:ind w:left="720"/>
      <w:contextualSpacing/>
    </w:pPr>
  </w:style>
  <w:style w:type="paragraph" w:styleId="Voettekst">
    <w:name w:val="footer"/>
    <w:basedOn w:val="Standaard"/>
    <w:link w:val="VoettekstChar"/>
    <w:uiPriority w:val="99"/>
    <w:unhideWhenUsed/>
    <w:rsid w:val="002915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152C"/>
  </w:style>
  <w:style w:type="table" w:styleId="Tabelraster">
    <w:name w:val="Table Grid"/>
    <w:basedOn w:val="Standaardtabel"/>
    <w:uiPriority w:val="39"/>
    <w:rsid w:val="00707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7211"/>
    <w:pPr>
      <w:autoSpaceDE w:val="0"/>
      <w:autoSpaceDN w:val="0"/>
      <w:adjustRightInd w:val="0"/>
      <w:spacing w:after="0" w:line="240" w:lineRule="auto"/>
    </w:pPr>
    <w:rPr>
      <w:rFonts w:ascii="EUAlbertina" w:hAnsi="EUAlbertina" w:cs="EUAlbertina"/>
      <w:color w:val="000000"/>
      <w:sz w:val="24"/>
      <w:szCs w:val="24"/>
    </w:rPr>
  </w:style>
  <w:style w:type="character" w:styleId="Verwijzingopmerking">
    <w:name w:val="annotation reference"/>
    <w:basedOn w:val="Standaardalinea-lettertype"/>
    <w:uiPriority w:val="99"/>
    <w:semiHidden/>
    <w:unhideWhenUsed/>
    <w:rsid w:val="00707211"/>
    <w:rPr>
      <w:sz w:val="16"/>
      <w:szCs w:val="16"/>
    </w:rPr>
  </w:style>
  <w:style w:type="paragraph" w:styleId="Tekstopmerking">
    <w:name w:val="annotation text"/>
    <w:basedOn w:val="Standaard"/>
    <w:link w:val="TekstopmerkingChar"/>
    <w:uiPriority w:val="99"/>
    <w:unhideWhenUsed/>
    <w:rsid w:val="00707211"/>
    <w:pPr>
      <w:spacing w:line="240" w:lineRule="auto"/>
    </w:pPr>
    <w:rPr>
      <w:sz w:val="20"/>
      <w:szCs w:val="20"/>
    </w:rPr>
  </w:style>
  <w:style w:type="character" w:customStyle="1" w:styleId="TekstopmerkingChar">
    <w:name w:val="Tekst opmerking Char"/>
    <w:basedOn w:val="Standaardalinea-lettertype"/>
    <w:link w:val="Tekstopmerking"/>
    <w:uiPriority w:val="99"/>
    <w:rsid w:val="00707211"/>
    <w:rPr>
      <w:sz w:val="20"/>
      <w:szCs w:val="20"/>
    </w:rPr>
  </w:style>
  <w:style w:type="character" w:styleId="Hyperlink">
    <w:name w:val="Hyperlink"/>
    <w:basedOn w:val="Standaardalinea-lettertype"/>
    <w:uiPriority w:val="99"/>
    <w:unhideWhenUsed/>
    <w:rsid w:val="0039028E"/>
    <w:rPr>
      <w:color w:val="0000FF"/>
      <w:u w:val="single"/>
    </w:rPr>
  </w:style>
  <w:style w:type="character" w:styleId="Nadruk">
    <w:name w:val="Emphasis"/>
    <w:basedOn w:val="Standaardalinea-lettertype"/>
    <w:uiPriority w:val="20"/>
    <w:qFormat/>
    <w:rsid w:val="003F1A56"/>
    <w:rPr>
      <w:i/>
      <w:iCs/>
    </w:rPr>
  </w:style>
  <w:style w:type="paragraph" w:styleId="Revisie">
    <w:name w:val="Revision"/>
    <w:hidden/>
    <w:uiPriority w:val="99"/>
    <w:semiHidden/>
    <w:rsid w:val="009F5707"/>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36028F"/>
    <w:rPr>
      <w:b/>
      <w:bCs/>
    </w:rPr>
  </w:style>
  <w:style w:type="character" w:customStyle="1" w:styleId="OnderwerpvanopmerkingChar">
    <w:name w:val="Onderwerp van opmerking Char"/>
    <w:basedOn w:val="TekstopmerkingChar"/>
    <w:link w:val="Onderwerpvanopmerking"/>
    <w:uiPriority w:val="99"/>
    <w:semiHidden/>
    <w:rsid w:val="0036028F"/>
    <w:rPr>
      <w:b/>
      <w:bCs/>
      <w:sz w:val="20"/>
      <w:szCs w:val="20"/>
    </w:rPr>
  </w:style>
  <w:style w:type="paragraph" w:styleId="Voetnoottekst">
    <w:name w:val="footnote text"/>
    <w:basedOn w:val="Standaard"/>
    <w:link w:val="VoetnoottekstChar"/>
    <w:uiPriority w:val="99"/>
    <w:unhideWhenUsed/>
    <w:rsid w:val="00921A4B"/>
    <w:pPr>
      <w:spacing w:after="0" w:line="240" w:lineRule="auto"/>
    </w:pPr>
    <w:rPr>
      <w:sz w:val="20"/>
      <w:szCs w:val="20"/>
    </w:rPr>
  </w:style>
  <w:style w:type="character" w:customStyle="1" w:styleId="VoetnoottekstChar">
    <w:name w:val="Voetnoottekst Char"/>
    <w:basedOn w:val="Standaardalinea-lettertype"/>
    <w:link w:val="Voetnoottekst"/>
    <w:uiPriority w:val="99"/>
    <w:rsid w:val="00921A4B"/>
    <w:rPr>
      <w:sz w:val="20"/>
      <w:szCs w:val="20"/>
    </w:rPr>
  </w:style>
  <w:style w:type="character" w:styleId="Voetnootmarkering">
    <w:name w:val="footnote reference"/>
    <w:basedOn w:val="Standaardalinea-lettertype"/>
    <w:uiPriority w:val="99"/>
    <w:unhideWhenUsed/>
    <w:rsid w:val="00921A4B"/>
    <w:rPr>
      <w:vertAlign w:val="superscript"/>
    </w:rPr>
  </w:style>
  <w:style w:type="paragraph" w:styleId="Koptekst">
    <w:name w:val="header"/>
    <w:basedOn w:val="Standaard"/>
    <w:link w:val="KoptekstChar"/>
    <w:uiPriority w:val="99"/>
    <w:unhideWhenUsed/>
    <w:rsid w:val="005C16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1615"/>
  </w:style>
  <w:style w:type="character" w:styleId="Onopgelostemelding">
    <w:name w:val="Unresolved Mention"/>
    <w:basedOn w:val="Standaardalinea-lettertype"/>
    <w:uiPriority w:val="99"/>
    <w:semiHidden/>
    <w:unhideWhenUsed/>
    <w:rsid w:val="001D2A04"/>
    <w:rPr>
      <w:color w:val="605E5C"/>
      <w:shd w:val="clear" w:color="auto" w:fill="E1DFDD"/>
    </w:rPr>
  </w:style>
  <w:style w:type="character" w:customStyle="1" w:styleId="cf01">
    <w:name w:val="cf01"/>
    <w:basedOn w:val="Standaardalinea-lettertype"/>
    <w:rsid w:val="00074D96"/>
    <w:rPr>
      <w:rFonts w:ascii="Segoe UI" w:hAnsi="Segoe UI" w:cs="Segoe UI" w:hint="default"/>
      <w:sz w:val="18"/>
      <w:szCs w:val="18"/>
    </w:rPr>
  </w:style>
  <w:style w:type="paragraph" w:styleId="Normaalweb">
    <w:name w:val="Normal (Web)"/>
    <w:basedOn w:val="Standaard"/>
    <w:uiPriority w:val="99"/>
    <w:semiHidden/>
    <w:unhideWhenUsed/>
    <w:rsid w:val="003852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9987">
      <w:bodyDiv w:val="1"/>
      <w:marLeft w:val="0"/>
      <w:marRight w:val="0"/>
      <w:marTop w:val="0"/>
      <w:marBottom w:val="0"/>
      <w:divBdr>
        <w:top w:val="none" w:sz="0" w:space="0" w:color="auto"/>
        <w:left w:val="none" w:sz="0" w:space="0" w:color="auto"/>
        <w:bottom w:val="none" w:sz="0" w:space="0" w:color="auto"/>
        <w:right w:val="none" w:sz="0" w:space="0" w:color="auto"/>
      </w:divBdr>
    </w:div>
    <w:div w:id="74673894">
      <w:bodyDiv w:val="1"/>
      <w:marLeft w:val="0"/>
      <w:marRight w:val="0"/>
      <w:marTop w:val="0"/>
      <w:marBottom w:val="0"/>
      <w:divBdr>
        <w:top w:val="none" w:sz="0" w:space="0" w:color="auto"/>
        <w:left w:val="none" w:sz="0" w:space="0" w:color="auto"/>
        <w:bottom w:val="none" w:sz="0" w:space="0" w:color="auto"/>
        <w:right w:val="none" w:sz="0" w:space="0" w:color="auto"/>
      </w:divBdr>
    </w:div>
    <w:div w:id="90664096">
      <w:bodyDiv w:val="1"/>
      <w:marLeft w:val="0"/>
      <w:marRight w:val="0"/>
      <w:marTop w:val="0"/>
      <w:marBottom w:val="0"/>
      <w:divBdr>
        <w:top w:val="none" w:sz="0" w:space="0" w:color="auto"/>
        <w:left w:val="none" w:sz="0" w:space="0" w:color="auto"/>
        <w:bottom w:val="none" w:sz="0" w:space="0" w:color="auto"/>
        <w:right w:val="none" w:sz="0" w:space="0" w:color="auto"/>
      </w:divBdr>
    </w:div>
    <w:div w:id="644744096">
      <w:bodyDiv w:val="1"/>
      <w:marLeft w:val="0"/>
      <w:marRight w:val="0"/>
      <w:marTop w:val="0"/>
      <w:marBottom w:val="0"/>
      <w:divBdr>
        <w:top w:val="none" w:sz="0" w:space="0" w:color="auto"/>
        <w:left w:val="none" w:sz="0" w:space="0" w:color="auto"/>
        <w:bottom w:val="none" w:sz="0" w:space="0" w:color="auto"/>
        <w:right w:val="none" w:sz="0" w:space="0" w:color="auto"/>
      </w:divBdr>
    </w:div>
    <w:div w:id="996373856">
      <w:bodyDiv w:val="1"/>
      <w:marLeft w:val="0"/>
      <w:marRight w:val="0"/>
      <w:marTop w:val="0"/>
      <w:marBottom w:val="0"/>
      <w:divBdr>
        <w:top w:val="none" w:sz="0" w:space="0" w:color="auto"/>
        <w:left w:val="none" w:sz="0" w:space="0" w:color="auto"/>
        <w:bottom w:val="none" w:sz="0" w:space="0" w:color="auto"/>
        <w:right w:val="none" w:sz="0" w:space="0" w:color="auto"/>
      </w:divBdr>
    </w:div>
    <w:div w:id="1197935069">
      <w:bodyDiv w:val="1"/>
      <w:marLeft w:val="0"/>
      <w:marRight w:val="0"/>
      <w:marTop w:val="0"/>
      <w:marBottom w:val="0"/>
      <w:divBdr>
        <w:top w:val="none" w:sz="0" w:space="0" w:color="auto"/>
        <w:left w:val="none" w:sz="0" w:space="0" w:color="auto"/>
        <w:bottom w:val="none" w:sz="0" w:space="0" w:color="auto"/>
        <w:right w:val="none" w:sz="0" w:space="0" w:color="auto"/>
      </w:divBdr>
    </w:div>
    <w:div w:id="1332755495">
      <w:bodyDiv w:val="1"/>
      <w:marLeft w:val="0"/>
      <w:marRight w:val="0"/>
      <w:marTop w:val="0"/>
      <w:marBottom w:val="0"/>
      <w:divBdr>
        <w:top w:val="none" w:sz="0" w:space="0" w:color="auto"/>
        <w:left w:val="none" w:sz="0" w:space="0" w:color="auto"/>
        <w:bottom w:val="none" w:sz="0" w:space="0" w:color="auto"/>
        <w:right w:val="none" w:sz="0" w:space="0" w:color="auto"/>
      </w:divBdr>
    </w:div>
    <w:div w:id="1483616420">
      <w:bodyDiv w:val="1"/>
      <w:marLeft w:val="0"/>
      <w:marRight w:val="0"/>
      <w:marTop w:val="0"/>
      <w:marBottom w:val="0"/>
      <w:divBdr>
        <w:top w:val="none" w:sz="0" w:space="0" w:color="auto"/>
        <w:left w:val="none" w:sz="0" w:space="0" w:color="auto"/>
        <w:bottom w:val="none" w:sz="0" w:space="0" w:color="auto"/>
        <w:right w:val="none" w:sz="0" w:space="0" w:color="auto"/>
      </w:divBdr>
    </w:div>
    <w:div w:id="1672173536">
      <w:bodyDiv w:val="1"/>
      <w:marLeft w:val="0"/>
      <w:marRight w:val="0"/>
      <w:marTop w:val="0"/>
      <w:marBottom w:val="0"/>
      <w:divBdr>
        <w:top w:val="none" w:sz="0" w:space="0" w:color="auto"/>
        <w:left w:val="none" w:sz="0" w:space="0" w:color="auto"/>
        <w:bottom w:val="none" w:sz="0" w:space="0" w:color="auto"/>
        <w:right w:val="none" w:sz="0" w:space="0" w:color="auto"/>
      </w:divBdr>
    </w:div>
    <w:div w:id="1830830193">
      <w:bodyDiv w:val="1"/>
      <w:marLeft w:val="0"/>
      <w:marRight w:val="0"/>
      <w:marTop w:val="0"/>
      <w:marBottom w:val="0"/>
      <w:divBdr>
        <w:top w:val="none" w:sz="0" w:space="0" w:color="auto"/>
        <w:left w:val="none" w:sz="0" w:space="0" w:color="auto"/>
        <w:bottom w:val="none" w:sz="0" w:space="0" w:color="auto"/>
        <w:right w:val="none" w:sz="0" w:space="0" w:color="auto"/>
      </w:divBdr>
    </w:div>
    <w:div w:id="1862233375">
      <w:bodyDiv w:val="1"/>
      <w:marLeft w:val="0"/>
      <w:marRight w:val="0"/>
      <w:marTop w:val="0"/>
      <w:marBottom w:val="0"/>
      <w:divBdr>
        <w:top w:val="none" w:sz="0" w:space="0" w:color="auto"/>
        <w:left w:val="none" w:sz="0" w:space="0" w:color="auto"/>
        <w:bottom w:val="none" w:sz="0" w:space="0" w:color="auto"/>
        <w:right w:val="none" w:sz="0" w:space="0" w:color="auto"/>
      </w:divBdr>
    </w:div>
    <w:div w:id="214253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17</ap:Pages>
  <ap:Words>9631</ap:Words>
  <ap:Characters>52976</ap:Characters>
  <ap:DocSecurity>0</ap:DocSecurity>
  <ap:Lines>441</ap:Lines>
  <ap:Paragraphs>124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2026-06-09T10:14:00.0000000Z</dcterms:created>
  <dcterms:modified xsi:type="dcterms:W3CDTF">2026-06-09T10:15:00.0000000Z</dcterms:modified>
  <version/>
  <category/>
</coreProperties>
</file>