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Pr="009A5615" w:rsidR="00C51AB9" w:rsidTr="00D9135C" w14:paraId="751F8D54" w14:textId="77777777">
        <w:tc>
          <w:tcPr>
            <w:tcW w:w="7792" w:type="dxa"/>
            <w:gridSpan w:val="2"/>
            <w:tcMar>
              <w:left w:w="0" w:type="dxa"/>
              <w:right w:w="0" w:type="dxa"/>
            </w:tcMar>
          </w:tcPr>
          <w:p w:rsidRPr="009A5615" w:rsidR="00C51AB9" w:rsidP="00D9135C" w:rsidRDefault="00C51AB9" w14:paraId="32F827E7" w14:textId="77777777">
            <w:pPr>
              <w:spacing w:after="40"/>
              <w:rPr>
                <w:sz w:val="20"/>
                <w:szCs w:val="20"/>
              </w:rPr>
            </w:pPr>
            <w:r w:rsidRPr="009A5615">
              <w:rPr>
                <w:sz w:val="20"/>
                <w:szCs w:val="20"/>
              </w:rPr>
              <w:t>&gt; Retouradres Postbus 20701 2500 ES Den Haag</w:t>
            </w:r>
          </w:p>
        </w:tc>
      </w:tr>
      <w:tr w:rsidRPr="009A5615" w:rsidR="00C51AB9" w:rsidTr="00D9135C" w14:paraId="4F05F4A9" w14:textId="77777777">
        <w:tc>
          <w:tcPr>
            <w:tcW w:w="7792" w:type="dxa"/>
            <w:gridSpan w:val="2"/>
            <w:tcMar>
              <w:left w:w="0" w:type="dxa"/>
              <w:right w:w="0" w:type="dxa"/>
            </w:tcMar>
          </w:tcPr>
          <w:p w:rsidRPr="009A5615" w:rsidR="00C51AB9" w:rsidP="00D9135C" w:rsidRDefault="00C51AB9" w14:paraId="567DBA23" w14:textId="77777777">
            <w:pPr>
              <w:tabs>
                <w:tab w:val="left" w:pos="614"/>
              </w:tabs>
              <w:spacing w:after="0"/>
              <w:rPr>
                <w:sz w:val="20"/>
                <w:szCs w:val="20"/>
              </w:rPr>
            </w:pPr>
            <w:proofErr w:type="gramStart"/>
            <w:r w:rsidRPr="009A5615">
              <w:rPr>
                <w:sz w:val="20"/>
                <w:szCs w:val="20"/>
              </w:rPr>
              <w:t>de</w:t>
            </w:r>
            <w:proofErr w:type="gramEnd"/>
            <w:r w:rsidRPr="009A5615">
              <w:rPr>
                <w:sz w:val="20"/>
                <w:szCs w:val="20"/>
              </w:rPr>
              <w:t xml:space="preserve"> Voorzitter van de Tweede Kamer</w:t>
            </w:r>
          </w:p>
          <w:p w:rsidRPr="009A5615" w:rsidR="00C51AB9" w:rsidP="00D9135C" w:rsidRDefault="00C51AB9" w14:paraId="305ABCD6" w14:textId="77777777">
            <w:pPr>
              <w:tabs>
                <w:tab w:val="left" w:pos="614"/>
              </w:tabs>
              <w:spacing w:after="0"/>
              <w:rPr>
                <w:sz w:val="20"/>
                <w:szCs w:val="20"/>
              </w:rPr>
            </w:pPr>
            <w:proofErr w:type="gramStart"/>
            <w:r w:rsidRPr="009A5615">
              <w:rPr>
                <w:sz w:val="20"/>
                <w:szCs w:val="20"/>
              </w:rPr>
              <w:t>der</w:t>
            </w:r>
            <w:proofErr w:type="gramEnd"/>
            <w:r w:rsidRPr="009A5615">
              <w:rPr>
                <w:sz w:val="20"/>
                <w:szCs w:val="20"/>
              </w:rPr>
              <w:t xml:space="preserve"> Staten-Generaal</w:t>
            </w:r>
          </w:p>
          <w:p w:rsidRPr="009A5615" w:rsidR="00C51AB9" w:rsidP="00D9135C" w:rsidRDefault="00C51AB9" w14:paraId="240B3BB4" w14:textId="77777777">
            <w:pPr>
              <w:tabs>
                <w:tab w:val="left" w:pos="614"/>
              </w:tabs>
              <w:spacing w:after="0"/>
              <w:rPr>
                <w:sz w:val="20"/>
                <w:szCs w:val="20"/>
              </w:rPr>
            </w:pPr>
            <w:proofErr w:type="spellStart"/>
            <w:r w:rsidRPr="009A5615">
              <w:rPr>
                <w:sz w:val="20"/>
                <w:szCs w:val="20"/>
              </w:rPr>
              <w:t>Bezuidenhoutseweg</w:t>
            </w:r>
            <w:proofErr w:type="spellEnd"/>
            <w:r w:rsidRPr="009A5615">
              <w:rPr>
                <w:sz w:val="20"/>
                <w:szCs w:val="20"/>
              </w:rPr>
              <w:t xml:space="preserve"> 67 </w:t>
            </w:r>
          </w:p>
          <w:p w:rsidRPr="009A5615" w:rsidR="00C51AB9" w:rsidP="00D9135C" w:rsidRDefault="00C51AB9" w14:paraId="5DFE39B0" w14:textId="77777777">
            <w:pPr>
              <w:tabs>
                <w:tab w:val="left" w:pos="614"/>
              </w:tabs>
              <w:spacing w:after="240"/>
              <w:rPr>
                <w:sz w:val="20"/>
                <w:szCs w:val="20"/>
              </w:rPr>
            </w:pPr>
            <w:r w:rsidRPr="009A5615">
              <w:rPr>
                <w:sz w:val="20"/>
                <w:szCs w:val="20"/>
              </w:rPr>
              <w:t xml:space="preserve">2594 AC Den Haag </w:t>
            </w:r>
          </w:p>
          <w:p w:rsidRPr="009A5615" w:rsidR="00C51AB9" w:rsidP="00D9135C" w:rsidRDefault="00C51AB9" w14:paraId="7CF7F1D8" w14:textId="77777777">
            <w:pPr>
              <w:spacing w:after="240"/>
              <w:rPr>
                <w:sz w:val="20"/>
                <w:szCs w:val="20"/>
              </w:rPr>
            </w:pPr>
          </w:p>
        </w:tc>
      </w:tr>
      <w:tr w:rsidRPr="009A5615" w:rsidR="00C51AB9" w:rsidTr="00D9135C" w14:paraId="4A39382F" w14:textId="77777777">
        <w:trPr>
          <w:trHeight w:val="283"/>
        </w:trPr>
        <w:tc>
          <w:tcPr>
            <w:tcW w:w="1969" w:type="dxa"/>
            <w:tcMar>
              <w:left w:w="0" w:type="dxa"/>
              <w:right w:w="0" w:type="dxa"/>
            </w:tcMar>
          </w:tcPr>
          <w:p w:rsidRPr="009A5615" w:rsidR="00C51AB9" w:rsidP="00D9135C" w:rsidRDefault="00C51AB9" w14:paraId="3287E7B7" w14:textId="77777777">
            <w:pPr>
              <w:tabs>
                <w:tab w:val="left" w:pos="614"/>
              </w:tabs>
              <w:spacing w:after="0"/>
              <w:rPr>
                <w:sz w:val="20"/>
                <w:szCs w:val="20"/>
              </w:rPr>
            </w:pPr>
            <w:r w:rsidRPr="009A5615">
              <w:rPr>
                <w:sz w:val="20"/>
                <w:szCs w:val="20"/>
              </w:rPr>
              <w:t>Datum</w:t>
            </w:r>
          </w:p>
        </w:tc>
        <w:tc>
          <w:tcPr>
            <w:tcW w:w="5823" w:type="dxa"/>
            <w:tcMar>
              <w:left w:w="0" w:type="dxa"/>
              <w:right w:w="0" w:type="dxa"/>
            </w:tcMar>
          </w:tcPr>
          <w:p w:rsidRPr="009A5615" w:rsidR="00C51AB9" w:rsidP="00D9135C" w:rsidRDefault="00C51AB9" w14:paraId="22D115AC" w14:textId="77777777">
            <w:pPr>
              <w:spacing w:after="0"/>
              <w:rPr>
                <w:sz w:val="20"/>
                <w:szCs w:val="20"/>
              </w:rPr>
            </w:pPr>
            <w:r w:rsidRPr="009A5615">
              <w:rPr>
                <w:sz w:val="20"/>
                <w:szCs w:val="20"/>
              </w:rPr>
              <w:t>9 juni 2026</w:t>
            </w:r>
          </w:p>
        </w:tc>
      </w:tr>
      <w:tr w:rsidRPr="009A5615" w:rsidR="00C51AB9" w:rsidTr="00D9135C" w14:paraId="2D5F217C" w14:textId="77777777">
        <w:trPr>
          <w:trHeight w:val="283"/>
        </w:trPr>
        <w:tc>
          <w:tcPr>
            <w:tcW w:w="1969" w:type="dxa"/>
            <w:tcMar>
              <w:left w:w="0" w:type="dxa"/>
              <w:right w:w="0" w:type="dxa"/>
            </w:tcMar>
          </w:tcPr>
          <w:p w:rsidRPr="009A5615" w:rsidR="00C51AB9" w:rsidP="00D9135C" w:rsidRDefault="00C51AB9" w14:paraId="102D2E9B" w14:textId="77777777">
            <w:pPr>
              <w:tabs>
                <w:tab w:val="left" w:pos="614"/>
              </w:tabs>
              <w:spacing w:after="0"/>
              <w:rPr>
                <w:sz w:val="20"/>
                <w:szCs w:val="20"/>
              </w:rPr>
            </w:pPr>
            <w:r w:rsidRPr="009A5615">
              <w:rPr>
                <w:sz w:val="20"/>
                <w:szCs w:val="20"/>
              </w:rPr>
              <w:t>Betreft</w:t>
            </w:r>
          </w:p>
        </w:tc>
        <w:tc>
          <w:tcPr>
            <w:tcW w:w="5823" w:type="dxa"/>
            <w:tcMar>
              <w:left w:w="0" w:type="dxa"/>
              <w:right w:w="0" w:type="dxa"/>
            </w:tcMar>
          </w:tcPr>
          <w:p w:rsidRPr="009A5615" w:rsidR="00C51AB9" w:rsidP="00D9135C" w:rsidRDefault="00C51AB9" w14:paraId="3061A762" w14:textId="77777777">
            <w:pPr>
              <w:tabs>
                <w:tab w:val="left" w:pos="614"/>
              </w:tabs>
              <w:spacing w:after="0"/>
              <w:rPr>
                <w:sz w:val="20"/>
                <w:szCs w:val="20"/>
              </w:rPr>
            </w:pPr>
            <w:r w:rsidRPr="009A5615">
              <w:rPr>
                <w:sz w:val="20"/>
                <w:szCs w:val="20"/>
              </w:rPr>
              <w:t xml:space="preserve">Antwoorden op feitelijke vragen </w:t>
            </w:r>
            <w:proofErr w:type="spellStart"/>
            <w:r w:rsidRPr="009A5615">
              <w:rPr>
                <w:sz w:val="20"/>
                <w:szCs w:val="20"/>
              </w:rPr>
              <w:t>Verantwoordingsdagstukken</w:t>
            </w:r>
            <w:proofErr w:type="spellEnd"/>
            <w:r w:rsidRPr="009A5615">
              <w:rPr>
                <w:sz w:val="20"/>
                <w:szCs w:val="20"/>
              </w:rPr>
              <w:t xml:space="preserve"> Defensie (Kamerstuk 36945-X, nr. 0/ 36945-K, nr. 2)</w:t>
            </w:r>
          </w:p>
        </w:tc>
      </w:tr>
    </w:tbl>
    <w:p w:rsidRPr="009A5615" w:rsidR="00C51AB9" w:rsidP="00C51AB9" w:rsidRDefault="00C51AB9" w14:paraId="35946571" w14:textId="77777777">
      <w:pPr>
        <w:rPr>
          <w:sz w:val="20"/>
          <w:szCs w:val="20"/>
        </w:rPr>
      </w:pPr>
      <w:r w:rsidRPr="009A5615">
        <w:rPr>
          <w:noProof/>
          <w:sz w:val="20"/>
          <w:szCs w:val="20"/>
          <w:lang w:eastAsia="nl-NL" w:bidi="ar-SA"/>
        </w:rPr>
        <mc:AlternateContent>
          <mc:Choice Requires="wps">
            <w:drawing>
              <wp:anchor distT="0" distB="0" distL="114300" distR="114300" simplePos="0" relativeHeight="251659264" behindDoc="0" locked="0" layoutInCell="1" allowOverlap="1" wp14:editId="631A5C04" wp14:anchorId="7FC27BF5">
                <wp:simplePos x="0" y="0"/>
                <wp:positionH relativeFrom="page">
                  <wp:posOffset>6032504</wp:posOffset>
                </wp:positionH>
                <wp:positionV relativeFrom="page">
                  <wp:posOffset>1638939</wp:posOffset>
                </wp:positionV>
                <wp:extent cx="1144905" cy="4152265"/>
                <wp:effectExtent l="0" t="0" r="17145" b="635"/>
                <wp:wrapNone/>
                <wp:docPr id="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175" cy="4153535"/>
                        </a:xfrm>
                        <a:prstGeom prst="rect">
                          <a:avLst/>
                        </a:prstGeom>
                        <a:noFill/>
                        <a:ln cap="flat">
                          <a:noFill/>
                        </a:ln>
                      </wps:spPr>
                      <wps:txbx>
                        <w:txbxContent>
                          <w:p w:rsidR="00C51AB9" w:rsidP="00C51AB9" w:rsidRDefault="00C51AB9" w14:paraId="6A9ED77C" w14:textId="77777777">
                            <w:pPr>
                              <w:pStyle w:val="ReferentiegegevenskopW1-Huisstijl"/>
                              <w:spacing w:before="360"/>
                            </w:pPr>
                            <w:r>
                              <w:t>Ministerie van Defensie</w:t>
                            </w:r>
                          </w:p>
                          <w:p w:rsidR="00C51AB9" w:rsidP="00C51AB9" w:rsidRDefault="00C51AB9" w14:paraId="6ABDACCD" w14:textId="77777777">
                            <w:pPr>
                              <w:pStyle w:val="Referentiegegevens-Huisstijl"/>
                            </w:pPr>
                            <w:r>
                              <w:t>Plein 4</w:t>
                            </w:r>
                          </w:p>
                          <w:p w:rsidR="00C51AB9" w:rsidP="00C51AB9" w:rsidRDefault="00C51AB9" w14:paraId="099B1EE0" w14:textId="77777777">
                            <w:pPr>
                              <w:pStyle w:val="Referentiegegevens-Huisstijl"/>
                            </w:pPr>
                            <w:r>
                              <w:t>MPC 58 B</w:t>
                            </w:r>
                          </w:p>
                          <w:p w:rsidR="00C51AB9" w:rsidP="00C51AB9" w:rsidRDefault="00C51AB9" w14:paraId="1EFC2828" w14:textId="77777777">
                            <w:pPr>
                              <w:pStyle w:val="Referentiegegevens-Huisstijl"/>
                              <w:rPr>
                                <w:lang w:val="de-DE"/>
                              </w:rPr>
                            </w:pPr>
                            <w:r>
                              <w:rPr>
                                <w:lang w:val="de-DE"/>
                              </w:rPr>
                              <w:t>Postbus 20701</w:t>
                            </w:r>
                          </w:p>
                          <w:p w:rsidR="00C51AB9" w:rsidP="00C51AB9" w:rsidRDefault="00C51AB9" w14:paraId="4A9D4386" w14:textId="77777777">
                            <w:pPr>
                              <w:pStyle w:val="Referentiegegevens-Huisstijl"/>
                              <w:rPr>
                                <w:lang w:val="de-DE"/>
                              </w:rPr>
                            </w:pPr>
                            <w:r>
                              <w:rPr>
                                <w:lang w:val="de-DE"/>
                              </w:rPr>
                              <w:t>2500 ES Den Haag</w:t>
                            </w:r>
                          </w:p>
                          <w:p w:rsidR="00C51AB9" w:rsidP="00C51AB9" w:rsidRDefault="00C51AB9" w14:paraId="0E343FFA" w14:textId="77777777">
                            <w:pPr>
                              <w:pStyle w:val="Referentiegegevens-Huisstijl"/>
                              <w:rPr>
                                <w:lang w:val="de-DE"/>
                              </w:rPr>
                            </w:pPr>
                            <w:r>
                              <w:rPr>
                                <w:lang w:val="de-DE"/>
                              </w:rPr>
                              <w:t>www.defensie.nl</w:t>
                            </w:r>
                          </w:p>
                          <w:p w:rsidR="00C51AB9" w:rsidP="00C51AB9" w:rsidRDefault="00C51AB9" w14:paraId="05871A90" w14:textId="77777777">
                            <w:pPr>
                              <w:pStyle w:val="ReferentiegegevenskopW1-Huisstijl"/>
                              <w:spacing w:before="120"/>
                            </w:pPr>
                            <w:r>
                              <w:t>Onze referentie</w:t>
                            </w:r>
                          </w:p>
                          <w:p w:rsidR="00C51AB9" w:rsidP="00C51AB9" w:rsidRDefault="00C51AB9" w14:paraId="2B12B764" w14:textId="77777777">
                            <w:pPr>
                              <w:pStyle w:val="Referentiegegevens-Huisstijl"/>
                            </w:pPr>
                            <w:r w:rsidRPr="009F3D43">
                              <w:t>MINDEF20260041123</w:t>
                            </w:r>
                          </w:p>
                          <w:p w:rsidR="00C51AB9" w:rsidP="00C51AB9" w:rsidRDefault="00C51AB9" w14:paraId="08125032" w14:textId="77777777">
                            <w:pPr>
                              <w:pStyle w:val="ReferentiegegevenskopW1-Huisstijl"/>
                            </w:pPr>
                            <w:r>
                              <w:t>Datum vaststelling</w:t>
                            </w:r>
                          </w:p>
                          <w:p w:rsidR="00C51AB9" w:rsidP="00C51AB9" w:rsidRDefault="00C51AB9" w14:paraId="419B51F9" w14:textId="77777777">
                            <w:pPr>
                              <w:pStyle w:val="Referentiegegevens-Huisstijl"/>
                            </w:pPr>
                            <w:r>
                              <w:t>8 juni 2026</w:t>
                            </w:r>
                          </w:p>
                          <w:p w:rsidR="00C51AB9" w:rsidP="00C51AB9" w:rsidRDefault="00C51AB9" w14:paraId="7EA4A60E" w14:textId="77777777">
                            <w:pPr>
                              <w:pStyle w:val="Algemenevoorwaarden-Huisstijl"/>
                            </w:pPr>
                            <w:r>
                              <w:t>Bij beantwoording, datum, onze referentie en onderwerp vermelden.</w:t>
                            </w:r>
                          </w:p>
                          <w:p w:rsidR="00C51AB9" w:rsidP="00C51AB9" w:rsidRDefault="00C51AB9" w14:paraId="0D8356CF" w14:textId="77777777">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w14:anchorId="7FC27BF5">
                <v:stroke joinstyle="miter"/>
                <v:path gradientshapeok="t" o:connecttype="rect"/>
              </v:shapetype>
              <v:shape id="Text Box 1" style="position:absolute;margin-left:475pt;margin-top:129.05pt;width:90.15pt;height:326.95pt;z-index:251659264;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">
                <v:textbox inset="0,0,0,0">
                  <w:txbxContent>
                    <w:p w:rsidR="00C51AB9" w:rsidP="00C51AB9" w:rsidRDefault="00C51AB9" w14:paraId="6A9ED77C" w14:textId="77777777">
                      <w:pPr>
                        <w:pStyle w:val="ReferentiegegevenskopW1-Huisstijl"/>
                        <w:spacing w:before="360"/>
                      </w:pPr>
                      <w:r>
                        <w:t>Ministerie van Defensie</w:t>
                      </w:r>
                    </w:p>
                    <w:p w:rsidR="00C51AB9" w:rsidP="00C51AB9" w:rsidRDefault="00C51AB9" w14:paraId="6ABDACCD" w14:textId="77777777">
                      <w:pPr>
                        <w:pStyle w:val="Referentiegegevens-Huisstijl"/>
                      </w:pPr>
                      <w:r>
                        <w:t>Plein 4</w:t>
                      </w:r>
                    </w:p>
                    <w:p w:rsidR="00C51AB9" w:rsidP="00C51AB9" w:rsidRDefault="00C51AB9" w14:paraId="099B1EE0" w14:textId="77777777">
                      <w:pPr>
                        <w:pStyle w:val="Referentiegegevens-Huisstijl"/>
                      </w:pPr>
                      <w:r>
                        <w:t>MPC 58 B</w:t>
                      </w:r>
                    </w:p>
                    <w:p w:rsidR="00C51AB9" w:rsidP="00C51AB9" w:rsidRDefault="00C51AB9" w14:paraId="1EFC2828" w14:textId="77777777">
                      <w:pPr>
                        <w:pStyle w:val="Referentiegegevens-Huisstijl"/>
                        <w:rPr>
                          <w:lang w:val="de-DE"/>
                        </w:rPr>
                      </w:pPr>
                      <w:r>
                        <w:rPr>
                          <w:lang w:val="de-DE"/>
                        </w:rPr>
                        <w:t>Postbus 20701</w:t>
                      </w:r>
                    </w:p>
                    <w:p w:rsidR="00C51AB9" w:rsidP="00C51AB9" w:rsidRDefault="00C51AB9" w14:paraId="4A9D4386" w14:textId="77777777">
                      <w:pPr>
                        <w:pStyle w:val="Referentiegegevens-Huisstijl"/>
                        <w:rPr>
                          <w:lang w:val="de-DE"/>
                        </w:rPr>
                      </w:pPr>
                      <w:r>
                        <w:rPr>
                          <w:lang w:val="de-DE"/>
                        </w:rPr>
                        <w:t>2500 ES Den Haag</w:t>
                      </w:r>
                    </w:p>
                    <w:p w:rsidR="00C51AB9" w:rsidP="00C51AB9" w:rsidRDefault="00C51AB9" w14:paraId="0E343FFA" w14:textId="77777777">
                      <w:pPr>
                        <w:pStyle w:val="Referentiegegevens-Huisstijl"/>
                        <w:rPr>
                          <w:lang w:val="de-DE"/>
                        </w:rPr>
                      </w:pPr>
                      <w:r>
                        <w:rPr>
                          <w:lang w:val="de-DE"/>
                        </w:rPr>
                        <w:t>www.defensie.nl</w:t>
                      </w:r>
                    </w:p>
                    <w:p w:rsidR="00C51AB9" w:rsidP="00C51AB9" w:rsidRDefault="00C51AB9" w14:paraId="05871A90" w14:textId="77777777">
                      <w:pPr>
                        <w:pStyle w:val="ReferentiegegevenskopW1-Huisstijl"/>
                        <w:spacing w:before="120"/>
                      </w:pPr>
                      <w:r>
                        <w:t>Onze referentie</w:t>
                      </w:r>
                    </w:p>
                    <w:p w:rsidR="00C51AB9" w:rsidP="00C51AB9" w:rsidRDefault="00C51AB9" w14:paraId="2B12B764" w14:textId="77777777">
                      <w:pPr>
                        <w:pStyle w:val="Referentiegegevens-Huisstijl"/>
                      </w:pPr>
                      <w:r w:rsidRPr="009F3D43">
                        <w:t>MINDEF20260041123</w:t>
                      </w:r>
                    </w:p>
                    <w:p w:rsidR="00C51AB9" w:rsidP="00C51AB9" w:rsidRDefault="00C51AB9" w14:paraId="08125032" w14:textId="77777777">
                      <w:pPr>
                        <w:pStyle w:val="ReferentiegegevenskopW1-Huisstijl"/>
                      </w:pPr>
                      <w:r>
                        <w:t>Datum vaststelling</w:t>
                      </w:r>
                    </w:p>
                    <w:p w:rsidR="00C51AB9" w:rsidP="00C51AB9" w:rsidRDefault="00C51AB9" w14:paraId="419B51F9" w14:textId="77777777">
                      <w:pPr>
                        <w:pStyle w:val="Referentiegegevens-Huisstijl"/>
                      </w:pPr>
                      <w:r>
                        <w:t>8 juni 2026</w:t>
                      </w:r>
                    </w:p>
                    <w:p w:rsidR="00C51AB9" w:rsidP="00C51AB9" w:rsidRDefault="00C51AB9" w14:paraId="7EA4A60E" w14:textId="77777777">
                      <w:pPr>
                        <w:pStyle w:val="Algemenevoorwaarden-Huisstijl"/>
                      </w:pPr>
                      <w:r>
                        <w:t>Bij beantwoording, datum, onze referentie en onderwerp vermelden.</w:t>
                      </w:r>
                    </w:p>
                    <w:p w:rsidR="00C51AB9" w:rsidP="00C51AB9" w:rsidRDefault="00C51AB9" w14:paraId="0D8356CF" w14:textId="77777777">
                      <w:pPr>
                        <w:pStyle w:val="Algemenevoorwaarden-Huisstijl"/>
                      </w:pPr>
                    </w:p>
                  </w:txbxContent>
                </v:textbox>
                <w10:wrap anchorx="page" anchory="page"/>
              </v:shape>
            </w:pict>
          </mc:Fallback>
        </mc:AlternateContent>
      </w:r>
    </w:p>
    <w:p w:rsidRPr="009A5615" w:rsidR="00C51AB9" w:rsidP="00C51AB9" w:rsidRDefault="00C51AB9" w14:paraId="19048043" w14:textId="77777777">
      <w:pPr>
        <w:spacing w:after="240"/>
        <w:rPr>
          <w:sz w:val="20"/>
          <w:szCs w:val="20"/>
        </w:rPr>
      </w:pPr>
    </w:p>
    <w:p w:rsidRPr="009A5615" w:rsidR="00C51AB9" w:rsidP="00C51AB9" w:rsidRDefault="00C51AB9" w14:paraId="5CB94681" w14:textId="77777777">
      <w:pPr>
        <w:spacing w:after="240"/>
        <w:rPr>
          <w:sz w:val="20"/>
          <w:szCs w:val="20"/>
        </w:rPr>
      </w:pPr>
      <w:r w:rsidRPr="009A5615">
        <w:rPr>
          <w:sz w:val="20"/>
          <w:szCs w:val="20"/>
        </w:rPr>
        <w:t>Geachte voorzitter,</w:t>
      </w:r>
    </w:p>
    <w:p w:rsidRPr="009A5615" w:rsidR="00C51AB9" w:rsidP="00C51AB9" w:rsidRDefault="00C51AB9" w14:paraId="4AD2BD98" w14:textId="77777777">
      <w:pPr>
        <w:rPr>
          <w:sz w:val="20"/>
          <w:szCs w:val="20"/>
        </w:rPr>
      </w:pPr>
      <w:r w:rsidRPr="009A5615">
        <w:rPr>
          <w:sz w:val="20"/>
          <w:szCs w:val="20"/>
        </w:rPr>
        <w:t xml:space="preserve">Hierbij stuur ik u, mede namens de staatssecretaris van Defensie, de antwoorden op feitelijke vragen </w:t>
      </w:r>
      <w:proofErr w:type="spellStart"/>
      <w:r w:rsidRPr="009A5615">
        <w:rPr>
          <w:sz w:val="20"/>
          <w:szCs w:val="20"/>
        </w:rPr>
        <w:t>Verantwoordingsdagstukken</w:t>
      </w:r>
      <w:proofErr w:type="spellEnd"/>
      <w:r w:rsidRPr="009A5615">
        <w:rPr>
          <w:sz w:val="20"/>
          <w:szCs w:val="20"/>
        </w:rPr>
        <w:t xml:space="preserve"> van het Ministerie van Defensie over het jaar 2025.</w:t>
      </w:r>
    </w:p>
    <w:p w:rsidRPr="009A5615" w:rsidR="00C51AB9" w:rsidP="00C51AB9" w:rsidRDefault="00C51AB9" w14:paraId="11C05E4B" w14:textId="77777777">
      <w:pPr>
        <w:spacing w:before="600" w:after="0"/>
        <w:rPr>
          <w:sz w:val="20"/>
          <w:szCs w:val="20"/>
        </w:rPr>
      </w:pPr>
      <w:r w:rsidRPr="009A5615">
        <w:rPr>
          <w:sz w:val="20"/>
          <w:szCs w:val="20"/>
        </w:rPr>
        <w:t>Hoogachtend,</w:t>
      </w:r>
    </w:p>
    <w:p w:rsidRPr="009A5615" w:rsidR="00C51AB9" w:rsidP="00C51AB9" w:rsidRDefault="00C51AB9" w14:paraId="1BEE1035" w14:textId="77777777">
      <w:pPr>
        <w:spacing w:before="120" w:after="0"/>
        <w:rPr>
          <w:sz w:val="20"/>
          <w:szCs w:val="20"/>
        </w:rPr>
      </w:pP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896"/>
        <w:gridCol w:w="4176"/>
      </w:tblGrid>
      <w:tr w:rsidRPr="009A5615" w:rsidR="00C51AB9" w:rsidTr="00D9135C" w14:paraId="61741D69" w14:textId="77777777">
        <w:tc>
          <w:tcPr>
            <w:tcW w:w="4962" w:type="dxa"/>
            <w:tcMar>
              <w:left w:w="0" w:type="dxa"/>
              <w:right w:w="0" w:type="dxa"/>
            </w:tcMar>
          </w:tcPr>
          <w:p w:rsidRPr="009A5615" w:rsidR="00C51AB9" w:rsidP="00D9135C" w:rsidRDefault="00C51AB9" w14:paraId="16F07422" w14:textId="77777777">
            <w:pPr>
              <w:spacing w:before="600" w:after="0"/>
              <w:rPr>
                <w:i/>
                <w:iCs/>
                <w:sz w:val="20"/>
                <w:szCs w:val="20"/>
              </w:rPr>
            </w:pPr>
            <w:r w:rsidRPr="009A5615">
              <w:rPr>
                <w:i/>
                <w:iCs/>
                <w:sz w:val="20"/>
                <w:szCs w:val="20"/>
              </w:rPr>
              <w:t>DE MINISTER VAN DEFENSIE</w:t>
            </w:r>
          </w:p>
          <w:p w:rsidRPr="009A5615" w:rsidR="00C51AB9" w:rsidP="00D9135C" w:rsidRDefault="00C51AB9" w14:paraId="21A3FCA4" w14:textId="77777777">
            <w:pPr>
              <w:spacing w:before="960" w:after="0"/>
              <w:rPr>
                <w:sz w:val="20"/>
                <w:szCs w:val="20"/>
              </w:rPr>
            </w:pPr>
            <w:proofErr w:type="spellStart"/>
            <w:r w:rsidRPr="009A5615">
              <w:rPr>
                <w:sz w:val="20"/>
                <w:szCs w:val="20"/>
              </w:rPr>
              <w:t>Dilan</w:t>
            </w:r>
            <w:proofErr w:type="spellEnd"/>
            <w:r w:rsidRPr="009A5615">
              <w:rPr>
                <w:sz w:val="20"/>
                <w:szCs w:val="20"/>
              </w:rPr>
              <w:t xml:space="preserve"> </w:t>
            </w:r>
            <w:proofErr w:type="spellStart"/>
            <w:r w:rsidRPr="009A5615">
              <w:rPr>
                <w:sz w:val="20"/>
                <w:szCs w:val="20"/>
              </w:rPr>
              <w:t>Yeşilgöz-Zegerius</w:t>
            </w:r>
            <w:proofErr w:type="spellEnd"/>
          </w:p>
        </w:tc>
        <w:tc>
          <w:tcPr>
            <w:tcW w:w="4211" w:type="dxa"/>
            <w:tcMar>
              <w:left w:w="0" w:type="dxa"/>
              <w:right w:w="0" w:type="dxa"/>
            </w:tcMar>
          </w:tcPr>
          <w:p w:rsidRPr="009A5615" w:rsidR="00C51AB9" w:rsidP="00D9135C" w:rsidRDefault="00C51AB9" w14:paraId="2B1FF393" w14:textId="77777777">
            <w:pPr>
              <w:spacing w:before="600" w:after="0"/>
              <w:rPr>
                <w:i/>
                <w:iCs/>
                <w:sz w:val="20"/>
                <w:szCs w:val="20"/>
              </w:rPr>
            </w:pPr>
            <w:r w:rsidRPr="009A5615">
              <w:rPr>
                <w:i/>
                <w:iCs/>
                <w:sz w:val="20"/>
                <w:szCs w:val="20"/>
              </w:rPr>
              <w:t>DE STAATSSECRETARIS VAN DEFENSIE</w:t>
            </w:r>
          </w:p>
          <w:p w:rsidRPr="009A5615" w:rsidR="00C51AB9" w:rsidP="00D9135C" w:rsidRDefault="00C51AB9" w14:paraId="03D019A2" w14:textId="77777777">
            <w:pPr>
              <w:spacing w:before="960"/>
              <w:rPr>
                <w:sz w:val="20"/>
                <w:szCs w:val="20"/>
              </w:rPr>
            </w:pPr>
            <w:r w:rsidRPr="009A5615">
              <w:rPr>
                <w:sz w:val="20"/>
                <w:szCs w:val="20"/>
              </w:rPr>
              <w:t xml:space="preserve">Derk </w:t>
            </w:r>
            <w:proofErr w:type="spellStart"/>
            <w:r w:rsidRPr="009A5615">
              <w:rPr>
                <w:sz w:val="20"/>
                <w:szCs w:val="20"/>
              </w:rPr>
              <w:t>Boswijk</w:t>
            </w:r>
            <w:proofErr w:type="spellEnd"/>
          </w:p>
        </w:tc>
      </w:tr>
    </w:tbl>
    <w:p w:rsidRPr="009A5615" w:rsidR="00C51AB9" w:rsidP="00C51AB9" w:rsidRDefault="00C51AB9" w14:paraId="3E9942E0" w14:textId="77777777">
      <w:pPr>
        <w:spacing w:before="600" w:after="0"/>
        <w:rPr>
          <w:i/>
          <w:sz w:val="20"/>
          <w:szCs w:val="20"/>
        </w:rPr>
      </w:pPr>
    </w:p>
    <w:p w:rsidRPr="009A5615" w:rsidR="00C51AB9" w:rsidP="00C51AB9" w:rsidRDefault="00C51AB9" w14:paraId="18A75D46" w14:textId="77777777">
      <w:pPr>
        <w:widowControl w:val="0"/>
        <w:spacing w:after="0" w:line="240" w:lineRule="auto"/>
        <w:rPr>
          <w:i/>
          <w:sz w:val="20"/>
          <w:szCs w:val="20"/>
        </w:rPr>
      </w:pPr>
      <w:r w:rsidRPr="009A5615">
        <w:rPr>
          <w:sz w:val="20"/>
          <w:szCs w:val="20"/>
        </w:rPr>
        <w:br w:type="page"/>
      </w:r>
    </w:p>
    <w:p w:rsidRPr="00B71D33" w:rsidR="00C51AB9" w:rsidP="00C51AB9" w:rsidRDefault="00C51AB9" w14:paraId="67B20E5C" w14:textId="77777777">
      <w:pPr>
        <w:pStyle w:val="Kop1"/>
        <w:rPr>
          <w:b/>
          <w:bCs/>
          <w:sz w:val="18"/>
          <w:szCs w:val="18"/>
          <w:u w:val="single"/>
        </w:rPr>
      </w:pPr>
      <w:r w:rsidRPr="00B71D33">
        <w:rPr>
          <w:b/>
          <w:bCs/>
          <w:sz w:val="18"/>
          <w:szCs w:val="18"/>
          <w:u w:val="single"/>
        </w:rPr>
        <w:lastRenderedPageBreak/>
        <w:t>Antwoorden op feitelijke vragen Jaarverslag ministerie van Defensie 2025 (36945-X, nr. 1).</w:t>
      </w:r>
    </w:p>
    <w:p w:rsidRPr="00B71D33" w:rsidR="00C51AB9" w:rsidP="00C51AB9" w:rsidRDefault="00C51AB9" w14:paraId="34DDC7A6" w14:textId="77777777">
      <w:pPr>
        <w:widowControl w:val="0"/>
        <w:spacing w:after="0" w:line="240" w:lineRule="auto"/>
        <w:rPr>
          <w:b/>
          <w:u w:val="single"/>
        </w:rPr>
      </w:pPr>
    </w:p>
    <w:p w:rsidRPr="00B71D33" w:rsidR="00C51AB9" w:rsidP="00C51AB9" w:rsidRDefault="00C51AB9" w14:paraId="3B40F82F" w14:textId="77777777">
      <w:pPr>
        <w:pStyle w:val="Lijstalinea"/>
        <w:widowControl w:val="0"/>
        <w:numPr>
          <w:ilvl w:val="0"/>
          <w:numId w:val="1"/>
        </w:numPr>
        <w:spacing w:after="0" w:line="240" w:lineRule="auto"/>
        <w:rPr>
          <w:b/>
          <w:bCs/>
        </w:rPr>
      </w:pPr>
      <w:r w:rsidRPr="00B71D33">
        <w:rPr>
          <w:b/>
          <w:bCs/>
        </w:rPr>
        <w:t>Welke concrete voortgang is in 2025 geboekt ten aanzien van de NAVO-capaciteitsdoelstellingen?</w:t>
      </w:r>
    </w:p>
    <w:p w:rsidRPr="00B71D33" w:rsidR="00C51AB9" w:rsidP="00C51AB9" w:rsidRDefault="00C51AB9" w14:paraId="467DE47D" w14:textId="77777777">
      <w:pPr>
        <w:tabs>
          <w:tab w:val="left" w:pos="1965"/>
        </w:tabs>
        <w:spacing w:after="0"/>
      </w:pPr>
      <w:r w:rsidRPr="00B71D33">
        <w:tab/>
      </w:r>
    </w:p>
    <w:p w:rsidRPr="00B71D33" w:rsidR="00C51AB9" w:rsidP="00C51AB9" w:rsidRDefault="00C51AB9" w14:paraId="66B358D6" w14:textId="77777777">
      <w:pPr>
        <w:ind w:left="340"/>
        <w:rPr>
          <w:lang w:eastAsia="en-US"/>
        </w:rPr>
      </w:pPr>
      <w:r w:rsidRPr="00B71D33">
        <w:rPr>
          <w:lang w:eastAsia="en-US"/>
        </w:rPr>
        <w:t>In 2025 heeft Nederland de financiële verplichtingen ten opzichte van de NAVO, a 2% van het BBP gehaald. Daarbij zijn nieuwe F35 gevechtsvliegtuigen aangeschaft, is voor additionele marineschepen de verwerving in gang gezet, is voor de landmacht een derde gevechtsbataljon opgericht en is de operationele gereedheid en cyber-weerbaarheid verder uitgeb</w:t>
      </w:r>
      <w:r>
        <w:rPr>
          <w:lang w:eastAsia="en-US"/>
        </w:rPr>
        <w:t>ouwd. Hierdoor zijn de Nederlandse</w:t>
      </w:r>
      <w:r w:rsidRPr="00B71D33">
        <w:rPr>
          <w:lang w:eastAsia="en-US"/>
        </w:rPr>
        <w:t xml:space="preserve"> bijdrage aan de collectieve NAVO-capaciteit toegenomen.</w:t>
      </w:r>
    </w:p>
    <w:p w:rsidRPr="00B71D33" w:rsidR="00C51AB9" w:rsidP="00C51AB9" w:rsidRDefault="00C51AB9" w14:paraId="09640A3F" w14:textId="77777777">
      <w:pPr>
        <w:ind w:left="340"/>
        <w:rPr>
          <w:lang w:eastAsia="en-US"/>
        </w:rPr>
      </w:pPr>
      <w:r w:rsidRPr="00B71D33">
        <w:rPr>
          <w:lang w:eastAsia="en-US"/>
        </w:rPr>
        <w:t xml:space="preserve">U bent eerder geïnformeerd over de tweejaarlijkse NATO </w:t>
      </w:r>
      <w:proofErr w:type="spellStart"/>
      <w:r w:rsidRPr="00B71D33">
        <w:rPr>
          <w:lang w:eastAsia="en-US"/>
        </w:rPr>
        <w:t>Defence</w:t>
      </w:r>
      <w:proofErr w:type="spellEnd"/>
      <w:r w:rsidRPr="00B71D33">
        <w:rPr>
          <w:lang w:eastAsia="en-US"/>
        </w:rPr>
        <w:t xml:space="preserve"> </w:t>
      </w:r>
      <w:proofErr w:type="spellStart"/>
      <w:r w:rsidRPr="00B71D33">
        <w:rPr>
          <w:lang w:eastAsia="en-US"/>
        </w:rPr>
        <w:t>Capability</w:t>
      </w:r>
      <w:proofErr w:type="spellEnd"/>
      <w:r w:rsidRPr="00B71D33">
        <w:rPr>
          <w:lang w:eastAsia="en-US"/>
        </w:rPr>
        <w:t xml:space="preserve"> Review</w:t>
      </w:r>
      <w:r>
        <w:rPr>
          <w:rStyle w:val="Voetnootmarkering"/>
          <w:lang w:eastAsia="en-US"/>
        </w:rPr>
        <w:footnoteReference w:id="1"/>
      </w:r>
      <w:r w:rsidRPr="00B71D33">
        <w:rPr>
          <w:lang w:eastAsia="en-US"/>
        </w:rPr>
        <w:t xml:space="preserve">. Hierin wordt de stand van de Nederlandse krijgsmacht getoetst aan de invulling van de </w:t>
      </w:r>
      <w:proofErr w:type="spellStart"/>
      <w:r w:rsidRPr="00B71D33">
        <w:rPr>
          <w:lang w:eastAsia="en-US"/>
        </w:rPr>
        <w:t>Capability</w:t>
      </w:r>
      <w:proofErr w:type="spellEnd"/>
      <w:r w:rsidRPr="00B71D33">
        <w:rPr>
          <w:lang w:eastAsia="en-US"/>
        </w:rPr>
        <w:t xml:space="preserve"> Targets 2025. De uitkomst van deze review is in het bijzijn van de bondgenoten met Nederland besproken. Na de bespreking volgt vanuit de internationale staf van NAVO de definitieve versie van het (deels vertrouwelijke) rapport. Een samenvatting van dit rapport wordt zoa</w:t>
      </w:r>
      <w:r>
        <w:rPr>
          <w:lang w:eastAsia="en-US"/>
        </w:rPr>
        <w:t>ls gebruikelijk gedeeld met uw K</w:t>
      </w:r>
      <w:r w:rsidRPr="00B71D33">
        <w:rPr>
          <w:lang w:eastAsia="en-US"/>
        </w:rPr>
        <w:t>amer, deze wordt verwacht na het zomerreces.</w:t>
      </w:r>
    </w:p>
    <w:p w:rsidRPr="00B71D33" w:rsidR="00C51AB9" w:rsidP="00C51AB9" w:rsidRDefault="00C51AB9" w14:paraId="5DE9DA11" w14:textId="77777777">
      <w:pPr>
        <w:widowControl w:val="0"/>
        <w:spacing w:after="0" w:line="240" w:lineRule="auto"/>
        <w:ind w:left="360"/>
        <w:rPr>
          <w:b/>
        </w:rPr>
      </w:pPr>
    </w:p>
    <w:p w:rsidRPr="00B71D33" w:rsidR="00C51AB9" w:rsidP="00C51AB9" w:rsidRDefault="00C51AB9" w14:paraId="6F5FAD71" w14:textId="77777777">
      <w:pPr>
        <w:pStyle w:val="Lijstalinea"/>
        <w:widowControl w:val="0"/>
        <w:numPr>
          <w:ilvl w:val="0"/>
          <w:numId w:val="1"/>
        </w:numPr>
        <w:spacing w:after="0" w:line="240" w:lineRule="auto"/>
        <w:rPr>
          <w:b/>
          <w:bCs/>
        </w:rPr>
      </w:pPr>
      <w:r w:rsidRPr="00B71D33">
        <w:rPr>
          <w:b/>
          <w:bCs/>
        </w:rPr>
        <w:t>Welke operationele capaciteiten hebben de laagste gereedheid?</w:t>
      </w:r>
    </w:p>
    <w:p w:rsidRPr="00B71D33" w:rsidR="00C51AB9" w:rsidP="00C51AB9" w:rsidRDefault="00C51AB9" w14:paraId="448DBE23" w14:textId="77777777">
      <w:pPr>
        <w:pStyle w:val="Lijstalinea"/>
        <w:widowControl w:val="0"/>
        <w:spacing w:after="0" w:line="240" w:lineRule="auto"/>
        <w:ind w:left="360"/>
        <w:rPr>
          <w:b/>
        </w:rPr>
      </w:pPr>
    </w:p>
    <w:p w:rsidRPr="00B71D33" w:rsidR="00C51AB9" w:rsidP="00C51AB9" w:rsidRDefault="00C51AB9" w14:paraId="0CC428BF" w14:textId="77777777">
      <w:pPr>
        <w:pStyle w:val="Lijstalinea"/>
        <w:widowControl w:val="0"/>
        <w:spacing w:after="0" w:line="240" w:lineRule="auto"/>
        <w:ind w:left="360"/>
        <w:rPr>
          <w:lang w:eastAsia="bg-BG"/>
        </w:rPr>
      </w:pPr>
      <w:r w:rsidRPr="00B71D33">
        <w:rPr>
          <w:lang w:eastAsia="bg-BG"/>
        </w:rPr>
        <w:t xml:space="preserve">De gespecificeerde informatie </w:t>
      </w:r>
      <w:proofErr w:type="gramStart"/>
      <w:r w:rsidRPr="00B71D33">
        <w:rPr>
          <w:lang w:eastAsia="bg-BG"/>
        </w:rPr>
        <w:t>aangaande</w:t>
      </w:r>
      <w:proofErr w:type="gramEnd"/>
      <w:r w:rsidRPr="00B71D33">
        <w:rPr>
          <w:lang w:eastAsia="bg-BG"/>
        </w:rPr>
        <w:t xml:space="preserve"> de operationele gereedheid is toegelicht in de vertrouwelijke bijlage van de ‘Stand van Defensie najaar 2025’</w:t>
      </w:r>
      <w:r>
        <w:rPr>
          <w:rStyle w:val="Voetnootmarkering"/>
          <w:lang w:eastAsia="bg-BG"/>
        </w:rPr>
        <w:footnoteReference w:id="2"/>
      </w:r>
      <w:r w:rsidRPr="00B71D33">
        <w:rPr>
          <w:lang w:eastAsia="bg-BG"/>
        </w:rPr>
        <w:t>.</w:t>
      </w:r>
    </w:p>
    <w:p w:rsidRPr="00B71D33" w:rsidR="00C51AB9" w:rsidP="00C51AB9" w:rsidRDefault="00C51AB9" w14:paraId="5C5BEDAB" w14:textId="77777777">
      <w:pPr>
        <w:pStyle w:val="Lijstalinea"/>
        <w:widowControl w:val="0"/>
        <w:spacing w:after="0" w:line="240" w:lineRule="auto"/>
        <w:ind w:left="360"/>
        <w:rPr>
          <w:b/>
        </w:rPr>
      </w:pPr>
    </w:p>
    <w:p w:rsidRPr="00B71D33" w:rsidR="00C51AB9" w:rsidP="00C51AB9" w:rsidRDefault="00C51AB9" w14:paraId="4DB9A17F" w14:textId="77777777">
      <w:pPr>
        <w:pStyle w:val="Lijstalinea"/>
        <w:widowControl w:val="0"/>
        <w:numPr>
          <w:ilvl w:val="0"/>
          <w:numId w:val="1"/>
        </w:numPr>
        <w:spacing w:after="0" w:line="240" w:lineRule="auto"/>
        <w:rPr>
          <w:b/>
          <w:bCs/>
        </w:rPr>
      </w:pPr>
      <w:r w:rsidRPr="00B71D33">
        <w:rPr>
          <w:b/>
          <w:bCs/>
        </w:rPr>
        <w:t xml:space="preserve">Hoeveel personeel was ultimo 2025 </w:t>
      </w:r>
      <w:proofErr w:type="spellStart"/>
      <w:r w:rsidRPr="00B71D33">
        <w:rPr>
          <w:b/>
          <w:bCs/>
        </w:rPr>
        <w:t>inzetgereed</w:t>
      </w:r>
      <w:proofErr w:type="spellEnd"/>
      <w:r w:rsidRPr="00B71D33">
        <w:rPr>
          <w:b/>
          <w:bCs/>
        </w:rPr>
        <w:t xml:space="preserve"> beschikbaar?</w:t>
      </w:r>
    </w:p>
    <w:p w:rsidRPr="00B71D33" w:rsidR="00C51AB9" w:rsidP="00C51AB9" w:rsidRDefault="00C51AB9" w14:paraId="65755FF3" w14:textId="77777777">
      <w:pPr>
        <w:widowControl w:val="0"/>
        <w:spacing w:after="0" w:line="240" w:lineRule="auto"/>
        <w:ind w:left="360"/>
        <w:rPr>
          <w:b/>
        </w:rPr>
      </w:pPr>
    </w:p>
    <w:p w:rsidRPr="00B71D33" w:rsidR="00C51AB9" w:rsidP="00C51AB9" w:rsidRDefault="00C51AB9" w14:paraId="62EECCCF" w14:textId="77777777">
      <w:pPr>
        <w:widowControl w:val="0"/>
        <w:spacing w:after="0" w:line="240" w:lineRule="auto"/>
        <w:ind w:left="360"/>
      </w:pPr>
      <w:r w:rsidRPr="00B71D33">
        <w:t xml:space="preserve">Ultimo 2025 beschikte Defensie over een personeelsbestand van </w:t>
      </w:r>
      <w:proofErr w:type="gramStart"/>
      <w:r w:rsidRPr="00B71D33">
        <w:t>circa</w:t>
      </w:r>
      <w:proofErr w:type="gramEnd"/>
      <w:r w:rsidRPr="00B71D33">
        <w:t xml:space="preserve"> 80.000 </w:t>
      </w:r>
      <w:proofErr w:type="spellStart"/>
      <w:r w:rsidRPr="00B71D33">
        <w:t>VTE’n</w:t>
      </w:r>
      <w:proofErr w:type="spellEnd"/>
      <w:r w:rsidRPr="00B71D33">
        <w:t xml:space="preserve">, verdeeld over </w:t>
      </w:r>
      <w:proofErr w:type="gramStart"/>
      <w:r w:rsidRPr="00B71D33">
        <w:t>circa</w:t>
      </w:r>
      <w:proofErr w:type="gramEnd"/>
      <w:r w:rsidRPr="00B71D33">
        <w:t xml:space="preserve"> 44.800 beroepsmilitairen, </w:t>
      </w:r>
      <w:proofErr w:type="gramStart"/>
      <w:r w:rsidRPr="00B71D33">
        <w:t>circa</w:t>
      </w:r>
      <w:proofErr w:type="gramEnd"/>
      <w:r w:rsidRPr="00B71D33">
        <w:t xml:space="preserve"> 9.300 reservisten en </w:t>
      </w:r>
      <w:proofErr w:type="gramStart"/>
      <w:r w:rsidRPr="00B71D33">
        <w:t>circa</w:t>
      </w:r>
      <w:proofErr w:type="gramEnd"/>
      <w:r w:rsidRPr="00B71D33">
        <w:t xml:space="preserve"> 25.800 burgermedewerkers. De kwalificatiegraad bedroeg </w:t>
      </w:r>
      <w:proofErr w:type="gramStart"/>
      <w:r w:rsidRPr="00B71D33">
        <w:t>circa</w:t>
      </w:r>
      <w:proofErr w:type="gramEnd"/>
      <w:r w:rsidRPr="00B71D33">
        <w:t xml:space="preserve"> 65%.</w:t>
      </w:r>
    </w:p>
    <w:p w:rsidRPr="00B71D33" w:rsidR="00C51AB9" w:rsidP="00C51AB9" w:rsidRDefault="00C51AB9" w14:paraId="7E3411BD" w14:textId="77777777">
      <w:pPr>
        <w:widowControl w:val="0"/>
        <w:spacing w:after="0" w:line="240" w:lineRule="auto"/>
        <w:ind w:left="360"/>
      </w:pPr>
    </w:p>
    <w:p w:rsidR="00C51AB9" w:rsidP="00C51AB9" w:rsidRDefault="00C51AB9" w14:paraId="2E99791F" w14:textId="77777777">
      <w:pPr>
        <w:widowControl w:val="0"/>
        <w:spacing w:after="0" w:line="240" w:lineRule="auto"/>
        <w:ind w:left="360"/>
      </w:pPr>
      <w:r w:rsidRPr="00B71D33">
        <w:t xml:space="preserve">Operationele gereedheid en inzetgereedheid worden niet alleen bepaald door personele gereedheid maar hangen </w:t>
      </w:r>
      <w:proofErr w:type="gramStart"/>
      <w:r w:rsidRPr="00B71D33">
        <w:t>tevens</w:t>
      </w:r>
      <w:proofErr w:type="gramEnd"/>
      <w:r w:rsidRPr="00B71D33">
        <w:t xml:space="preserve"> samen met materiële gereedheid en geoefendheid. Voor inzetgereedheid komt hier ook nog de opleiding bij ter voorbereiding op een missie. De genoemde aantallen geven daarom uitsluitend inzicht in de personele component van de gereedheid. Personeel dat daadwerkelijk wordt ingezet, beschikt over de voor de betreffende inzet vereiste missieopleiding.</w:t>
      </w:r>
    </w:p>
    <w:p w:rsidRPr="00B71D33" w:rsidR="00C51AB9" w:rsidP="00C51AB9" w:rsidRDefault="00C51AB9" w14:paraId="50C85EAC" w14:textId="77777777">
      <w:pPr>
        <w:widowControl w:val="0"/>
        <w:spacing w:after="0" w:line="240" w:lineRule="auto"/>
        <w:ind w:left="360"/>
        <w:rPr>
          <w:b/>
        </w:rPr>
      </w:pPr>
    </w:p>
    <w:p w:rsidRPr="00B71D33" w:rsidR="00C51AB9" w:rsidP="00C51AB9" w:rsidRDefault="00C51AB9" w14:paraId="31E4C01B" w14:textId="77777777">
      <w:pPr>
        <w:pStyle w:val="Lijstalinea"/>
        <w:widowControl w:val="0"/>
        <w:numPr>
          <w:ilvl w:val="0"/>
          <w:numId w:val="1"/>
        </w:numPr>
        <w:spacing w:after="0" w:line="240" w:lineRule="auto"/>
        <w:rPr>
          <w:b/>
          <w:bCs/>
        </w:rPr>
      </w:pPr>
      <w:r w:rsidRPr="00B71D33">
        <w:rPr>
          <w:b/>
          <w:bCs/>
        </w:rPr>
        <w:t>Welke lessen uit de oorlog in Oekraïne zijn in 2025 verwerkt in doctrine, opleiding en materieelverwerving?</w:t>
      </w:r>
    </w:p>
    <w:p w:rsidRPr="00B71D33" w:rsidR="00C51AB9" w:rsidP="00C51AB9" w:rsidRDefault="00C51AB9" w14:paraId="2FAA9A8F" w14:textId="77777777">
      <w:pPr>
        <w:pStyle w:val="Lijstalinea"/>
        <w:widowControl w:val="0"/>
        <w:spacing w:after="0" w:line="240" w:lineRule="auto"/>
        <w:ind w:left="360"/>
        <w:rPr>
          <w:b/>
        </w:rPr>
      </w:pPr>
    </w:p>
    <w:p w:rsidRPr="00B71D33" w:rsidR="00C51AB9" w:rsidP="00C51AB9" w:rsidRDefault="00C51AB9" w14:paraId="3EF8361E" w14:textId="77777777">
      <w:pPr>
        <w:pStyle w:val="Lijstalinea"/>
        <w:widowControl w:val="0"/>
        <w:spacing w:after="0" w:line="240" w:lineRule="auto"/>
        <w:ind w:left="360"/>
      </w:pPr>
      <w:r w:rsidRPr="00B71D33">
        <w:t xml:space="preserve">Defensie volgt de ontwikkelingen rond de inzet van o.a. </w:t>
      </w:r>
      <w:proofErr w:type="spellStart"/>
      <w:r w:rsidRPr="00B71D33">
        <w:t>onbemenste</w:t>
      </w:r>
      <w:proofErr w:type="spellEnd"/>
      <w:r w:rsidRPr="00B71D33">
        <w:t xml:space="preserve"> systemen en de wijze van </w:t>
      </w:r>
      <w:proofErr w:type="spellStart"/>
      <w:r w:rsidRPr="00B71D33">
        <w:t>command</w:t>
      </w:r>
      <w:proofErr w:type="spellEnd"/>
      <w:r w:rsidRPr="00B71D33">
        <w:t xml:space="preserve"> </w:t>
      </w:r>
      <w:proofErr w:type="spellStart"/>
      <w:r w:rsidRPr="00B71D33">
        <w:t>and</w:t>
      </w:r>
      <w:proofErr w:type="spellEnd"/>
      <w:r w:rsidRPr="00B71D33">
        <w:t xml:space="preserve"> control in Oekraïne nauwgezet en doet daar haar voordeel mee bij de inrichting van de krijgsmacht en de wijze waarop de krijgsmacht optreedt. Zo schaft Defensie bijvoorbeeld op grote schaal verschillende typen drones aan voor de oprichting van specifieke drone-eenheden bij de Koninklijke Landmacht. Daarnaast zijn observaties en lessen rondom deze ontwikkelingen belangrijke input bij het ontwikkelen van concepten en het beschrijven van onze wijze van optreden in doctrines</w:t>
      </w:r>
      <w:r>
        <w:t>.</w:t>
      </w:r>
    </w:p>
    <w:p w:rsidRPr="00B71D33" w:rsidR="00C51AB9" w:rsidP="00C51AB9" w:rsidRDefault="00C51AB9" w14:paraId="5340F264" w14:textId="77777777">
      <w:pPr>
        <w:pStyle w:val="Lijstalinea"/>
        <w:widowControl w:val="0"/>
        <w:spacing w:after="0" w:line="240" w:lineRule="auto"/>
        <w:ind w:left="360"/>
      </w:pPr>
    </w:p>
    <w:p w:rsidRPr="00B71D33" w:rsidR="00C51AB9" w:rsidP="00C51AB9" w:rsidRDefault="00C51AB9" w14:paraId="7D9FC9D4" w14:textId="77777777">
      <w:pPr>
        <w:pStyle w:val="Lijstalinea"/>
        <w:widowControl w:val="0"/>
        <w:spacing w:after="0" w:line="240" w:lineRule="auto"/>
        <w:ind w:left="360"/>
      </w:pPr>
      <w:r w:rsidRPr="00B71D33">
        <w:t>In 2025 zijn lessen uit de oorlog in Oekraïne verwerkt in de Nederlandse militaire opleidingen en trainingsprogramma’s. Daarbij ligt de nadruk op realistisch opleiden voor de uit te voeren taken, drone-oorlogsvoering, technologische en digitale vaardigheden en commandovoering onder hoge dreiging. Defensie past opleidings- en trainingsconcepten continu aan op basis van actuele ontwikkelingen. Daarnaast worden opleidingen waar mogelijk modulair ingericht en meer taakgericht aangeboden, zodat personeel sneller inzetbaar is voor de operationele taken die op dit moment worden gevraagd.</w:t>
      </w:r>
    </w:p>
    <w:p w:rsidRPr="00B71D33" w:rsidR="00C51AB9" w:rsidP="00C51AB9" w:rsidRDefault="00C51AB9" w14:paraId="760ED29B" w14:textId="77777777">
      <w:pPr>
        <w:widowControl w:val="0"/>
        <w:spacing w:after="0" w:line="240" w:lineRule="auto"/>
        <w:rPr>
          <w:b/>
        </w:rPr>
      </w:pPr>
    </w:p>
    <w:p w:rsidRPr="00B71D33" w:rsidR="00C51AB9" w:rsidP="00C51AB9" w:rsidRDefault="00C51AB9" w14:paraId="31B2899B" w14:textId="77777777">
      <w:pPr>
        <w:pStyle w:val="Lijstalinea"/>
        <w:widowControl w:val="0"/>
        <w:numPr>
          <w:ilvl w:val="0"/>
          <w:numId w:val="1"/>
        </w:numPr>
        <w:spacing w:after="0" w:line="240" w:lineRule="auto"/>
        <w:rPr>
          <w:b/>
          <w:bCs/>
        </w:rPr>
      </w:pPr>
      <w:r w:rsidRPr="00B71D33">
        <w:rPr>
          <w:b/>
          <w:bCs/>
        </w:rPr>
        <w:t>Welke concrete resultaten zijn zichtbaar op het gebied van Europese strategische autonomie?</w:t>
      </w:r>
    </w:p>
    <w:p w:rsidRPr="00B71D33" w:rsidR="00C51AB9" w:rsidP="00C51AB9" w:rsidRDefault="00C51AB9" w14:paraId="2955DE8B" w14:textId="77777777">
      <w:pPr>
        <w:pStyle w:val="Lijstalinea"/>
        <w:widowControl w:val="0"/>
        <w:spacing w:after="0" w:line="240" w:lineRule="auto"/>
        <w:ind w:left="360"/>
        <w:rPr>
          <w:b/>
          <w:highlight w:val="yellow"/>
        </w:rPr>
      </w:pPr>
    </w:p>
    <w:p w:rsidRPr="00B71D33" w:rsidR="00C51AB9" w:rsidP="00C51AB9" w:rsidRDefault="00C51AB9" w14:paraId="5E474F2A" w14:textId="77777777">
      <w:pPr>
        <w:ind w:left="340"/>
        <w:rPr>
          <w:rFonts w:cs="Mangal"/>
        </w:rPr>
      </w:pPr>
      <w:r w:rsidRPr="00B71D33">
        <w:rPr>
          <w:rFonts w:cs="Mangal"/>
        </w:rPr>
        <w:lastRenderedPageBreak/>
        <w:t>Nederland zet zich in Europa en de NAVO in voor een sterker Europa, dat meer verantwoordelijkheid neemt voor de eigen veiligheid. Europa en de Verenigde Staten staan samen het sterkst. Deze grote Europese verantwoordelijkheid is duidelijk zichtbaar in de sterk toenemende Europese defensie-investeringen en in wetgeving zoals</w:t>
      </w:r>
      <w:r>
        <w:rPr>
          <w:rFonts w:cs="Mangal"/>
        </w:rPr>
        <w:t xml:space="preserve"> de </w:t>
      </w:r>
      <w:proofErr w:type="spellStart"/>
      <w:r>
        <w:rPr>
          <w:rFonts w:cs="Mangal"/>
        </w:rPr>
        <w:t>Defence</w:t>
      </w:r>
      <w:proofErr w:type="spellEnd"/>
      <w:r>
        <w:rPr>
          <w:rFonts w:cs="Mangal"/>
        </w:rPr>
        <w:t xml:space="preserve"> Readiness Omnibus. </w:t>
      </w:r>
      <w:r w:rsidRPr="00B71D33">
        <w:rPr>
          <w:rFonts w:cs="Mangal"/>
        </w:rPr>
        <w:t xml:space="preserve">Nationaal zet Nederland stappen met de Wet Financiële Defensieverplichtingen, de Wet op de Defensiegereedheid en het Nationaal Programma Ruimte voor Defensie. Europa heeft ook negen gezamenlijke </w:t>
      </w:r>
      <w:proofErr w:type="spellStart"/>
      <w:r w:rsidRPr="00B71D33">
        <w:rPr>
          <w:rFonts w:cs="Mangal"/>
        </w:rPr>
        <w:t>capability</w:t>
      </w:r>
      <w:proofErr w:type="spellEnd"/>
      <w:r w:rsidRPr="00B71D33">
        <w:rPr>
          <w:rFonts w:cs="Mangal"/>
        </w:rPr>
        <w:t xml:space="preserve">-prioriteiten (Priority </w:t>
      </w:r>
      <w:proofErr w:type="spellStart"/>
      <w:r w:rsidRPr="00B71D33">
        <w:rPr>
          <w:rFonts w:cs="Mangal"/>
        </w:rPr>
        <w:t>Capability</w:t>
      </w:r>
      <w:proofErr w:type="spellEnd"/>
      <w:r w:rsidRPr="00B71D33">
        <w:rPr>
          <w:rFonts w:cs="Mangal"/>
        </w:rPr>
        <w:t xml:space="preserve"> </w:t>
      </w:r>
      <w:proofErr w:type="spellStart"/>
      <w:r w:rsidRPr="00B71D33">
        <w:rPr>
          <w:rFonts w:cs="Mangal"/>
        </w:rPr>
        <w:t>Areas</w:t>
      </w:r>
      <w:proofErr w:type="spellEnd"/>
      <w:r w:rsidRPr="00B71D33">
        <w:rPr>
          <w:rFonts w:cs="Mangal"/>
        </w:rPr>
        <w:t xml:space="preserve"> of ‘</w:t>
      </w:r>
      <w:proofErr w:type="spellStart"/>
      <w:r w:rsidRPr="00B71D33">
        <w:rPr>
          <w:rFonts w:cs="Mangal"/>
        </w:rPr>
        <w:t>PCA’s</w:t>
      </w:r>
      <w:proofErr w:type="spellEnd"/>
      <w:r w:rsidRPr="00B71D33">
        <w:rPr>
          <w:rFonts w:cs="Mangal"/>
        </w:rPr>
        <w:t xml:space="preserve">’) geïdentificeerd om Europese samenwerking te intensiveren. Nederland coördineert – samen met Letland, Kroatië, Spanje en Denemarken – de </w:t>
      </w:r>
      <w:proofErr w:type="gramStart"/>
      <w:r w:rsidRPr="00B71D33">
        <w:rPr>
          <w:rFonts w:cs="Mangal"/>
        </w:rPr>
        <w:t>PCA drones</w:t>
      </w:r>
      <w:proofErr w:type="gramEnd"/>
      <w:r w:rsidRPr="00B71D33">
        <w:rPr>
          <w:rFonts w:cs="Mangal"/>
        </w:rPr>
        <w:t xml:space="preserve"> en counter-drone systemen, waarbij Europese landen werken aan gezamenlijke aanschaf en een Europees netwerk van Drone Technology Hubs. Voor ontwikkelen van Europese </w:t>
      </w:r>
      <w:proofErr w:type="spellStart"/>
      <w:r w:rsidRPr="00B71D33">
        <w:rPr>
          <w:rFonts w:cs="Mangal"/>
        </w:rPr>
        <w:t>Deep</w:t>
      </w:r>
      <w:proofErr w:type="spellEnd"/>
      <w:r w:rsidRPr="00B71D33">
        <w:rPr>
          <w:rFonts w:cs="Mangal"/>
        </w:rPr>
        <w:t xml:space="preserve"> Precision Strike capaciteiten hebben Europese landen het zogenaamde European Long Range Strike Approach (ELSA) initiatief opgericht. </w:t>
      </w:r>
    </w:p>
    <w:p w:rsidRPr="00B71D33" w:rsidR="00C51AB9" w:rsidP="00C51AB9" w:rsidRDefault="00C51AB9" w14:paraId="70B4E1D6" w14:textId="77777777">
      <w:pPr>
        <w:ind w:left="340"/>
        <w:rPr>
          <w:rFonts w:cs="Mangal"/>
        </w:rPr>
      </w:pPr>
      <w:r w:rsidRPr="00B71D33">
        <w:rPr>
          <w:rFonts w:cs="Mangal"/>
        </w:rPr>
        <w:t xml:space="preserve">Oekraïne vecht voor onze vrijheid. De significante Europese en Nederlandse steun aan Oekraïne draagt daarom ook bij aan onze vrijheid. Europa heeft deze steun sterk opgeschroefd, recentelijk onder andere via de Ukraine Support </w:t>
      </w:r>
      <w:proofErr w:type="spellStart"/>
      <w:r w:rsidRPr="00B71D33">
        <w:rPr>
          <w:rFonts w:cs="Mangal"/>
        </w:rPr>
        <w:t>Loan</w:t>
      </w:r>
      <w:proofErr w:type="spellEnd"/>
      <w:r w:rsidRPr="00B71D33">
        <w:rPr>
          <w:rFonts w:cs="Mangal"/>
        </w:rPr>
        <w:t>. Nederland trekt ook veel lessen uit het conflict in Oekraïne, die direct bijdragen aan de versterking van de krijgsmacht zoals bij het antwoord op vraag vier nader is toegelicht.</w:t>
      </w:r>
    </w:p>
    <w:p w:rsidRPr="00B71D33" w:rsidR="00C51AB9" w:rsidP="00C51AB9" w:rsidRDefault="00C51AB9" w14:paraId="6648B7F1" w14:textId="77777777">
      <w:pPr>
        <w:widowControl w:val="0"/>
        <w:spacing w:after="0" w:line="240" w:lineRule="auto"/>
        <w:rPr>
          <w:rFonts w:cs="Mangal"/>
          <w:b/>
        </w:rPr>
      </w:pPr>
    </w:p>
    <w:p w:rsidRPr="00B71D33" w:rsidR="00C51AB9" w:rsidP="00C51AB9" w:rsidRDefault="00C51AB9" w14:paraId="0EC5734B" w14:textId="77777777">
      <w:pPr>
        <w:pStyle w:val="Lijstalinea"/>
        <w:widowControl w:val="0"/>
        <w:numPr>
          <w:ilvl w:val="0"/>
          <w:numId w:val="1"/>
        </w:numPr>
        <w:spacing w:after="0" w:line="240" w:lineRule="auto"/>
        <w:rPr>
          <w:b/>
          <w:bCs/>
        </w:rPr>
      </w:pPr>
      <w:r w:rsidRPr="00B71D33">
        <w:rPr>
          <w:b/>
          <w:bCs/>
        </w:rPr>
        <w:t>Welk percentage van het bruto binnenlands product verwacht het kabinet in de periode 2026–2030 jaarlijks aan Defensie te besteden?</w:t>
      </w:r>
    </w:p>
    <w:p w:rsidRPr="00B71D33" w:rsidR="00C51AB9" w:rsidP="00C51AB9" w:rsidRDefault="00C51AB9" w14:paraId="47E4B673" w14:textId="77777777">
      <w:pPr>
        <w:pStyle w:val="Lijstalinea"/>
        <w:rPr>
          <w:b/>
        </w:rPr>
      </w:pPr>
    </w:p>
    <w:p w:rsidRPr="00B71D33" w:rsidR="00C51AB9" w:rsidP="00C51AB9" w:rsidRDefault="00C51AB9" w14:paraId="2C382814" w14:textId="77777777">
      <w:pPr>
        <w:ind w:left="340"/>
        <w:rPr>
          <w:rFonts w:cs="Mangal"/>
        </w:rPr>
      </w:pPr>
      <w:r w:rsidRPr="00B71D33">
        <w:rPr>
          <w:rFonts w:cs="Mangal"/>
        </w:rPr>
        <w:t xml:space="preserve">Zoals ook </w:t>
      </w:r>
      <w:proofErr w:type="gramStart"/>
      <w:r w:rsidRPr="00B71D33">
        <w:rPr>
          <w:rFonts w:cs="Mangal"/>
        </w:rPr>
        <w:t>reeds</w:t>
      </w:r>
      <w:proofErr w:type="gramEnd"/>
      <w:r w:rsidRPr="00B71D33">
        <w:rPr>
          <w:rFonts w:cs="Mangal"/>
        </w:rPr>
        <w:t xml:space="preserve"> gemeld in de feitelijke vragen bij de Voorjaarsnota 2026, toont tabel 1 de NAVO-uitgaven op de Rijksbegroting voor de jaren 2026-2030 (stand Voorjaarsnota 2026) in miljarden euro en in percentage van het bbp op basis van het Centraal Economisch Plan 2026. Het kabinet intensiveert structureel 19,3 mld. euro in de krijgsmacht. Hiermee groeien de Nederlandse NAVO-uitgaven naar 2,8% van het bbp in 2030 en naar 3,5% van het bbp vanaf 2035.</w:t>
      </w:r>
    </w:p>
    <w:p w:rsidRPr="00B71D33" w:rsidR="00C51AB9" w:rsidP="00C51AB9" w:rsidRDefault="00C51AB9" w14:paraId="016659FE" w14:textId="77777777">
      <w:pPr>
        <w:ind w:left="170" w:firstLine="170"/>
        <w:rPr>
          <w:rFonts w:cs="Mangal"/>
          <w:i/>
          <w:iCs/>
        </w:rPr>
      </w:pPr>
      <w:r w:rsidRPr="00B71D33">
        <w:rPr>
          <w:rFonts w:cs="Mangal"/>
          <w:i/>
          <w:iCs/>
        </w:rPr>
        <w:t>Tabel 1: NAVO-uitgaven in miljarden euro en percentage van het bbp</w:t>
      </w:r>
    </w:p>
    <w:tbl>
      <w:tblPr>
        <w:tblStyle w:val="Tabelraster"/>
        <w:tblW w:w="8788" w:type="dxa"/>
        <w:tblInd w:w="421" w:type="dxa"/>
        <w:tblLook w:val="04A0" w:firstRow="1" w:lastRow="0" w:firstColumn="1" w:lastColumn="0" w:noHBand="0" w:noVBand="1"/>
      </w:tblPr>
      <w:tblGrid>
        <w:gridCol w:w="4432"/>
        <w:gridCol w:w="871"/>
        <w:gridCol w:w="871"/>
        <w:gridCol w:w="871"/>
        <w:gridCol w:w="871"/>
        <w:gridCol w:w="872"/>
      </w:tblGrid>
      <w:tr w:rsidRPr="00B71D33" w:rsidR="00C51AB9" w:rsidTr="00D9135C" w14:paraId="79636F45" w14:textId="77777777">
        <w:tc>
          <w:tcPr>
            <w:tcW w:w="4432" w:type="dxa"/>
            <w:tcBorders>
              <w:top w:val="single" w:color="auto" w:sz="4" w:space="0"/>
              <w:left w:val="single" w:color="auto" w:sz="4" w:space="0"/>
              <w:bottom w:val="single" w:color="auto" w:sz="4" w:space="0"/>
              <w:right w:val="single" w:color="auto" w:sz="4" w:space="0"/>
            </w:tcBorders>
          </w:tcPr>
          <w:p w:rsidRPr="00B71D33" w:rsidR="00C51AB9" w:rsidP="00D9135C" w:rsidRDefault="00C51AB9" w14:paraId="4E9706C4" w14:textId="77777777">
            <w:pPr>
              <w:rPr>
                <w:rFonts w:cs="Mangal"/>
              </w:rPr>
            </w:pPr>
          </w:p>
        </w:tc>
        <w:tc>
          <w:tcPr>
            <w:tcW w:w="871" w:type="dxa"/>
            <w:tcBorders>
              <w:top w:val="single" w:color="auto" w:sz="4" w:space="0"/>
              <w:left w:val="single" w:color="auto" w:sz="4" w:space="0"/>
              <w:bottom w:val="single" w:color="auto" w:sz="4" w:space="0"/>
              <w:right w:val="single" w:color="auto" w:sz="4" w:space="0"/>
            </w:tcBorders>
          </w:tcPr>
          <w:p w:rsidRPr="00B71D33" w:rsidR="00C51AB9" w:rsidP="00D9135C" w:rsidRDefault="00C51AB9" w14:paraId="12EB6E77" w14:textId="77777777">
            <w:pPr>
              <w:jc w:val="center"/>
              <w:rPr>
                <w:rFonts w:cs="Mangal"/>
                <w:b/>
                <w:bCs/>
              </w:rPr>
            </w:pPr>
            <w:r w:rsidRPr="00B71D33">
              <w:rPr>
                <w:rFonts w:cs="Mangal"/>
                <w:b/>
                <w:bCs/>
              </w:rPr>
              <w:t>2026</w:t>
            </w:r>
          </w:p>
        </w:tc>
        <w:tc>
          <w:tcPr>
            <w:tcW w:w="871" w:type="dxa"/>
            <w:tcBorders>
              <w:top w:val="single" w:color="auto" w:sz="4" w:space="0"/>
              <w:left w:val="single" w:color="auto" w:sz="4" w:space="0"/>
              <w:bottom w:val="single" w:color="auto" w:sz="4" w:space="0"/>
              <w:right w:val="single" w:color="auto" w:sz="4" w:space="0"/>
            </w:tcBorders>
          </w:tcPr>
          <w:p w:rsidRPr="00B71D33" w:rsidR="00C51AB9" w:rsidP="00D9135C" w:rsidRDefault="00C51AB9" w14:paraId="6CF98154" w14:textId="77777777">
            <w:pPr>
              <w:jc w:val="center"/>
              <w:rPr>
                <w:rFonts w:cs="Mangal"/>
                <w:b/>
                <w:bCs/>
              </w:rPr>
            </w:pPr>
            <w:r w:rsidRPr="00B71D33">
              <w:rPr>
                <w:rFonts w:cs="Mangal"/>
                <w:b/>
                <w:bCs/>
              </w:rPr>
              <w:t>2027</w:t>
            </w:r>
          </w:p>
        </w:tc>
        <w:tc>
          <w:tcPr>
            <w:tcW w:w="871" w:type="dxa"/>
            <w:tcBorders>
              <w:top w:val="single" w:color="auto" w:sz="4" w:space="0"/>
              <w:left w:val="single" w:color="auto" w:sz="4" w:space="0"/>
              <w:bottom w:val="single" w:color="auto" w:sz="4" w:space="0"/>
              <w:right w:val="single" w:color="auto" w:sz="4" w:space="0"/>
            </w:tcBorders>
          </w:tcPr>
          <w:p w:rsidRPr="00B71D33" w:rsidR="00C51AB9" w:rsidP="00D9135C" w:rsidRDefault="00C51AB9" w14:paraId="3AE352E6" w14:textId="77777777">
            <w:pPr>
              <w:jc w:val="center"/>
              <w:rPr>
                <w:rFonts w:cs="Mangal"/>
                <w:b/>
                <w:bCs/>
              </w:rPr>
            </w:pPr>
            <w:r w:rsidRPr="00B71D33">
              <w:rPr>
                <w:rFonts w:cs="Mangal"/>
                <w:b/>
                <w:bCs/>
              </w:rPr>
              <w:t>2028</w:t>
            </w:r>
          </w:p>
        </w:tc>
        <w:tc>
          <w:tcPr>
            <w:tcW w:w="871" w:type="dxa"/>
            <w:tcBorders>
              <w:top w:val="single" w:color="auto" w:sz="4" w:space="0"/>
              <w:left w:val="single" w:color="auto" w:sz="4" w:space="0"/>
              <w:bottom w:val="single" w:color="auto" w:sz="4" w:space="0"/>
              <w:right w:val="single" w:color="auto" w:sz="4" w:space="0"/>
            </w:tcBorders>
          </w:tcPr>
          <w:p w:rsidRPr="00B71D33" w:rsidR="00C51AB9" w:rsidP="00D9135C" w:rsidRDefault="00C51AB9" w14:paraId="3DF0243C" w14:textId="77777777">
            <w:pPr>
              <w:jc w:val="center"/>
              <w:rPr>
                <w:rFonts w:cs="Mangal"/>
                <w:b/>
                <w:bCs/>
              </w:rPr>
            </w:pPr>
            <w:r w:rsidRPr="00B71D33">
              <w:rPr>
                <w:rFonts w:cs="Mangal"/>
                <w:b/>
                <w:bCs/>
              </w:rPr>
              <w:t>2029</w:t>
            </w:r>
          </w:p>
        </w:tc>
        <w:tc>
          <w:tcPr>
            <w:tcW w:w="872" w:type="dxa"/>
            <w:tcBorders>
              <w:top w:val="single" w:color="auto" w:sz="4" w:space="0"/>
              <w:left w:val="single" w:color="auto" w:sz="4" w:space="0"/>
              <w:bottom w:val="single" w:color="auto" w:sz="4" w:space="0"/>
              <w:right w:val="single" w:color="auto" w:sz="4" w:space="0"/>
            </w:tcBorders>
          </w:tcPr>
          <w:p w:rsidRPr="00B71D33" w:rsidR="00C51AB9" w:rsidP="00D9135C" w:rsidRDefault="00C51AB9" w14:paraId="40AAF41A" w14:textId="77777777">
            <w:pPr>
              <w:jc w:val="center"/>
              <w:rPr>
                <w:rFonts w:cs="Mangal"/>
                <w:b/>
                <w:bCs/>
              </w:rPr>
            </w:pPr>
            <w:r w:rsidRPr="00B71D33">
              <w:rPr>
                <w:rFonts w:cs="Mangal"/>
                <w:b/>
                <w:bCs/>
              </w:rPr>
              <w:t>2030</w:t>
            </w:r>
          </w:p>
        </w:tc>
      </w:tr>
      <w:tr w:rsidRPr="00B71D33" w:rsidR="00C51AB9" w:rsidTr="00D9135C" w14:paraId="54C09A8D" w14:textId="77777777">
        <w:tc>
          <w:tcPr>
            <w:tcW w:w="4432" w:type="dxa"/>
            <w:tcBorders>
              <w:top w:val="single" w:color="auto" w:sz="4" w:space="0"/>
              <w:left w:val="single" w:color="auto" w:sz="4" w:space="0"/>
              <w:bottom w:val="single" w:color="auto" w:sz="4" w:space="0"/>
              <w:right w:val="single" w:color="auto" w:sz="4" w:space="0"/>
            </w:tcBorders>
          </w:tcPr>
          <w:p w:rsidRPr="00B71D33" w:rsidR="00C51AB9" w:rsidP="00D9135C" w:rsidRDefault="00C51AB9" w14:paraId="76B0A47F" w14:textId="77777777">
            <w:pPr>
              <w:rPr>
                <w:rFonts w:cs="Mangal"/>
              </w:rPr>
            </w:pPr>
            <w:r w:rsidRPr="00B71D33">
              <w:rPr>
                <w:rFonts w:cs="Mangal"/>
              </w:rPr>
              <w:t>NAVO-toerekenbare uitgaven (miljarden euro)</w:t>
            </w:r>
          </w:p>
        </w:tc>
        <w:tc>
          <w:tcPr>
            <w:tcW w:w="871" w:type="dxa"/>
            <w:tcBorders>
              <w:top w:val="single" w:color="auto" w:sz="4" w:space="0"/>
              <w:left w:val="single" w:color="auto" w:sz="4" w:space="0"/>
              <w:bottom w:val="single" w:color="auto" w:sz="4" w:space="0"/>
              <w:right w:val="single" w:color="auto" w:sz="4" w:space="0"/>
            </w:tcBorders>
          </w:tcPr>
          <w:p w:rsidRPr="00B71D33" w:rsidR="00C51AB9" w:rsidP="00D9135C" w:rsidRDefault="00C51AB9" w14:paraId="71A394D8" w14:textId="77777777">
            <w:pPr>
              <w:jc w:val="center"/>
              <w:rPr>
                <w:rFonts w:cs="Mangal"/>
              </w:rPr>
            </w:pPr>
            <w:r w:rsidRPr="00B71D33">
              <w:rPr>
                <w:rFonts w:cs="Mangal"/>
              </w:rPr>
              <w:t>27,9</w:t>
            </w:r>
          </w:p>
        </w:tc>
        <w:tc>
          <w:tcPr>
            <w:tcW w:w="871" w:type="dxa"/>
            <w:tcBorders>
              <w:top w:val="single" w:color="auto" w:sz="4" w:space="0"/>
              <w:left w:val="single" w:color="auto" w:sz="4" w:space="0"/>
              <w:bottom w:val="single" w:color="auto" w:sz="4" w:space="0"/>
              <w:right w:val="single" w:color="auto" w:sz="4" w:space="0"/>
            </w:tcBorders>
          </w:tcPr>
          <w:p w:rsidRPr="00B71D33" w:rsidR="00C51AB9" w:rsidP="00D9135C" w:rsidRDefault="00C51AB9" w14:paraId="2B921449" w14:textId="77777777">
            <w:pPr>
              <w:jc w:val="center"/>
              <w:rPr>
                <w:rFonts w:cs="Mangal"/>
              </w:rPr>
            </w:pPr>
            <w:r w:rsidRPr="00B71D33">
              <w:rPr>
                <w:rFonts w:cs="Mangal"/>
              </w:rPr>
              <w:t>30,3</w:t>
            </w:r>
          </w:p>
        </w:tc>
        <w:tc>
          <w:tcPr>
            <w:tcW w:w="871" w:type="dxa"/>
            <w:tcBorders>
              <w:top w:val="single" w:color="auto" w:sz="4" w:space="0"/>
              <w:left w:val="single" w:color="auto" w:sz="4" w:space="0"/>
              <w:bottom w:val="single" w:color="auto" w:sz="4" w:space="0"/>
              <w:right w:val="single" w:color="auto" w:sz="4" w:space="0"/>
            </w:tcBorders>
          </w:tcPr>
          <w:p w:rsidRPr="00B71D33" w:rsidR="00C51AB9" w:rsidP="00D9135C" w:rsidRDefault="00C51AB9" w14:paraId="1E210B10" w14:textId="77777777">
            <w:pPr>
              <w:jc w:val="center"/>
              <w:rPr>
                <w:rFonts w:cs="Mangal"/>
              </w:rPr>
            </w:pPr>
            <w:r w:rsidRPr="00B71D33">
              <w:rPr>
                <w:rFonts w:cs="Mangal"/>
              </w:rPr>
              <w:t>35,8</w:t>
            </w:r>
          </w:p>
        </w:tc>
        <w:tc>
          <w:tcPr>
            <w:tcW w:w="871" w:type="dxa"/>
            <w:tcBorders>
              <w:top w:val="single" w:color="auto" w:sz="4" w:space="0"/>
              <w:left w:val="single" w:color="auto" w:sz="4" w:space="0"/>
              <w:bottom w:val="single" w:color="auto" w:sz="4" w:space="0"/>
              <w:right w:val="single" w:color="auto" w:sz="4" w:space="0"/>
            </w:tcBorders>
          </w:tcPr>
          <w:p w:rsidRPr="00B71D33" w:rsidR="00C51AB9" w:rsidP="00D9135C" w:rsidRDefault="00C51AB9" w14:paraId="74B236C8" w14:textId="77777777">
            <w:pPr>
              <w:jc w:val="center"/>
              <w:rPr>
                <w:rFonts w:cs="Mangal"/>
              </w:rPr>
            </w:pPr>
            <w:r w:rsidRPr="00B71D33">
              <w:rPr>
                <w:rFonts w:cs="Mangal"/>
              </w:rPr>
              <w:t>39,0</w:t>
            </w:r>
          </w:p>
        </w:tc>
        <w:tc>
          <w:tcPr>
            <w:tcW w:w="872" w:type="dxa"/>
            <w:tcBorders>
              <w:top w:val="single" w:color="auto" w:sz="4" w:space="0"/>
              <w:left w:val="single" w:color="auto" w:sz="4" w:space="0"/>
              <w:bottom w:val="single" w:color="auto" w:sz="4" w:space="0"/>
              <w:right w:val="single" w:color="auto" w:sz="4" w:space="0"/>
            </w:tcBorders>
          </w:tcPr>
          <w:p w:rsidRPr="00B71D33" w:rsidR="00C51AB9" w:rsidP="00D9135C" w:rsidRDefault="00C51AB9" w14:paraId="73EC8BEB" w14:textId="77777777">
            <w:pPr>
              <w:jc w:val="center"/>
              <w:rPr>
                <w:rFonts w:cs="Mangal"/>
              </w:rPr>
            </w:pPr>
            <w:r w:rsidRPr="00B71D33">
              <w:rPr>
                <w:rFonts w:cs="Mangal"/>
              </w:rPr>
              <w:t>40,6</w:t>
            </w:r>
          </w:p>
        </w:tc>
      </w:tr>
      <w:tr w:rsidRPr="00B71D33" w:rsidR="00C51AB9" w:rsidTr="00D9135C" w14:paraId="6CC4A360" w14:textId="77777777">
        <w:tc>
          <w:tcPr>
            <w:tcW w:w="4432" w:type="dxa"/>
            <w:tcBorders>
              <w:top w:val="single" w:color="auto" w:sz="4" w:space="0"/>
              <w:left w:val="single" w:color="auto" w:sz="4" w:space="0"/>
              <w:bottom w:val="single" w:color="auto" w:sz="4" w:space="0"/>
              <w:right w:val="single" w:color="auto" w:sz="4" w:space="0"/>
            </w:tcBorders>
          </w:tcPr>
          <w:p w:rsidRPr="00B71D33" w:rsidR="00C51AB9" w:rsidP="00D9135C" w:rsidRDefault="00C51AB9" w14:paraId="7BF5E783" w14:textId="77777777">
            <w:pPr>
              <w:rPr>
                <w:rFonts w:cs="Mangal"/>
              </w:rPr>
            </w:pPr>
            <w:r w:rsidRPr="00B71D33">
              <w:rPr>
                <w:rFonts w:cs="Mangal"/>
              </w:rPr>
              <w:t>NAVO-toerekenbare uitgaven (in % bbp)</w:t>
            </w:r>
          </w:p>
        </w:tc>
        <w:tc>
          <w:tcPr>
            <w:tcW w:w="871" w:type="dxa"/>
            <w:tcBorders>
              <w:top w:val="single" w:color="auto" w:sz="4" w:space="0"/>
              <w:left w:val="single" w:color="auto" w:sz="4" w:space="0"/>
              <w:bottom w:val="single" w:color="auto" w:sz="4" w:space="0"/>
              <w:right w:val="single" w:color="auto" w:sz="4" w:space="0"/>
            </w:tcBorders>
          </w:tcPr>
          <w:p w:rsidRPr="00B71D33" w:rsidR="00C51AB9" w:rsidP="00D9135C" w:rsidRDefault="00C51AB9" w14:paraId="23BF9A0E" w14:textId="77777777">
            <w:pPr>
              <w:jc w:val="center"/>
              <w:rPr>
                <w:rFonts w:cs="Mangal"/>
              </w:rPr>
            </w:pPr>
            <w:r w:rsidRPr="00B71D33">
              <w:rPr>
                <w:rFonts w:cs="Mangal"/>
              </w:rPr>
              <w:t>2,3</w:t>
            </w:r>
          </w:p>
        </w:tc>
        <w:tc>
          <w:tcPr>
            <w:tcW w:w="871" w:type="dxa"/>
            <w:tcBorders>
              <w:top w:val="single" w:color="auto" w:sz="4" w:space="0"/>
              <w:left w:val="single" w:color="auto" w:sz="4" w:space="0"/>
              <w:bottom w:val="single" w:color="auto" w:sz="4" w:space="0"/>
              <w:right w:val="single" w:color="auto" w:sz="4" w:space="0"/>
            </w:tcBorders>
          </w:tcPr>
          <w:p w:rsidRPr="00B71D33" w:rsidR="00C51AB9" w:rsidP="00D9135C" w:rsidRDefault="00C51AB9" w14:paraId="0885E288" w14:textId="77777777">
            <w:pPr>
              <w:jc w:val="center"/>
              <w:rPr>
                <w:rFonts w:cs="Mangal"/>
              </w:rPr>
            </w:pPr>
            <w:r w:rsidRPr="00B71D33">
              <w:rPr>
                <w:rFonts w:cs="Mangal"/>
              </w:rPr>
              <w:t>2,4</w:t>
            </w:r>
          </w:p>
        </w:tc>
        <w:tc>
          <w:tcPr>
            <w:tcW w:w="871" w:type="dxa"/>
            <w:tcBorders>
              <w:top w:val="single" w:color="auto" w:sz="4" w:space="0"/>
              <w:left w:val="single" w:color="auto" w:sz="4" w:space="0"/>
              <w:bottom w:val="single" w:color="auto" w:sz="4" w:space="0"/>
              <w:right w:val="single" w:color="auto" w:sz="4" w:space="0"/>
            </w:tcBorders>
          </w:tcPr>
          <w:p w:rsidRPr="00B71D33" w:rsidR="00C51AB9" w:rsidP="00D9135C" w:rsidRDefault="00C51AB9" w14:paraId="13502DE9" w14:textId="77777777">
            <w:pPr>
              <w:jc w:val="center"/>
              <w:rPr>
                <w:rFonts w:cs="Mangal"/>
              </w:rPr>
            </w:pPr>
            <w:r w:rsidRPr="00B71D33">
              <w:rPr>
                <w:rFonts w:cs="Mangal"/>
              </w:rPr>
              <w:t>2,7</w:t>
            </w:r>
          </w:p>
        </w:tc>
        <w:tc>
          <w:tcPr>
            <w:tcW w:w="871" w:type="dxa"/>
            <w:tcBorders>
              <w:top w:val="single" w:color="auto" w:sz="4" w:space="0"/>
              <w:left w:val="single" w:color="auto" w:sz="4" w:space="0"/>
              <w:bottom w:val="single" w:color="auto" w:sz="4" w:space="0"/>
              <w:right w:val="single" w:color="auto" w:sz="4" w:space="0"/>
            </w:tcBorders>
          </w:tcPr>
          <w:p w:rsidRPr="00B71D33" w:rsidR="00C51AB9" w:rsidP="00D9135C" w:rsidRDefault="00C51AB9" w14:paraId="05FE0775" w14:textId="77777777">
            <w:pPr>
              <w:jc w:val="center"/>
              <w:rPr>
                <w:rFonts w:cs="Mangal"/>
              </w:rPr>
            </w:pPr>
            <w:r w:rsidRPr="00B71D33">
              <w:rPr>
                <w:rFonts w:cs="Mangal"/>
              </w:rPr>
              <w:t>2,8</w:t>
            </w:r>
          </w:p>
        </w:tc>
        <w:tc>
          <w:tcPr>
            <w:tcW w:w="872" w:type="dxa"/>
            <w:tcBorders>
              <w:top w:val="single" w:color="auto" w:sz="4" w:space="0"/>
              <w:left w:val="single" w:color="auto" w:sz="4" w:space="0"/>
              <w:bottom w:val="single" w:color="auto" w:sz="4" w:space="0"/>
              <w:right w:val="single" w:color="auto" w:sz="4" w:space="0"/>
            </w:tcBorders>
          </w:tcPr>
          <w:p w:rsidRPr="00B71D33" w:rsidR="00C51AB9" w:rsidP="00D9135C" w:rsidRDefault="00C51AB9" w14:paraId="7D70D5BD" w14:textId="77777777">
            <w:pPr>
              <w:jc w:val="center"/>
              <w:rPr>
                <w:rFonts w:cs="Mangal"/>
              </w:rPr>
            </w:pPr>
            <w:r w:rsidRPr="00B71D33">
              <w:rPr>
                <w:rFonts w:cs="Mangal"/>
              </w:rPr>
              <w:t>2,8</w:t>
            </w:r>
          </w:p>
        </w:tc>
      </w:tr>
    </w:tbl>
    <w:p w:rsidRPr="00B71D33" w:rsidR="00C51AB9" w:rsidP="00C51AB9" w:rsidRDefault="00C51AB9" w14:paraId="4EBC937C" w14:textId="77777777">
      <w:pPr>
        <w:widowControl w:val="0"/>
        <w:spacing w:after="0" w:line="240" w:lineRule="auto"/>
        <w:rPr>
          <w:rFonts w:cs="Mangal"/>
          <w:b/>
        </w:rPr>
      </w:pPr>
    </w:p>
    <w:p w:rsidRPr="00B71D33" w:rsidR="00C51AB9" w:rsidP="00C51AB9" w:rsidRDefault="00C51AB9" w14:paraId="3372CE65" w14:textId="77777777">
      <w:pPr>
        <w:pStyle w:val="Lijstalinea"/>
        <w:widowControl w:val="0"/>
        <w:numPr>
          <w:ilvl w:val="0"/>
          <w:numId w:val="1"/>
        </w:numPr>
        <w:spacing w:after="0" w:line="240" w:lineRule="auto"/>
        <w:rPr>
          <w:b/>
          <w:bCs/>
        </w:rPr>
      </w:pPr>
      <w:r w:rsidRPr="00B71D33">
        <w:rPr>
          <w:b/>
          <w:bCs/>
        </w:rPr>
        <w:t>Waar gingen de twee processen-verbaal over die door Team Milieuhandhaving in 2025 betreffende milieuwetgeving zijn opgemaakt, waarvan gesproken wordt in het Jaarverslag 2025 Korps Militaire Controleurs Gevaarlijke Stoffen? Kunt u een beschrijving geven van het strafbare feit, de datum, de locatie, de persoonsgegevens en eventuele getuigenverklaringen?</w:t>
      </w:r>
    </w:p>
    <w:p w:rsidRPr="00B71D33" w:rsidR="00C51AB9" w:rsidP="00C51AB9" w:rsidRDefault="00C51AB9" w14:paraId="5664C411" w14:textId="77777777">
      <w:pPr>
        <w:pStyle w:val="Lijstalinea"/>
        <w:widowControl w:val="0"/>
        <w:spacing w:after="0" w:line="240" w:lineRule="auto"/>
        <w:ind w:left="360"/>
        <w:rPr>
          <w:b/>
          <w:highlight w:val="yellow"/>
        </w:rPr>
      </w:pPr>
    </w:p>
    <w:p w:rsidRPr="00B71D33" w:rsidR="00C51AB9" w:rsidP="00C51AB9" w:rsidRDefault="00C51AB9" w14:paraId="72C2B609" w14:textId="77777777">
      <w:pPr>
        <w:pStyle w:val="Lijstalinea"/>
        <w:widowControl w:val="0"/>
        <w:spacing w:after="0" w:line="240" w:lineRule="auto"/>
        <w:ind w:left="360"/>
      </w:pPr>
      <w:r>
        <w:t xml:space="preserve">Beide processen-verbaal zagen op het aantreffen van scherpe munitie tussen oefenmunitie. </w:t>
      </w:r>
      <w:r w:rsidRPr="00B71D33">
        <w:t xml:space="preserve">De </w:t>
      </w:r>
      <w:r>
        <w:t>(informatie uit) deze</w:t>
      </w:r>
      <w:r w:rsidRPr="00B71D33">
        <w:t xml:space="preserve"> proces</w:t>
      </w:r>
      <w:r>
        <w:t>sen</w:t>
      </w:r>
      <w:r w:rsidRPr="00B71D33">
        <w:t xml:space="preserve">-verbaal </w:t>
      </w:r>
      <w:r>
        <w:t>is niet openbaar, nu het verslagen betreft die onderdeel zijn van een (straf)dossier</w:t>
      </w:r>
      <w:r w:rsidRPr="00B71D33">
        <w:t xml:space="preserve">. </w:t>
      </w:r>
    </w:p>
    <w:p w:rsidRPr="00B71D33" w:rsidR="00C51AB9" w:rsidP="00C51AB9" w:rsidRDefault="00C51AB9" w14:paraId="32CE6CC2" w14:textId="77777777">
      <w:pPr>
        <w:widowControl w:val="0"/>
        <w:spacing w:after="0" w:line="240" w:lineRule="auto"/>
        <w:rPr>
          <w:b/>
        </w:rPr>
      </w:pPr>
      <w:r>
        <w:rPr>
          <w:b/>
        </w:rPr>
        <w:br w:type="page"/>
      </w:r>
    </w:p>
    <w:p w:rsidRPr="00B71D33" w:rsidR="00C51AB9" w:rsidP="00C51AB9" w:rsidRDefault="00C51AB9" w14:paraId="342F2120" w14:textId="77777777">
      <w:pPr>
        <w:pStyle w:val="Lijstalinea"/>
        <w:widowControl w:val="0"/>
        <w:numPr>
          <w:ilvl w:val="0"/>
          <w:numId w:val="1"/>
        </w:numPr>
        <w:spacing w:after="0" w:line="240" w:lineRule="auto"/>
      </w:pPr>
      <w:r w:rsidRPr="00B71D33">
        <w:rPr>
          <w:b/>
          <w:bCs/>
        </w:rPr>
        <w:lastRenderedPageBreak/>
        <w:t>Wanneer heeft het incident plaatsgevonden waarbij een defensievoertuig in brand vloog door een defecte/beschadigde lithiumbatterij van een drone tijdens een drone-opleiding in Marnewaard, waarvan gesproken wordt in het Jaarverslag 2025 Korps Militaire Controleurs Gevaarlijke Stoffen? Is sindsdien besloten om geen gebruik te maken van lithiumbatterijen bij oefeningen tijdens extreem droge periodes?</w:t>
      </w:r>
    </w:p>
    <w:p w:rsidRPr="00B71D33" w:rsidR="00C51AB9" w:rsidP="00C51AB9" w:rsidRDefault="00C51AB9" w14:paraId="0F168984" w14:textId="77777777">
      <w:pPr>
        <w:widowControl w:val="0"/>
        <w:spacing w:after="0" w:line="240" w:lineRule="auto"/>
        <w:ind w:left="360"/>
        <w:rPr>
          <w:b/>
        </w:rPr>
      </w:pPr>
    </w:p>
    <w:p w:rsidRPr="00B71D33" w:rsidR="00C51AB9" w:rsidP="00C51AB9" w:rsidRDefault="00C51AB9" w14:paraId="6EA64BF7" w14:textId="77777777">
      <w:pPr>
        <w:widowControl w:val="0"/>
        <w:spacing w:after="0" w:line="240" w:lineRule="auto"/>
        <w:ind w:left="340"/>
        <w:rPr>
          <w:rFonts w:eastAsia="Verdana" w:cs="Verdana"/>
          <w:lang w:val="nl"/>
        </w:rPr>
      </w:pPr>
      <w:r w:rsidRPr="00B71D33">
        <w:rPr>
          <w:rFonts w:eastAsia="Verdana" w:cs="Verdana"/>
          <w:lang w:val="nl"/>
        </w:rPr>
        <w:t xml:space="preserve">Dit incident heeft plaatsgevonden op 27 augustus 2025. Na het incident zijn de brandweer en de terreinopzichter onmiddellijk gealarmeerd. Hierbij is vermeld dat het om een lithiumbrand ging. De brandweer was binnen 10 minuten ter plaatse en heeft de brand geblust. </w:t>
      </w:r>
      <w:r w:rsidRPr="000034C6">
        <w:rPr>
          <w:rFonts w:eastAsia="Verdana" w:cs="Verdana"/>
          <w:lang w:val="nl"/>
        </w:rPr>
        <w:t>Na afloop is het aanwezige personeel in het voertuig gecontroleerd op mogelijke schadelijke rookinhalatie. Alle betrokkenen bleken in goede conditie te verkeren</w:t>
      </w:r>
      <w:r>
        <w:rPr>
          <w:rFonts w:eastAsia="Verdana" w:cs="Verdana"/>
          <w:lang w:val="nl"/>
        </w:rPr>
        <w:t xml:space="preserve">. </w:t>
      </w:r>
      <w:r w:rsidRPr="00B71D33">
        <w:rPr>
          <w:rFonts w:eastAsia="Verdana" w:cs="Verdana"/>
          <w:lang w:val="nl"/>
        </w:rPr>
        <w:t>Het voertuig is, nadat de brandweer het had vrijgegeven, afgesleept naar de kazerne.</w:t>
      </w:r>
    </w:p>
    <w:p w:rsidRPr="00B71D33" w:rsidR="00C51AB9" w:rsidP="00C51AB9" w:rsidRDefault="00C51AB9" w14:paraId="7CBD39B7" w14:textId="77777777">
      <w:pPr>
        <w:widowControl w:val="0"/>
        <w:spacing w:after="0" w:line="240" w:lineRule="auto"/>
        <w:ind w:left="340"/>
      </w:pPr>
    </w:p>
    <w:p w:rsidRPr="00BB0A64" w:rsidR="00C51AB9" w:rsidP="00C51AB9" w:rsidRDefault="00C51AB9" w14:paraId="025C0C68" w14:textId="77777777">
      <w:pPr>
        <w:widowControl w:val="0"/>
        <w:spacing w:after="0" w:line="240" w:lineRule="auto"/>
        <w:ind w:left="340"/>
        <w:rPr>
          <w:rFonts w:eastAsia="Verdana" w:cs="Verdana"/>
          <w:lang w:val=""/>
        </w:rPr>
      </w:pPr>
      <w:r w:rsidRPr="00B71D33">
        <w:t xml:space="preserve">Dit ongeval heeft niet geleid tot een algemeen verbod op het gebruik van lithiumbatterijen en/of drones tijdens oefeningen. Veiligheidsmaatregelen </w:t>
      </w:r>
      <w:r w:rsidRPr="00B71D33">
        <w:rPr>
          <w:rFonts w:eastAsia="Verdana" w:cs="Verdana"/>
          <w:lang w:val=""/>
        </w:rPr>
        <w:t xml:space="preserve">tijdens oefeningen worden continu beoordeeld. Het Commando Landstrijdkrachten (CLAS) heeft daarnaast een instructiekaart </w:t>
      </w:r>
      <w:r w:rsidRPr="003356B9">
        <w:rPr>
          <w:rFonts w:eastAsia="Verdana" w:cs="Verdana"/>
          <w:lang w:val=""/>
        </w:rPr>
        <w:t>uitgebracht waarbij wordt uitgelegd hoe men vei</w:t>
      </w:r>
      <w:r w:rsidRPr="00BB0A64">
        <w:rPr>
          <w:rFonts w:eastAsia="Verdana" w:cs="Verdana"/>
          <w:lang w:val=""/>
        </w:rPr>
        <w:t xml:space="preserve">lig met lithium batterijen kan werken. </w:t>
      </w:r>
    </w:p>
    <w:p w:rsidRPr="00485FDA" w:rsidR="00C51AB9" w:rsidP="00C51AB9" w:rsidRDefault="00C51AB9" w14:paraId="2054AD0D" w14:textId="77777777">
      <w:pPr>
        <w:widowControl w:val="0"/>
        <w:spacing w:after="0" w:line="240" w:lineRule="auto"/>
        <w:ind w:left="340"/>
        <w:rPr>
          <w:rFonts w:eastAsia="Verdana" w:cs="Verdana"/>
          <w:lang w:val=""/>
        </w:rPr>
      </w:pPr>
      <w:r w:rsidRPr="00485FDA">
        <w:rPr>
          <w:color w:val="000000"/>
        </w:rPr>
        <w:t xml:space="preserve">Stoppen met het gebruik van lithium batterijen </w:t>
      </w:r>
      <w:r w:rsidRPr="0016455A">
        <w:rPr>
          <w:color w:val="000000"/>
        </w:rPr>
        <w:t>vanwege droogte is geen optie</w:t>
      </w:r>
      <w:r>
        <w:rPr>
          <w:color w:val="000000"/>
        </w:rPr>
        <w:t>. N</w:t>
      </w:r>
      <w:r w:rsidRPr="00485FDA">
        <w:rPr>
          <w:color w:val="000000"/>
        </w:rPr>
        <w:t>agenoeg alle elektronica dat niet in met stopcontact verbonden is bevat een lithium batterij (neem b.v. de telefoon of computer). Zorgvuldig gebruik is onder de aandacht gebracht en het rapport geeft aan dat adequaat is gereageerd, maar incidenten zoals deze zijn niet te voorkomen.</w:t>
      </w:r>
    </w:p>
    <w:p w:rsidR="00C51AB9" w:rsidP="00C51AB9" w:rsidRDefault="00C51AB9" w14:paraId="6B7F9933" w14:textId="77777777">
      <w:pPr>
        <w:widowControl w:val="0"/>
        <w:spacing w:after="0" w:line="240" w:lineRule="auto"/>
        <w:ind w:left="340"/>
        <w:rPr>
          <w:rFonts w:eastAsia="Verdana" w:cs="Verdana"/>
          <w:lang w:val=""/>
        </w:rPr>
      </w:pPr>
    </w:p>
    <w:p w:rsidRPr="00B71D33" w:rsidR="00C51AB9" w:rsidP="00C51AB9" w:rsidRDefault="00C51AB9" w14:paraId="19252354" w14:textId="77777777">
      <w:pPr>
        <w:widowControl w:val="0"/>
        <w:spacing w:after="0" w:line="240" w:lineRule="auto"/>
        <w:ind w:left="340"/>
        <w:rPr>
          <w:rFonts w:cs="Mangal"/>
          <w:b/>
        </w:rPr>
      </w:pPr>
    </w:p>
    <w:p w:rsidRPr="00B71D33" w:rsidR="00C51AB9" w:rsidP="00C51AB9" w:rsidRDefault="00C51AB9" w14:paraId="40C91346" w14:textId="77777777">
      <w:pPr>
        <w:pStyle w:val="Lijstalinea"/>
        <w:widowControl w:val="0"/>
        <w:numPr>
          <w:ilvl w:val="0"/>
          <w:numId w:val="1"/>
        </w:numPr>
        <w:spacing w:after="0" w:line="240" w:lineRule="auto"/>
        <w:rPr>
          <w:b/>
          <w:bCs/>
        </w:rPr>
      </w:pPr>
      <w:r w:rsidRPr="00B71D33">
        <w:rPr>
          <w:b/>
          <w:bCs/>
        </w:rPr>
        <w:t>Waarom is het stuk Toezicht Defensie 2025 in vogelvlucht (bijlage bij Kamerstuk 36800-X, nr. 81) ingetrokken? Wilt u dit alsnog openbaren?</w:t>
      </w:r>
    </w:p>
    <w:p w:rsidRPr="00B71D33" w:rsidR="00C51AB9" w:rsidP="00C51AB9" w:rsidRDefault="00C51AB9" w14:paraId="7CF54263" w14:textId="77777777">
      <w:pPr>
        <w:pStyle w:val="Lijstalinea"/>
        <w:widowControl w:val="0"/>
        <w:spacing w:after="0" w:line="240" w:lineRule="auto"/>
        <w:ind w:left="360"/>
        <w:rPr>
          <w:b/>
        </w:rPr>
      </w:pPr>
    </w:p>
    <w:p w:rsidRPr="00B71D33" w:rsidR="00C51AB9" w:rsidP="00C51AB9" w:rsidRDefault="00C51AB9" w14:paraId="6800C7A0" w14:textId="77777777">
      <w:pPr>
        <w:ind w:left="340"/>
      </w:pPr>
      <w:r w:rsidRPr="00B71D33">
        <w:rPr>
          <w:rFonts w:eastAsia="Verdana" w:cs="Verdana"/>
          <w:lang w:val=""/>
        </w:rPr>
        <w:t xml:space="preserve">Het stuk is tegelijk met een jaarverslag van een toezichthouder dat een gerubriceerde bijlage bevatte ingetrokken. Na de inhoud van het stuk te hebben beoordeeld op vertrouwelijkheid van informatie, deel ik het bij deze opnieuw met uw Kamer. Het document treft u aan als de bijlage bij de beantwoording van deze feitelijke vragen. </w:t>
      </w:r>
    </w:p>
    <w:p w:rsidRPr="00B71D33" w:rsidR="00C51AB9" w:rsidP="00C51AB9" w:rsidRDefault="00C51AB9" w14:paraId="00F7221D" w14:textId="77777777">
      <w:pPr>
        <w:pStyle w:val="Lijstalinea"/>
        <w:widowControl w:val="0"/>
        <w:numPr>
          <w:ilvl w:val="0"/>
          <w:numId w:val="1"/>
        </w:numPr>
        <w:spacing w:after="0" w:line="240" w:lineRule="auto"/>
        <w:rPr>
          <w:b/>
          <w:bCs/>
          <w:u w:val="single"/>
        </w:rPr>
      </w:pPr>
      <w:r w:rsidRPr="00B71D33">
        <w:rPr>
          <w:b/>
          <w:bCs/>
        </w:rPr>
        <w:t>Hoe verwacht u concreet op korte termijn veranderingen door te voeren en veteranen te helpen?</w:t>
      </w:r>
    </w:p>
    <w:p w:rsidRPr="00B71D33" w:rsidR="00C51AB9" w:rsidP="00C51AB9" w:rsidRDefault="00C51AB9" w14:paraId="23E475F9" w14:textId="77777777">
      <w:pPr>
        <w:pStyle w:val="Lijstalinea"/>
        <w:rPr>
          <w:b/>
          <w:u w:val="single"/>
        </w:rPr>
      </w:pPr>
    </w:p>
    <w:p w:rsidRPr="00B71D33" w:rsidR="00C51AB9" w:rsidP="00C51AB9" w:rsidRDefault="00C51AB9" w14:paraId="0E8E9738" w14:textId="77777777">
      <w:pPr>
        <w:pStyle w:val="Lijstalinea"/>
        <w:widowControl w:val="0"/>
        <w:spacing w:after="0" w:line="240" w:lineRule="auto"/>
        <w:ind w:left="360"/>
      </w:pPr>
      <w:r w:rsidRPr="00B71D33">
        <w:t xml:space="preserve">Er zijn al veranderingen doorgevoerd die de zorg en ondersteuning voor veteranen direct verbeteren. Zo wordt de intake bij veteranen met een zorgvraag vaker gezamenlijk uitgevoerd door de zorgcoördinator en de maatschappelijk werker. Hierdoor hoeft de veteraan maar eenmaal zijn verhaal te vertellen en kunnen direct afspraken tussen zorgcoördinator, maatschappelijk werker en de veteraan worden gemaakt. Daarnaast is de verwachting dat voor de toekenning van militaire invaliditeitspensioenen en andere aanspraken, binnenkort gewerkt kan gaan worden met een verbeterd PTSS-protocol. </w:t>
      </w:r>
    </w:p>
    <w:p w:rsidRPr="00B71D33" w:rsidR="00C51AB9" w:rsidP="00C51AB9" w:rsidRDefault="00C51AB9" w14:paraId="0F4C0272" w14:textId="77777777">
      <w:pPr>
        <w:pStyle w:val="Lijstalinea"/>
        <w:widowControl w:val="0"/>
        <w:spacing w:after="0" w:line="240" w:lineRule="auto"/>
        <w:ind w:left="360"/>
        <w:rPr>
          <w:b/>
          <w:u w:val="single"/>
        </w:rPr>
      </w:pPr>
    </w:p>
    <w:p w:rsidRPr="00B71D33" w:rsidR="00C51AB9" w:rsidP="00C51AB9" w:rsidRDefault="00C51AB9" w14:paraId="720688FE" w14:textId="77777777">
      <w:pPr>
        <w:pStyle w:val="Lijstalinea"/>
        <w:widowControl w:val="0"/>
        <w:ind w:left="360"/>
      </w:pPr>
      <w:r w:rsidRPr="00B71D33">
        <w:t>Naar aanleiding van de onderzoeken van de Algemene Rekenkamer en de Veteranenombudsman naar de uitvoering van de Regeling Volledige Schadevergoeding zijn er vorig jaar zes verbetermaatregelen genomen. Een deel van die verbetermaatregelen zijn inmiddels doorgevoerd: capaciteitsuitbreiding, het werken met een behandelplan en het toepassen van een interne auditsystematiek. Aan de overige maatregelen wordt nog gewerkt, te weten de verbetering van communicatiemiddelen, de standaardisering van schadeposten en de invoering van een digitaal zaakvolgsysteem. Dit blijft een continu punt van aandacht; Defensie doet wat nodig is om de zorg voor veteranen te blijven verbeteren.</w:t>
      </w:r>
    </w:p>
    <w:p w:rsidR="004E5D09" w:rsidRDefault="004E5D09" w14:paraId="1884CDD8" w14:textId="77777777"/>
    <w:sectPr w:rsidR="004E5D0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1983B" w14:textId="77777777" w:rsidR="00C806C2" w:rsidRDefault="00C806C2" w:rsidP="00C51AB9">
      <w:pPr>
        <w:spacing w:after="0" w:line="240" w:lineRule="auto"/>
      </w:pPr>
      <w:r>
        <w:separator/>
      </w:r>
    </w:p>
  </w:endnote>
  <w:endnote w:type="continuationSeparator" w:id="0">
    <w:p w14:paraId="6702B3E6" w14:textId="77777777" w:rsidR="00C806C2" w:rsidRDefault="00C806C2" w:rsidP="00C51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74B92" w14:textId="77777777" w:rsidR="00C806C2" w:rsidRDefault="00C806C2" w:rsidP="00C51AB9">
      <w:pPr>
        <w:spacing w:after="0" w:line="240" w:lineRule="auto"/>
      </w:pPr>
      <w:r>
        <w:separator/>
      </w:r>
    </w:p>
  </w:footnote>
  <w:footnote w:type="continuationSeparator" w:id="0">
    <w:p w14:paraId="7F718FAA" w14:textId="77777777" w:rsidR="00C806C2" w:rsidRDefault="00C806C2" w:rsidP="00C51AB9">
      <w:pPr>
        <w:spacing w:after="0" w:line="240" w:lineRule="auto"/>
      </w:pPr>
      <w:r>
        <w:continuationSeparator/>
      </w:r>
    </w:p>
  </w:footnote>
  <w:footnote w:id="1">
    <w:p w14:paraId="0548E298" w14:textId="77777777" w:rsidR="00C51AB9" w:rsidRPr="00485FDA" w:rsidRDefault="00C51AB9" w:rsidP="00C51AB9">
      <w:pPr>
        <w:pStyle w:val="Voetnoottekst"/>
        <w:rPr>
          <w:sz w:val="16"/>
          <w:lang w:val="en-US"/>
        </w:rPr>
      </w:pPr>
      <w:r w:rsidRPr="00485FDA">
        <w:rPr>
          <w:rStyle w:val="Voetnootmarkering"/>
          <w:sz w:val="16"/>
        </w:rPr>
        <w:footnoteRef/>
      </w:r>
      <w:r w:rsidRPr="00485FDA">
        <w:rPr>
          <w:sz w:val="16"/>
          <w:lang w:val="en-US"/>
        </w:rPr>
        <w:t xml:space="preserve"> </w:t>
      </w:r>
      <w:proofErr w:type="spellStart"/>
      <w:r w:rsidRPr="00485FDA">
        <w:rPr>
          <w:sz w:val="16"/>
          <w:lang w:val="en-US"/>
        </w:rPr>
        <w:t>Kamerstuk</w:t>
      </w:r>
      <w:proofErr w:type="spellEnd"/>
      <w:r w:rsidRPr="00485FDA">
        <w:rPr>
          <w:sz w:val="16"/>
          <w:lang w:val="en-US"/>
        </w:rPr>
        <w:t xml:space="preserve"> nr. 28676-464, 5 </w:t>
      </w:r>
      <w:proofErr w:type="spellStart"/>
      <w:r w:rsidRPr="00485FDA">
        <w:rPr>
          <w:sz w:val="16"/>
          <w:lang w:val="en-US"/>
        </w:rPr>
        <w:t>augustus</w:t>
      </w:r>
      <w:proofErr w:type="spellEnd"/>
      <w:r w:rsidRPr="00485FDA">
        <w:rPr>
          <w:sz w:val="16"/>
          <w:lang w:val="en-US"/>
        </w:rPr>
        <w:t xml:space="preserve"> 2024, NAVO-rapport </w:t>
      </w:r>
      <w:proofErr w:type="spellStart"/>
      <w:r w:rsidRPr="00485FDA">
        <w:rPr>
          <w:sz w:val="16"/>
          <w:lang w:val="en-US"/>
        </w:rPr>
        <w:t>Defence</w:t>
      </w:r>
      <w:proofErr w:type="spellEnd"/>
      <w:r w:rsidRPr="00485FDA">
        <w:rPr>
          <w:sz w:val="16"/>
          <w:lang w:val="en-US"/>
        </w:rPr>
        <w:t xml:space="preserve"> Planning Capability Review over 2023 </w:t>
      </w:r>
      <w:proofErr w:type="spellStart"/>
      <w:r w:rsidRPr="00485FDA">
        <w:rPr>
          <w:sz w:val="16"/>
          <w:lang w:val="en-US"/>
        </w:rPr>
        <w:t>en</w:t>
      </w:r>
      <w:proofErr w:type="spellEnd"/>
      <w:r w:rsidRPr="00485FDA">
        <w:rPr>
          <w:sz w:val="16"/>
          <w:lang w:val="en-US"/>
        </w:rPr>
        <w:t xml:space="preserve"> 2024</w:t>
      </w:r>
    </w:p>
  </w:footnote>
  <w:footnote w:id="2">
    <w:p w14:paraId="58298C3A" w14:textId="77777777" w:rsidR="00C51AB9" w:rsidRPr="00992DBE" w:rsidRDefault="00C51AB9" w:rsidP="00C51AB9">
      <w:pPr>
        <w:pStyle w:val="Voetnoottekst"/>
      </w:pPr>
      <w:r w:rsidRPr="00485FDA">
        <w:rPr>
          <w:rStyle w:val="Voetnootmarkering"/>
          <w:sz w:val="16"/>
        </w:rPr>
        <w:footnoteRef/>
      </w:r>
      <w:r w:rsidRPr="00485FDA">
        <w:rPr>
          <w:sz w:val="16"/>
        </w:rPr>
        <w:t xml:space="preserve"> Kamerstuk, nr. 36800-X-82, 20 mei 2026, Stand van Defensie voorjaar 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8B9"/>
    <w:multiLevelType w:val="hybridMultilevel"/>
    <w:tmpl w:val="18CE0664"/>
    <w:lvl w:ilvl="0" w:tplc="A0E4BFB2">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47888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B9"/>
    <w:rsid w:val="004E5D09"/>
    <w:rsid w:val="005B53BC"/>
    <w:rsid w:val="00C51AB9"/>
    <w:rsid w:val="00C806C2"/>
    <w:rsid w:val="00EB04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60A8C"/>
  <w15:chartTrackingRefBased/>
  <w15:docId w15:val="{747A69C6-40CA-48E6-B218-1D6752C4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1AB9"/>
    <w:pPr>
      <w:autoSpaceDN w:val="0"/>
      <w:spacing w:after="120" w:line="240" w:lineRule="atLeast"/>
    </w:pPr>
    <w:rPr>
      <w:rFonts w:ascii="Verdana" w:eastAsia="SimSun" w:hAnsi="Verdana" w:cs="Lohit Hindi"/>
      <w:kern w:val="0"/>
      <w:sz w:val="18"/>
      <w:szCs w:val="18"/>
      <w:lang w:eastAsia="zh-CN" w:bidi="hi-IN"/>
      <w14:ligatures w14:val="none"/>
    </w:rPr>
  </w:style>
  <w:style w:type="paragraph" w:styleId="Kop1">
    <w:name w:val="heading 1"/>
    <w:basedOn w:val="Standaard"/>
    <w:next w:val="Standaard"/>
    <w:link w:val="Kop1Char"/>
    <w:qFormat/>
    <w:rsid w:val="00C51A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51A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51A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51A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51A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51A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1A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1A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1A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51A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51A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51A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51A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51A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51A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1A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1A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1AB9"/>
    <w:rPr>
      <w:rFonts w:eastAsiaTheme="majorEastAsia" w:cstheme="majorBidi"/>
      <w:color w:val="272727" w:themeColor="text1" w:themeTint="D8"/>
    </w:rPr>
  </w:style>
  <w:style w:type="paragraph" w:styleId="Titel">
    <w:name w:val="Title"/>
    <w:basedOn w:val="Standaard"/>
    <w:next w:val="Standaard"/>
    <w:link w:val="TitelChar"/>
    <w:uiPriority w:val="10"/>
    <w:qFormat/>
    <w:rsid w:val="00C51A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1A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1A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1A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1A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1AB9"/>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C51AB9"/>
    <w:pPr>
      <w:ind w:left="720"/>
      <w:contextualSpacing/>
    </w:pPr>
  </w:style>
  <w:style w:type="character" w:styleId="Intensievebenadrukking">
    <w:name w:val="Intense Emphasis"/>
    <w:basedOn w:val="Standaardalinea-lettertype"/>
    <w:uiPriority w:val="21"/>
    <w:qFormat/>
    <w:rsid w:val="00C51AB9"/>
    <w:rPr>
      <w:i/>
      <w:iCs/>
      <w:color w:val="0F4761" w:themeColor="accent1" w:themeShade="BF"/>
    </w:rPr>
  </w:style>
  <w:style w:type="paragraph" w:styleId="Duidelijkcitaat">
    <w:name w:val="Intense Quote"/>
    <w:basedOn w:val="Standaard"/>
    <w:next w:val="Standaard"/>
    <w:link w:val="DuidelijkcitaatChar"/>
    <w:uiPriority w:val="30"/>
    <w:qFormat/>
    <w:rsid w:val="00C51A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51AB9"/>
    <w:rPr>
      <w:i/>
      <w:iCs/>
      <w:color w:val="0F4761" w:themeColor="accent1" w:themeShade="BF"/>
    </w:rPr>
  </w:style>
  <w:style w:type="character" w:styleId="Intensieveverwijzing">
    <w:name w:val="Intense Reference"/>
    <w:basedOn w:val="Standaardalinea-lettertype"/>
    <w:uiPriority w:val="32"/>
    <w:qFormat/>
    <w:rsid w:val="00C51AB9"/>
    <w:rPr>
      <w:b/>
      <w:bCs/>
      <w:smallCaps/>
      <w:color w:val="0F4761" w:themeColor="accent1" w:themeShade="BF"/>
      <w:spacing w:val="5"/>
    </w:rPr>
  </w:style>
  <w:style w:type="table" w:styleId="Tabelraster">
    <w:name w:val="Table Grid"/>
    <w:basedOn w:val="Standaardtabel"/>
    <w:uiPriority w:val="59"/>
    <w:rsid w:val="00C51AB9"/>
    <w:pPr>
      <w:widowControl w:val="0"/>
      <w:autoSpaceDN w:val="0"/>
      <w:spacing w:after="0" w:line="240" w:lineRule="auto"/>
    </w:pPr>
    <w:rPr>
      <w:rFonts w:ascii="Times New Roman" w:eastAsia="SimSun" w:hAnsi="Times New Roman" w:cs="Lohit Hindi"/>
      <w:kern w:val="0"/>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gegevenskopW1-Huisstijl">
    <w:name w:val="Referentiegegevens kop W1 - Huisstijl"/>
    <w:basedOn w:val="Standaard"/>
    <w:uiPriority w:val="1"/>
    <w:rsid w:val="00C51AB9"/>
    <w:pPr>
      <w:spacing w:before="90" w:after="0" w:line="180" w:lineRule="exact"/>
    </w:pPr>
    <w:rPr>
      <w:b/>
      <w:sz w:val="13"/>
      <w:szCs w:val="13"/>
    </w:rPr>
  </w:style>
  <w:style w:type="paragraph" w:customStyle="1" w:styleId="Referentiegegevens-Huisstijl">
    <w:name w:val="Referentiegegevens - Huisstijl"/>
    <w:basedOn w:val="Standaard"/>
    <w:uiPriority w:val="1"/>
    <w:rsid w:val="00C51AB9"/>
    <w:pPr>
      <w:spacing w:after="0" w:line="180" w:lineRule="exact"/>
    </w:pPr>
    <w:rPr>
      <w:sz w:val="13"/>
      <w:szCs w:val="13"/>
    </w:rPr>
  </w:style>
  <w:style w:type="paragraph" w:customStyle="1" w:styleId="Algemenevoorwaarden-Huisstijl">
    <w:name w:val="Algemene voorwaarden - Huisstijl"/>
    <w:basedOn w:val="Standaard"/>
    <w:uiPriority w:val="2"/>
    <w:rsid w:val="00C51AB9"/>
    <w:pPr>
      <w:spacing w:before="90" w:after="0" w:line="180" w:lineRule="exact"/>
    </w:pPr>
    <w:rPr>
      <w:i/>
      <w:sz w:val="13"/>
      <w:szCs w:val="13"/>
    </w:rPr>
  </w:style>
  <w:style w:type="paragraph" w:styleId="Voetnoottekst">
    <w:name w:val="footnote text"/>
    <w:basedOn w:val="Standaard"/>
    <w:link w:val="VoetnoottekstChar"/>
    <w:uiPriority w:val="99"/>
    <w:semiHidden/>
    <w:unhideWhenUsed/>
    <w:rsid w:val="00C51AB9"/>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C51AB9"/>
    <w:rPr>
      <w:rFonts w:ascii="Verdana" w:eastAsia="SimSun" w:hAnsi="Verdana" w:cs="Mangal"/>
      <w:kern w:val="0"/>
      <w:sz w:val="20"/>
      <w:szCs w:val="18"/>
      <w:lang w:eastAsia="zh-CN" w:bidi="hi-IN"/>
      <w14:ligatures w14:val="none"/>
    </w:rPr>
  </w:style>
  <w:style w:type="character" w:styleId="Voetnootmarkering">
    <w:name w:val="footnote reference"/>
    <w:basedOn w:val="Standaardalinea-lettertype"/>
    <w:uiPriority w:val="99"/>
    <w:semiHidden/>
    <w:unhideWhenUsed/>
    <w:rsid w:val="00C51AB9"/>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C51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1603</ap:Words>
  <ap:Characters>8820</ap:Characters>
  <ap:DocSecurity>0</ap:DocSecurity>
  <ap:Lines>73</ap:Lines>
  <ap:Paragraphs>20</ap:Paragraphs>
  <ap:ScaleCrop>false</ap:ScaleCrop>
  <ap:LinksUpToDate>false</ap:LinksUpToDate>
  <ap:CharactersWithSpaces>10403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2026-06-09T09:20:00.0000000Z</dcterms:created>
  <dcterms:modified xsi:type="dcterms:W3CDTF">2026-06-09T09:20:00.0000000Z</dcterms:modified>
  <version/>
  <category/>
</coreProperties>
</file>