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2C7E" w:rsidP="00B72C7E" w:rsidRDefault="00B72C7E" w14:paraId="00673F13" w14:textId="432DFC9B">
      <w:pPr>
        <w:pStyle w:val="Geenafstand"/>
      </w:pPr>
      <w:r>
        <w:t>AH 2186</w:t>
      </w:r>
    </w:p>
    <w:p w:rsidR="00B72C7E" w:rsidP="00B72C7E" w:rsidRDefault="00B72C7E" w14:paraId="0589834B" w14:textId="7A34C6CB">
      <w:pPr>
        <w:pStyle w:val="Geenafstand"/>
      </w:pPr>
      <w:r>
        <w:t>2026Z08718</w:t>
      </w:r>
    </w:p>
    <w:p w:rsidR="00B72C7E" w:rsidP="00B72C7E" w:rsidRDefault="00B72C7E" w14:paraId="278C7644" w14:textId="77777777">
      <w:pPr>
        <w:pStyle w:val="Geenafstand"/>
      </w:pPr>
    </w:p>
    <w:p w:rsidR="00B72C7E" w:rsidP="00B72C7E" w:rsidRDefault="00B72C7E" w14:paraId="0C79F36E" w14:textId="270DA1C9">
      <w:pPr>
        <w:suppressAutoHyphens/>
        <w:rPr>
          <w:sz w:val="24"/>
          <w:szCs w:val="24"/>
        </w:rPr>
      </w:pPr>
      <w:r w:rsidRPr="00B72C7E">
        <w:rPr>
          <w:sz w:val="24"/>
          <w:szCs w:val="24"/>
        </w:rPr>
        <w:t xml:space="preserve">Antwoord van minister Sterk (Langdurige Zorg, Jeugd en Sport) (ontvangen </w:t>
      </w:r>
      <w:r>
        <w:rPr>
          <w:sz w:val="24"/>
          <w:szCs w:val="24"/>
        </w:rPr>
        <w:t xml:space="preserve"> 9 juni 2026)</w:t>
      </w:r>
    </w:p>
    <w:p w:rsidRPr="009A7FC0" w:rsidR="00B72C7E" w:rsidP="00B72C7E" w:rsidRDefault="00B72C7E" w14:paraId="2FFFAF11" w14:textId="73CCDAEE">
      <w:pPr>
        <w:suppressAutoHyphens/>
        <w:rPr>
          <w:szCs w:val="18"/>
        </w:rPr>
      </w:pPr>
      <w:r w:rsidRPr="00B72C7E">
        <w:rPr>
          <w:color w:val="000000"/>
          <w:sz w:val="24"/>
          <w:szCs w:val="24"/>
        </w:rPr>
        <w:t xml:space="preserve">Zie ook Aanhangsel Handelingen, vergaderjaar 2025-2026, nr. </w:t>
      </w:r>
      <w:r>
        <w:rPr>
          <w:szCs w:val="18"/>
        </w:rPr>
        <w:t>1900</w:t>
      </w:r>
    </w:p>
    <w:p w:rsidRPr="009A7FC0" w:rsidR="00B72C7E" w:rsidP="00B72C7E" w:rsidRDefault="00B72C7E" w14:paraId="13EB6A49" w14:textId="77777777">
      <w:pPr>
        <w:suppressAutoHyphens/>
        <w:rPr>
          <w:szCs w:val="18"/>
        </w:rPr>
      </w:pPr>
      <w:r w:rsidRPr="009A7FC0">
        <w:rPr>
          <w:szCs w:val="18"/>
        </w:rPr>
        <w:t xml:space="preserve">Vraag 1. </w:t>
      </w:r>
    </w:p>
    <w:p w:rsidRPr="009A7FC0" w:rsidR="00B72C7E" w:rsidP="00B72C7E" w:rsidRDefault="00B72C7E" w14:paraId="495936B5" w14:textId="77777777">
      <w:pPr>
        <w:suppressAutoHyphens/>
        <w:rPr>
          <w:szCs w:val="18"/>
        </w:rPr>
      </w:pPr>
      <w:r w:rsidRPr="009A7FC0">
        <w:rPr>
          <w:szCs w:val="18"/>
        </w:rPr>
        <w:t>Wat is uw reactie op het bericht «Froukje ging met een crisis de jeugdzorg in, en kwam er met een nieuw trauma weer uit»?</w:t>
      </w:r>
    </w:p>
    <w:p w:rsidRPr="009A7FC0" w:rsidR="00B72C7E" w:rsidP="00B72C7E" w:rsidRDefault="00B72C7E" w14:paraId="7E948AD5" w14:textId="77777777">
      <w:pPr>
        <w:suppressAutoHyphens/>
        <w:rPr>
          <w:szCs w:val="18"/>
        </w:rPr>
      </w:pPr>
    </w:p>
    <w:p w:rsidRPr="009A7FC0" w:rsidR="00B72C7E" w:rsidP="00B72C7E" w:rsidRDefault="00B72C7E" w14:paraId="239F11EE" w14:textId="77777777">
      <w:pPr>
        <w:suppressAutoHyphens/>
        <w:rPr>
          <w:szCs w:val="18"/>
        </w:rPr>
      </w:pPr>
      <w:r w:rsidRPr="009A7FC0">
        <w:rPr>
          <w:szCs w:val="18"/>
        </w:rPr>
        <w:t>1.</w:t>
      </w:r>
    </w:p>
    <w:p w:rsidRPr="009A7FC0" w:rsidR="00B72C7E" w:rsidP="00B72C7E" w:rsidRDefault="00B72C7E" w14:paraId="287F9760" w14:textId="77777777">
      <w:pPr>
        <w:suppressAutoHyphens/>
        <w:rPr>
          <w:szCs w:val="18"/>
        </w:rPr>
      </w:pPr>
      <w:r w:rsidRPr="009A7FC0">
        <w:rPr>
          <w:szCs w:val="18"/>
        </w:rPr>
        <w:t>Het verhaal van Froukje grijpt mij aan. Jongeren die afhankelijk zijn van jeugdhulp moeten erop kunnen vertrouwen dat zij veilig zijn, met respect worden behandeld en passende zorg ontvangen. Vrijheidsbeperkende maatregelen mogen nooit als straf worden ingezet en mogen uitsluitend binnen de wettelijke kaders en als uiterste middel worden toegepast. Wanneer een jongere in een kwetsbare situatie door de ingezette jeugdhulp juist extra beschadigd raakt, is dat zeer ernstig. Ik vind het belangrijk dat jongeren met ingrijpende ervaringen worden gehoord en serieus genomen.</w:t>
      </w:r>
    </w:p>
    <w:p w:rsidRPr="009A7FC0" w:rsidR="00B72C7E" w:rsidP="00B72C7E" w:rsidRDefault="00B72C7E" w14:paraId="41DF1564" w14:textId="77777777">
      <w:pPr>
        <w:suppressAutoHyphens/>
        <w:rPr>
          <w:szCs w:val="18"/>
        </w:rPr>
      </w:pPr>
    </w:p>
    <w:p w:rsidRPr="009A7FC0" w:rsidR="00B72C7E" w:rsidP="00B72C7E" w:rsidRDefault="00B72C7E" w14:paraId="26447D2A" w14:textId="77777777">
      <w:pPr>
        <w:suppressAutoHyphens/>
        <w:rPr>
          <w:szCs w:val="18"/>
        </w:rPr>
      </w:pPr>
      <w:r w:rsidRPr="009A7FC0">
        <w:rPr>
          <w:szCs w:val="18"/>
        </w:rPr>
        <w:t xml:space="preserve">Vraag 2. </w:t>
      </w:r>
    </w:p>
    <w:p w:rsidRPr="009A7FC0" w:rsidR="00B72C7E" w:rsidP="00B72C7E" w:rsidRDefault="00B72C7E" w14:paraId="2C8273F3" w14:textId="77777777">
      <w:pPr>
        <w:suppressAutoHyphens/>
        <w:rPr>
          <w:szCs w:val="18"/>
        </w:rPr>
      </w:pPr>
      <w:r w:rsidRPr="009A7FC0">
        <w:rPr>
          <w:szCs w:val="18"/>
        </w:rPr>
        <w:t>Hoe kijkt u aan tegen het advies van uw voorganger dat jongeren die slachtoffer zijn van geweld in de jeugdzorg daarvan aangifte moeten doen? Hoe zou dit moeten werken in gevallen waarbij bij de jongere niet bekend is wie de zorgverleners zijn die zich daar schuldig aan hebben gemaakt?</w:t>
      </w:r>
    </w:p>
    <w:p w:rsidRPr="009A7FC0" w:rsidR="00B72C7E" w:rsidP="00B72C7E" w:rsidRDefault="00B72C7E" w14:paraId="23A6F3E4" w14:textId="77777777">
      <w:pPr>
        <w:suppressAutoHyphens/>
        <w:rPr>
          <w:szCs w:val="18"/>
        </w:rPr>
      </w:pPr>
    </w:p>
    <w:p w:rsidRPr="009A7FC0" w:rsidR="00B72C7E" w:rsidP="00B72C7E" w:rsidRDefault="00B72C7E" w14:paraId="56E737A9" w14:textId="77777777">
      <w:pPr>
        <w:suppressAutoHyphens/>
        <w:rPr>
          <w:szCs w:val="18"/>
        </w:rPr>
      </w:pPr>
      <w:r w:rsidRPr="009A7FC0">
        <w:rPr>
          <w:szCs w:val="18"/>
        </w:rPr>
        <w:t>2.</w:t>
      </w:r>
    </w:p>
    <w:p w:rsidRPr="009A7FC0" w:rsidR="00B72C7E" w:rsidP="00B72C7E" w:rsidRDefault="00B72C7E" w14:paraId="7F4F3352" w14:textId="77777777">
      <w:pPr>
        <w:suppressAutoHyphens/>
        <w:rPr>
          <w:szCs w:val="18"/>
        </w:rPr>
      </w:pPr>
      <w:r w:rsidRPr="009A7FC0">
        <w:rPr>
          <w:szCs w:val="18"/>
        </w:rPr>
        <w:t>Ik onderschrijf het advies van mijn ambtsvoorganger dat jongeren aangifte moeten doen bij de politie als zij slachtoffer zijn (geweest) van geweld in de jeugdzorg</w:t>
      </w:r>
      <w:r>
        <w:rPr>
          <w:rStyle w:val="Voetnootmarkering"/>
          <w:szCs w:val="18"/>
        </w:rPr>
        <w:footnoteReference w:id="1"/>
      </w:r>
      <w:r w:rsidRPr="009A7FC0">
        <w:rPr>
          <w:szCs w:val="18"/>
        </w:rPr>
        <w:t xml:space="preserve">. Als niet duidelijk is wie de (jeugd)hulpverleners zijn die dit geweld hebben toegepast, kan de jongere ook aangifte doen tegen de jeugdhulpaanbieder. Dit is mogelijk in die situaties waarin de strafbare gedraging van personeel binnen de sfeer van de jeugdhulpaanbieder ligt en deze gedraging in redelijkheid kan worden toegerekend aan de jeugdhulpaanbieder. De jeugdhulpaanbieder is als werkgever verantwoordelijk voor de inzet en de kwaliteit van personeel, ook als dit uitzendkrachten zijn. De professionals die zij </w:t>
      </w:r>
      <w:r w:rsidRPr="009A7FC0">
        <w:rPr>
          <w:szCs w:val="18"/>
        </w:rPr>
        <w:lastRenderedPageBreak/>
        <w:t>in dienst nemen of inhuren moeten bekwaam zijn om de aan hen toebedeelde taken uit te voeren en beschikken over de juiste deskundigheid om jongeren te helpen. Daarnaast kan ook aangifte worden gedaan tegen de feitelijk leidinggevende, bijvoorbeeld als deze persoon bekend was met de werkwijze van het personeel en daarmee gepaard gaande risico’s en bevoegd was om passende maatregelen te treffen, maar dat achterwege heeft gelaten.</w:t>
      </w:r>
    </w:p>
    <w:p w:rsidRPr="009A7FC0" w:rsidR="00B72C7E" w:rsidP="00B72C7E" w:rsidRDefault="00B72C7E" w14:paraId="1C70C455" w14:textId="77777777">
      <w:pPr>
        <w:suppressAutoHyphens/>
        <w:rPr>
          <w:szCs w:val="18"/>
        </w:rPr>
      </w:pPr>
    </w:p>
    <w:p w:rsidRPr="009A7FC0" w:rsidR="00B72C7E" w:rsidP="00B72C7E" w:rsidRDefault="00B72C7E" w14:paraId="2D28A7F4" w14:textId="77777777">
      <w:pPr>
        <w:suppressAutoHyphens/>
        <w:rPr>
          <w:szCs w:val="18"/>
        </w:rPr>
      </w:pPr>
      <w:r w:rsidRPr="009A7FC0">
        <w:rPr>
          <w:szCs w:val="18"/>
        </w:rPr>
        <w:t xml:space="preserve">Vraag 3. </w:t>
      </w:r>
    </w:p>
    <w:p w:rsidRPr="009A7FC0" w:rsidR="00B72C7E" w:rsidP="00B72C7E" w:rsidRDefault="00B72C7E" w14:paraId="0BC00287" w14:textId="77777777">
      <w:pPr>
        <w:suppressAutoHyphens/>
        <w:rPr>
          <w:szCs w:val="18"/>
        </w:rPr>
      </w:pPr>
      <w:r w:rsidRPr="009A7FC0">
        <w:rPr>
          <w:szCs w:val="18"/>
        </w:rPr>
        <w:t>In hoeverre zou een zorginstelling zelf aangifte kunnen of moeten doen in een situatie die hierom vraagt? In hoeverre kan een zorginstelling deze verantwoordelijkheid van een cliënt overnemen?</w:t>
      </w:r>
    </w:p>
    <w:p w:rsidRPr="009A7FC0" w:rsidR="00B72C7E" w:rsidP="00B72C7E" w:rsidRDefault="00B72C7E" w14:paraId="602DA213" w14:textId="77777777">
      <w:pPr>
        <w:suppressAutoHyphens/>
        <w:rPr>
          <w:szCs w:val="18"/>
        </w:rPr>
      </w:pPr>
    </w:p>
    <w:p w:rsidRPr="009A7FC0" w:rsidR="00B72C7E" w:rsidP="00B72C7E" w:rsidRDefault="00B72C7E" w14:paraId="51AF931C" w14:textId="77777777">
      <w:pPr>
        <w:suppressAutoHyphens/>
        <w:rPr>
          <w:szCs w:val="18"/>
        </w:rPr>
      </w:pPr>
    </w:p>
    <w:p w:rsidRPr="009A7FC0" w:rsidR="00B72C7E" w:rsidP="00B72C7E" w:rsidRDefault="00B72C7E" w14:paraId="57AB7BB4" w14:textId="77777777">
      <w:pPr>
        <w:suppressAutoHyphens/>
        <w:rPr>
          <w:szCs w:val="18"/>
        </w:rPr>
      </w:pPr>
    </w:p>
    <w:p w:rsidRPr="009A7FC0" w:rsidR="00B72C7E" w:rsidP="00B72C7E" w:rsidRDefault="00B72C7E" w14:paraId="68B57CC2" w14:textId="77777777">
      <w:pPr>
        <w:suppressAutoHyphens/>
        <w:rPr>
          <w:szCs w:val="18"/>
        </w:rPr>
      </w:pPr>
      <w:r w:rsidRPr="009A7FC0">
        <w:rPr>
          <w:szCs w:val="18"/>
        </w:rPr>
        <w:t>3.</w:t>
      </w:r>
    </w:p>
    <w:p w:rsidRPr="009A7FC0" w:rsidR="00B72C7E" w:rsidP="00B72C7E" w:rsidRDefault="00B72C7E" w14:paraId="15800C8D" w14:textId="77777777">
      <w:pPr>
        <w:suppressAutoHyphens/>
        <w:rPr>
          <w:szCs w:val="18"/>
        </w:rPr>
      </w:pPr>
      <w:r w:rsidRPr="009A7FC0">
        <w:rPr>
          <w:szCs w:val="18"/>
        </w:rPr>
        <w:t>Iedereen die kennis heeft van een strafbaar feit is bevoegd om hiervan aangifte te doen.</w:t>
      </w:r>
      <w:r>
        <w:rPr>
          <w:rStyle w:val="Voetnootmarkering"/>
          <w:szCs w:val="18"/>
        </w:rPr>
        <w:footnoteReference w:id="2"/>
      </w:r>
      <w:r w:rsidRPr="009A7FC0">
        <w:rPr>
          <w:szCs w:val="18"/>
        </w:rPr>
        <w:t xml:space="preserve"> Bij bepaalde ernstige strafbare feiten, zoals moord, doodslag of verkrachting bestaat een verplichting tot het doen van aangifte.</w:t>
      </w:r>
      <w:r>
        <w:rPr>
          <w:rStyle w:val="Voetnootmarkering"/>
          <w:szCs w:val="18"/>
        </w:rPr>
        <w:footnoteReference w:id="3"/>
      </w:r>
      <w:r w:rsidRPr="009A7FC0">
        <w:rPr>
          <w:szCs w:val="18"/>
        </w:rPr>
        <w:t xml:space="preserve"> Dit geldt ook voor (het bestuur of de dagelijkse leiding van) een jeugdhulpaanbieder. Daarnaast zijn jeugdhulpaanbieders verplicht om hun interne systemen zo in te richten dat signalen over misstanden intern goed kunnen worden besproken/gemeld, geanalyseerd en tot verbetering leiden.</w:t>
      </w:r>
      <w:r>
        <w:rPr>
          <w:rStyle w:val="Voetnootmarkering"/>
          <w:szCs w:val="18"/>
        </w:rPr>
        <w:footnoteReference w:id="4"/>
      </w:r>
      <w:r w:rsidRPr="009A7FC0">
        <w:rPr>
          <w:szCs w:val="18"/>
        </w:rPr>
        <w:t xml:space="preserve"> Dit kan bijvoorbeeld via één of meer documenten, waarin wordt beschreven hoe wordt omgegaan met strafbare feiten gepleegd door personeel of ondergeschikten. Denk bijvoorbeeld aan een intern aangiftebeleid, gedragscode of incidentenprotocol.</w:t>
      </w:r>
    </w:p>
    <w:p w:rsidRPr="009A7FC0" w:rsidR="00B72C7E" w:rsidP="00B72C7E" w:rsidRDefault="00B72C7E" w14:paraId="6C6E2A2D" w14:textId="77777777">
      <w:pPr>
        <w:suppressAutoHyphens/>
        <w:rPr>
          <w:szCs w:val="18"/>
        </w:rPr>
      </w:pPr>
    </w:p>
    <w:p w:rsidRPr="009A7FC0" w:rsidR="00B72C7E" w:rsidP="00B72C7E" w:rsidRDefault="00B72C7E" w14:paraId="5954FFF3" w14:textId="77777777">
      <w:pPr>
        <w:suppressAutoHyphens/>
        <w:rPr>
          <w:szCs w:val="18"/>
        </w:rPr>
      </w:pPr>
      <w:r w:rsidRPr="009A7FC0">
        <w:rPr>
          <w:szCs w:val="18"/>
        </w:rPr>
        <w:t>Voor zover geen aangifteplicht geldt, hebben zowel de jeugdhulpaanbieder als de cliënt de bevoegdheid om aangifte te doen. Deze bevoegdheden bestaan naast elkaar. Indien uitsluitend de jeugdhulpaanbieder aangifte doet van een strafbaar feit, is het aan de politie om te beoordelen of dit voldoende grond biedt voor nader onderzoek, of dat ook een aangifte van de cliënt is vereist. Volledigheidshalve wil ik benoemen dat ook de Inspectie Gezondheidszorg en Jeugd (IGJ) aangifte kan doen, wanneer zij na onderzoek concludeert dat er mogelijk sprake is van een strafbaar feit.</w:t>
      </w:r>
    </w:p>
    <w:p w:rsidRPr="009A7FC0" w:rsidR="00B72C7E" w:rsidP="00B72C7E" w:rsidRDefault="00B72C7E" w14:paraId="2CEBF401" w14:textId="77777777">
      <w:pPr>
        <w:suppressAutoHyphens/>
        <w:rPr>
          <w:szCs w:val="18"/>
        </w:rPr>
      </w:pPr>
    </w:p>
    <w:p w:rsidRPr="009A7FC0" w:rsidR="00B72C7E" w:rsidP="00B72C7E" w:rsidRDefault="00B72C7E" w14:paraId="72FCA553" w14:textId="77777777">
      <w:pPr>
        <w:suppressAutoHyphens/>
        <w:rPr>
          <w:szCs w:val="18"/>
        </w:rPr>
      </w:pPr>
      <w:r w:rsidRPr="009A7FC0">
        <w:rPr>
          <w:szCs w:val="18"/>
        </w:rPr>
        <w:lastRenderedPageBreak/>
        <w:t xml:space="preserve">Vraag 4. </w:t>
      </w:r>
    </w:p>
    <w:p w:rsidRPr="009A7FC0" w:rsidR="00B72C7E" w:rsidP="00B72C7E" w:rsidRDefault="00B72C7E" w14:paraId="615F4E9F" w14:textId="77777777">
      <w:pPr>
        <w:suppressAutoHyphens/>
        <w:rPr>
          <w:szCs w:val="18"/>
        </w:rPr>
      </w:pPr>
      <w:r w:rsidRPr="009A7FC0">
        <w:rPr>
          <w:szCs w:val="18"/>
        </w:rPr>
        <w:t>Als een zorginstelling een cliënt niet gelooft en geen actie onderneemt, wie zou een cliënt dan bij kunnen staan om ze in dit proces te begeleiden?</w:t>
      </w:r>
    </w:p>
    <w:p w:rsidRPr="009A7FC0" w:rsidR="00B72C7E" w:rsidP="00B72C7E" w:rsidRDefault="00B72C7E" w14:paraId="20581224" w14:textId="77777777">
      <w:pPr>
        <w:suppressAutoHyphens/>
        <w:rPr>
          <w:szCs w:val="18"/>
        </w:rPr>
      </w:pPr>
    </w:p>
    <w:p w:rsidRPr="009A7FC0" w:rsidR="00B72C7E" w:rsidP="00B72C7E" w:rsidRDefault="00B72C7E" w14:paraId="6DBCA387" w14:textId="77777777">
      <w:pPr>
        <w:suppressAutoHyphens/>
        <w:rPr>
          <w:szCs w:val="18"/>
        </w:rPr>
      </w:pPr>
      <w:r w:rsidRPr="009A7FC0">
        <w:rPr>
          <w:szCs w:val="18"/>
        </w:rPr>
        <w:t>4.</w:t>
      </w:r>
    </w:p>
    <w:p w:rsidRPr="009A7FC0" w:rsidR="00B72C7E" w:rsidP="00B72C7E" w:rsidRDefault="00B72C7E" w14:paraId="78DA5193" w14:textId="77777777">
      <w:pPr>
        <w:suppressAutoHyphens/>
        <w:rPr>
          <w:szCs w:val="18"/>
        </w:rPr>
      </w:pPr>
      <w:r w:rsidRPr="009A7FC0">
        <w:rPr>
          <w:szCs w:val="18"/>
        </w:rPr>
        <w:t>De cliënt kan zich op verschillende wijzen laten bijstaan bij het doen van aangifte. Dit kan allereerst in de vorm van informele steun: een persoon uit het eigen netwerk van de cliënt. Daarnaast kan de cliënt zich wenden tot Slachtofferhulp Nederland</w:t>
      </w:r>
      <w:r>
        <w:rPr>
          <w:rStyle w:val="Voetnootmarkering"/>
          <w:szCs w:val="18"/>
        </w:rPr>
        <w:footnoteReference w:id="5"/>
      </w:r>
      <w:r w:rsidRPr="009A7FC0">
        <w:rPr>
          <w:szCs w:val="18"/>
        </w:rPr>
        <w:t>; zij kunnen de cliënt begeleiden bij het doen van aangifte. Indien de cliënt nog te maken heeft met jeugdzorg, is het op grond van Jeugdwet mogelijk om een vertrouwenspersoon in te schakelen</w:t>
      </w:r>
      <w:r>
        <w:rPr>
          <w:szCs w:val="18"/>
        </w:rPr>
        <w:t>, bijvoorbeeld via Jeugdstem</w:t>
      </w:r>
      <w:r>
        <w:rPr>
          <w:rStyle w:val="Voetnootmarkering"/>
          <w:szCs w:val="18"/>
        </w:rPr>
        <w:footnoteReference w:id="6"/>
      </w:r>
      <w:r w:rsidRPr="009A7FC0">
        <w:rPr>
          <w:szCs w:val="18"/>
        </w:rPr>
        <w:t>.</w:t>
      </w:r>
      <w:r>
        <w:rPr>
          <w:szCs w:val="18"/>
        </w:rPr>
        <w:t xml:space="preserve"> </w:t>
      </w:r>
      <w:r w:rsidRPr="009A7FC0">
        <w:rPr>
          <w:szCs w:val="18"/>
        </w:rPr>
        <w:t>De vertrouwenspersonen kunnen jongeren ondersteunen bij het doen van aangifte van geweldsincidenten in de jeugdzorg.</w:t>
      </w:r>
      <w:r>
        <w:rPr>
          <w:szCs w:val="18"/>
        </w:rPr>
        <w:t xml:space="preserve"> </w:t>
      </w:r>
    </w:p>
    <w:p w:rsidRPr="009A7FC0" w:rsidR="00B72C7E" w:rsidP="00B72C7E" w:rsidRDefault="00B72C7E" w14:paraId="6A786504" w14:textId="77777777">
      <w:pPr>
        <w:suppressAutoHyphens/>
        <w:rPr>
          <w:szCs w:val="18"/>
        </w:rPr>
      </w:pPr>
    </w:p>
    <w:p w:rsidRPr="009A7FC0" w:rsidR="00B72C7E" w:rsidP="00B72C7E" w:rsidRDefault="00B72C7E" w14:paraId="27C84AF5" w14:textId="77777777">
      <w:pPr>
        <w:suppressAutoHyphens/>
        <w:rPr>
          <w:szCs w:val="18"/>
        </w:rPr>
      </w:pPr>
      <w:r w:rsidRPr="009A7FC0">
        <w:rPr>
          <w:szCs w:val="18"/>
        </w:rPr>
        <w:t>Daarnaast is ook juridische rechtsbijstand mogelijk. Allereerst kan de cliënt informatie inwinnen bij het juridisch loket of de rechtsbijstandsverzekeraar. Daarnaast is bijstand door een advocaat ook mogelijk. In gevallen waarin sprake is van ernstig psychisch of lichamelijk letsel door een geweldsmisdrijf, seksueel misbruik of seksueel geweld kan de cliënt ook in aanmerking komen voor een (gratis) slachtofferadvocaat. Komt de cliënt hiervoor niet in aanmerking, dan kan op eigen kosten gebruik worden gemaakt van een advocaat. Afhankelijk van het inkomen en eigen vermogen kan een deel van de juridische kosten worden vergoed via de gesubsidieerde rechtsbijstand.</w:t>
      </w:r>
      <w:r>
        <w:rPr>
          <w:rStyle w:val="Voetnootmarkering"/>
          <w:szCs w:val="18"/>
        </w:rPr>
        <w:footnoteReference w:id="7"/>
      </w:r>
    </w:p>
    <w:p w:rsidRPr="009A7FC0" w:rsidR="00B72C7E" w:rsidP="00B72C7E" w:rsidRDefault="00B72C7E" w14:paraId="49F0602F" w14:textId="77777777">
      <w:pPr>
        <w:suppressAutoHyphens/>
        <w:rPr>
          <w:szCs w:val="18"/>
        </w:rPr>
      </w:pPr>
    </w:p>
    <w:p w:rsidRPr="009A7FC0" w:rsidR="00B72C7E" w:rsidP="00B72C7E" w:rsidRDefault="00B72C7E" w14:paraId="25A6DA58" w14:textId="77777777">
      <w:pPr>
        <w:suppressAutoHyphens/>
        <w:rPr>
          <w:szCs w:val="18"/>
        </w:rPr>
      </w:pPr>
      <w:r w:rsidRPr="009A7FC0">
        <w:rPr>
          <w:szCs w:val="18"/>
        </w:rPr>
        <w:t xml:space="preserve">Vraag 5. </w:t>
      </w:r>
    </w:p>
    <w:p w:rsidRPr="009A7FC0" w:rsidR="00B72C7E" w:rsidP="00B72C7E" w:rsidRDefault="00B72C7E" w14:paraId="0D1331B2" w14:textId="77777777">
      <w:pPr>
        <w:suppressAutoHyphens/>
        <w:rPr>
          <w:szCs w:val="18"/>
        </w:rPr>
      </w:pPr>
      <w:r w:rsidRPr="009A7FC0">
        <w:rPr>
          <w:szCs w:val="18"/>
        </w:rPr>
        <w:t>Deelt u de mening dat een vermindering van de externe inhuur van medewerkers essentieel is voor de kwaliteit en veiligheid van de jeugdzorg? Zo ja, welke concrete doelen en tijdlijn hanteert u daarvoor en welke stappen zet u om dit te bereiken? Zo nee, waarom niet?</w:t>
      </w:r>
    </w:p>
    <w:p w:rsidRPr="009A7FC0" w:rsidR="00B72C7E" w:rsidP="00B72C7E" w:rsidRDefault="00B72C7E" w14:paraId="34663755" w14:textId="77777777">
      <w:pPr>
        <w:suppressAutoHyphens/>
        <w:rPr>
          <w:szCs w:val="18"/>
        </w:rPr>
      </w:pPr>
    </w:p>
    <w:p w:rsidRPr="009A7FC0" w:rsidR="00B72C7E" w:rsidP="00B72C7E" w:rsidRDefault="00B72C7E" w14:paraId="50657E29" w14:textId="77777777">
      <w:pPr>
        <w:suppressAutoHyphens/>
        <w:rPr>
          <w:szCs w:val="18"/>
        </w:rPr>
      </w:pPr>
      <w:r w:rsidRPr="009A7FC0">
        <w:rPr>
          <w:szCs w:val="18"/>
        </w:rPr>
        <w:t>5.</w:t>
      </w:r>
    </w:p>
    <w:p w:rsidRPr="009A7FC0" w:rsidR="00B72C7E" w:rsidP="00B72C7E" w:rsidRDefault="00B72C7E" w14:paraId="60A5D345" w14:textId="77777777">
      <w:pPr>
        <w:suppressAutoHyphens/>
        <w:rPr>
          <w:szCs w:val="18"/>
        </w:rPr>
      </w:pPr>
      <w:r w:rsidRPr="009A7FC0">
        <w:rPr>
          <w:szCs w:val="18"/>
        </w:rPr>
        <w:t xml:space="preserve">De jeugdhulpaanbieder is als werkgever verantwoordelijk voor de inzet en de kwaliteit van personeel, ook als dit uitzendkrachten zijn. De inzet van extern ingehuurd personeel is daarom niet per definitie onwenselijk. Wel is het van belang dat werkgevers inzetten op een goede balans tussen personeel in vaste loondienst en flexwerkers. Personeel in vaste loondienst zorgt voor vertrouwde </w:t>
      </w:r>
      <w:r w:rsidRPr="009A7FC0">
        <w:rPr>
          <w:szCs w:val="18"/>
        </w:rPr>
        <w:lastRenderedPageBreak/>
        <w:t xml:space="preserve">gezichten voor cliënten, wat bijdraagt aan een goede vertrouwensrelatie tussen de hulpverlener en de jongere en daarmee de kwaliteit van zorg ten goede kan komen. De inzet van extern ingehuurde medewerkers moet zich richten op het opvangen van ‘piek en ziek’, wanneer dat niet lukt met interne medewerkers. </w:t>
      </w:r>
    </w:p>
    <w:p w:rsidRPr="009A7FC0" w:rsidR="00B72C7E" w:rsidP="00B72C7E" w:rsidRDefault="00B72C7E" w14:paraId="54A6D8E1" w14:textId="77777777">
      <w:pPr>
        <w:suppressAutoHyphens/>
        <w:rPr>
          <w:szCs w:val="18"/>
        </w:rPr>
      </w:pPr>
    </w:p>
    <w:p w:rsidRPr="009A7FC0" w:rsidR="00B72C7E" w:rsidP="00B72C7E" w:rsidRDefault="00B72C7E" w14:paraId="1FDB0F46" w14:textId="77777777">
      <w:pPr>
        <w:suppressAutoHyphens/>
        <w:rPr>
          <w:szCs w:val="18"/>
        </w:rPr>
      </w:pPr>
      <w:r w:rsidRPr="009A7FC0">
        <w:rPr>
          <w:szCs w:val="18"/>
        </w:rPr>
        <w:t xml:space="preserve">In het Integraal Zorgakkoord (hierna: IZA) is de opgave opgenomen dat regionale werkgeversorganisaties, zorginkopers en VWS actief inzetten op regionaal werkgeverschap (flexibele schil in loondienst) en een moderner arbeidscontract dat werknemers meer mogelijkheden biedt om meer regie te voeren over vormgeving van werk en werktijden om zo het werken in loondienst aantrekkelijker te maken. </w:t>
      </w:r>
    </w:p>
    <w:p w:rsidRPr="009A7FC0" w:rsidR="00B72C7E" w:rsidP="00B72C7E" w:rsidRDefault="00B72C7E" w14:paraId="31E5BA9C" w14:textId="77777777">
      <w:pPr>
        <w:suppressAutoHyphens/>
        <w:rPr>
          <w:szCs w:val="18"/>
        </w:rPr>
      </w:pPr>
    </w:p>
    <w:p w:rsidRPr="009A7FC0" w:rsidR="00B72C7E" w:rsidP="00B72C7E" w:rsidRDefault="00B72C7E" w14:paraId="5534C5C4" w14:textId="77777777">
      <w:pPr>
        <w:suppressAutoHyphens/>
        <w:rPr>
          <w:szCs w:val="18"/>
        </w:rPr>
      </w:pPr>
      <w:bookmarkStart w:name="_Hlk230690050" w:id="0"/>
      <w:r w:rsidRPr="009A7FC0">
        <w:rPr>
          <w:szCs w:val="18"/>
        </w:rPr>
        <w:t xml:space="preserve">Vraag 6. </w:t>
      </w:r>
    </w:p>
    <w:p w:rsidRPr="009A7FC0" w:rsidR="00B72C7E" w:rsidP="00B72C7E" w:rsidRDefault="00B72C7E" w14:paraId="6493DAE6" w14:textId="77777777">
      <w:pPr>
        <w:suppressAutoHyphens/>
        <w:rPr>
          <w:szCs w:val="18"/>
        </w:rPr>
      </w:pPr>
      <w:r w:rsidRPr="009A7FC0">
        <w:rPr>
          <w:szCs w:val="18"/>
        </w:rPr>
        <w:t>Bent u bereid om een maximumpercentage invalkrachten in te voeren per zorgbedrijf?</w:t>
      </w:r>
    </w:p>
    <w:p w:rsidRPr="009A7FC0" w:rsidR="00B72C7E" w:rsidP="00B72C7E" w:rsidRDefault="00B72C7E" w14:paraId="17419C93" w14:textId="77777777">
      <w:pPr>
        <w:suppressAutoHyphens/>
        <w:rPr>
          <w:szCs w:val="18"/>
        </w:rPr>
      </w:pPr>
    </w:p>
    <w:p w:rsidRPr="009A7FC0" w:rsidR="00B72C7E" w:rsidP="00B72C7E" w:rsidRDefault="00B72C7E" w14:paraId="4B205FE9" w14:textId="77777777">
      <w:pPr>
        <w:suppressAutoHyphens/>
        <w:rPr>
          <w:szCs w:val="18"/>
        </w:rPr>
      </w:pPr>
      <w:r w:rsidRPr="009A7FC0">
        <w:rPr>
          <w:szCs w:val="18"/>
        </w:rPr>
        <w:t>6.</w:t>
      </w:r>
    </w:p>
    <w:p w:rsidRPr="009A7FC0" w:rsidR="00B72C7E" w:rsidP="00B72C7E" w:rsidRDefault="00B72C7E" w14:paraId="340C4370" w14:textId="77777777">
      <w:pPr>
        <w:suppressAutoHyphens/>
        <w:rPr>
          <w:szCs w:val="18"/>
        </w:rPr>
      </w:pPr>
      <w:r w:rsidRPr="009A7FC0">
        <w:rPr>
          <w:rFonts w:cstheme="minorHAnsi"/>
          <w:szCs w:val="18"/>
        </w:rPr>
        <w:t xml:space="preserve">Het is niet wenselijk om een (maximum) percentage invalkrachten te benoemen. </w:t>
      </w:r>
      <w:r w:rsidRPr="009A7FC0">
        <w:rPr>
          <w:szCs w:val="18"/>
        </w:rPr>
        <w:t xml:space="preserve"> </w:t>
      </w:r>
      <w:r w:rsidRPr="009A7FC0">
        <w:rPr>
          <w:rFonts w:cstheme="minorHAnsi"/>
          <w:szCs w:val="18"/>
        </w:rPr>
        <w:t xml:space="preserve">Een maximumpercentage zou de benodigde flexibiliteit in de personeelsinzet in de zorgsector kunnen beperken en is daarom niet passend als generieke maatregel. Het is primair de verantwoordelijkheid van werkgevers om het aannemen van vaste krachten in de zorg te bevorderen en iedereen aan te trekken en te behouden die kwalitatief goed werk kan en wil leveren. </w:t>
      </w:r>
    </w:p>
    <w:p w:rsidRPr="009A7FC0" w:rsidR="00B72C7E" w:rsidP="00B72C7E" w:rsidRDefault="00B72C7E" w14:paraId="5583F8B4" w14:textId="77777777">
      <w:pPr>
        <w:suppressAutoHyphens/>
        <w:rPr>
          <w:rFonts w:cstheme="minorHAnsi"/>
          <w:szCs w:val="18"/>
        </w:rPr>
      </w:pPr>
    </w:p>
    <w:bookmarkEnd w:id="0"/>
    <w:p w:rsidRPr="009A7FC0" w:rsidR="00B72C7E" w:rsidP="00B72C7E" w:rsidRDefault="00B72C7E" w14:paraId="42E8E323" w14:textId="77777777">
      <w:pPr>
        <w:suppressAutoHyphens/>
        <w:rPr>
          <w:szCs w:val="18"/>
        </w:rPr>
      </w:pPr>
      <w:r w:rsidRPr="009A7FC0">
        <w:rPr>
          <w:szCs w:val="18"/>
        </w:rPr>
        <w:t xml:space="preserve">Vraag 7. </w:t>
      </w:r>
    </w:p>
    <w:p w:rsidRPr="009A7FC0" w:rsidR="00B72C7E" w:rsidP="00B72C7E" w:rsidRDefault="00B72C7E" w14:paraId="7B5E9612" w14:textId="77777777">
      <w:pPr>
        <w:suppressAutoHyphens/>
        <w:rPr>
          <w:szCs w:val="18"/>
        </w:rPr>
      </w:pPr>
      <w:r w:rsidRPr="009A7FC0">
        <w:rPr>
          <w:szCs w:val="18"/>
        </w:rPr>
        <w:t>Welke acties onderneemt u om er in ieder geval voor te zorgen dat het achteraf duidelijk is welke (extern ingehuurde) zorgverleners bij de zorg voor welke jongeren betrokken zijn geweest? Welke verantwoordelijkheid hebben de betrokken zorgaanbieders hierbij?</w:t>
      </w:r>
    </w:p>
    <w:p w:rsidRPr="009A7FC0" w:rsidR="00B72C7E" w:rsidP="00B72C7E" w:rsidRDefault="00B72C7E" w14:paraId="76B02101" w14:textId="77777777">
      <w:pPr>
        <w:suppressAutoHyphens/>
        <w:rPr>
          <w:szCs w:val="18"/>
        </w:rPr>
      </w:pPr>
    </w:p>
    <w:p w:rsidRPr="009A7FC0" w:rsidR="00B72C7E" w:rsidP="00B72C7E" w:rsidRDefault="00B72C7E" w14:paraId="5DEF15ED" w14:textId="77777777">
      <w:pPr>
        <w:suppressAutoHyphens/>
        <w:rPr>
          <w:szCs w:val="18"/>
        </w:rPr>
      </w:pPr>
      <w:r w:rsidRPr="009A7FC0">
        <w:rPr>
          <w:szCs w:val="18"/>
        </w:rPr>
        <w:t>7.</w:t>
      </w:r>
    </w:p>
    <w:p w:rsidRPr="009A7FC0" w:rsidR="00B72C7E" w:rsidP="00B72C7E" w:rsidRDefault="00B72C7E" w14:paraId="38291AF6" w14:textId="77777777">
      <w:pPr>
        <w:suppressAutoHyphens/>
        <w:rPr>
          <w:szCs w:val="18"/>
        </w:rPr>
      </w:pPr>
      <w:r w:rsidRPr="009A7FC0">
        <w:rPr>
          <w:szCs w:val="18"/>
        </w:rPr>
        <w:t xml:space="preserve">Jeugdhulpverleners zijn op grond van de Jeugdwet al verplicht een dossier te maken rondom de verlening van jeugdhulp. Hierin worden de geconstateerde opgroei- en opvoedingsproblemen en door de hulpverlener uitgevoerde verrichtingen vastgelegd (Jeugdwet, art. 7.3.8). Aanvullend worden ook gegevens in het dossier opgenomen als dit noodzakelijk is voor een goede hulpverlening aan de jeugdige. Volgens de veldnorm ‘het dossier in de </w:t>
      </w:r>
      <w:r w:rsidRPr="009A7FC0">
        <w:rPr>
          <w:szCs w:val="18"/>
        </w:rPr>
        <w:lastRenderedPageBreak/>
        <w:t>jeugdhulpverlening’</w:t>
      </w:r>
      <w:r>
        <w:rPr>
          <w:rStyle w:val="Voetnootmarkering"/>
          <w:szCs w:val="18"/>
        </w:rPr>
        <w:footnoteReference w:id="8"/>
      </w:r>
      <w:r w:rsidRPr="009A7FC0">
        <w:rPr>
          <w:szCs w:val="18"/>
        </w:rPr>
        <w:t xml:space="preserve"> moet in het dossier te lezen zijn wat en met wie besproken is over de voortgang van de begeleiding, behandeling of ondersteuning. De betreffende hulpverlener dient dus een en ander vast te leggen, ongeacht of deze in vaste dienst is of een externe ingehuurde hulpverlener. </w:t>
      </w:r>
    </w:p>
    <w:p w:rsidRPr="009A7FC0" w:rsidR="00B72C7E" w:rsidP="00B72C7E" w:rsidRDefault="00B72C7E" w14:paraId="1BFC1E7E" w14:textId="77777777">
      <w:pPr>
        <w:suppressAutoHyphens/>
        <w:rPr>
          <w:szCs w:val="18"/>
        </w:rPr>
      </w:pPr>
    </w:p>
    <w:p w:rsidRPr="009A7FC0" w:rsidR="00B72C7E" w:rsidP="00B72C7E" w:rsidRDefault="00B72C7E" w14:paraId="322A9A6C" w14:textId="77777777">
      <w:pPr>
        <w:suppressAutoHyphens/>
        <w:rPr>
          <w:szCs w:val="18"/>
        </w:rPr>
      </w:pPr>
      <w:r w:rsidRPr="009A7FC0">
        <w:rPr>
          <w:szCs w:val="18"/>
        </w:rPr>
        <w:t>Daarnaast is een jeugdhulpaanbieder verplicht het dossier gedurende twintig jaar te bewaren en dient deze jeugdigen, ouders of verzorgers inzage te geven in het dossier en hen een afschrift te verstrekken van de gegevens die daarin staan. Ook de IGJ mag – in het kader van onderzoek of toezicht – een dossier inzien. De jeugdhulpaanbieder is verplicht om mee te werken aan zo’n onderzoek.</w:t>
      </w:r>
    </w:p>
    <w:p w:rsidRPr="009A7FC0" w:rsidR="00B72C7E" w:rsidP="00B72C7E" w:rsidRDefault="00B72C7E" w14:paraId="2772E220" w14:textId="77777777">
      <w:pPr>
        <w:suppressAutoHyphens/>
        <w:rPr>
          <w:szCs w:val="18"/>
        </w:rPr>
      </w:pPr>
    </w:p>
    <w:p w:rsidRPr="009A7FC0" w:rsidR="00B72C7E" w:rsidP="00B72C7E" w:rsidRDefault="00B72C7E" w14:paraId="7D59A4A3" w14:textId="77777777">
      <w:pPr>
        <w:suppressAutoHyphens/>
        <w:rPr>
          <w:szCs w:val="18"/>
        </w:rPr>
      </w:pPr>
      <w:r w:rsidRPr="009A7FC0">
        <w:rPr>
          <w:szCs w:val="18"/>
        </w:rPr>
        <w:t xml:space="preserve">Vraag 8. </w:t>
      </w:r>
    </w:p>
    <w:p w:rsidRPr="009A7FC0" w:rsidR="00B72C7E" w:rsidP="00B72C7E" w:rsidRDefault="00B72C7E" w14:paraId="730DF833" w14:textId="77777777">
      <w:pPr>
        <w:suppressAutoHyphens/>
        <w:rPr>
          <w:szCs w:val="18"/>
        </w:rPr>
      </w:pPr>
      <w:r w:rsidRPr="009A7FC0">
        <w:rPr>
          <w:szCs w:val="18"/>
        </w:rPr>
        <w:t>In hoeverre wordt er nadat een calamiteit (zoals een vrijheidsbeperkende maatregel) aan het licht komt gecontroleerd of zorgverleners de juiste papieren hadden en/of zij nog werkzaam zijn in de zorg?</w:t>
      </w:r>
    </w:p>
    <w:p w:rsidRPr="009A7FC0" w:rsidR="00B72C7E" w:rsidP="00B72C7E" w:rsidRDefault="00B72C7E" w14:paraId="79F7A772" w14:textId="77777777">
      <w:pPr>
        <w:suppressAutoHyphens/>
        <w:rPr>
          <w:szCs w:val="18"/>
        </w:rPr>
      </w:pPr>
    </w:p>
    <w:p w:rsidRPr="009A7FC0" w:rsidR="00B72C7E" w:rsidP="00B72C7E" w:rsidRDefault="00B72C7E" w14:paraId="2CDFC869" w14:textId="77777777">
      <w:pPr>
        <w:suppressAutoHyphens/>
        <w:rPr>
          <w:szCs w:val="18"/>
        </w:rPr>
      </w:pPr>
      <w:r w:rsidRPr="009A7FC0">
        <w:rPr>
          <w:szCs w:val="18"/>
        </w:rPr>
        <w:t>8.</w:t>
      </w:r>
    </w:p>
    <w:p w:rsidRPr="009A7FC0" w:rsidR="00B72C7E" w:rsidP="00B72C7E" w:rsidRDefault="00B72C7E" w14:paraId="201831B3" w14:textId="77777777">
      <w:pPr>
        <w:suppressAutoHyphens/>
        <w:rPr>
          <w:szCs w:val="18"/>
        </w:rPr>
      </w:pPr>
      <w:r w:rsidRPr="009A7FC0">
        <w:rPr>
          <w:szCs w:val="18"/>
        </w:rPr>
        <w:t>De Jeugdwet bevat voor zowel de jeugdhulpaanbieders als de gecertificeerde instellingen reeds de verplichting om zich op zodanige wijze te voorzien van voldoende gekwalificeerd personeel en voor een zodanige verantwoordelijkheidstoedeling te zorgen, dat dit leidt of redelijkerwijs moet leiden tot verantwoorde hulp</w:t>
      </w:r>
      <w:r>
        <w:rPr>
          <w:rStyle w:val="Voetnootmarkering"/>
          <w:szCs w:val="18"/>
        </w:rPr>
        <w:footnoteReference w:id="9"/>
      </w:r>
      <w:r w:rsidRPr="009A7FC0">
        <w:rPr>
          <w:szCs w:val="18"/>
        </w:rPr>
        <w:t xml:space="preserve">. Een jeugdhulpaanbieder is verantwoordelijk voor het controleren of medewerkers over de juiste kwalificaties beschikken. Daarbij zijn zij verplicht om van personen die in hun opdracht beroepsmatig of als vrijwilliger in contact kunnen komen met jeugdigen of ouders aan wie zij jeugdhulp verlenen of aan wie een kinderbeschermingsmaatregel of jeugdreclassering is opgelegd, in ieder geval een verklaring omtrent gedrag (hierna: VOG) te hebben. </w:t>
      </w:r>
    </w:p>
    <w:p w:rsidRPr="009A7FC0" w:rsidR="00B72C7E" w:rsidP="00B72C7E" w:rsidRDefault="00B72C7E" w14:paraId="5B37536D" w14:textId="77777777">
      <w:pPr>
        <w:suppressAutoHyphens/>
        <w:rPr>
          <w:szCs w:val="18"/>
        </w:rPr>
      </w:pPr>
    </w:p>
    <w:p w:rsidRPr="009A7FC0" w:rsidR="00B72C7E" w:rsidP="00B72C7E" w:rsidRDefault="00B72C7E" w14:paraId="74886DA9" w14:textId="77777777">
      <w:pPr>
        <w:suppressAutoHyphens/>
        <w:rPr>
          <w:szCs w:val="18"/>
        </w:rPr>
      </w:pPr>
      <w:r w:rsidRPr="009A7FC0">
        <w:rPr>
          <w:szCs w:val="18"/>
        </w:rPr>
        <w:t>Een calamiteit of incident moet altijd worden gemeld bij de IGJ. Afhankelijk van de ernst van de zaak kan de IGJ zelf een calamiteitenonderzoek starten, waarbij ook kan worden nagegaan of de betreffende medewerker over de vereiste kwalificaties beschikte. Of een betreffende medewerker vervolgens elders bij een zorginstelling werkzaam is geworden, kan niet worden nagegaan.</w:t>
      </w:r>
    </w:p>
    <w:p w:rsidRPr="009A7FC0" w:rsidR="00B72C7E" w:rsidP="00B72C7E" w:rsidRDefault="00B72C7E" w14:paraId="30E3F045" w14:textId="77777777">
      <w:pPr>
        <w:suppressAutoHyphens/>
        <w:rPr>
          <w:szCs w:val="18"/>
        </w:rPr>
      </w:pPr>
    </w:p>
    <w:p w:rsidRPr="009A7FC0" w:rsidR="00B72C7E" w:rsidP="00B72C7E" w:rsidRDefault="00B72C7E" w14:paraId="338554EB" w14:textId="77777777">
      <w:pPr>
        <w:suppressAutoHyphens/>
        <w:rPr>
          <w:szCs w:val="18"/>
        </w:rPr>
      </w:pPr>
      <w:r w:rsidRPr="009A7FC0">
        <w:rPr>
          <w:szCs w:val="18"/>
        </w:rPr>
        <w:lastRenderedPageBreak/>
        <w:t>Op korte termijn gaat een wetsvoorstel over de vergewisplicht in internetconsultatie. Door deze in te voeren binnen de Jeugdwet zullen jeugdhulpaanbieders en gecertificeerde instellingen verplicht zijn het arbeidsverleden van nieuw aangenomen professionals na te gaan.</w:t>
      </w:r>
    </w:p>
    <w:p w:rsidRPr="009A7FC0" w:rsidR="00B72C7E" w:rsidP="00B72C7E" w:rsidRDefault="00B72C7E" w14:paraId="1D178AA6" w14:textId="77777777">
      <w:pPr>
        <w:suppressAutoHyphens/>
        <w:rPr>
          <w:szCs w:val="18"/>
        </w:rPr>
      </w:pPr>
    </w:p>
    <w:p w:rsidR="00B72C7E" w:rsidP="00B72C7E" w:rsidRDefault="00B72C7E" w14:paraId="2B2EBC87" w14:textId="77777777">
      <w:pPr>
        <w:spacing w:line="240" w:lineRule="auto"/>
        <w:rPr>
          <w:szCs w:val="18"/>
        </w:rPr>
      </w:pPr>
      <w:r>
        <w:rPr>
          <w:szCs w:val="18"/>
        </w:rPr>
        <w:br w:type="page"/>
      </w:r>
    </w:p>
    <w:p w:rsidRPr="009A7FC0" w:rsidR="00B72C7E" w:rsidP="00B72C7E" w:rsidRDefault="00B72C7E" w14:paraId="3B033FB0" w14:textId="77777777">
      <w:pPr>
        <w:suppressAutoHyphens/>
        <w:rPr>
          <w:szCs w:val="18"/>
        </w:rPr>
      </w:pPr>
      <w:r w:rsidRPr="009A7FC0">
        <w:rPr>
          <w:szCs w:val="18"/>
        </w:rPr>
        <w:lastRenderedPageBreak/>
        <w:t xml:space="preserve">Vraag 9. </w:t>
      </w:r>
    </w:p>
    <w:p w:rsidRPr="009A7FC0" w:rsidR="00B72C7E" w:rsidP="00B72C7E" w:rsidRDefault="00B72C7E" w14:paraId="06AF2912" w14:textId="77777777">
      <w:pPr>
        <w:suppressAutoHyphens/>
        <w:rPr>
          <w:szCs w:val="18"/>
        </w:rPr>
      </w:pPr>
      <w:r w:rsidRPr="009A7FC0">
        <w:rPr>
          <w:szCs w:val="18"/>
        </w:rPr>
        <w:t>Hoe reageert u op de signalen dat er bij D3 ook na het beëindigen van het verscherpte toezicht nog vrijheidsbeperkende maatregelen zijn ingezet als straf?</w:t>
      </w:r>
    </w:p>
    <w:p w:rsidR="00B72C7E" w:rsidP="00B72C7E" w:rsidRDefault="00B72C7E" w14:paraId="08C73AC2" w14:textId="77777777">
      <w:pPr>
        <w:suppressAutoHyphens/>
        <w:rPr>
          <w:szCs w:val="18"/>
        </w:rPr>
      </w:pPr>
    </w:p>
    <w:p w:rsidRPr="009A7FC0" w:rsidR="00B72C7E" w:rsidP="00B72C7E" w:rsidRDefault="00B72C7E" w14:paraId="5E25E630" w14:textId="77777777">
      <w:pPr>
        <w:suppressAutoHyphens/>
        <w:rPr>
          <w:szCs w:val="18"/>
        </w:rPr>
      </w:pPr>
      <w:r w:rsidRPr="009A7FC0">
        <w:rPr>
          <w:szCs w:val="18"/>
        </w:rPr>
        <w:t>9.</w:t>
      </w:r>
    </w:p>
    <w:p w:rsidRPr="009A7FC0" w:rsidR="00B72C7E" w:rsidP="00B72C7E" w:rsidRDefault="00B72C7E" w14:paraId="6EFCA4BD" w14:textId="77777777">
      <w:pPr>
        <w:suppressAutoHyphens/>
        <w:rPr>
          <w:szCs w:val="18"/>
        </w:rPr>
      </w:pPr>
      <w:r w:rsidRPr="009A7FC0">
        <w:rPr>
          <w:szCs w:val="18"/>
        </w:rPr>
        <w:t xml:space="preserve">Ik wil graag benadrukken dat het in geen enkele situatie is toegestaan om gedwongen zorg of vrijheidsbeperkende maatregelen in te zetten als straf voor een jeugdige. Jeugdigen die hiermee te maken hebben, roep ik op om zich te </w:t>
      </w:r>
    </w:p>
    <w:p w:rsidRPr="009A7FC0" w:rsidR="00B72C7E" w:rsidP="00B72C7E" w:rsidRDefault="00B72C7E" w14:paraId="6D48D6AD" w14:textId="77777777">
      <w:pPr>
        <w:suppressAutoHyphens/>
        <w:rPr>
          <w:szCs w:val="18"/>
        </w:rPr>
      </w:pPr>
    </w:p>
    <w:p w:rsidRPr="009A7FC0" w:rsidR="00B72C7E" w:rsidP="00B72C7E" w:rsidRDefault="00B72C7E" w14:paraId="1E6099F8" w14:textId="77777777">
      <w:pPr>
        <w:suppressAutoHyphens/>
        <w:rPr>
          <w:szCs w:val="18"/>
        </w:rPr>
      </w:pPr>
      <w:r w:rsidRPr="009A7FC0">
        <w:rPr>
          <w:szCs w:val="18"/>
        </w:rPr>
        <w:t xml:space="preserve">melden bij de vertrouwenspersoon van Jeugdstem en/of de IGJ. Wanneer zorgprofessionals hiermee te maken hebben binnen hun organisatie en bespreking intern niet tot verandering leidt, kunnen zij uiteraard ook een melding maken bij de IGJ. </w:t>
      </w:r>
    </w:p>
    <w:p w:rsidRPr="009A7FC0" w:rsidR="00B72C7E" w:rsidP="00B72C7E" w:rsidRDefault="00B72C7E" w14:paraId="7AFF80F4" w14:textId="77777777">
      <w:pPr>
        <w:suppressAutoHyphens/>
        <w:rPr>
          <w:szCs w:val="18"/>
        </w:rPr>
      </w:pPr>
    </w:p>
    <w:p w:rsidRPr="009A7FC0" w:rsidR="00B72C7E" w:rsidP="00B72C7E" w:rsidRDefault="00B72C7E" w14:paraId="370303E2" w14:textId="77777777">
      <w:pPr>
        <w:suppressAutoHyphens/>
        <w:rPr>
          <w:szCs w:val="18"/>
        </w:rPr>
      </w:pPr>
      <w:r w:rsidRPr="009A7FC0">
        <w:rPr>
          <w:szCs w:val="18"/>
        </w:rPr>
        <w:t>In sommige situaties kan het nodig zijn om tegen de wil van de jeugdige (of van degene die het gezag over de jeugdige uitoefent) gedwongen zorg of vrijheidsbeperkende maatregelen in te zetten.</w:t>
      </w:r>
      <w:r>
        <w:rPr>
          <w:szCs w:val="18"/>
        </w:rPr>
        <w:t xml:space="preserve"> </w:t>
      </w:r>
      <w:r w:rsidRPr="009A7FC0">
        <w:rPr>
          <w:szCs w:val="18"/>
        </w:rPr>
        <w:t>Hier zijn strikte voorwaarden en eisen aan verbonden die wettelijk zijn vastgelegd.</w:t>
      </w:r>
      <w:r>
        <w:rPr>
          <w:szCs w:val="18"/>
        </w:rPr>
        <w:t xml:space="preserve"> </w:t>
      </w:r>
      <w:r w:rsidRPr="009A7FC0">
        <w:rPr>
          <w:szCs w:val="18"/>
        </w:rPr>
        <w:t>Als het gaat om jeugdhulp zijn vrijheidsbeperkende maatregelen op grond van de Jeugdwet alleen toegestaan in de</w:t>
      </w:r>
      <w:r>
        <w:rPr>
          <w:szCs w:val="18"/>
        </w:rPr>
        <w:t xml:space="preserve"> </w:t>
      </w:r>
      <w:r w:rsidRPr="009A7FC0">
        <w:rPr>
          <w:szCs w:val="18"/>
        </w:rPr>
        <w:t>gesloten jeugdhulp. Daarnaast kan op grond van de Wet verplichte geestelijke gezondheidszorg</w:t>
      </w:r>
      <w:r>
        <w:rPr>
          <w:szCs w:val="18"/>
        </w:rPr>
        <w:t xml:space="preserve"> </w:t>
      </w:r>
      <w:r w:rsidRPr="009A7FC0">
        <w:rPr>
          <w:szCs w:val="18"/>
        </w:rPr>
        <w:t>(Wvggz) gedwongen zorg vanwege een psychische stoornis worden verleend indien wordt voldaan aan de eisen die deze wet daaraan stelt.</w:t>
      </w:r>
    </w:p>
    <w:p w:rsidRPr="009A7FC0" w:rsidR="00B72C7E" w:rsidP="00B72C7E" w:rsidRDefault="00B72C7E" w14:paraId="09B8B6AB" w14:textId="77777777">
      <w:pPr>
        <w:suppressAutoHyphens/>
        <w:rPr>
          <w:szCs w:val="18"/>
        </w:rPr>
      </w:pPr>
    </w:p>
    <w:p w:rsidRPr="009A7FC0" w:rsidR="00B72C7E" w:rsidP="00B72C7E" w:rsidRDefault="00B72C7E" w14:paraId="0E446F21" w14:textId="77777777">
      <w:pPr>
        <w:suppressAutoHyphens/>
        <w:rPr>
          <w:szCs w:val="18"/>
        </w:rPr>
      </w:pPr>
      <w:r w:rsidRPr="009A7FC0">
        <w:rPr>
          <w:szCs w:val="18"/>
        </w:rPr>
        <w:t>Tegelijkertijd vraagt de veranderende praktijk in de jeugdhulp veel van professionals. Recent onderzoek van Samenwerkende Beroepsverenigingen Jeugd en Factor I</w:t>
      </w:r>
      <w:r>
        <w:rPr>
          <w:rStyle w:val="Voetnootmarkering"/>
          <w:szCs w:val="18"/>
        </w:rPr>
        <w:footnoteReference w:id="10"/>
      </w:r>
      <w:r w:rsidRPr="009A7FC0">
        <w:rPr>
          <w:szCs w:val="18"/>
        </w:rPr>
        <w:t xml:space="preserve"> laat zien dat de veranderingen binnen de residentiële jeugdhulp een grote impact hebben op professionals. Door de afbouw van de gesloten jeugdhulp blijkt een deel van de doelgroep die eerder werd opgenomen in de gesloten jeugdhulp naar open residentiële voorzieningen te verschuiven, waardoor de complexiteit en zwaarte van hulpvragen toenemen. Ook wordt op veel plekken ingezet op kleinschalig werken. Dit biedt kansen voor maatwerk en nabijheid, maar vraagt tegelijkertijd om het waarborgen van veiligheid en passende bescherming in situaties die steeds veeleisender worden. In deze context ervaren professionals regelmatig handelingsverlegenheid. Het rapport onderstreept het belang van nieuw vakmanschap in de residentiële jeugdhulp: vakmanschap dat professionals ondersteunt om met vertrouwen en deskundigheid te handelen in een veranderende praktijk. Stichting </w:t>
      </w:r>
      <w:r w:rsidRPr="009A7FC0">
        <w:rPr>
          <w:szCs w:val="18"/>
        </w:rPr>
        <w:lastRenderedPageBreak/>
        <w:t>Beroepsopleiding Gezondheidszorg en Factor I zijn hierover in gesprek met Kwaliteit Blijvend Leren om te komen tot een meerjarenprogramma gericht op het versterken van dit vakmanschap.</w:t>
      </w:r>
    </w:p>
    <w:p w:rsidRPr="009A7FC0" w:rsidR="00B72C7E" w:rsidP="00B72C7E" w:rsidRDefault="00B72C7E" w14:paraId="7267F085" w14:textId="77777777">
      <w:pPr>
        <w:suppressAutoHyphens/>
        <w:rPr>
          <w:szCs w:val="18"/>
        </w:rPr>
      </w:pPr>
    </w:p>
    <w:p w:rsidR="002C3023" w:rsidRDefault="002C3023" w14:paraId="18830C9D" w14:textId="77777777"/>
    <w:sectPr w:rsidR="002C3023" w:rsidSect="00B72C7E">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1BCCD" w14:textId="77777777" w:rsidR="00312D6A" w:rsidRDefault="00312D6A" w:rsidP="00B72C7E">
      <w:pPr>
        <w:spacing w:after="0" w:line="240" w:lineRule="auto"/>
      </w:pPr>
      <w:r>
        <w:separator/>
      </w:r>
    </w:p>
  </w:endnote>
  <w:endnote w:type="continuationSeparator" w:id="0">
    <w:p w14:paraId="4B852E28" w14:textId="77777777" w:rsidR="00312D6A" w:rsidRDefault="00312D6A" w:rsidP="00B7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56874" w14:textId="77777777" w:rsidR="00B72C7E" w:rsidRPr="00B72C7E" w:rsidRDefault="00B72C7E" w:rsidP="00B72C7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5C303" w14:textId="77777777" w:rsidR="00312D6A" w:rsidRPr="00B72C7E" w:rsidRDefault="00312D6A" w:rsidP="00B72C7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0B852" w14:textId="77777777" w:rsidR="00312D6A" w:rsidRPr="00B72C7E" w:rsidRDefault="00312D6A" w:rsidP="00B72C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31F67" w14:textId="77777777" w:rsidR="00312D6A" w:rsidRDefault="00312D6A" w:rsidP="00B72C7E">
      <w:pPr>
        <w:spacing w:after="0" w:line="240" w:lineRule="auto"/>
      </w:pPr>
      <w:r>
        <w:separator/>
      </w:r>
    </w:p>
  </w:footnote>
  <w:footnote w:type="continuationSeparator" w:id="0">
    <w:p w14:paraId="0DF9708B" w14:textId="77777777" w:rsidR="00312D6A" w:rsidRDefault="00312D6A" w:rsidP="00B72C7E">
      <w:pPr>
        <w:spacing w:after="0" w:line="240" w:lineRule="auto"/>
      </w:pPr>
      <w:r>
        <w:continuationSeparator/>
      </w:r>
    </w:p>
  </w:footnote>
  <w:footnote w:id="1">
    <w:p w14:paraId="248CCCD6" w14:textId="77777777" w:rsidR="00B72C7E" w:rsidRPr="009A7FC0" w:rsidRDefault="00B72C7E" w:rsidP="00B72C7E">
      <w:pPr>
        <w:pStyle w:val="Voetnoottekst"/>
        <w:rPr>
          <w:sz w:val="16"/>
          <w:szCs w:val="16"/>
        </w:rPr>
      </w:pPr>
      <w:r w:rsidRPr="009A7FC0">
        <w:rPr>
          <w:rStyle w:val="Voetnootmarkering"/>
          <w:sz w:val="16"/>
          <w:szCs w:val="16"/>
        </w:rPr>
        <w:footnoteRef/>
      </w:r>
      <w:r w:rsidRPr="009A7FC0">
        <w:rPr>
          <w:sz w:val="16"/>
          <w:szCs w:val="16"/>
        </w:rPr>
        <w:t xml:space="preserve"> Jeugdzorg is een verzamelterm voor jeugdhulp, kinderbeschermingsmaatregelen en jeugdreclassering. In de context van de beantwoording van deze Kamervragen wordt hierna alleen gesproken over de ‘jeugdhulpaanbieder’.</w:t>
      </w:r>
    </w:p>
  </w:footnote>
  <w:footnote w:id="2">
    <w:p w14:paraId="489AE0C5" w14:textId="77777777" w:rsidR="00B72C7E" w:rsidRPr="009A7FC0" w:rsidRDefault="00B72C7E" w:rsidP="00B72C7E">
      <w:pPr>
        <w:pStyle w:val="Voetnoottekst"/>
        <w:rPr>
          <w:sz w:val="16"/>
          <w:szCs w:val="16"/>
        </w:rPr>
      </w:pPr>
      <w:r w:rsidRPr="009A7FC0">
        <w:rPr>
          <w:rStyle w:val="Voetnootmarkering"/>
          <w:sz w:val="16"/>
          <w:szCs w:val="16"/>
        </w:rPr>
        <w:footnoteRef/>
      </w:r>
      <w:r w:rsidRPr="009A7FC0">
        <w:rPr>
          <w:sz w:val="16"/>
          <w:szCs w:val="16"/>
        </w:rPr>
        <w:t xml:space="preserve"> Art. 161 Wetboek van Strafvordering</w:t>
      </w:r>
    </w:p>
  </w:footnote>
  <w:footnote w:id="3">
    <w:p w14:paraId="78ADB3CA" w14:textId="77777777" w:rsidR="00B72C7E" w:rsidRPr="009A7FC0" w:rsidRDefault="00B72C7E" w:rsidP="00B72C7E">
      <w:pPr>
        <w:pStyle w:val="Voetnoottekst"/>
        <w:rPr>
          <w:sz w:val="16"/>
          <w:szCs w:val="16"/>
        </w:rPr>
      </w:pPr>
      <w:r w:rsidRPr="009A7FC0">
        <w:rPr>
          <w:rStyle w:val="Voetnootmarkering"/>
          <w:sz w:val="16"/>
          <w:szCs w:val="16"/>
        </w:rPr>
        <w:footnoteRef/>
      </w:r>
      <w:r w:rsidRPr="009A7FC0">
        <w:rPr>
          <w:sz w:val="16"/>
          <w:szCs w:val="16"/>
        </w:rPr>
        <w:t xml:space="preserve"> Art. 160 Wetboek van Strafvordering</w:t>
      </w:r>
    </w:p>
  </w:footnote>
  <w:footnote w:id="4">
    <w:p w14:paraId="3AD73E80" w14:textId="77777777" w:rsidR="00B72C7E" w:rsidRPr="009A7FC0" w:rsidRDefault="00B72C7E" w:rsidP="00B72C7E">
      <w:pPr>
        <w:pStyle w:val="Voetnoottekst"/>
        <w:rPr>
          <w:sz w:val="16"/>
          <w:szCs w:val="16"/>
        </w:rPr>
      </w:pPr>
      <w:r w:rsidRPr="009A7FC0">
        <w:rPr>
          <w:rStyle w:val="Voetnootmarkering"/>
          <w:sz w:val="16"/>
          <w:szCs w:val="16"/>
        </w:rPr>
        <w:footnoteRef/>
      </w:r>
      <w:r w:rsidRPr="009A7FC0">
        <w:rPr>
          <w:sz w:val="16"/>
          <w:szCs w:val="16"/>
        </w:rPr>
        <w:t xml:space="preserve"> Dit volgt uit de wettelijke verplichting voor jeugdhulpaanbieders om verantwoorde hulp te bieden. Onderdeel van de verantwoorde hulp is de systematische bewaking, beheersing en verbetering van de kwaliteit van de hulpverlening. Zie ook artikel 4.1.1 en 4.1.4 Jeugdwet. </w:t>
      </w:r>
    </w:p>
  </w:footnote>
  <w:footnote w:id="5">
    <w:p w14:paraId="6E85808D" w14:textId="77777777" w:rsidR="00B72C7E" w:rsidRPr="009A7FC0" w:rsidRDefault="00B72C7E" w:rsidP="00B72C7E">
      <w:pPr>
        <w:pStyle w:val="Voetnoottekst"/>
        <w:rPr>
          <w:sz w:val="16"/>
          <w:szCs w:val="16"/>
        </w:rPr>
      </w:pPr>
      <w:r w:rsidRPr="009A7FC0">
        <w:rPr>
          <w:rStyle w:val="Voetnootmarkering"/>
          <w:sz w:val="16"/>
          <w:szCs w:val="16"/>
        </w:rPr>
        <w:footnoteRef/>
      </w:r>
      <w:r w:rsidRPr="009A7FC0">
        <w:rPr>
          <w:sz w:val="16"/>
          <w:szCs w:val="16"/>
        </w:rPr>
        <w:t xml:space="preserve"> </w:t>
      </w:r>
      <w:hyperlink r:id="rId1" w:history="1">
        <w:r w:rsidRPr="009A7FC0">
          <w:rPr>
            <w:rStyle w:val="Hyperlink"/>
            <w:sz w:val="16"/>
            <w:szCs w:val="16"/>
          </w:rPr>
          <w:t>https://www.slachtofferhulp.nl/strafproces/aangifte-tot-straf/aangifte-doen-bij-de-politie/wel-of-geen-aangifte-doen/</w:t>
        </w:r>
      </w:hyperlink>
    </w:p>
  </w:footnote>
  <w:footnote w:id="6">
    <w:p w14:paraId="12A18914" w14:textId="77777777" w:rsidR="00B72C7E" w:rsidRPr="009A7FC0" w:rsidRDefault="00B72C7E" w:rsidP="00B72C7E">
      <w:pPr>
        <w:pStyle w:val="Voetnoottekst"/>
        <w:rPr>
          <w:sz w:val="16"/>
          <w:szCs w:val="16"/>
        </w:rPr>
      </w:pPr>
      <w:r w:rsidRPr="009A7FC0">
        <w:rPr>
          <w:rStyle w:val="Voetnootmarkering"/>
          <w:sz w:val="16"/>
          <w:szCs w:val="16"/>
        </w:rPr>
        <w:footnoteRef/>
      </w:r>
      <w:r w:rsidRPr="009A7FC0">
        <w:rPr>
          <w:sz w:val="16"/>
          <w:szCs w:val="16"/>
        </w:rPr>
        <w:t xml:space="preserve"> </w:t>
      </w:r>
      <w:hyperlink r:id="rId2" w:anchor="we-ondersteunen-15" w:history="1">
        <w:r w:rsidRPr="009A7FC0">
          <w:rPr>
            <w:rStyle w:val="Hyperlink"/>
            <w:sz w:val="16"/>
            <w:szCs w:val="16"/>
          </w:rPr>
          <w:t>https://jeugdstem.nl/over-jeugdstem#we-ondersteunen-15</w:t>
        </w:r>
      </w:hyperlink>
    </w:p>
  </w:footnote>
  <w:footnote w:id="7">
    <w:p w14:paraId="5A146E73" w14:textId="77777777" w:rsidR="00B72C7E" w:rsidRPr="009A7FC0" w:rsidRDefault="00B72C7E" w:rsidP="00B72C7E">
      <w:pPr>
        <w:pStyle w:val="Voetnoottekst"/>
        <w:rPr>
          <w:sz w:val="16"/>
          <w:szCs w:val="16"/>
        </w:rPr>
      </w:pPr>
      <w:r w:rsidRPr="009A7FC0">
        <w:rPr>
          <w:rStyle w:val="Voetnootmarkering"/>
          <w:sz w:val="16"/>
          <w:szCs w:val="16"/>
        </w:rPr>
        <w:footnoteRef/>
      </w:r>
      <w:r w:rsidRPr="000E437B">
        <w:rPr>
          <w:sz w:val="16"/>
          <w:szCs w:val="16"/>
        </w:rPr>
        <w:t>https://www.slachtofferhulp.nl/strafproces/aangifte-tot-straf/rechtshulp/</w:t>
      </w:r>
    </w:p>
  </w:footnote>
  <w:footnote w:id="8">
    <w:p w14:paraId="5CDE15BB" w14:textId="77777777" w:rsidR="00B72C7E" w:rsidRPr="009A7FC0" w:rsidRDefault="00B72C7E" w:rsidP="00B72C7E">
      <w:pPr>
        <w:pStyle w:val="Voetnoottekst"/>
        <w:rPr>
          <w:sz w:val="16"/>
          <w:szCs w:val="16"/>
        </w:rPr>
      </w:pPr>
      <w:r w:rsidRPr="009A7FC0">
        <w:rPr>
          <w:rStyle w:val="Voetnootmarkering"/>
          <w:sz w:val="16"/>
          <w:szCs w:val="16"/>
        </w:rPr>
        <w:footnoteRef/>
      </w:r>
      <w:r w:rsidRPr="009A7FC0">
        <w:rPr>
          <w:sz w:val="16"/>
          <w:szCs w:val="16"/>
        </w:rPr>
        <w:t xml:space="preserve"> </w:t>
      </w:r>
      <w:r w:rsidRPr="003B0880">
        <w:rPr>
          <w:sz w:val="16"/>
          <w:szCs w:val="16"/>
        </w:rPr>
        <w:t>https://nip.nl/wp-content/uploads/2022/08/Wegwijzer-Dossier-in-de-Jeugdhulpverlening-rechten-en-plichten.pdf</w:t>
      </w:r>
    </w:p>
  </w:footnote>
  <w:footnote w:id="9">
    <w:p w14:paraId="4EF48C9C" w14:textId="77777777" w:rsidR="00B72C7E" w:rsidRPr="009A7FC0" w:rsidRDefault="00B72C7E" w:rsidP="00B72C7E">
      <w:pPr>
        <w:pStyle w:val="Voetnoottekst"/>
        <w:rPr>
          <w:sz w:val="16"/>
          <w:szCs w:val="16"/>
        </w:rPr>
      </w:pPr>
      <w:r w:rsidRPr="009A7FC0">
        <w:rPr>
          <w:rStyle w:val="Voetnootmarkering"/>
          <w:sz w:val="16"/>
          <w:szCs w:val="16"/>
        </w:rPr>
        <w:footnoteRef/>
      </w:r>
      <w:r w:rsidRPr="009A7FC0">
        <w:rPr>
          <w:sz w:val="16"/>
          <w:szCs w:val="16"/>
        </w:rPr>
        <w:t xml:space="preserve"> Artikel 4.1.1, tweede lid, Jeugdwet.</w:t>
      </w:r>
    </w:p>
  </w:footnote>
  <w:footnote w:id="10">
    <w:p w14:paraId="16C3292C" w14:textId="77777777" w:rsidR="00B72C7E" w:rsidRPr="000E437B" w:rsidRDefault="00B72C7E" w:rsidP="00B72C7E">
      <w:pPr>
        <w:pStyle w:val="Voetnoottekst"/>
        <w:rPr>
          <w:sz w:val="16"/>
          <w:szCs w:val="16"/>
        </w:rPr>
      </w:pPr>
      <w:r>
        <w:rPr>
          <w:rStyle w:val="Voetnootmarkering"/>
        </w:rPr>
        <w:footnoteRef/>
      </w:r>
      <w:r>
        <w:t xml:space="preserve"> </w:t>
      </w:r>
      <w:r w:rsidRPr="000E437B">
        <w:rPr>
          <w:sz w:val="16"/>
          <w:szCs w:val="16"/>
        </w:rPr>
        <w:t>Factor-I is</w:t>
      </w:r>
      <w:r>
        <w:t xml:space="preserve"> </w:t>
      </w:r>
      <w:r w:rsidRPr="000E437B">
        <w:rPr>
          <w:sz w:val="16"/>
          <w:szCs w:val="16"/>
        </w:rPr>
        <w:t>een organisatie gericht op</w:t>
      </w:r>
      <w:r w:rsidRPr="000E437B">
        <w:rPr>
          <w:rFonts w:cs="Arial"/>
          <w:color w:val="2B2B2B"/>
          <w:sz w:val="16"/>
          <w:szCs w:val="16"/>
        </w:rPr>
        <w:t xml:space="preserve"> de samenwerking tussen professionals en het eigen informele netwerk van hulpvragers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7D645" w14:textId="77777777" w:rsidR="00B72C7E" w:rsidRPr="00B72C7E" w:rsidRDefault="00B72C7E" w:rsidP="00B72C7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107B4" w14:textId="77777777" w:rsidR="00B72C7E" w:rsidRPr="00B72C7E" w:rsidRDefault="00B72C7E" w:rsidP="00B72C7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24BF7" w14:textId="77777777" w:rsidR="00312D6A" w:rsidRPr="00B72C7E" w:rsidRDefault="00312D6A" w:rsidP="00B72C7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C7E"/>
    <w:rsid w:val="002C3023"/>
    <w:rsid w:val="00312D6A"/>
    <w:rsid w:val="007D66DD"/>
    <w:rsid w:val="00B72C7E"/>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DC698"/>
  <w15:chartTrackingRefBased/>
  <w15:docId w15:val="{2A494D80-64A0-4B90-ACE1-A38784D4B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72C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72C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72C7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72C7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72C7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72C7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72C7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72C7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72C7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2C7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72C7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72C7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72C7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72C7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72C7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72C7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72C7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72C7E"/>
    <w:rPr>
      <w:rFonts w:eastAsiaTheme="majorEastAsia" w:cstheme="majorBidi"/>
      <w:color w:val="272727" w:themeColor="text1" w:themeTint="D8"/>
    </w:rPr>
  </w:style>
  <w:style w:type="paragraph" w:styleId="Titel">
    <w:name w:val="Title"/>
    <w:basedOn w:val="Standaard"/>
    <w:next w:val="Standaard"/>
    <w:link w:val="TitelChar"/>
    <w:uiPriority w:val="10"/>
    <w:qFormat/>
    <w:rsid w:val="00B72C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72C7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72C7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72C7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72C7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72C7E"/>
    <w:rPr>
      <w:i/>
      <w:iCs/>
      <w:color w:val="404040" w:themeColor="text1" w:themeTint="BF"/>
    </w:rPr>
  </w:style>
  <w:style w:type="paragraph" w:styleId="Lijstalinea">
    <w:name w:val="List Paragraph"/>
    <w:basedOn w:val="Standaard"/>
    <w:uiPriority w:val="34"/>
    <w:qFormat/>
    <w:rsid w:val="00B72C7E"/>
    <w:pPr>
      <w:ind w:left="720"/>
      <w:contextualSpacing/>
    </w:pPr>
  </w:style>
  <w:style w:type="character" w:styleId="Intensievebenadrukking">
    <w:name w:val="Intense Emphasis"/>
    <w:basedOn w:val="Standaardalinea-lettertype"/>
    <w:uiPriority w:val="21"/>
    <w:qFormat/>
    <w:rsid w:val="00B72C7E"/>
    <w:rPr>
      <w:i/>
      <w:iCs/>
      <w:color w:val="0F4761" w:themeColor="accent1" w:themeShade="BF"/>
    </w:rPr>
  </w:style>
  <w:style w:type="paragraph" w:styleId="Duidelijkcitaat">
    <w:name w:val="Intense Quote"/>
    <w:basedOn w:val="Standaard"/>
    <w:next w:val="Standaard"/>
    <w:link w:val="DuidelijkcitaatChar"/>
    <w:uiPriority w:val="30"/>
    <w:qFormat/>
    <w:rsid w:val="00B72C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72C7E"/>
    <w:rPr>
      <w:i/>
      <w:iCs/>
      <w:color w:val="0F4761" w:themeColor="accent1" w:themeShade="BF"/>
    </w:rPr>
  </w:style>
  <w:style w:type="character" w:styleId="Intensieveverwijzing">
    <w:name w:val="Intense Reference"/>
    <w:basedOn w:val="Standaardalinea-lettertype"/>
    <w:uiPriority w:val="32"/>
    <w:qFormat/>
    <w:rsid w:val="00B72C7E"/>
    <w:rPr>
      <w:b/>
      <w:bCs/>
      <w:smallCaps/>
      <w:color w:val="0F4761" w:themeColor="accent1" w:themeShade="BF"/>
      <w:spacing w:val="5"/>
    </w:rPr>
  </w:style>
  <w:style w:type="paragraph" w:styleId="Voetnoottekst">
    <w:name w:val="footnote text"/>
    <w:basedOn w:val="Standaard"/>
    <w:link w:val="VoetnoottekstChar"/>
    <w:uiPriority w:val="99"/>
    <w:semiHidden/>
    <w:rsid w:val="00B72C7E"/>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B72C7E"/>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B72C7E"/>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B72C7E"/>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B72C7E"/>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B72C7E"/>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B72C7E"/>
    <w:rPr>
      <w:rFonts w:ascii="Verdana" w:eastAsia="Times New Roman" w:hAnsi="Verdana" w:cs="Times New Roman"/>
      <w:kern w:val="0"/>
      <w:sz w:val="18"/>
      <w:szCs w:val="20"/>
      <w:lang w:eastAsia="nl-NL"/>
      <w14:ligatures w14:val="none"/>
    </w:rPr>
  </w:style>
  <w:style w:type="character" w:styleId="Voetnootmarkering">
    <w:name w:val="footnote reference"/>
    <w:aliases w:val="FR,FR1,FR11,FR2,FR21,FR3,FR4,FR5,Footnote Reference Superscript,Footnotemark,Footnotemark1,Footnotemark11,Footnotemark2,Footnotemark21,Footnotemark3,Footnotemark31,Footnotemark4,Footnotemark5,Footnotemark6,Footnotemark7,Kop 4 Char1,Ref"/>
    <w:basedOn w:val="Standaardalinea-lettertype"/>
    <w:uiPriority w:val="99"/>
    <w:unhideWhenUsed/>
    <w:rsid w:val="00B72C7E"/>
    <w:rPr>
      <w:vertAlign w:val="superscript"/>
    </w:rPr>
  </w:style>
  <w:style w:type="character" w:styleId="Hyperlink">
    <w:name w:val="Hyperlink"/>
    <w:basedOn w:val="Standaardalinea-lettertype"/>
    <w:uiPriority w:val="99"/>
    <w:unhideWhenUsed/>
    <w:rsid w:val="00B72C7E"/>
    <w:rPr>
      <w:color w:val="467886" w:themeColor="hyperlink"/>
      <w:u w:val="single"/>
    </w:rPr>
  </w:style>
  <w:style w:type="paragraph" w:styleId="Geenafstand">
    <w:name w:val="No Spacing"/>
    <w:uiPriority w:val="1"/>
    <w:qFormat/>
    <w:rsid w:val="00B72C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jeugdstem.nl/over-jeugdstem" TargetMode="External"/><Relationship Id="rId1" Type="http://schemas.openxmlformats.org/officeDocument/2006/relationships/hyperlink" Target="https://www.slachtofferhulp.nl/strafproces/aangifte-tot-straf/aangifte-doen-bij-de-politie/wel-of-geen-aangifte-do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1946</ap:Words>
  <ap:Characters>10706</ap:Characters>
  <ap:DocSecurity>0</ap:DocSecurity>
  <ap:Lines>89</ap:Lines>
  <ap:Paragraphs>25</ap:Paragraphs>
  <ap:ScaleCrop>false</ap:ScaleCrop>
  <ap:LinksUpToDate>false</ap:LinksUpToDate>
  <ap:CharactersWithSpaces>12627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2026-06-09T09:19:00.0000000Z</dcterms:created>
  <dcterms:modified xsi:type="dcterms:W3CDTF">2026-06-09T09:20:00.0000000Z</dcterms:modified>
  <version/>
  <category/>
</coreProperties>
</file>