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rsidR="000F2D61" w:rsidP="000F2D61" w14:paraId="2DD2D292" w14:textId="798ED37E">
      <w:pPr>
        <w:pStyle w:val="title-cell-text"/>
        <w:rPr>
          <w:rStyle w:val="text-title"/>
        </w:rPr>
      </w:pPr>
      <w:bookmarkStart w:name="1369929613699296" w:id="0"/>
      <w:r>
        <w:rPr>
          <w:rStyle w:val="text-title"/>
        </w:rPr>
        <w:t xml:space="preserve">36945-IV-1 </w:t>
      </w:r>
      <w:r>
        <w:rPr>
          <w:rStyle w:val="text-title"/>
        </w:rPr>
        <w:t>Slotwet</w:t>
      </w:r>
      <w:r>
        <w:rPr>
          <w:rStyle w:val="text-title"/>
        </w:rPr>
        <w:t xml:space="preserve"> Koninkrijksrelaties en het BES-fonds 2025</w:t>
      </w:r>
    </w:p>
    <w:p w:rsidR="000F2D61" w:rsidP="000F2D61" w14:paraId="7CD14F05" w14:textId="77777777">
      <w:pPr>
        <w:pStyle w:val="title-cell-text"/>
        <w:rPr>
          <w:rStyle w:val="text-title"/>
        </w:rPr>
      </w:pPr>
    </w:p>
    <w:p w:rsidR="000F2D61" w:rsidP="000F2D61" w14:paraId="420E4757" w14:textId="77777777">
      <w:pPr>
        <w:rPr>
          <w:b/>
        </w:rPr>
      </w:pPr>
      <w:r>
        <w:rPr>
          <w:b/>
        </w:rPr>
        <w:t xml:space="preserve">nr. </w:t>
      </w:r>
      <w:r>
        <w:rPr>
          <w:b/>
        </w:rPr>
        <w:tab/>
      </w:r>
      <w:r>
        <w:rPr>
          <w:b/>
        </w:rPr>
        <w:tab/>
        <w:t>Lijst van vragen en antwoorden</w:t>
      </w:r>
    </w:p>
    <w:p w:rsidR="000F2D61" w:rsidP="000F2D61" w14:paraId="38D3B2DE" w14:textId="77777777">
      <w:r>
        <w:tab/>
      </w:r>
      <w:r>
        <w:tab/>
      </w:r>
    </w:p>
    <w:p w:rsidR="000F2D61" w:rsidP="000F2D61" w14:paraId="2C81B575" w14:textId="77777777">
      <w:pPr>
        <w:ind w:left="702" w:firstLine="708"/>
        <w:rPr>
          <w:i/>
        </w:rPr>
      </w:pPr>
      <w:r>
        <w:t xml:space="preserve">Vastgesteld </w:t>
      </w:r>
      <w:r>
        <w:rPr>
          <w:i/>
        </w:rPr>
        <w:t>(wordt door griffie ingevuld als antwoorden er zijn)</w:t>
      </w:r>
    </w:p>
    <w:p w:rsidR="000F2D61" w:rsidP="000F2D61" w14:paraId="071B15EF" w14:textId="77777777">
      <w:pPr>
        <w:ind w:left="1410"/>
      </w:pPr>
      <w:r>
        <w:t xml:space="preserve">De vaste commissie voor Koninkrijksrelaties heeft een aantal vragen voorgelegd aan de </w:t>
      </w:r>
      <w:r w:rsidRPr="00C71A19">
        <w:t>minister van Binnenlandse Zaken en Koninkrijksrelaties</w:t>
      </w:r>
      <w:r>
        <w:t xml:space="preserve"> over de </w:t>
      </w:r>
      <w:r>
        <w:rPr>
          <w:b/>
        </w:rPr>
        <w:t>Slotwet</w:t>
      </w:r>
      <w:r>
        <w:rPr>
          <w:b/>
        </w:rPr>
        <w:t xml:space="preserve"> Koninkrijksrelaties en het BES-fonds 2025</w:t>
      </w:r>
      <w:r>
        <w:t xml:space="preserve"> (</w:t>
      </w:r>
      <w:r>
        <w:rPr>
          <w:b/>
        </w:rPr>
        <w:t>36945-IV</w:t>
      </w:r>
      <w:r>
        <w:t>).</w:t>
      </w:r>
    </w:p>
    <w:p w:rsidR="000F2D61" w:rsidP="000F2D61" w14:paraId="35252FCA" w14:textId="77777777">
      <w:pPr>
        <w:ind w:left="1410"/>
      </w:pPr>
      <w:r>
        <w:t>De daarop door de minister gegeven antwoorden zijn hierbij afgedrukt.</w:t>
      </w:r>
    </w:p>
    <w:p w:rsidR="000F2D61" w:rsidP="000F2D61" w14:paraId="6EA73A89" w14:textId="77777777"/>
    <w:p w:rsidR="000F2D61" w:rsidP="000F2D61" w14:paraId="207D9807" w14:textId="77777777">
      <w:pPr>
        <w:ind w:left="703" w:firstLine="709"/>
      </w:pPr>
      <w:r>
        <w:t xml:space="preserve">Voorzitter van de commissie, </w:t>
      </w:r>
    </w:p>
    <w:p w:rsidR="000F2D61" w:rsidP="000F2D61" w14:paraId="0D3DFA92" w14:textId="77777777">
      <w:r>
        <w:tab/>
      </w:r>
      <w:r>
        <w:tab/>
      </w:r>
      <w:r>
        <w:t>Biekman</w:t>
      </w:r>
    </w:p>
    <w:p w:rsidR="000F2D61" w:rsidP="000F2D61" w14:paraId="1DC26518" w14:textId="77777777">
      <w:r>
        <w:tab/>
      </w:r>
      <w:r>
        <w:tab/>
      </w:r>
    </w:p>
    <w:p w:rsidR="000F2D61" w:rsidP="000F2D61" w14:paraId="45AD0A15" w14:textId="77777777">
      <w:r>
        <w:tab/>
      </w:r>
      <w:r>
        <w:tab/>
        <w:t>Griffier van de commissie,</w:t>
      </w:r>
    </w:p>
    <w:p w:rsidR="000F2D61" w:rsidP="000F2D61" w14:paraId="1A68A298" w14:textId="77777777">
      <w:r>
        <w:tab/>
      </w:r>
      <w:r>
        <w:tab/>
        <w:t>Hessing-Puts</w:t>
      </w:r>
    </w:p>
    <w:p w:rsidR="000F2D61" w:rsidP="000F2D61" w14:paraId="57240833" w14:textId="77777777">
      <w:pPr>
        <w:pStyle w:val="title-cell-text"/>
      </w:pPr>
    </w:p>
    <w:p w:rsidR="000F2D61" w:rsidP="000F2D61" w14:paraId="787547CD" w14:textId="11512467">
      <w:pPr>
        <w:pStyle w:val="section-title-1"/>
      </w:pPr>
    </w:p>
    <w:p w:rsidR="000F2D61" w:rsidP="000F2D61" w14:paraId="115FE28B" w14:textId="0618EDF2">
      <w:pPr>
        <w:pStyle w:val="section-title-1"/>
      </w:pPr>
      <w:bookmarkStart w:name="1357751613571082" w:id="1"/>
      <w:bookmarkEnd w:id="0"/>
      <w:r>
        <w:t>Vraag 1:</w:t>
      </w:r>
      <w:bookmarkEnd w:id="1"/>
    </w:p>
    <w:p w:rsidR="000F2D61" w:rsidP="000F2D61" w14:paraId="26829875" w14:textId="77777777">
      <w:pPr>
        <w:pStyle w:val="header-h1"/>
      </w:pPr>
      <w:r>
        <w:t>Vraag:</w:t>
      </w:r>
    </w:p>
    <w:p w:rsidR="000F2D61" w:rsidP="000F2D61" w14:paraId="7B1F8F8D" w14:textId="77777777">
      <w:pPr>
        <w:pStyle w:val="p"/>
      </w:pPr>
      <w:r>
        <w:t>Wanneer is de verwachting dat het contract voor de nieuwe gevangenis op Sint Maarten alsnog getekend zal worden? (</w:t>
      </w:r>
      <w:r>
        <w:t>blz</w:t>
      </w:r>
      <w:r>
        <w:t>: 4)</w:t>
      </w:r>
    </w:p>
    <w:p w:rsidR="000F2D61" w:rsidP="000F2D61" w14:paraId="04D30644" w14:textId="77777777">
      <w:pPr>
        <w:pStyle w:val="header-h1"/>
      </w:pPr>
      <w:r>
        <w:t>Antwoord:</w:t>
      </w:r>
    </w:p>
    <w:p w:rsidR="000F2D61" w:rsidP="000F2D61" w14:paraId="2EA423DD" w14:textId="77777777">
      <w:pPr>
        <w:pStyle w:val="p"/>
      </w:pPr>
      <w:r>
        <w:t xml:space="preserve">In november 2024 hebben het United Nations Office </w:t>
      </w:r>
      <w:r>
        <w:t>for</w:t>
      </w:r>
      <w:r>
        <w:t xml:space="preserve"> Project Services (UNOPS), het ministerie van Justitie van Sint Maarten en het ministerie van Binnenlandse Zaken en Koninkrijksrelaties van Nederland (BZK) een overeenkomst getekend voor de bouw van een nieuwe gevangenis op Sint Maarten. Ter aanvulling op deze overeenkomst is voor de transitiefase naar de nieuwe gevangenis in februari 2026 een aanvullende overeenkomst getekend tussen de United Nations Office on Drugs </w:t>
      </w:r>
      <w:r>
        <w:t>and</w:t>
      </w:r>
      <w:r>
        <w:t xml:space="preserve"> Crime (UNODC), Sint Maarten en BZK. </w:t>
      </w:r>
    </w:p>
    <w:p w:rsidR="000F2D61" w:rsidP="000F2D61" w14:paraId="6A00A1DC" w14:textId="11890B16">
      <w:pPr>
        <w:pStyle w:val="section-title-1"/>
      </w:pPr>
      <w:bookmarkStart w:name="1357422013567786" w:id="2"/>
      <w:r>
        <w:t>Vraag 2:</w:t>
      </w:r>
      <w:bookmarkEnd w:id="2"/>
    </w:p>
    <w:p w:rsidR="000F2D61" w:rsidP="000F2D61" w14:paraId="354E6730" w14:textId="77777777">
      <w:pPr>
        <w:pStyle w:val="header-h1"/>
      </w:pPr>
      <w:r>
        <w:t>Vraag:</w:t>
      </w:r>
    </w:p>
    <w:p w:rsidR="000F2D61" w:rsidP="000F2D61" w14:paraId="1BD9765B" w14:textId="77777777">
      <w:pPr>
        <w:pStyle w:val="p"/>
      </w:pPr>
      <w:r>
        <w:t>Welke gevolgen heeft de vertraging voor de planning van de nieuwe gevangenis op Sint Maarten? (</w:t>
      </w:r>
      <w:r>
        <w:t>blz</w:t>
      </w:r>
      <w:r>
        <w:t>: 4)</w:t>
      </w:r>
    </w:p>
    <w:p w:rsidR="000F2D61" w:rsidP="000F2D61" w14:paraId="009E3357" w14:textId="77777777">
      <w:pPr>
        <w:pStyle w:val="header-h1"/>
      </w:pPr>
      <w:r>
        <w:t>Antwoord:</w:t>
      </w:r>
    </w:p>
    <w:p w:rsidR="000F2D61" w:rsidP="000F2D61" w14:paraId="50243F83" w14:textId="77777777">
      <w:pPr>
        <w:pStyle w:val="p"/>
      </w:pPr>
      <w:r>
        <w:t xml:space="preserve">United Nations Office on Drugs </w:t>
      </w:r>
      <w:r>
        <w:t>and</w:t>
      </w:r>
      <w:r>
        <w:t xml:space="preserve"> Crime (UNODC) is op basis van een eerdere bijdrage vanuit Sint Maarten in 2025 al gestart met haar meerjarige programma. Doordat UNODC al een start heeft gemaakt met haar programma heeft de vertraging van de ondertekening met alle drie de partijen geen gevolgen voor de planning van de bouw van de nieuwe gevangenis op Sint Maarten</w:t>
      </w:r>
    </w:p>
    <w:p w:rsidR="000F2D61" w:rsidP="000F2D61" w14:paraId="19A55332" w14:textId="0D762693">
      <w:pPr>
        <w:pStyle w:val="section-title-1"/>
      </w:pPr>
      <w:bookmarkStart w:name="1357860513572171" w:id="3"/>
      <w:r>
        <w:t>Vraag 3:</w:t>
      </w:r>
      <w:bookmarkEnd w:id="3"/>
    </w:p>
    <w:p w:rsidR="000F2D61" w:rsidP="000F2D61" w14:paraId="7675527E" w14:textId="77777777">
      <w:pPr>
        <w:pStyle w:val="header-h1"/>
      </w:pPr>
      <w:r>
        <w:t>Vraag:</w:t>
      </w:r>
    </w:p>
    <w:p w:rsidR="000F2D61" w:rsidP="000F2D61" w14:paraId="0DEAA7DC" w14:textId="77777777">
      <w:pPr>
        <w:pStyle w:val="p"/>
      </w:pPr>
      <w:r>
        <w:t>Wat gebeurt er met de €3 miljoen die in 2025 niet tot uitputting is gekomen? (</w:t>
      </w:r>
      <w:r>
        <w:t>blz</w:t>
      </w:r>
      <w:r>
        <w:t>: 4)</w:t>
      </w:r>
    </w:p>
    <w:p w:rsidR="000F2D61" w:rsidP="000F2D61" w14:paraId="7E364E9A" w14:textId="77777777">
      <w:pPr>
        <w:pStyle w:val="header-h1"/>
      </w:pPr>
      <w:r>
        <w:t>Antwoord:</w:t>
      </w:r>
    </w:p>
    <w:p w:rsidR="000F2D61" w:rsidP="000F2D61" w14:paraId="0472662E" w14:textId="77777777">
      <w:pPr>
        <w:pStyle w:val="p"/>
      </w:pPr>
      <w:r>
        <w:t xml:space="preserve">Aanvankelijk was voorzien dat de opdracht aan United Nations Office on Drugs </w:t>
      </w:r>
      <w:r>
        <w:t>and</w:t>
      </w:r>
      <w:r>
        <w:t xml:space="preserve"> Crime (UNODC) in 2025 getekend zou worden. Hiertoe was voorzien in de verplichtingenruimte. Echter is de overeenkomst begin 2026 getekend en daarmee de verplichting ook in 2026 ingesteld. De </w:t>
      </w:r>
      <w:r>
        <w:t>onderuitputting</w:t>
      </w:r>
      <w:r>
        <w:t xml:space="preserve"> betreft dus alleen het verplichtingenbudget in 2025, dit heeft geen invloed op het kasbudget voor de opdracht aan UNODC dat verdeeld is over de jaren 2026 ‒ 2029.</w:t>
      </w:r>
    </w:p>
    <w:p w:rsidR="000F2D61" w:rsidP="000F2D61" w14:paraId="33C6AC7B" w14:textId="3D39EAB7">
      <w:pPr>
        <w:pStyle w:val="section-title-1"/>
      </w:pPr>
      <w:bookmarkStart w:name="1357754813571114" w:id="4"/>
      <w:r>
        <w:t>Vraag 4:</w:t>
      </w:r>
      <w:bookmarkEnd w:id="4"/>
    </w:p>
    <w:p w:rsidR="000F2D61" w:rsidP="000F2D61" w14:paraId="67D3C63E" w14:textId="77777777">
      <w:pPr>
        <w:pStyle w:val="header-h1"/>
      </w:pPr>
      <w:r>
        <w:t>Vraag:</w:t>
      </w:r>
    </w:p>
    <w:p w:rsidR="000F2D61" w:rsidP="000F2D61" w14:paraId="42693761" w14:textId="77777777">
      <w:pPr>
        <w:pStyle w:val="p"/>
      </w:pPr>
      <w:r>
        <w:t>Waarom is het pand van de Vertegenwoordiging op Curaçao uiteindelijk niet aangekocht? (</w:t>
      </w:r>
      <w:r>
        <w:t>blz</w:t>
      </w:r>
      <w:r>
        <w:t>: 4)</w:t>
      </w:r>
    </w:p>
    <w:p w:rsidR="000F2D61" w:rsidP="000F2D61" w14:paraId="597E4B92" w14:textId="77777777">
      <w:pPr>
        <w:pStyle w:val="header-h1"/>
      </w:pPr>
      <w:r>
        <w:t>Antwoord:</w:t>
      </w:r>
    </w:p>
    <w:p w:rsidR="000F2D61" w:rsidP="000F2D61" w14:paraId="5D25F6E1" w14:textId="77777777">
      <w:pPr>
        <w:pStyle w:val="p"/>
      </w:pPr>
      <w:r>
        <w:t>De partijen zijn het onderling niet eens geworden over de koopsom en daartoe is de Vertegenwoordiging niet overgegaan tot aankoop van het pand.</w:t>
      </w:r>
    </w:p>
    <w:p w:rsidR="000F2D61" w:rsidP="000F2D61" w14:paraId="147D0396" w14:textId="55F93B3A">
      <w:pPr>
        <w:pStyle w:val="section-title-1"/>
      </w:pPr>
      <w:bookmarkStart w:name="1357678013570346" w:id="5"/>
      <w:r>
        <w:t>Vraag 5:</w:t>
      </w:r>
      <w:bookmarkEnd w:id="5"/>
    </w:p>
    <w:p w:rsidR="000F2D61" w:rsidP="000F2D61" w14:paraId="1AFF4FE9" w14:textId="77777777">
      <w:pPr>
        <w:pStyle w:val="header-h1"/>
      </w:pPr>
      <w:r>
        <w:t>Vraag:</w:t>
      </w:r>
    </w:p>
    <w:p w:rsidR="000F2D61" w:rsidP="000F2D61" w14:paraId="4FA95CE2" w14:textId="77777777">
      <w:pPr>
        <w:pStyle w:val="p"/>
      </w:pPr>
      <w:r>
        <w:t>Wat gebeurt er met de gereserveerde €2,3 miljoen voor de aankoop van het pand op Curaçao? (</w:t>
      </w:r>
      <w:r>
        <w:t>blz</w:t>
      </w:r>
      <w:r>
        <w:t>: 4)</w:t>
      </w:r>
    </w:p>
    <w:p w:rsidR="000F2D61" w:rsidP="000F2D61" w14:paraId="2F5D2FA1" w14:textId="77777777">
      <w:pPr>
        <w:pStyle w:val="header-h1"/>
      </w:pPr>
      <w:r>
        <w:t>Antwoord:</w:t>
      </w:r>
    </w:p>
    <w:p w:rsidR="000F2D61" w:rsidP="000F2D61" w14:paraId="24F9120D" w14:textId="77777777">
      <w:pPr>
        <w:pStyle w:val="p"/>
      </w:pPr>
      <w:r>
        <w:t>De middelen die niet zijn besteed in 2025 zijn eind 2025 teruggevloeid naar het generale beeld.</w:t>
      </w:r>
    </w:p>
    <w:p w:rsidR="000F2D61" w:rsidP="000F2D61" w14:paraId="0236390B" w14:textId="2119D01F">
      <w:pPr>
        <w:pStyle w:val="section-title-1"/>
      </w:pPr>
      <w:bookmarkStart w:name="1357425213567818" w:id="6"/>
      <w:r>
        <w:t>Vraag 6:</w:t>
      </w:r>
      <w:bookmarkEnd w:id="6"/>
    </w:p>
    <w:p w:rsidR="000F2D61" w:rsidP="000F2D61" w14:paraId="753716F0" w14:textId="77777777">
      <w:pPr>
        <w:pStyle w:val="header-h1"/>
      </w:pPr>
      <w:r>
        <w:t>Vraag:</w:t>
      </w:r>
    </w:p>
    <w:p w:rsidR="000F2D61" w:rsidP="000F2D61" w14:paraId="5D77DB04" w14:textId="77777777">
      <w:pPr>
        <w:pStyle w:val="p"/>
      </w:pPr>
      <w:r>
        <w:t>Hoeveel ondernemers hebben zich tot nu toe aangemeld voor de borgstellingsregeling? (</w:t>
      </w:r>
      <w:r>
        <w:t>blz</w:t>
      </w:r>
      <w:r>
        <w:t>: 4)</w:t>
      </w:r>
    </w:p>
    <w:p w:rsidR="000F2D61" w:rsidP="000F2D61" w14:paraId="5A1A1386" w14:textId="77777777">
      <w:pPr>
        <w:pStyle w:val="header-h1"/>
      </w:pPr>
      <w:r>
        <w:t>Antwoord:</w:t>
      </w:r>
    </w:p>
    <w:p w:rsidR="000F2D61" w:rsidP="000F2D61" w14:paraId="356BEB2D" w14:textId="77777777">
      <w:pPr>
        <w:pStyle w:val="p"/>
      </w:pPr>
      <w:r>
        <w:t>Aanvragen om gebruik te maken van de borgstelling lopen via geaccrediteerde financiers naar RVO. Er zijn op dit moment zeven borgstellingen verstrekt op basis van de BMKB-ACS regeling.</w:t>
      </w:r>
    </w:p>
    <w:p w:rsidR="000F2D61" w:rsidP="000F2D61" w14:paraId="0829DB9E" w14:textId="2DF18A10">
      <w:pPr>
        <w:pStyle w:val="section-title-1"/>
      </w:pPr>
      <w:bookmarkStart w:name="1357758013571146" w:id="7"/>
      <w:r>
        <w:t>Vraag 7:</w:t>
      </w:r>
      <w:bookmarkEnd w:id="7"/>
    </w:p>
    <w:p w:rsidR="000F2D61" w:rsidP="000F2D61" w14:paraId="48DAEDB3" w14:textId="77777777">
      <w:pPr>
        <w:pStyle w:val="header-h1"/>
      </w:pPr>
      <w:r>
        <w:t>Vraag:</w:t>
      </w:r>
    </w:p>
    <w:p w:rsidR="000F2D61" w:rsidP="000F2D61" w14:paraId="11DDD9CD" w14:textId="77777777">
      <w:pPr>
        <w:pStyle w:val="p"/>
      </w:pPr>
      <w:r>
        <w:t>Hoe hoog was de oorspronkelijke lening aanvraag van Curaçao en welke investeringen zouden met deze lening worden gefinancierd? (</w:t>
      </w:r>
      <w:r>
        <w:t>blz</w:t>
      </w:r>
      <w:r>
        <w:t>: 4)</w:t>
      </w:r>
    </w:p>
    <w:p w:rsidR="000F2D61" w:rsidP="000F2D61" w14:paraId="06F944EC" w14:textId="77777777">
      <w:pPr>
        <w:pStyle w:val="header-h1"/>
      </w:pPr>
      <w:r>
        <w:t>Antwoord:</w:t>
      </w:r>
    </w:p>
    <w:p w:rsidR="000F2D61" w:rsidP="000F2D61" w14:paraId="23D5D519" w14:textId="77777777">
      <w:pPr>
        <w:pStyle w:val="p"/>
      </w:pPr>
      <w:r>
        <w:t xml:space="preserve">De oorspronkelijk aangevraagde lening van Curaçao was XCG 147,7 mln. (circa € 70 mln.). Op 23 juli 2025 adviseerde het </w:t>
      </w:r>
      <w:r>
        <w:t>Cft</w:t>
      </w:r>
      <w:r>
        <w:t xml:space="preserve"> dat Curaçao op grond van artikel 16 van de </w:t>
      </w:r>
      <w:r>
        <w:t>Rft</w:t>
      </w:r>
      <w:r>
        <w:t xml:space="preserve"> kon overgaan tot het aantrekken van de, conform de Begroting 2025 van Curaçao, voorgenomen lening via de lopende inschrijving, ter waarde van XCG 115,7 mln. (circa € 55 mln.). De overige XCG 32 mln. (circa € 15 mln.) was niet opgenomen in de Begroting 2025 van Curaçao, waardoor een begrotingswijziging nodig was voordat ook dit bedrag beschikbaar kon worden gesteld door Nederland. Dit is niet tijdig gebeurd.</w:t>
      </w:r>
    </w:p>
    <w:p w:rsidR="000F2D61" w:rsidP="000F2D61" w14:paraId="5D5CDEDF" w14:textId="77777777">
      <w:pPr>
        <w:pStyle w:val="p"/>
      </w:pPr>
      <w:r>
        <w:t>Curaçao voorzag investeringen in onder andere de verbouwing van het Stadhuis, de nieuwbouw van een crisiscentrum, een digitaliseringstraject, onderhoud van de wegeninfrastructuur en de aanschaf van materialen t.b.v. scholen. </w:t>
      </w:r>
    </w:p>
    <w:p w:rsidR="000F2D61" w:rsidP="000F2D61" w14:paraId="4EDEF318" w14:textId="32A0A5D7">
      <w:pPr>
        <w:pStyle w:val="section-title-1"/>
      </w:pPr>
      <w:bookmarkStart w:name="1357761213571178" w:id="8"/>
      <w:r>
        <w:t>Vraag 8:</w:t>
      </w:r>
      <w:bookmarkEnd w:id="8"/>
    </w:p>
    <w:p w:rsidR="000F2D61" w:rsidP="000F2D61" w14:paraId="5A20B0A4" w14:textId="77777777">
      <w:pPr>
        <w:pStyle w:val="header-h1"/>
      </w:pPr>
      <w:r>
        <w:t>Vraag:</w:t>
      </w:r>
    </w:p>
    <w:p w:rsidR="000F2D61" w:rsidP="000F2D61" w14:paraId="33256403" w14:textId="77777777">
      <w:pPr>
        <w:pStyle w:val="p"/>
      </w:pPr>
      <w:r>
        <w:t>Waarom zijn geraamde personele uitgaven niet gerealiseerd in 2025? (</w:t>
      </w:r>
      <w:r>
        <w:t>blz</w:t>
      </w:r>
      <w:r>
        <w:t>: 4)</w:t>
      </w:r>
    </w:p>
    <w:p w:rsidR="000F2D61" w:rsidP="000F2D61" w14:paraId="3C7A982A" w14:textId="77777777">
      <w:pPr>
        <w:pStyle w:val="header-h1"/>
      </w:pPr>
      <w:r>
        <w:t>Antwoord:</w:t>
      </w:r>
    </w:p>
    <w:p w:rsidR="000F2D61" w:rsidP="000F2D61" w14:paraId="462C4B44" w14:textId="77777777">
      <w:pPr>
        <w:pStyle w:val="p"/>
      </w:pPr>
      <w:r>
        <w:t>De niet gerealiseerde uitgaven hebben te maken met diverse oorzaken bij de verschillende onderdelen zoals onder andere meevallers bij salariskosten van lokaal personeel, uitgezonden personeel en restitutie van pensioenpremies.</w:t>
      </w:r>
    </w:p>
    <w:p w:rsidR="000F2D61" w:rsidP="000F2D61" w14:paraId="2C503889" w14:textId="4E423320">
      <w:pPr>
        <w:pStyle w:val="section-title-1"/>
      </w:pPr>
      <w:bookmarkStart w:name="1357428413567850" w:id="9"/>
      <w:r>
        <w:t>Vraag 9:</w:t>
      </w:r>
      <w:bookmarkEnd w:id="9"/>
    </w:p>
    <w:p w:rsidR="000F2D61" w:rsidP="000F2D61" w14:paraId="1C95A887" w14:textId="77777777">
      <w:pPr>
        <w:pStyle w:val="header-h1"/>
      </w:pPr>
      <w:r>
        <w:t>Vraag:</w:t>
      </w:r>
    </w:p>
    <w:p w:rsidR="000F2D61" w:rsidP="000F2D61" w14:paraId="346F04D5" w14:textId="77777777">
      <w:pPr>
        <w:pStyle w:val="p"/>
      </w:pPr>
      <w:r>
        <w:t xml:space="preserve">Welke gevolgen heeft de </w:t>
      </w:r>
      <w:r>
        <w:t>onderuitputting</w:t>
      </w:r>
      <w:r>
        <w:t xml:space="preserve"> binnen het BES-fonds voor Bonaire, Sint Eustatius en Saba? Wat gebeurt er met de </w:t>
      </w:r>
      <w:r>
        <w:t>onderuitputting</w:t>
      </w:r>
      <w:r>
        <w:t>? (</w:t>
      </w:r>
      <w:r>
        <w:t>blz</w:t>
      </w:r>
      <w:r>
        <w:t>: 4)</w:t>
      </w:r>
    </w:p>
    <w:p w:rsidR="000F2D61" w:rsidP="000F2D61" w14:paraId="2219254A" w14:textId="77777777">
      <w:pPr>
        <w:pStyle w:val="header-h1"/>
      </w:pPr>
      <w:r>
        <w:t>Antwoord:</w:t>
      </w:r>
    </w:p>
    <w:p w:rsidR="00770B80" w:rsidP="000F2D61" w14:paraId="567569DF" w14:textId="0BE504E2">
      <w:pPr>
        <w:pStyle w:val="p"/>
      </w:pPr>
      <w:r>
        <w:t>Alle bedragen die verschuldigd waren aan de Openbare Lichamen zijn in 2025 verstrekt. De bedragen die worden verstrekt aan de Openbare Lichamen worden verstrekt in Amerikaanse dollars. Het BES-fonds (H</w:t>
      </w:r>
      <w:r>
        <w:t>64)is</w:t>
      </w:r>
      <w:r>
        <w:t xml:space="preserve"> opgesteld in euro’s. Gedurende het jaar wordt er gerekend met een vaste omrekenkoers tussen USD en EUR. Over 2025 was er sprake van een positieve koersontwikkeling ten opzichte van de vaste omrekenkoers. Met het Ministerie van Financiën bestaat de afspraak dat zij de koerseffecten dragen. Dit houdt in dat wanneer er een positief koerseffect is dat dit terugvloeit naar het generale beeld. Wanneer er sprake is van een negatieve koersontwikkeling zal het Ministerie van Financiën dit tekort dekken.</w:t>
      </w:r>
    </w:p>
    <w:sectPr>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D61"/>
    <w:rsid w:val="000F2D61"/>
    <w:rsid w:val="00130001"/>
    <w:rsid w:val="00641757"/>
    <w:rsid w:val="00770B80"/>
    <w:rsid w:val="00BE7499"/>
    <w:rsid w:val="00C71A19"/>
    <w:rsid w:val="00DD4BB8"/>
    <w:rsid w:val="00EC7000"/>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1F7B270"/>
  <w15:chartTrackingRefBased/>
  <w15:docId w15:val="{3DFB1B16-72A4-4BA1-9853-88114651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2D61"/>
    <w:pPr>
      <w:widowControl w:val="0"/>
      <w:autoSpaceDN w:val="0"/>
      <w:spacing w:after="0" w:line="240" w:lineRule="auto"/>
      <w:textAlignment w:val="baseline"/>
    </w:pPr>
    <w:rPr>
      <w:rFonts w:ascii="DejaVu Sans" w:eastAsia="Arial Unicode MS" w:hAnsi="DejaVu Sans" w:cs="Tahoma"/>
      <w:kern w:val="3"/>
      <w:sz w:val="18"/>
      <w:szCs w:val="20"/>
      <w:lang w:eastAsia="nl-NL"/>
      <w14:ligatures w14:val="none"/>
    </w:rPr>
  </w:style>
  <w:style w:type="paragraph" w:styleId="Heading1">
    <w:name w:val="heading 1"/>
    <w:basedOn w:val="Normal"/>
    <w:next w:val="Normal"/>
    <w:link w:val="Kop1Char"/>
    <w:uiPriority w:val="9"/>
    <w:qFormat/>
    <w:rsid w:val="000F2D61"/>
    <w:pPr>
      <w:keepNext/>
      <w:keepLines/>
      <w:widowControl/>
      <w:autoSpaceDN/>
      <w:spacing w:before="360" w:after="80" w:line="278" w:lineRule="auto"/>
      <w:textAlignment w:val="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Kop2Char"/>
    <w:uiPriority w:val="9"/>
    <w:semiHidden/>
    <w:unhideWhenUsed/>
    <w:qFormat/>
    <w:rsid w:val="000F2D61"/>
    <w:pPr>
      <w:keepNext/>
      <w:keepLines/>
      <w:widowControl/>
      <w:autoSpaceDN/>
      <w:spacing w:before="160" w:after="80" w:line="278" w:lineRule="auto"/>
      <w:textAlignment w:val="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Kop3Char"/>
    <w:uiPriority w:val="9"/>
    <w:semiHidden/>
    <w:unhideWhenUsed/>
    <w:qFormat/>
    <w:rsid w:val="000F2D61"/>
    <w:pPr>
      <w:keepNext/>
      <w:keepLines/>
      <w:widowControl/>
      <w:autoSpaceDN/>
      <w:spacing w:before="160" w:after="80" w:line="278" w:lineRule="auto"/>
      <w:textAlignment w:val="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Kop4Char"/>
    <w:uiPriority w:val="9"/>
    <w:semiHidden/>
    <w:unhideWhenUsed/>
    <w:qFormat/>
    <w:rsid w:val="000F2D61"/>
    <w:pPr>
      <w:keepNext/>
      <w:keepLines/>
      <w:widowControl/>
      <w:autoSpaceDN/>
      <w:spacing w:before="80" w:after="40" w:line="278" w:lineRule="auto"/>
      <w:textAlignment w:val="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Kop5Char"/>
    <w:uiPriority w:val="9"/>
    <w:semiHidden/>
    <w:unhideWhenUsed/>
    <w:qFormat/>
    <w:rsid w:val="000F2D61"/>
    <w:pPr>
      <w:keepNext/>
      <w:keepLines/>
      <w:widowControl/>
      <w:autoSpaceDN/>
      <w:spacing w:before="80" w:after="40" w:line="278" w:lineRule="auto"/>
      <w:textAlignment w:val="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Kop6Char"/>
    <w:uiPriority w:val="9"/>
    <w:semiHidden/>
    <w:unhideWhenUsed/>
    <w:qFormat/>
    <w:rsid w:val="000F2D61"/>
    <w:pPr>
      <w:keepNext/>
      <w:keepLines/>
      <w:widowControl/>
      <w:autoSpaceDN/>
      <w:spacing w:before="40" w:line="278" w:lineRule="auto"/>
      <w:textAlignment w:val="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Kop7Char"/>
    <w:uiPriority w:val="9"/>
    <w:semiHidden/>
    <w:unhideWhenUsed/>
    <w:qFormat/>
    <w:rsid w:val="000F2D61"/>
    <w:pPr>
      <w:keepNext/>
      <w:keepLines/>
      <w:widowControl/>
      <w:autoSpaceDN/>
      <w:spacing w:before="40" w:line="278" w:lineRule="auto"/>
      <w:textAlignment w:val="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Kop8Char"/>
    <w:uiPriority w:val="9"/>
    <w:semiHidden/>
    <w:unhideWhenUsed/>
    <w:qFormat/>
    <w:rsid w:val="000F2D61"/>
    <w:pPr>
      <w:keepNext/>
      <w:keepLines/>
      <w:widowControl/>
      <w:autoSpaceDN/>
      <w:spacing w:line="278" w:lineRule="auto"/>
      <w:textAlignment w:val="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Kop9Char"/>
    <w:uiPriority w:val="9"/>
    <w:semiHidden/>
    <w:unhideWhenUsed/>
    <w:qFormat/>
    <w:rsid w:val="000F2D61"/>
    <w:pPr>
      <w:keepNext/>
      <w:keepLines/>
      <w:widowControl/>
      <w:autoSpaceDN/>
      <w:spacing w:line="278" w:lineRule="auto"/>
      <w:textAlignment w:val="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0F2D61"/>
    <w:rPr>
      <w:rFonts w:asciiTheme="majorHAnsi" w:eastAsiaTheme="majorEastAsia" w:hAnsiTheme="majorHAnsi" w:cstheme="majorBidi"/>
      <w:color w:val="0F4761" w:themeColor="accent1" w:themeShade="BF"/>
      <w:sz w:val="40"/>
      <w:szCs w:val="40"/>
    </w:rPr>
  </w:style>
  <w:style w:type="character" w:customStyle="1" w:styleId="Kop2Char">
    <w:name w:val="Kop 2 Char"/>
    <w:basedOn w:val="DefaultParagraphFont"/>
    <w:link w:val="Heading2"/>
    <w:uiPriority w:val="9"/>
    <w:semiHidden/>
    <w:rsid w:val="000F2D61"/>
    <w:rPr>
      <w:rFonts w:asciiTheme="majorHAnsi" w:eastAsiaTheme="majorEastAsia" w:hAnsiTheme="majorHAnsi" w:cstheme="majorBidi"/>
      <w:color w:val="0F4761" w:themeColor="accent1" w:themeShade="BF"/>
      <w:sz w:val="32"/>
      <w:szCs w:val="32"/>
    </w:rPr>
  </w:style>
  <w:style w:type="character" w:customStyle="1" w:styleId="Kop3Char">
    <w:name w:val="Kop 3 Char"/>
    <w:basedOn w:val="DefaultParagraphFont"/>
    <w:link w:val="Heading3"/>
    <w:uiPriority w:val="9"/>
    <w:semiHidden/>
    <w:rsid w:val="000F2D61"/>
    <w:rPr>
      <w:rFonts w:eastAsiaTheme="majorEastAsia" w:cstheme="majorBidi"/>
      <w:color w:val="0F4761" w:themeColor="accent1" w:themeShade="BF"/>
      <w:sz w:val="28"/>
      <w:szCs w:val="28"/>
    </w:rPr>
  </w:style>
  <w:style w:type="character" w:customStyle="1" w:styleId="Kop4Char">
    <w:name w:val="Kop 4 Char"/>
    <w:basedOn w:val="DefaultParagraphFont"/>
    <w:link w:val="Heading4"/>
    <w:uiPriority w:val="9"/>
    <w:semiHidden/>
    <w:rsid w:val="000F2D61"/>
    <w:rPr>
      <w:rFonts w:eastAsiaTheme="majorEastAsia" w:cstheme="majorBidi"/>
      <w:i/>
      <w:iCs/>
      <w:color w:val="0F4761" w:themeColor="accent1" w:themeShade="BF"/>
    </w:rPr>
  </w:style>
  <w:style w:type="character" w:customStyle="1" w:styleId="Kop5Char">
    <w:name w:val="Kop 5 Char"/>
    <w:basedOn w:val="DefaultParagraphFont"/>
    <w:link w:val="Heading5"/>
    <w:uiPriority w:val="9"/>
    <w:semiHidden/>
    <w:rsid w:val="000F2D61"/>
    <w:rPr>
      <w:rFonts w:eastAsiaTheme="majorEastAsia" w:cstheme="majorBidi"/>
      <w:color w:val="0F4761" w:themeColor="accent1" w:themeShade="BF"/>
    </w:rPr>
  </w:style>
  <w:style w:type="character" w:customStyle="1" w:styleId="Kop6Char">
    <w:name w:val="Kop 6 Char"/>
    <w:basedOn w:val="DefaultParagraphFont"/>
    <w:link w:val="Heading6"/>
    <w:uiPriority w:val="9"/>
    <w:semiHidden/>
    <w:rsid w:val="000F2D61"/>
    <w:rPr>
      <w:rFonts w:eastAsiaTheme="majorEastAsia" w:cstheme="majorBidi"/>
      <w:i/>
      <w:iCs/>
      <w:color w:val="595959" w:themeColor="text1" w:themeTint="A6"/>
    </w:rPr>
  </w:style>
  <w:style w:type="character" w:customStyle="1" w:styleId="Kop7Char">
    <w:name w:val="Kop 7 Char"/>
    <w:basedOn w:val="DefaultParagraphFont"/>
    <w:link w:val="Heading7"/>
    <w:uiPriority w:val="9"/>
    <w:semiHidden/>
    <w:rsid w:val="000F2D61"/>
    <w:rPr>
      <w:rFonts w:eastAsiaTheme="majorEastAsia" w:cstheme="majorBidi"/>
      <w:color w:val="595959" w:themeColor="text1" w:themeTint="A6"/>
    </w:rPr>
  </w:style>
  <w:style w:type="character" w:customStyle="1" w:styleId="Kop8Char">
    <w:name w:val="Kop 8 Char"/>
    <w:basedOn w:val="DefaultParagraphFont"/>
    <w:link w:val="Heading8"/>
    <w:uiPriority w:val="9"/>
    <w:semiHidden/>
    <w:rsid w:val="000F2D61"/>
    <w:rPr>
      <w:rFonts w:eastAsiaTheme="majorEastAsia" w:cstheme="majorBidi"/>
      <w:i/>
      <w:iCs/>
      <w:color w:val="272727" w:themeColor="text1" w:themeTint="D8"/>
    </w:rPr>
  </w:style>
  <w:style w:type="character" w:customStyle="1" w:styleId="Kop9Char">
    <w:name w:val="Kop 9 Char"/>
    <w:basedOn w:val="DefaultParagraphFont"/>
    <w:link w:val="Heading9"/>
    <w:uiPriority w:val="9"/>
    <w:semiHidden/>
    <w:rsid w:val="000F2D61"/>
    <w:rPr>
      <w:rFonts w:eastAsiaTheme="majorEastAsia" w:cstheme="majorBidi"/>
      <w:color w:val="272727" w:themeColor="text1" w:themeTint="D8"/>
    </w:rPr>
  </w:style>
  <w:style w:type="paragraph" w:styleId="Title">
    <w:name w:val="Title"/>
    <w:basedOn w:val="Normal"/>
    <w:next w:val="Normal"/>
    <w:link w:val="TitelChar"/>
    <w:uiPriority w:val="10"/>
    <w:qFormat/>
    <w:rsid w:val="000F2D61"/>
    <w:pPr>
      <w:widowControl/>
      <w:autoSpaceDN/>
      <w:spacing w:after="80"/>
      <w:contextualSpacing/>
      <w:textAlignment w:val="auto"/>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DefaultParagraphFont"/>
    <w:link w:val="Title"/>
    <w:uiPriority w:val="10"/>
    <w:rsid w:val="000F2D61"/>
    <w:rPr>
      <w:rFonts w:asciiTheme="majorHAnsi" w:eastAsiaTheme="majorEastAsia" w:hAnsiTheme="majorHAnsi" w:cstheme="majorBidi"/>
      <w:spacing w:val="-10"/>
      <w:kern w:val="28"/>
      <w:sz w:val="56"/>
      <w:szCs w:val="56"/>
    </w:rPr>
  </w:style>
  <w:style w:type="paragraph" w:styleId="Subtitle">
    <w:name w:val="Subtitle"/>
    <w:basedOn w:val="Normal"/>
    <w:next w:val="Normal"/>
    <w:link w:val="OndertitelChar"/>
    <w:uiPriority w:val="11"/>
    <w:qFormat/>
    <w:rsid w:val="000F2D61"/>
    <w:pPr>
      <w:widowControl/>
      <w:numPr>
        <w:ilvl w:val="1"/>
      </w:numPr>
      <w:autoSpaceDN/>
      <w:spacing w:after="160" w:line="278"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DefaultParagraphFont"/>
    <w:link w:val="Subtitle"/>
    <w:uiPriority w:val="11"/>
    <w:rsid w:val="000F2D61"/>
    <w:rPr>
      <w:rFonts w:eastAsiaTheme="majorEastAsia" w:cstheme="majorBidi"/>
      <w:color w:val="595959" w:themeColor="text1" w:themeTint="A6"/>
      <w:spacing w:val="15"/>
      <w:sz w:val="28"/>
      <w:szCs w:val="28"/>
    </w:rPr>
  </w:style>
  <w:style w:type="paragraph" w:styleId="Quote">
    <w:name w:val="Quote"/>
    <w:basedOn w:val="Normal"/>
    <w:next w:val="Normal"/>
    <w:link w:val="CitaatChar"/>
    <w:uiPriority w:val="29"/>
    <w:qFormat/>
    <w:rsid w:val="000F2D61"/>
    <w:pPr>
      <w:widowControl/>
      <w:autoSpaceDN/>
      <w:spacing w:before="160" w:after="160" w:line="278" w:lineRule="auto"/>
      <w:jc w:val="center"/>
      <w:textAlignment w:val="auto"/>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atChar">
    <w:name w:val="Citaat Char"/>
    <w:basedOn w:val="DefaultParagraphFont"/>
    <w:link w:val="Quote"/>
    <w:uiPriority w:val="29"/>
    <w:rsid w:val="000F2D61"/>
    <w:rPr>
      <w:i/>
      <w:iCs/>
      <w:color w:val="404040" w:themeColor="text1" w:themeTint="BF"/>
    </w:rPr>
  </w:style>
  <w:style w:type="paragraph" w:styleId="ListParagraph">
    <w:name w:val="List Paragraph"/>
    <w:basedOn w:val="Normal"/>
    <w:uiPriority w:val="34"/>
    <w:qFormat/>
    <w:rsid w:val="000F2D61"/>
    <w:pPr>
      <w:widowControl/>
      <w:autoSpaceDN/>
      <w:spacing w:after="160" w:line="278" w:lineRule="auto"/>
      <w:ind w:left="720"/>
      <w:contextualSpacing/>
      <w:textAlignment w:val="auto"/>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0F2D61"/>
    <w:rPr>
      <w:i/>
      <w:iCs/>
      <w:color w:val="0F4761" w:themeColor="accent1" w:themeShade="BF"/>
    </w:rPr>
  </w:style>
  <w:style w:type="paragraph" w:styleId="IntenseQuote">
    <w:name w:val="Intense Quote"/>
    <w:basedOn w:val="Normal"/>
    <w:next w:val="Normal"/>
    <w:link w:val="DuidelijkcitaatChar"/>
    <w:uiPriority w:val="30"/>
    <w:qFormat/>
    <w:rsid w:val="000F2D61"/>
    <w:pPr>
      <w:widowControl/>
      <w:pBdr>
        <w:top w:val="single" w:sz="4" w:space="10" w:color="0F4761" w:themeColor="accent1" w:themeShade="BF"/>
        <w:bottom w:val="single" w:sz="4" w:space="10" w:color="0F4761" w:themeColor="accent1" w:themeShade="BF"/>
      </w:pBdr>
      <w:autoSpaceDN/>
      <w:spacing w:before="360" w:after="360" w:line="278" w:lineRule="auto"/>
      <w:ind w:left="864" w:right="864"/>
      <w:jc w:val="center"/>
      <w:textAlignment w:val="auto"/>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DuidelijkcitaatChar">
    <w:name w:val="Duidelijk citaat Char"/>
    <w:basedOn w:val="DefaultParagraphFont"/>
    <w:link w:val="IntenseQuote"/>
    <w:uiPriority w:val="30"/>
    <w:rsid w:val="000F2D61"/>
    <w:rPr>
      <w:i/>
      <w:iCs/>
      <w:color w:val="0F4761" w:themeColor="accent1" w:themeShade="BF"/>
    </w:rPr>
  </w:style>
  <w:style w:type="character" w:styleId="IntenseReference">
    <w:name w:val="Intense Reference"/>
    <w:basedOn w:val="DefaultParagraphFont"/>
    <w:uiPriority w:val="32"/>
    <w:qFormat/>
    <w:rsid w:val="000F2D61"/>
    <w:rPr>
      <w:b/>
      <w:bCs/>
      <w:smallCaps/>
      <w:color w:val="0F4761" w:themeColor="accent1" w:themeShade="BF"/>
      <w:spacing w:val="5"/>
    </w:rPr>
  </w:style>
  <w:style w:type="paragraph" w:customStyle="1" w:styleId="p">
    <w:name w:val="p"/>
    <w:rsid w:val="000F2D61"/>
    <w:pPr>
      <w:widowControl w:val="0"/>
      <w:autoSpaceDN w:val="0"/>
      <w:spacing w:after="220" w:line="220" w:lineRule="exact"/>
      <w:textAlignment w:val="baseline"/>
    </w:pPr>
    <w:rPr>
      <w:rFonts w:ascii="DejaVu Sans" w:eastAsia="Arial Unicode MS" w:hAnsi="DejaVu Sans" w:cs="Tahoma"/>
      <w:kern w:val="3"/>
      <w:sz w:val="17"/>
      <w:szCs w:val="20"/>
      <w14:ligatures w14:val="none"/>
    </w:rPr>
  </w:style>
  <w:style w:type="paragraph" w:customStyle="1" w:styleId="header-h1">
    <w:name w:val="header-h1"/>
    <w:basedOn w:val="p"/>
    <w:rsid w:val="000F2D61"/>
    <w:pPr>
      <w:keepNext/>
      <w:keepLines/>
      <w:spacing w:after="20"/>
    </w:pPr>
    <w:rPr>
      <w:b/>
    </w:rPr>
  </w:style>
  <w:style w:type="paragraph" w:customStyle="1" w:styleId="section-title-1">
    <w:name w:val="section-title-1"/>
    <w:rsid w:val="000F2D61"/>
    <w:pPr>
      <w:keepNext/>
      <w:widowControl w:val="0"/>
      <w:autoSpaceDN w:val="0"/>
      <w:spacing w:after="227" w:line="240" w:lineRule="auto"/>
      <w:textAlignment w:val="baseline"/>
    </w:pPr>
    <w:rPr>
      <w:rFonts w:ascii="DejaVu Sans" w:eastAsia="Arial Unicode MS" w:hAnsi="DejaVu Sans" w:cs="Tahoma"/>
      <w:b/>
      <w:caps/>
      <w:color w:val="009EE0"/>
      <w:kern w:val="3"/>
      <w:sz w:val="18"/>
      <w:szCs w:val="18"/>
      <w14:ligatures w14:val="none"/>
    </w:rPr>
  </w:style>
  <w:style w:type="paragraph" w:customStyle="1" w:styleId="title-cell-text">
    <w:name w:val="title-cell-text"/>
    <w:rsid w:val="000F2D61"/>
    <w:pPr>
      <w:widowControl w:val="0"/>
      <w:autoSpaceDN w:val="0"/>
      <w:spacing w:after="0" w:line="240" w:lineRule="auto"/>
      <w:textAlignment w:val="baseline"/>
    </w:pPr>
    <w:rPr>
      <w:rFonts w:ascii="DejaVu Sans" w:eastAsia="Arial Unicode MS" w:hAnsi="DejaVu Sans" w:cs="Tahoma"/>
      <w:kern w:val="3"/>
      <w:sz w:val="18"/>
      <w:szCs w:val="20"/>
      <w:lang w:eastAsia="nl-NL"/>
      <w14:ligatures w14:val="none"/>
    </w:rPr>
  </w:style>
  <w:style w:type="character" w:customStyle="1" w:styleId="text-title">
    <w:name w:val="text-title"/>
    <w:rsid w:val="000F2D61"/>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804</ap:Words>
  <ap:Characters>4424</ap:Characters>
  <ap:DocSecurity>0</ap:DocSecurity>
  <ap:Lines>36</ap:Lines>
  <ap:Paragraphs>10</ap:Paragraphs>
  <ap:ScaleCrop>false</ap:ScaleCrop>
  <ap:LinksUpToDate>false</ap:LinksUpToDate>
  <ap:CharactersWithSpaces>5218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2026-06-09T08:36:00.0000000Z</dcterms:created>
  <dcterms:modified xsi:type="dcterms:W3CDTF">2026-06-09T08:36:00.0000000Z</dcterms:modified>
  <dc:creator/>
  <lastModifiedBy/>
  <dc:description>------------------------</dc:description>
  <dc:subject/>
  <dc:title/>
  <keywords/>
  <version/>
  <category/>
</coreProperties>
</file>