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659" w:rsidP="002424E3" w:rsidRDefault="00000000" w14:paraId="58960BA0" w14:textId="1D85F79B">
      <w:pPr>
        <w:spacing w:after="0"/>
      </w:pPr>
      <w:r w:rsidRPr="00FD0424">
        <w:t xml:space="preserve">Geachte </w:t>
      </w:r>
      <w:r w:rsidR="00DE4BA1">
        <w:t>voorzitter</w:t>
      </w:r>
      <w:r w:rsidRPr="00FD0424">
        <w:t>,</w:t>
      </w:r>
    </w:p>
    <w:p w:rsidR="00581659" w:rsidP="002424E3" w:rsidRDefault="00581659" w14:paraId="0F48D7C3" w14:textId="77777777">
      <w:pPr>
        <w:spacing w:after="0"/>
      </w:pPr>
    </w:p>
    <w:p w:rsidR="001F408C" w:rsidP="002424E3" w:rsidRDefault="001F408C" w14:paraId="788A171F" w14:textId="77777777">
      <w:pPr>
        <w:spacing w:after="0"/>
      </w:pPr>
    </w:p>
    <w:p w:rsidR="00DE4BA1" w:rsidP="00DE4BA1" w:rsidRDefault="00DE4BA1" w14:paraId="00D12479" w14:textId="28768AFB">
      <w:pPr>
        <w:spacing w:after="0"/>
      </w:pPr>
      <w:r>
        <w:t xml:space="preserve">De leden van de Tweede Kamer hebben, via de Vaste Kamercommissie voor Binnenlandse Zaken, vragen gesteld inzake het </w:t>
      </w:r>
      <w:r w:rsidR="00E0777C">
        <w:t xml:space="preserve">Jaarverslag </w:t>
      </w:r>
      <w:r w:rsidR="00D112D4">
        <w:t xml:space="preserve">van de Koning </w:t>
      </w:r>
      <w:r w:rsidRPr="002C740E">
        <w:t>over het jaar 202</w:t>
      </w:r>
      <w:r>
        <w:t>5</w:t>
      </w:r>
      <w:r w:rsidRPr="002C740E">
        <w:t>.</w:t>
      </w:r>
    </w:p>
    <w:p w:rsidRPr="002C740E" w:rsidR="00DE4BA1" w:rsidP="00DE4BA1" w:rsidRDefault="00DE4BA1" w14:paraId="7270D832" w14:textId="77777777">
      <w:pPr>
        <w:spacing w:after="0"/>
        <w:rPr>
          <w:u w:val="single"/>
        </w:rPr>
      </w:pPr>
    </w:p>
    <w:p w:rsidR="00DE4BA1" w:rsidP="00DE4BA1" w:rsidRDefault="00DE4BA1" w14:paraId="6E22F6BD" w14:textId="77777777">
      <w:pPr>
        <w:spacing w:after="0"/>
      </w:pPr>
      <w:r>
        <w:t>De antwoorden op deze vragen bied ik u hierbij aan.</w:t>
      </w:r>
    </w:p>
    <w:p w:rsidRPr="00F96266" w:rsidR="00F96266" w:rsidP="002424E3" w:rsidRDefault="00F96266" w14:paraId="50135F7A" w14:textId="77777777">
      <w:pPr>
        <w:spacing w:after="0"/>
      </w:pPr>
    </w:p>
    <w:p w:rsidRPr="00F96266" w:rsidR="00AD7A2F" w:rsidP="002424E3" w:rsidRDefault="00AD7A2F" w14:paraId="1242A2D7" w14:textId="77777777">
      <w:pPr>
        <w:spacing w:after="0"/>
      </w:pPr>
    </w:p>
    <w:p w:rsidRPr="00F96266" w:rsidR="00AD7A2F" w:rsidP="002424E3" w:rsidRDefault="00000000" w14:paraId="216DCB94" w14:textId="77777777">
      <w:pPr>
        <w:spacing w:after="0"/>
        <w:rPr>
          <w:rFonts w:ascii="Verdana" w:hAnsi="Verdana"/>
        </w:rPr>
      </w:pPr>
      <w:r w:rsidRPr="00A9188E">
        <w:rPr>
          <w:rFonts w:ascii="Verdana" w:hAnsi="Verdana"/>
        </w:rPr>
        <w:t>DE MINISTER-PRESIDENT,</w:t>
      </w:r>
    </w:p>
    <w:p w:rsidRPr="00A9188E" w:rsidR="00A9188E" w:rsidP="008D5405" w:rsidRDefault="00000000" w14:paraId="0C27AC75" w14:textId="77777777">
      <w:pPr>
        <w:spacing w:after="0"/>
        <w:rPr>
          <w:rFonts w:ascii="Verdana" w:hAnsi="Verdana"/>
        </w:rPr>
      </w:pPr>
      <w:r w:rsidRPr="00A9188E">
        <w:rPr>
          <w:rFonts w:ascii="Verdana" w:hAnsi="Verdana"/>
        </w:rPr>
        <w:t>Minister van Algemene Zaken,</w:t>
      </w:r>
    </w:p>
    <w:p w:rsidRPr="00A9188E" w:rsidR="00A9188E" w:rsidP="008D5405" w:rsidRDefault="00A9188E" w14:paraId="690FC71D" w14:textId="77777777">
      <w:pPr>
        <w:spacing w:after="0"/>
        <w:rPr>
          <w:rFonts w:ascii="Verdana" w:hAnsi="Verdana"/>
        </w:rPr>
      </w:pPr>
    </w:p>
    <w:p w:rsidR="00A9188E" w:rsidP="008D5405" w:rsidRDefault="00A9188E" w14:paraId="1D568FBC" w14:textId="77777777">
      <w:pPr>
        <w:spacing w:after="0"/>
        <w:rPr>
          <w:rFonts w:ascii="Verdana" w:hAnsi="Verdana"/>
        </w:rPr>
      </w:pPr>
    </w:p>
    <w:p w:rsidRPr="00A9188E" w:rsidR="00EE3BDF" w:rsidP="008D5405" w:rsidRDefault="00EE3BDF" w14:paraId="1CD4DDDD" w14:textId="77777777">
      <w:pPr>
        <w:spacing w:after="0"/>
        <w:rPr>
          <w:rFonts w:ascii="Verdana" w:hAnsi="Verdana"/>
        </w:rPr>
      </w:pPr>
    </w:p>
    <w:p w:rsidRPr="00A9188E" w:rsidR="00A9188E" w:rsidP="008D5405" w:rsidRDefault="00A9188E" w14:paraId="2D503476" w14:textId="77777777">
      <w:pPr>
        <w:spacing w:after="0"/>
        <w:rPr>
          <w:rFonts w:ascii="Verdana" w:hAnsi="Verdana"/>
        </w:rPr>
      </w:pPr>
    </w:p>
    <w:p w:rsidRPr="00A9188E" w:rsidR="00AE4A4D" w:rsidP="008D5405" w:rsidRDefault="00000000" w14:paraId="78F97026" w14:textId="77777777">
      <w:pPr>
        <w:spacing w:after="0"/>
        <w:rPr>
          <w:rFonts w:ascii="Verdana" w:hAnsi="Verdana"/>
        </w:rPr>
      </w:pPr>
      <w:r>
        <w:rPr>
          <w:rFonts w:ascii="Verdana" w:hAnsi="Verdana"/>
        </w:rPr>
        <w:t>Rob Jetten</w:t>
      </w:r>
    </w:p>
    <w:p w:rsidR="006A281D" w:rsidP="006A281D" w:rsidRDefault="006A281D" w14:paraId="1450677B" w14:textId="77777777"/>
    <w:p w:rsidR="00DE4BA1" w:rsidP="006A281D" w:rsidRDefault="00DE4BA1" w14:paraId="33751CA0" w14:textId="77777777"/>
    <w:p w:rsidR="00DE4BA1" w:rsidP="006A281D" w:rsidRDefault="00DE4BA1" w14:paraId="2E7DE42C" w14:textId="77777777"/>
    <w:p w:rsidR="00DE4BA1" w:rsidP="006A281D" w:rsidRDefault="00DE4BA1" w14:paraId="60D2B0F9" w14:textId="77777777"/>
    <w:p w:rsidR="00DE4BA1" w:rsidP="006A281D" w:rsidRDefault="00DE4BA1" w14:paraId="4FD58830" w14:textId="77777777"/>
    <w:p w:rsidR="00DE4BA1" w:rsidP="006A281D" w:rsidRDefault="00DE4BA1" w14:paraId="3592EDAB" w14:textId="77777777"/>
    <w:p w:rsidR="00DE4BA1" w:rsidP="006A281D" w:rsidRDefault="00DE4BA1" w14:paraId="064C4906" w14:textId="77777777"/>
    <w:p w:rsidR="00DE4BA1" w:rsidP="006A281D" w:rsidRDefault="00DE4BA1" w14:paraId="2DAE0F2E" w14:textId="77777777"/>
    <w:p w:rsidR="00D112D4" w:rsidP="006A281D" w:rsidRDefault="00D112D4" w14:paraId="346A092F" w14:textId="77777777"/>
    <w:p w:rsidR="00D112D4" w:rsidP="006A281D" w:rsidRDefault="00D112D4" w14:paraId="0A2DDE72" w14:textId="77777777"/>
    <w:p w:rsidR="00DE4BA1" w:rsidP="006A281D" w:rsidRDefault="00DE4BA1" w14:paraId="6D75B474" w14:textId="77777777"/>
    <w:p w:rsidR="00DE4BA1" w:rsidP="006A281D" w:rsidRDefault="00DE4BA1" w14:paraId="1B628B44" w14:textId="77777777"/>
    <w:p w:rsidRPr="002C740E" w:rsidR="00DE4BA1" w:rsidP="00DE4BA1" w:rsidRDefault="00DE4BA1" w14:paraId="14881B3C" w14:textId="2578A2F5">
      <w:pPr>
        <w:contextualSpacing/>
        <w:rPr>
          <w:rFonts w:cs="Verdana"/>
          <w:b/>
          <w:bCs/>
          <w:noProof w:val="0"/>
          <w:color w:val="000000"/>
        </w:rPr>
      </w:pPr>
      <w:r w:rsidRPr="002C740E">
        <w:rPr>
          <w:rFonts w:cs="Verdana"/>
          <w:b/>
          <w:bCs/>
          <w:noProof w:val="0"/>
          <w:color w:val="000000"/>
        </w:rPr>
        <w:lastRenderedPageBreak/>
        <w:t xml:space="preserve">Vragen en antwoorden over het </w:t>
      </w:r>
      <w:r w:rsidRPr="00D112D4" w:rsidR="00D112D4">
        <w:rPr>
          <w:rFonts w:cs="Verdana"/>
          <w:b/>
          <w:bCs/>
          <w:noProof w:val="0"/>
          <w:color w:val="000000"/>
        </w:rPr>
        <w:t xml:space="preserve">Jaarverslag van de Koning 2025 </w:t>
      </w:r>
      <w:r w:rsidRPr="002C740E">
        <w:rPr>
          <w:rFonts w:cs="Verdana"/>
          <w:b/>
          <w:bCs/>
          <w:noProof w:val="0"/>
          <w:color w:val="000000"/>
        </w:rPr>
        <w:t>(Kamerstuk 36</w:t>
      </w:r>
      <w:r>
        <w:rPr>
          <w:rFonts w:cs="Verdana"/>
          <w:b/>
          <w:bCs/>
          <w:noProof w:val="0"/>
          <w:color w:val="000000"/>
        </w:rPr>
        <w:t>945</w:t>
      </w:r>
      <w:r w:rsidRPr="002C740E">
        <w:rPr>
          <w:rFonts w:cs="Verdana"/>
          <w:b/>
          <w:bCs/>
          <w:noProof w:val="0"/>
          <w:color w:val="000000"/>
        </w:rPr>
        <w:t xml:space="preserve"> I, nr. 1). </w:t>
      </w:r>
    </w:p>
    <w:p w:rsidRPr="002C740E" w:rsidR="00DE4BA1" w:rsidP="00DE4BA1" w:rsidRDefault="00DE4BA1" w14:paraId="448985E4" w14:textId="77777777">
      <w:pPr>
        <w:contextualSpacing/>
        <w:rPr>
          <w:noProof w:val="0"/>
        </w:rPr>
      </w:pPr>
    </w:p>
    <w:p w:rsidR="00D112D4" w:rsidP="00DE4BA1" w:rsidRDefault="00DE4BA1" w14:paraId="76C0132A" w14:textId="77777777">
      <w:pPr>
        <w:spacing w:after="0"/>
        <w:contextualSpacing/>
        <w:rPr>
          <w:b/>
          <w:noProof w:val="0"/>
        </w:rPr>
      </w:pPr>
      <w:bookmarkStart w:name="_Hlk199684739" w:id="0"/>
      <w:r w:rsidRPr="002C740E">
        <w:rPr>
          <w:b/>
          <w:noProof w:val="0"/>
        </w:rPr>
        <w:t>Vraag 1</w:t>
      </w:r>
    </w:p>
    <w:p w:rsidRPr="00D112D4" w:rsidR="00DE4BA1" w:rsidP="00DE4BA1" w:rsidRDefault="00D112D4" w14:paraId="6AE26566" w14:textId="256699BB">
      <w:pPr>
        <w:spacing w:after="0"/>
        <w:contextualSpacing/>
        <w:rPr>
          <w:bCs/>
          <w:noProof w:val="0"/>
        </w:rPr>
      </w:pPr>
      <w:r w:rsidRPr="00D112D4">
        <w:rPr>
          <w:bCs/>
          <w:noProof w:val="0"/>
        </w:rPr>
        <w:t>Kunt u toelichten waarom in het jaarverslag zelf een totaal van 60,7 miljoen euro aan gerealiseerde uitgaven wordt gepresenteerd, terwijl in de extracomptabele bijlagen aanvullende uitgaven op andere begrotingen worden verantwoord? Hoe verhouden deze bedragen zich tot elkaar?</w:t>
      </w:r>
      <w:r w:rsidRPr="00D112D4" w:rsidR="00DE4BA1">
        <w:rPr>
          <w:bCs/>
          <w:noProof w:val="0"/>
        </w:rPr>
        <w:br/>
      </w:r>
    </w:p>
    <w:p w:rsidR="00DE4BA1" w:rsidP="00DE4BA1" w:rsidRDefault="00DE4BA1" w14:paraId="1220EC2E" w14:textId="77777777">
      <w:pPr>
        <w:spacing w:after="0"/>
        <w:contextualSpacing/>
        <w:rPr>
          <w:b/>
          <w:noProof w:val="0"/>
        </w:rPr>
      </w:pPr>
      <w:r w:rsidRPr="002C740E">
        <w:rPr>
          <w:b/>
          <w:noProof w:val="0"/>
        </w:rPr>
        <w:t>Antwoord op vraag 1</w:t>
      </w:r>
      <w:bookmarkEnd w:id="0"/>
    </w:p>
    <w:p w:rsidRPr="008C7052" w:rsidR="00D112D4" w:rsidP="00DE4BA1" w:rsidRDefault="008C7052" w14:paraId="33E03351" w14:textId="2198B065">
      <w:pPr>
        <w:spacing w:after="0"/>
        <w:contextualSpacing/>
        <w:rPr>
          <w:bCs/>
          <w:noProof w:val="0"/>
        </w:rPr>
      </w:pPr>
      <w:r>
        <w:rPr>
          <w:bCs/>
          <w:noProof w:val="0"/>
        </w:rPr>
        <w:t xml:space="preserve">Het bedrag van € 60,7 miljoen betreft de gerealiseerde uitgaven behorende tot de begroting hoofdstuk I (De Koning). Dit zijn de uitgaven voor de grondwettelijke uitkeringen voor de leden van het Koninklijk Huis, de functionele uitgaven die samenhangen met het koningschap en de doorbelaste uitgaven van andere begrotingen die ten laste zijn gebracht van hoofdstuk I (communicatie Koninklijk Huis, het Kabinet van de Koning en het Militair Huis). De extracomptabele bijlage bevat de uitgaven die verband houden met de uitvoering van het koningschap, maar op de begroting van andere ministeries staan en verantwoord worden. Deze zijn opgenomen in de extracomptabele bijlage ten behoeve van de inzichtelijkheid van de totale kosten voor het Koninklijk Huis. </w:t>
      </w:r>
    </w:p>
    <w:p w:rsidRPr="002C740E" w:rsidR="00DE4BA1" w:rsidP="00DE4BA1" w:rsidRDefault="00DE4BA1" w14:paraId="10EBBAAB" w14:textId="77777777">
      <w:pPr>
        <w:spacing w:after="0"/>
        <w:contextualSpacing/>
        <w:rPr>
          <w:noProof w:val="0"/>
          <w:vanish/>
        </w:rPr>
      </w:pPr>
    </w:p>
    <w:p w:rsidRPr="002C740E" w:rsidR="00DE4BA1" w:rsidP="00DE4BA1" w:rsidRDefault="00DE4BA1" w14:paraId="3E64F662" w14:textId="77777777">
      <w:pPr>
        <w:spacing w:after="0"/>
        <w:rPr>
          <w:b/>
          <w:noProof w:val="0"/>
        </w:rPr>
      </w:pPr>
    </w:p>
    <w:p w:rsidR="00D112D4" w:rsidP="002A77C1" w:rsidRDefault="00DE4BA1" w14:paraId="4C646FD4" w14:textId="77777777">
      <w:pPr>
        <w:spacing w:after="0"/>
        <w:contextualSpacing/>
        <w:rPr>
          <w:b/>
          <w:noProof w:val="0"/>
        </w:rPr>
      </w:pPr>
      <w:r w:rsidRPr="002C740E">
        <w:rPr>
          <w:b/>
          <w:noProof w:val="0"/>
        </w:rPr>
        <w:t>Vraag 2</w:t>
      </w:r>
    </w:p>
    <w:p w:rsidRPr="002A77C1" w:rsidR="00DE4BA1" w:rsidP="002A77C1" w:rsidRDefault="00D112D4" w14:paraId="424CD349" w14:textId="7363CCCA">
      <w:pPr>
        <w:spacing w:after="0"/>
        <w:contextualSpacing/>
        <w:rPr>
          <w:bCs/>
          <w:noProof w:val="0"/>
        </w:rPr>
      </w:pPr>
      <w:r w:rsidRPr="002A77C1">
        <w:rPr>
          <w:bCs/>
          <w:noProof w:val="0"/>
        </w:rPr>
        <w:t xml:space="preserve">Kunt u aangeven wat het totaalbedrag is van alle uitgaven die in 2025 direct of indirect samenhangen met het koningschap, inclusief de uitgaven voor huisvesting, staatsbezoeken, beveiliging, de Groene </w:t>
      </w:r>
      <w:proofErr w:type="spellStart"/>
      <w:r w:rsidRPr="002A77C1">
        <w:rPr>
          <w:bCs/>
          <w:noProof w:val="0"/>
        </w:rPr>
        <w:t>Draeck</w:t>
      </w:r>
      <w:proofErr w:type="spellEnd"/>
      <w:r w:rsidRPr="002A77C1">
        <w:rPr>
          <w:bCs/>
          <w:noProof w:val="0"/>
        </w:rPr>
        <w:t xml:space="preserve"> en Kroondomein Het Loo?</w:t>
      </w:r>
      <w:r w:rsidRPr="002A77C1" w:rsidR="00DE4BA1">
        <w:rPr>
          <w:bCs/>
          <w:noProof w:val="0"/>
        </w:rPr>
        <w:br/>
      </w:r>
    </w:p>
    <w:p w:rsidR="00DE4BA1" w:rsidP="00DE4BA1" w:rsidRDefault="00DE4BA1" w14:paraId="18526E84" w14:textId="77777777">
      <w:pPr>
        <w:spacing w:after="0"/>
        <w:contextualSpacing/>
        <w:rPr>
          <w:b/>
          <w:bCs/>
          <w:noProof w:val="0"/>
        </w:rPr>
      </w:pPr>
      <w:r w:rsidRPr="002C740E">
        <w:rPr>
          <w:b/>
          <w:bCs/>
          <w:noProof w:val="0"/>
        </w:rPr>
        <w:t>Antwoord op vraag 2</w:t>
      </w:r>
    </w:p>
    <w:p w:rsidRPr="00ED1723" w:rsidR="00D112D4" w:rsidP="00DE4BA1" w:rsidRDefault="00C90C1D" w14:paraId="75BE5E01" w14:textId="13F94958">
      <w:pPr>
        <w:spacing w:after="0"/>
        <w:contextualSpacing/>
        <w:rPr>
          <w:noProof w:val="0"/>
        </w:rPr>
      </w:pPr>
      <w:r>
        <w:rPr>
          <w:noProof w:val="0"/>
        </w:rPr>
        <w:t xml:space="preserve">Alle gerealiseerde uitgaven zijn </w:t>
      </w:r>
      <w:r w:rsidR="00ED1723">
        <w:rPr>
          <w:noProof w:val="0"/>
        </w:rPr>
        <w:t xml:space="preserve">opgenomen in het jaarverslag van de Koning, inclusief de uitgaven die verantwoord zijn op andere begrotingen en vermeld zijn in de extracomptabele bijlage. </w:t>
      </w:r>
      <w:r w:rsidRPr="00ED1723" w:rsidR="00ED1723">
        <w:rPr>
          <w:noProof w:val="0"/>
        </w:rPr>
        <w:t>Vanwege veiligheidsrisico’s worden de uitgaven voor beveiliging niet nader toegerekend.</w:t>
      </w:r>
    </w:p>
    <w:p w:rsidRPr="002C740E" w:rsidR="00DE4BA1" w:rsidP="00DE4BA1" w:rsidRDefault="00DE4BA1" w14:paraId="4D70C243" w14:textId="77777777">
      <w:pPr>
        <w:spacing w:after="0"/>
        <w:contextualSpacing/>
        <w:rPr>
          <w:b/>
          <w:noProof w:val="0"/>
        </w:rPr>
      </w:pPr>
    </w:p>
    <w:p w:rsidR="00D112D4" w:rsidP="00DE4BA1" w:rsidRDefault="00DE4BA1" w14:paraId="610DA971" w14:textId="77777777">
      <w:pPr>
        <w:spacing w:after="0"/>
        <w:contextualSpacing/>
        <w:rPr>
          <w:b/>
          <w:noProof w:val="0"/>
        </w:rPr>
      </w:pPr>
      <w:r w:rsidRPr="002C740E">
        <w:rPr>
          <w:b/>
          <w:noProof w:val="0"/>
        </w:rPr>
        <w:t>Vraag 3</w:t>
      </w:r>
    </w:p>
    <w:p w:rsidR="00C80A29" w:rsidP="00DE4BA1" w:rsidRDefault="00C80A29" w14:paraId="758215F4" w14:textId="77777777">
      <w:pPr>
        <w:spacing w:after="0"/>
        <w:rPr>
          <w:bCs/>
          <w:noProof w:val="0"/>
        </w:rPr>
      </w:pPr>
      <w:r w:rsidRPr="00C80A29">
        <w:rPr>
          <w:bCs/>
          <w:noProof w:val="0"/>
        </w:rPr>
        <w:t>Kunt u uiteenzetten welke criteria worden gehanteerd om te bepalen of uitgaven “functioneel samenhangen met het koningschap”?</w:t>
      </w:r>
    </w:p>
    <w:p w:rsidR="00C80A29" w:rsidP="00DE4BA1" w:rsidRDefault="00C80A29" w14:paraId="4D7FF0AB" w14:textId="77777777">
      <w:pPr>
        <w:spacing w:after="0"/>
        <w:rPr>
          <w:bCs/>
          <w:noProof w:val="0"/>
        </w:rPr>
      </w:pPr>
    </w:p>
    <w:p w:rsidR="00DE4BA1" w:rsidP="00DE4BA1" w:rsidRDefault="00DE4BA1" w14:paraId="164888CF" w14:textId="1A912688">
      <w:pPr>
        <w:spacing w:after="0"/>
        <w:rPr>
          <w:b/>
          <w:noProof w:val="0"/>
        </w:rPr>
      </w:pPr>
      <w:r w:rsidRPr="002C740E">
        <w:rPr>
          <w:b/>
          <w:noProof w:val="0"/>
        </w:rPr>
        <w:t>Antwoord op vraag 3</w:t>
      </w:r>
    </w:p>
    <w:p w:rsidR="0033518D" w:rsidP="00DE4BA1" w:rsidRDefault="00C90C1D" w14:paraId="2EE674A5" w14:textId="536CFA9A">
      <w:pPr>
        <w:spacing w:after="0"/>
        <w:rPr>
          <w:bCs/>
          <w:noProof w:val="0"/>
        </w:rPr>
      </w:pPr>
      <w:r>
        <w:rPr>
          <w:bCs/>
          <w:noProof w:val="0"/>
        </w:rPr>
        <w:t>In het jaarverslag van de Koning worden d</w:t>
      </w:r>
      <w:r w:rsidR="0033518D">
        <w:rPr>
          <w:bCs/>
          <w:noProof w:val="0"/>
        </w:rPr>
        <w:t>e functionele uitgaven die samenhangen met het koningschap verantwoord in artikel 2</w:t>
      </w:r>
      <w:r>
        <w:rPr>
          <w:bCs/>
          <w:noProof w:val="0"/>
        </w:rPr>
        <w:t>.</w:t>
      </w:r>
      <w:r w:rsidR="0033518D">
        <w:rPr>
          <w:bCs/>
          <w:noProof w:val="0"/>
        </w:rPr>
        <w:t xml:space="preserve"> Het betreft hier de uitgaven van de Dienst Koninklijk Huis (DKH). Deze uitgaven worden namens de Koning door DKH gedeclareerd bij de minister-president. </w:t>
      </w:r>
      <w:r w:rsidRPr="0033518D" w:rsidR="0033518D">
        <w:rPr>
          <w:bCs/>
          <w:noProof w:val="0"/>
        </w:rPr>
        <w:t>De declaratie wordt voorzien van een verklaring van een externe accountant en gecontroleerd door de Auditdienst Rijk en de Algemene Rekenkamer.</w:t>
      </w:r>
      <w:r w:rsidR="0033518D">
        <w:rPr>
          <w:bCs/>
          <w:noProof w:val="0"/>
        </w:rPr>
        <w:t xml:space="preserve"> </w:t>
      </w:r>
      <w:r w:rsidRPr="0033518D" w:rsidR="0033518D">
        <w:rPr>
          <w:bCs/>
          <w:noProof w:val="0"/>
        </w:rPr>
        <w:t>Vanwege het recht van de Koning om zijn eigen huis in te richten (artikel 41 van de Grondwet) is de declaratie niet openbaar en wordt geen nadere informatie verstrekt over de inhoud ervan.</w:t>
      </w:r>
      <w:r w:rsidR="0033518D">
        <w:rPr>
          <w:bCs/>
          <w:noProof w:val="0"/>
        </w:rPr>
        <w:t xml:space="preserve"> </w:t>
      </w:r>
    </w:p>
    <w:p w:rsidRPr="00C80A29" w:rsidR="00D112D4" w:rsidP="00DE4BA1" w:rsidRDefault="0033518D" w14:paraId="7E8B751D" w14:textId="38BB311B">
      <w:pPr>
        <w:spacing w:after="0"/>
        <w:rPr>
          <w:bCs/>
          <w:noProof w:val="0"/>
        </w:rPr>
      </w:pPr>
      <w:r>
        <w:rPr>
          <w:bCs/>
          <w:noProof w:val="0"/>
        </w:rPr>
        <w:t xml:space="preserve">De personele uitgaven hebben betrekking op de personeelsinzet van 240 fte. De materiële uitgaven hebben betrekking op onder andere de kosten voor het wagenpark, de bedrijfsvoering, </w:t>
      </w:r>
      <w:r w:rsidR="00C160C0">
        <w:rPr>
          <w:bCs/>
          <w:noProof w:val="0"/>
        </w:rPr>
        <w:t xml:space="preserve">de ICT, </w:t>
      </w:r>
      <w:r>
        <w:rPr>
          <w:bCs/>
          <w:noProof w:val="0"/>
        </w:rPr>
        <w:t>het faunabeheer en de</w:t>
      </w:r>
      <w:r w:rsidR="00566F87">
        <w:rPr>
          <w:bCs/>
          <w:noProof w:val="0"/>
        </w:rPr>
        <w:t xml:space="preserve"> inzet van</w:t>
      </w:r>
      <w:r>
        <w:rPr>
          <w:bCs/>
          <w:noProof w:val="0"/>
        </w:rPr>
        <w:t xml:space="preserve"> luchtvaartuigen. </w:t>
      </w:r>
    </w:p>
    <w:p w:rsidR="00DC731E" w:rsidP="00DE4BA1" w:rsidRDefault="00DC731E" w14:paraId="2F26BFF8" w14:textId="7E8DB2F3">
      <w:pPr>
        <w:spacing w:after="0"/>
        <w:rPr>
          <w:b/>
          <w:noProof w:val="0"/>
        </w:rPr>
      </w:pPr>
      <w:bookmarkStart w:name="_Hlk199152208" w:id="1"/>
    </w:p>
    <w:p w:rsidRPr="002C740E" w:rsidR="00DE4BA1" w:rsidP="00DE4BA1" w:rsidRDefault="00DE4BA1" w14:paraId="77B5343A" w14:textId="42B4DA47">
      <w:pPr>
        <w:spacing w:after="0"/>
        <w:rPr>
          <w:noProof w:val="0"/>
        </w:rPr>
      </w:pPr>
      <w:r w:rsidRPr="002C740E">
        <w:rPr>
          <w:b/>
          <w:noProof w:val="0"/>
        </w:rPr>
        <w:lastRenderedPageBreak/>
        <w:t>Vraag 4</w:t>
      </w:r>
      <w:r w:rsidRPr="002C740E">
        <w:rPr>
          <w:b/>
          <w:noProof w:val="0"/>
        </w:rPr>
        <w:br/>
      </w:r>
      <w:r w:rsidRPr="00D112D4" w:rsidR="00D112D4">
        <w:rPr>
          <w:noProof w:val="0"/>
        </w:rPr>
        <w:t>Kunt u aangeven of er uitgaven zijn die verband houden met het koningschap, maar niet zijn opgenomen in de begroting van de Koning of de extracomptabele bijlagen? Zo ja, om welke uitgaven gaat het?</w:t>
      </w:r>
    </w:p>
    <w:p w:rsidRPr="002C740E" w:rsidR="00DE4BA1" w:rsidP="00DE4BA1" w:rsidRDefault="00DE4BA1" w14:paraId="7DA19CC3" w14:textId="77777777">
      <w:pPr>
        <w:spacing w:after="0"/>
        <w:rPr>
          <w:noProof w:val="0"/>
        </w:rPr>
      </w:pPr>
    </w:p>
    <w:p w:rsidR="00DE4BA1" w:rsidP="00DE4BA1" w:rsidRDefault="00DE4BA1" w14:paraId="3C07E33F" w14:textId="77777777">
      <w:pPr>
        <w:spacing w:after="0"/>
        <w:rPr>
          <w:b/>
          <w:noProof w:val="0"/>
        </w:rPr>
      </w:pPr>
      <w:bookmarkStart w:name="_Hlk198888714" w:id="2"/>
      <w:r w:rsidRPr="002C740E">
        <w:rPr>
          <w:b/>
          <w:noProof w:val="0"/>
        </w:rPr>
        <w:t>Antwoord op vraag 4</w:t>
      </w:r>
      <w:bookmarkEnd w:id="2"/>
    </w:p>
    <w:p w:rsidR="00DE4BA1" w:rsidP="00DE4BA1" w:rsidRDefault="00C160C0" w14:paraId="0FBE7402" w14:textId="066686F9">
      <w:pPr>
        <w:spacing w:after="0"/>
        <w:rPr>
          <w:bCs/>
          <w:noProof w:val="0"/>
        </w:rPr>
      </w:pPr>
      <w:r>
        <w:rPr>
          <w:bCs/>
          <w:noProof w:val="0"/>
        </w:rPr>
        <w:t>Alleen de kosten voor beveiliging zijn, gelet op de veiligheidsrisico’s, niet opgenomen. Deze kosten worden, zonder nadere specificatie, verantwoord op de begroting van het ministerie van Justitie en Veiligheid.</w:t>
      </w:r>
    </w:p>
    <w:bookmarkEnd w:id="1"/>
    <w:p w:rsidR="00DE4BA1" w:rsidP="00DE4BA1" w:rsidRDefault="00DE4BA1" w14:paraId="3274124C" w14:textId="77777777">
      <w:pPr>
        <w:spacing w:after="0"/>
        <w:rPr>
          <w:noProof w:val="0"/>
        </w:rPr>
      </w:pPr>
    </w:p>
    <w:p w:rsidRPr="002A77C1" w:rsidR="00D112D4" w:rsidP="002A77C1" w:rsidRDefault="00D112D4" w14:paraId="69116B85" w14:textId="121FC15E">
      <w:pPr>
        <w:spacing w:after="0"/>
        <w:contextualSpacing/>
        <w:rPr>
          <w:b/>
          <w:noProof w:val="0"/>
        </w:rPr>
      </w:pPr>
      <w:bookmarkStart w:name="_Hlk230849420" w:id="3"/>
      <w:r w:rsidRPr="002A77C1">
        <w:rPr>
          <w:b/>
          <w:noProof w:val="0"/>
        </w:rPr>
        <w:t>Vraag 5</w:t>
      </w:r>
    </w:p>
    <w:p w:rsidRPr="002A77C1" w:rsidR="00D112D4" w:rsidP="002A77C1" w:rsidRDefault="00D112D4" w14:paraId="062911C0" w14:textId="00C7CD01">
      <w:pPr>
        <w:spacing w:after="0"/>
        <w:contextualSpacing/>
        <w:rPr>
          <w:bCs/>
          <w:noProof w:val="0"/>
        </w:rPr>
      </w:pPr>
      <w:r w:rsidRPr="002A77C1">
        <w:rPr>
          <w:bCs/>
          <w:noProof w:val="0"/>
        </w:rPr>
        <w:t>Kunt u toelichten welke concrete uitgaven worden bekostigd uit de B-component van de grondwettelijke uitkering aan de Koning, nu deze component in 2025 6,104 miljoen euro bedroeg?</w:t>
      </w:r>
    </w:p>
    <w:p w:rsidRPr="002A77C1" w:rsidR="002A77C1" w:rsidP="002A77C1" w:rsidRDefault="002A77C1" w14:paraId="632B0C05" w14:textId="77777777">
      <w:pPr>
        <w:spacing w:after="0"/>
        <w:contextualSpacing/>
        <w:rPr>
          <w:b/>
          <w:noProof w:val="0"/>
        </w:rPr>
      </w:pPr>
    </w:p>
    <w:p w:rsidR="00DE4BA1" w:rsidP="002048A3" w:rsidRDefault="00D112D4" w14:paraId="1E63E384" w14:textId="19E4D101">
      <w:pPr>
        <w:spacing w:after="0"/>
        <w:rPr>
          <w:rFonts w:ascii="Verdana" w:hAnsi="Verdana"/>
          <w:b/>
          <w:bCs/>
        </w:rPr>
      </w:pPr>
      <w:r w:rsidRPr="00D112D4">
        <w:rPr>
          <w:rFonts w:ascii="Verdana" w:hAnsi="Verdana"/>
          <w:b/>
          <w:bCs/>
        </w:rPr>
        <w:t xml:space="preserve">Antwoord op vraag </w:t>
      </w:r>
      <w:r>
        <w:rPr>
          <w:rFonts w:ascii="Verdana" w:hAnsi="Verdana"/>
          <w:b/>
          <w:bCs/>
        </w:rPr>
        <w:t>5</w:t>
      </w:r>
    </w:p>
    <w:p w:rsidRPr="003D2CF8" w:rsidR="003D2CF8" w:rsidP="002048A3" w:rsidRDefault="003D2CF8" w14:paraId="64B84859" w14:textId="59F2DCA2">
      <w:pPr>
        <w:spacing w:after="0"/>
        <w:rPr>
          <w:rFonts w:ascii="Verdana" w:hAnsi="Verdana"/>
        </w:rPr>
      </w:pPr>
      <w:r w:rsidRPr="003D2CF8">
        <w:rPr>
          <w:rFonts w:ascii="Verdana" w:hAnsi="Verdana"/>
        </w:rPr>
        <w:t xml:space="preserve">De B-component heeft betrekking op personele en materiele uitgaven. Zoals aangegeven in </w:t>
      </w:r>
      <w:r w:rsidR="00067076">
        <w:rPr>
          <w:rFonts w:ascii="Verdana" w:hAnsi="Verdana"/>
        </w:rPr>
        <w:t xml:space="preserve">het jaarverslag, </w:t>
      </w:r>
      <w:r w:rsidRPr="003D2CF8">
        <w:rPr>
          <w:rFonts w:ascii="Verdana" w:hAnsi="Verdana"/>
        </w:rPr>
        <w:t>hebben de personele uitgaven met name betrekking op de hofhouding en een aantal andere personeelsleden die rechtstreeks werkzaam zijn voor de uitkeringsgerechtigde leden van het Koninklijk huis. Tot de hofhouding behoren het management van de Dienst van het Koninklijk huis en adviseurs. De materiële uitgaven hebben betrekking op activiteiten met een hoog representatief karakter die samenhangen met de functie van de Kroondrager. De B-component van het inkomen van de Koning is nader toegelicht in een adviesrapport van de Raad van State van 5 juli 2023 met kenmerk W01.22.00147/1.</w:t>
      </w:r>
    </w:p>
    <w:bookmarkEnd w:id="3"/>
    <w:p w:rsidR="003D2CF8" w:rsidP="002A77C1" w:rsidRDefault="003D2CF8" w14:paraId="30A0A0E2" w14:textId="77777777">
      <w:pPr>
        <w:spacing w:after="0"/>
        <w:contextualSpacing/>
        <w:rPr>
          <w:b/>
          <w:noProof w:val="0"/>
        </w:rPr>
      </w:pPr>
    </w:p>
    <w:p w:rsidRPr="002A77C1" w:rsidR="00D112D4" w:rsidP="002A77C1" w:rsidRDefault="00D112D4" w14:paraId="54141E3C" w14:textId="0CBC58A0">
      <w:pPr>
        <w:spacing w:after="0"/>
        <w:contextualSpacing/>
        <w:rPr>
          <w:b/>
          <w:noProof w:val="0"/>
        </w:rPr>
      </w:pPr>
      <w:r w:rsidRPr="002A77C1">
        <w:rPr>
          <w:b/>
          <w:noProof w:val="0"/>
        </w:rPr>
        <w:t>Vraag 6</w:t>
      </w:r>
    </w:p>
    <w:p w:rsidRPr="002A77C1" w:rsidR="00D112D4" w:rsidP="002A77C1" w:rsidRDefault="00D112D4" w14:paraId="676F68FC" w14:textId="7978B3FC">
      <w:pPr>
        <w:spacing w:after="0"/>
        <w:contextualSpacing/>
        <w:rPr>
          <w:bCs/>
          <w:noProof w:val="0"/>
        </w:rPr>
      </w:pPr>
      <w:r w:rsidRPr="002A77C1">
        <w:rPr>
          <w:bCs/>
          <w:noProof w:val="0"/>
        </w:rPr>
        <w:t>Kunt u nader specificeren welke materiële uitgaven onder de B-component vallen en hoe deze zich onderscheiden van de functionele uitgaven op artikel 2?</w:t>
      </w:r>
    </w:p>
    <w:p w:rsidRPr="00D112D4" w:rsidR="00D112D4" w:rsidP="00D112D4" w:rsidRDefault="00D112D4" w14:paraId="22D8B5B2" w14:textId="77777777">
      <w:pPr>
        <w:rPr>
          <w:rFonts w:ascii="Verdana" w:hAnsi="Verdana"/>
          <w:b/>
          <w:bCs/>
        </w:rPr>
      </w:pPr>
    </w:p>
    <w:p w:rsidR="00D112D4" w:rsidP="00B90CE9" w:rsidRDefault="00D112D4" w14:paraId="6EBF3598" w14:textId="5E0DBCC4">
      <w:pPr>
        <w:spacing w:after="0"/>
        <w:rPr>
          <w:rFonts w:ascii="Verdana" w:hAnsi="Verdana"/>
          <w:b/>
          <w:bCs/>
        </w:rPr>
      </w:pPr>
      <w:r w:rsidRPr="00D112D4">
        <w:rPr>
          <w:rFonts w:ascii="Verdana" w:hAnsi="Verdana"/>
          <w:b/>
          <w:bCs/>
        </w:rPr>
        <w:t xml:space="preserve">Antwoord op vraag </w:t>
      </w:r>
      <w:r>
        <w:rPr>
          <w:rFonts w:ascii="Verdana" w:hAnsi="Verdana"/>
          <w:b/>
          <w:bCs/>
        </w:rPr>
        <w:t>6</w:t>
      </w:r>
    </w:p>
    <w:p w:rsidR="0009204C" w:rsidP="00B90CE9" w:rsidRDefault="0009204C" w14:paraId="0F996A3A" w14:textId="6A75883B">
      <w:pPr>
        <w:spacing w:after="0"/>
        <w:rPr>
          <w:rFonts w:ascii="Verdana" w:hAnsi="Verdana"/>
          <w:b/>
          <w:bCs/>
        </w:rPr>
      </w:pPr>
      <w:r w:rsidRPr="003D2CF8">
        <w:rPr>
          <w:rFonts w:ascii="Verdana" w:hAnsi="Verdana"/>
        </w:rPr>
        <w:t xml:space="preserve">De materiële uitgaven </w:t>
      </w:r>
      <w:r w:rsidR="00067076">
        <w:rPr>
          <w:rFonts w:ascii="Verdana" w:hAnsi="Verdana"/>
        </w:rPr>
        <w:t xml:space="preserve">van de B-component </w:t>
      </w:r>
      <w:r w:rsidRPr="003D2CF8">
        <w:rPr>
          <w:rFonts w:ascii="Verdana" w:hAnsi="Verdana"/>
        </w:rPr>
        <w:t>hebben betrekking op activiteiten met een hoog representatief karakter die samenhangen met de functie van de Kroondrager. De B-component van het inkomen van de Koning is nader toegelicht in een adviesrapport van de Raad van State van 5 juli 2023 met kenmerk W01.22.00147/1.</w:t>
      </w:r>
      <w:r w:rsidR="00067076">
        <w:rPr>
          <w:rFonts w:ascii="Verdana" w:hAnsi="Verdana"/>
        </w:rPr>
        <w:t xml:space="preserve"> De materiële kosten die vallen binnen de functionele uitgaven van artikel 2 hebben betrekking op de kosten van de Dienst Koninklijk Huis. Deze kosten betreffen onder meer </w:t>
      </w:r>
      <w:r w:rsidRPr="00067076" w:rsidR="00067076">
        <w:rPr>
          <w:rFonts w:ascii="Verdana" w:hAnsi="Verdana"/>
        </w:rPr>
        <w:t xml:space="preserve">de kosten voor het wagenpark, de bedrijfsvoering, de ICT, het faunabeheer en de </w:t>
      </w:r>
      <w:r w:rsidR="007B0A2B">
        <w:rPr>
          <w:rFonts w:ascii="Verdana" w:hAnsi="Verdana"/>
        </w:rPr>
        <w:t xml:space="preserve">inzet van </w:t>
      </w:r>
      <w:r w:rsidRPr="00067076" w:rsidR="00067076">
        <w:rPr>
          <w:rFonts w:ascii="Verdana" w:hAnsi="Verdana"/>
        </w:rPr>
        <w:t>luchtvaartuigen.</w:t>
      </w:r>
    </w:p>
    <w:p w:rsidR="00960E34" w:rsidP="002A77C1" w:rsidRDefault="00960E34" w14:paraId="6F9C4B70" w14:textId="77777777">
      <w:pPr>
        <w:spacing w:after="0"/>
        <w:rPr>
          <w:rFonts w:ascii="Verdana" w:hAnsi="Verdana"/>
          <w:b/>
          <w:bCs/>
        </w:rPr>
      </w:pPr>
    </w:p>
    <w:p w:rsidR="00D112D4" w:rsidP="002A77C1" w:rsidRDefault="00D112D4" w14:paraId="1B8E4CAE" w14:textId="19C9D926">
      <w:pPr>
        <w:spacing w:after="0"/>
        <w:rPr>
          <w:rFonts w:ascii="Verdana" w:hAnsi="Verdana"/>
          <w:b/>
          <w:bCs/>
        </w:rPr>
      </w:pPr>
      <w:r w:rsidRPr="00D112D4">
        <w:rPr>
          <w:rFonts w:ascii="Verdana" w:hAnsi="Verdana"/>
          <w:b/>
          <w:bCs/>
        </w:rPr>
        <w:t xml:space="preserve">Vraag </w:t>
      </w:r>
      <w:r>
        <w:rPr>
          <w:rFonts w:ascii="Verdana" w:hAnsi="Verdana"/>
          <w:b/>
          <w:bCs/>
        </w:rPr>
        <w:t>7</w:t>
      </w:r>
    </w:p>
    <w:p w:rsidR="00D112D4" w:rsidP="002A77C1" w:rsidRDefault="00D112D4" w14:paraId="2247645B" w14:textId="7AED40B8">
      <w:pPr>
        <w:spacing w:after="0"/>
        <w:rPr>
          <w:rFonts w:ascii="Verdana" w:hAnsi="Verdana"/>
        </w:rPr>
      </w:pPr>
      <w:r w:rsidRPr="00D112D4">
        <w:rPr>
          <w:rFonts w:ascii="Verdana" w:hAnsi="Verdana"/>
        </w:rPr>
        <w:t>Kunt u aangeven welke langetermijninvesteringen worden bekostigd uit de bestemmingsreserves van de Dienst van het Koninklijk Huis?</w:t>
      </w:r>
    </w:p>
    <w:p w:rsidR="007B0A2B" w:rsidP="00065CEA" w:rsidRDefault="007B0A2B" w14:paraId="58466CED" w14:textId="77777777">
      <w:pPr>
        <w:spacing w:after="0"/>
        <w:rPr>
          <w:rFonts w:ascii="Verdana" w:hAnsi="Verdana"/>
          <w:b/>
          <w:bCs/>
        </w:rPr>
      </w:pPr>
    </w:p>
    <w:p w:rsidR="00D112D4" w:rsidP="00065CEA" w:rsidRDefault="00D112D4" w14:paraId="21EC23C7" w14:textId="36C25512">
      <w:pPr>
        <w:spacing w:after="0"/>
        <w:rPr>
          <w:rFonts w:ascii="Verdana" w:hAnsi="Verdana"/>
          <w:b/>
          <w:bCs/>
        </w:rPr>
      </w:pPr>
      <w:r w:rsidRPr="00D112D4">
        <w:rPr>
          <w:rFonts w:ascii="Verdana" w:hAnsi="Verdana"/>
          <w:b/>
          <w:bCs/>
        </w:rPr>
        <w:t xml:space="preserve">Antwoord op vraag </w:t>
      </w:r>
      <w:r>
        <w:rPr>
          <w:rFonts w:ascii="Verdana" w:hAnsi="Verdana"/>
          <w:b/>
          <w:bCs/>
        </w:rPr>
        <w:t>7</w:t>
      </w:r>
    </w:p>
    <w:p w:rsidR="002A77C1" w:rsidP="00065CEA" w:rsidRDefault="003D2CF8" w14:paraId="3995269F" w14:textId="617336FF">
      <w:pPr>
        <w:spacing w:after="0"/>
        <w:rPr>
          <w:rFonts w:ascii="Verdana" w:hAnsi="Verdana"/>
        </w:rPr>
      </w:pPr>
      <w:r w:rsidRPr="003D2CF8">
        <w:rPr>
          <w:rFonts w:ascii="Verdana" w:hAnsi="Verdana"/>
        </w:rPr>
        <w:t xml:space="preserve">De Dienst van het Koninklijk Huis heeft bestemmingsreserves voor lange termijninvesteringen. Door te reserveren kan de Dienst een planmatig financieel beleid voeren en worden incidentele hoge uitgaven bij langetermijninvesteringen voorkomen. Op de onderliggende plannen wordt toezicht uitgeoefend door </w:t>
      </w:r>
      <w:r w:rsidRPr="003D2CF8">
        <w:rPr>
          <w:rFonts w:ascii="Verdana" w:hAnsi="Verdana"/>
        </w:rPr>
        <w:lastRenderedPageBreak/>
        <w:t>achtereenvolgens de Thesaurier van Z.M. de Koning, de externe accountant, de directeur Financieel Economische Zaken van het ministerie van Algemene Zaken, de Accountantsdienst Rijk en de Algemene Rekenkamer. Vanwege het recht van de Koning om zijn eigen huis in te richten (artikel 41 Grondwet) wordt geen nadere informatie verstrekt over de inhoud van de investeringsplannen.</w:t>
      </w:r>
    </w:p>
    <w:p w:rsidRPr="003D2CF8" w:rsidR="00E0777C" w:rsidP="00065CEA" w:rsidRDefault="00E0777C" w14:paraId="30E3C2F9" w14:textId="77777777">
      <w:pPr>
        <w:spacing w:after="0"/>
        <w:rPr>
          <w:rFonts w:ascii="Verdana" w:hAnsi="Verdana"/>
        </w:rPr>
      </w:pPr>
    </w:p>
    <w:p w:rsidR="00D112D4" w:rsidP="002A77C1" w:rsidRDefault="00D112D4" w14:paraId="7B255F62" w14:textId="12AF6E44">
      <w:pPr>
        <w:spacing w:after="0"/>
        <w:rPr>
          <w:rFonts w:ascii="Verdana" w:hAnsi="Verdana"/>
          <w:b/>
          <w:bCs/>
        </w:rPr>
      </w:pPr>
      <w:r w:rsidRPr="00D112D4">
        <w:rPr>
          <w:rFonts w:ascii="Verdana" w:hAnsi="Verdana"/>
          <w:b/>
          <w:bCs/>
        </w:rPr>
        <w:t xml:space="preserve">Vraag </w:t>
      </w:r>
      <w:r>
        <w:rPr>
          <w:rFonts w:ascii="Verdana" w:hAnsi="Verdana"/>
          <w:b/>
          <w:bCs/>
        </w:rPr>
        <w:t>8</w:t>
      </w:r>
    </w:p>
    <w:p w:rsidRPr="00D112D4" w:rsidR="00D112D4" w:rsidP="002A77C1" w:rsidRDefault="00D112D4" w14:paraId="2D05BEE2" w14:textId="70CF74D8">
      <w:pPr>
        <w:spacing w:after="0"/>
        <w:rPr>
          <w:rFonts w:ascii="Verdana" w:hAnsi="Verdana"/>
        </w:rPr>
      </w:pPr>
      <w:r w:rsidRPr="00D112D4">
        <w:rPr>
          <w:rFonts w:ascii="Verdana" w:hAnsi="Verdana"/>
        </w:rPr>
        <w:t>Kunt u de onttrekkingen van 3,419 miljoen euro en dotaties van 3,550 miljoen euro aan de bestemmingsreserves in 2025 nader specificeren per investering of project?</w:t>
      </w:r>
    </w:p>
    <w:p w:rsidR="00B90CE9" w:rsidP="005D7927" w:rsidRDefault="00B90CE9" w14:paraId="61C3DC39" w14:textId="77777777">
      <w:pPr>
        <w:spacing w:after="0"/>
        <w:rPr>
          <w:rFonts w:ascii="Verdana" w:hAnsi="Verdana"/>
          <w:b/>
          <w:bCs/>
        </w:rPr>
      </w:pPr>
    </w:p>
    <w:p w:rsidR="00D112D4" w:rsidP="005D7927" w:rsidRDefault="00D112D4" w14:paraId="36FCCE09" w14:textId="242CB260">
      <w:pPr>
        <w:spacing w:after="0"/>
        <w:rPr>
          <w:rFonts w:ascii="Verdana" w:hAnsi="Verdana"/>
          <w:b/>
          <w:bCs/>
        </w:rPr>
      </w:pPr>
      <w:r w:rsidRPr="00D112D4">
        <w:rPr>
          <w:rFonts w:ascii="Verdana" w:hAnsi="Verdana"/>
          <w:b/>
          <w:bCs/>
        </w:rPr>
        <w:t xml:space="preserve">Antwoord op vraag </w:t>
      </w:r>
      <w:r>
        <w:rPr>
          <w:rFonts w:ascii="Verdana" w:hAnsi="Verdana"/>
          <w:b/>
          <w:bCs/>
        </w:rPr>
        <w:t>8</w:t>
      </w:r>
    </w:p>
    <w:p w:rsidRPr="00633033" w:rsidR="00633033" w:rsidP="005D7927" w:rsidRDefault="00633033" w14:paraId="4A999F08" w14:textId="547A6B7B">
      <w:pPr>
        <w:spacing w:after="0"/>
        <w:rPr>
          <w:rFonts w:ascii="Verdana" w:hAnsi="Verdana"/>
        </w:rPr>
      </w:pPr>
      <w:r w:rsidRPr="00633033">
        <w:rPr>
          <w:rFonts w:ascii="Verdana" w:hAnsi="Verdana"/>
        </w:rPr>
        <w:t>De Dienst van het Koninklijk Huis heeft bestemmingsreserves voor lange termijninvesteringen. Door te reserveren kan de Dienst een planmatig financieel beleid voeren en worden incidentele hoge uitgaven bij langetermijninvesteringen voorkomen. Op de onderliggende plannen wordt toezicht uitgeoefend door achtereenvolgens de Thesaurier van Z.M. de Koning, de externe accountant, de directeur Financieel Economische Zaken van het ministerie van Algemene Zaken, de Accountantsdienst Rijk en de Algemene Rekenkamer. Vanwege het recht van de Koning om zijn eigen huis in te richten (artikel 41 Grondwet) wordt geen nadere informatie verstrekt over de inhoud van de investeringsplannen.</w:t>
      </w:r>
    </w:p>
    <w:p w:rsidR="00BE42F4" w:rsidP="002A77C1" w:rsidRDefault="00BE42F4" w14:paraId="1FBAB81D" w14:textId="77777777">
      <w:pPr>
        <w:spacing w:after="0"/>
        <w:rPr>
          <w:rFonts w:ascii="Verdana" w:hAnsi="Verdana"/>
          <w:b/>
          <w:bCs/>
        </w:rPr>
      </w:pPr>
    </w:p>
    <w:p w:rsidR="00D112D4" w:rsidP="002A77C1" w:rsidRDefault="00D112D4" w14:paraId="32E8A229" w14:textId="45531789">
      <w:pPr>
        <w:spacing w:after="0"/>
        <w:rPr>
          <w:rFonts w:ascii="Verdana" w:hAnsi="Verdana"/>
          <w:b/>
          <w:bCs/>
        </w:rPr>
      </w:pPr>
      <w:r w:rsidRPr="00D112D4">
        <w:rPr>
          <w:rFonts w:ascii="Verdana" w:hAnsi="Verdana"/>
          <w:b/>
          <w:bCs/>
        </w:rPr>
        <w:t xml:space="preserve">Vraag </w:t>
      </w:r>
      <w:r>
        <w:rPr>
          <w:rFonts w:ascii="Verdana" w:hAnsi="Verdana"/>
          <w:b/>
          <w:bCs/>
        </w:rPr>
        <w:t>9</w:t>
      </w:r>
    </w:p>
    <w:p w:rsidRPr="00D112D4" w:rsidR="00D112D4" w:rsidP="002A77C1" w:rsidRDefault="00D112D4" w14:paraId="5752D81E" w14:textId="715CCA75">
      <w:pPr>
        <w:spacing w:after="0"/>
        <w:rPr>
          <w:rFonts w:ascii="Verdana" w:hAnsi="Verdana"/>
        </w:rPr>
      </w:pPr>
      <w:r w:rsidRPr="00D112D4">
        <w:rPr>
          <w:rFonts w:ascii="Verdana" w:hAnsi="Verdana"/>
        </w:rPr>
        <w:t>Kunt u nader specificeren waaruit de uitgaven voor luchtvaartuigen van 710.000 euro in 2025 bestaan, uitgesplitst naar gebruik van de PH-GOV, de Gulfstream van de Koninklijke Luchtmacht, civiele helikopters en civiele luchtvaartuigen?</w:t>
      </w:r>
    </w:p>
    <w:p w:rsidRPr="00D112D4" w:rsidR="00D112D4" w:rsidP="00D112D4" w:rsidRDefault="00D112D4" w14:paraId="21A1CED8" w14:textId="77777777">
      <w:pPr>
        <w:rPr>
          <w:rFonts w:ascii="Verdana" w:hAnsi="Verdana"/>
          <w:b/>
          <w:bCs/>
        </w:rPr>
      </w:pPr>
    </w:p>
    <w:p w:rsidR="00D112D4" w:rsidP="00D112D4" w:rsidRDefault="00D112D4" w14:paraId="5789070A" w14:textId="1AEB0BFA">
      <w:pPr>
        <w:rPr>
          <w:rFonts w:ascii="Verdana" w:hAnsi="Verdana"/>
          <w:b/>
          <w:bCs/>
        </w:rPr>
      </w:pPr>
      <w:r w:rsidRPr="00D112D4">
        <w:rPr>
          <w:rFonts w:ascii="Verdana" w:hAnsi="Verdana"/>
          <w:b/>
          <w:bCs/>
        </w:rPr>
        <w:t xml:space="preserve">Antwoord op vraag </w:t>
      </w:r>
      <w:r>
        <w:rPr>
          <w:rFonts w:ascii="Verdana" w:hAnsi="Verdana"/>
          <w:b/>
          <w:bCs/>
        </w:rPr>
        <w:t>9</w:t>
      </w:r>
    </w:p>
    <w:tbl>
      <w:tblPr>
        <w:tblW w:w="5540" w:type="dxa"/>
        <w:tblCellMar>
          <w:left w:w="70" w:type="dxa"/>
          <w:right w:w="70" w:type="dxa"/>
        </w:tblCellMar>
        <w:tblLook w:val="04A0" w:firstRow="1" w:lastRow="0" w:firstColumn="1" w:lastColumn="0" w:noHBand="0" w:noVBand="1"/>
      </w:tblPr>
      <w:tblGrid>
        <w:gridCol w:w="1090"/>
        <w:gridCol w:w="1090"/>
        <w:gridCol w:w="1090"/>
        <w:gridCol w:w="1090"/>
        <w:gridCol w:w="1180"/>
      </w:tblGrid>
      <w:tr w:rsidRPr="00DC731E" w:rsidR="00DC731E" w:rsidTr="00DC731E" w14:paraId="5269332B" w14:textId="77777777">
        <w:trPr>
          <w:trHeight w:val="280"/>
        </w:trPr>
        <w:tc>
          <w:tcPr>
            <w:tcW w:w="1090" w:type="dxa"/>
            <w:tcBorders>
              <w:top w:val="nil"/>
              <w:left w:val="nil"/>
              <w:bottom w:val="nil"/>
              <w:right w:val="nil"/>
            </w:tcBorders>
            <w:shd w:val="clear" w:color="auto" w:fill="auto"/>
            <w:noWrap/>
            <w:vAlign w:val="bottom"/>
            <w:hideMark/>
          </w:tcPr>
          <w:p w:rsidRPr="00DC731E" w:rsidR="00DC731E" w:rsidP="00DC731E" w:rsidRDefault="00DC731E" w14:paraId="49123DB5" w14:textId="77777777">
            <w:pPr>
              <w:spacing w:after="0"/>
              <w:rPr>
                <w:rFonts w:eastAsia="Times New Roman" w:cs="Arial" w:asciiTheme="majorHAnsi" w:hAnsiTheme="majorHAnsi"/>
                <w:noProof w:val="0"/>
                <w:color w:val="000000"/>
                <w:lang w:eastAsia="nl-NL"/>
              </w:rPr>
            </w:pPr>
            <w:r w:rsidRPr="00DC731E">
              <w:rPr>
                <w:rFonts w:eastAsia="Times New Roman" w:cs="Arial" w:asciiTheme="majorHAnsi" w:hAnsiTheme="majorHAnsi"/>
                <w:noProof w:val="0"/>
                <w:color w:val="000000"/>
                <w:lang w:eastAsia="nl-NL"/>
              </w:rPr>
              <w:t>PH-</w:t>
            </w:r>
            <w:proofErr w:type="spellStart"/>
            <w:r w:rsidRPr="00DC731E">
              <w:rPr>
                <w:rFonts w:eastAsia="Times New Roman" w:cs="Arial" w:asciiTheme="majorHAnsi" w:hAnsiTheme="majorHAnsi"/>
                <w:noProof w:val="0"/>
                <w:color w:val="000000"/>
                <w:lang w:eastAsia="nl-NL"/>
              </w:rPr>
              <w:t>Gov</w:t>
            </w:r>
            <w:proofErr w:type="spellEnd"/>
          </w:p>
        </w:tc>
        <w:tc>
          <w:tcPr>
            <w:tcW w:w="1090" w:type="dxa"/>
            <w:tcBorders>
              <w:top w:val="nil"/>
              <w:left w:val="nil"/>
              <w:bottom w:val="nil"/>
              <w:right w:val="nil"/>
            </w:tcBorders>
            <w:shd w:val="clear" w:color="auto" w:fill="auto"/>
            <w:noWrap/>
            <w:vAlign w:val="bottom"/>
            <w:hideMark/>
          </w:tcPr>
          <w:p w:rsidRPr="00DC731E" w:rsidR="00DC731E" w:rsidP="00DC731E" w:rsidRDefault="00DC731E" w14:paraId="5BD62A62" w14:textId="77777777">
            <w:pPr>
              <w:spacing w:after="0"/>
              <w:rPr>
                <w:rFonts w:eastAsia="Times New Roman" w:cs="Arial" w:asciiTheme="majorHAnsi" w:hAnsiTheme="majorHAnsi"/>
                <w:noProof w:val="0"/>
                <w:color w:val="000000"/>
                <w:lang w:eastAsia="nl-NL"/>
              </w:rPr>
            </w:pPr>
          </w:p>
        </w:tc>
        <w:tc>
          <w:tcPr>
            <w:tcW w:w="1090" w:type="dxa"/>
            <w:tcBorders>
              <w:top w:val="nil"/>
              <w:left w:val="nil"/>
              <w:bottom w:val="nil"/>
              <w:right w:val="nil"/>
            </w:tcBorders>
            <w:shd w:val="clear" w:color="auto" w:fill="auto"/>
            <w:noWrap/>
            <w:vAlign w:val="bottom"/>
            <w:hideMark/>
          </w:tcPr>
          <w:p w:rsidRPr="00DC731E" w:rsidR="00DC731E" w:rsidP="00DC731E" w:rsidRDefault="00DC731E" w14:paraId="4224E571" w14:textId="77777777">
            <w:pPr>
              <w:spacing w:after="0"/>
              <w:rPr>
                <w:rFonts w:eastAsia="Times New Roman" w:cs="Times New Roman" w:asciiTheme="majorHAnsi" w:hAnsiTheme="majorHAnsi"/>
                <w:noProof w:val="0"/>
                <w:lang w:eastAsia="nl-NL"/>
              </w:rPr>
            </w:pPr>
          </w:p>
        </w:tc>
        <w:tc>
          <w:tcPr>
            <w:tcW w:w="1090" w:type="dxa"/>
            <w:tcBorders>
              <w:top w:val="nil"/>
              <w:left w:val="nil"/>
              <w:bottom w:val="nil"/>
              <w:right w:val="nil"/>
            </w:tcBorders>
            <w:shd w:val="clear" w:color="auto" w:fill="auto"/>
            <w:noWrap/>
            <w:vAlign w:val="bottom"/>
            <w:hideMark/>
          </w:tcPr>
          <w:p w:rsidRPr="00DC731E" w:rsidR="00DC731E" w:rsidP="00DC731E" w:rsidRDefault="00DC731E" w14:paraId="1C82F2D9" w14:textId="77777777">
            <w:pPr>
              <w:spacing w:after="0"/>
              <w:rPr>
                <w:rFonts w:eastAsia="Times New Roman" w:cs="Times New Roman" w:asciiTheme="majorHAnsi" w:hAnsiTheme="majorHAnsi"/>
                <w:noProof w:val="0"/>
                <w:lang w:eastAsia="nl-NL"/>
              </w:rPr>
            </w:pPr>
          </w:p>
        </w:tc>
        <w:tc>
          <w:tcPr>
            <w:tcW w:w="1180" w:type="dxa"/>
            <w:tcBorders>
              <w:top w:val="nil"/>
              <w:left w:val="nil"/>
              <w:bottom w:val="nil"/>
              <w:right w:val="nil"/>
            </w:tcBorders>
            <w:shd w:val="clear" w:color="auto" w:fill="auto"/>
            <w:noWrap/>
            <w:vAlign w:val="bottom"/>
            <w:hideMark/>
          </w:tcPr>
          <w:p w:rsidRPr="00DC731E" w:rsidR="00DC731E" w:rsidP="00DC731E" w:rsidRDefault="00DC731E" w14:paraId="66AB3DA8" w14:textId="77777777">
            <w:pPr>
              <w:spacing w:after="0"/>
              <w:rPr>
                <w:rFonts w:eastAsia="Times New Roman" w:cs="Arial" w:asciiTheme="majorHAnsi" w:hAnsiTheme="majorHAnsi"/>
                <w:noProof w:val="0"/>
                <w:color w:val="000000"/>
                <w:lang w:eastAsia="nl-NL"/>
              </w:rPr>
            </w:pPr>
            <w:r w:rsidRPr="00DC731E">
              <w:rPr>
                <w:rFonts w:eastAsia="Times New Roman" w:cs="Arial" w:asciiTheme="majorHAnsi" w:hAnsiTheme="majorHAnsi"/>
                <w:noProof w:val="0"/>
                <w:color w:val="000000"/>
                <w:lang w:eastAsia="nl-NL"/>
              </w:rPr>
              <w:t xml:space="preserve"> € 190.000 </w:t>
            </w:r>
          </w:p>
        </w:tc>
      </w:tr>
      <w:tr w:rsidRPr="00DC731E" w:rsidR="00DC731E" w:rsidTr="00DC731E" w14:paraId="020A8A57" w14:textId="77777777">
        <w:trPr>
          <w:trHeight w:val="280"/>
        </w:trPr>
        <w:tc>
          <w:tcPr>
            <w:tcW w:w="2180" w:type="dxa"/>
            <w:gridSpan w:val="2"/>
            <w:tcBorders>
              <w:top w:val="nil"/>
              <w:left w:val="nil"/>
              <w:bottom w:val="nil"/>
              <w:right w:val="nil"/>
            </w:tcBorders>
            <w:shd w:val="clear" w:color="auto" w:fill="auto"/>
            <w:noWrap/>
            <w:vAlign w:val="bottom"/>
            <w:hideMark/>
          </w:tcPr>
          <w:p w:rsidRPr="00DC731E" w:rsidR="00DC731E" w:rsidP="00DC731E" w:rsidRDefault="00DC731E" w14:paraId="28DCC9FF" w14:textId="77777777">
            <w:pPr>
              <w:spacing w:after="0"/>
              <w:rPr>
                <w:rFonts w:eastAsia="Times New Roman" w:cs="Arial" w:asciiTheme="majorHAnsi" w:hAnsiTheme="majorHAnsi"/>
                <w:noProof w:val="0"/>
                <w:color w:val="000000"/>
                <w:lang w:eastAsia="nl-NL"/>
              </w:rPr>
            </w:pPr>
            <w:r w:rsidRPr="00DC731E">
              <w:rPr>
                <w:rFonts w:eastAsia="Times New Roman" w:cs="Arial" w:asciiTheme="majorHAnsi" w:hAnsiTheme="majorHAnsi"/>
                <w:noProof w:val="0"/>
                <w:color w:val="000000"/>
                <w:lang w:eastAsia="nl-NL"/>
              </w:rPr>
              <w:t>Gulfstream   </w:t>
            </w:r>
          </w:p>
        </w:tc>
        <w:tc>
          <w:tcPr>
            <w:tcW w:w="1090" w:type="dxa"/>
            <w:tcBorders>
              <w:top w:val="nil"/>
              <w:left w:val="nil"/>
              <w:bottom w:val="nil"/>
              <w:right w:val="nil"/>
            </w:tcBorders>
            <w:shd w:val="clear" w:color="auto" w:fill="auto"/>
            <w:noWrap/>
            <w:vAlign w:val="bottom"/>
            <w:hideMark/>
          </w:tcPr>
          <w:p w:rsidRPr="00DC731E" w:rsidR="00DC731E" w:rsidP="00DC731E" w:rsidRDefault="00DC731E" w14:paraId="393DF927" w14:textId="77777777">
            <w:pPr>
              <w:spacing w:after="0"/>
              <w:rPr>
                <w:rFonts w:eastAsia="Times New Roman" w:cs="Arial" w:asciiTheme="majorHAnsi" w:hAnsiTheme="majorHAnsi"/>
                <w:noProof w:val="0"/>
                <w:color w:val="000000"/>
                <w:lang w:eastAsia="nl-NL"/>
              </w:rPr>
            </w:pPr>
          </w:p>
        </w:tc>
        <w:tc>
          <w:tcPr>
            <w:tcW w:w="1090" w:type="dxa"/>
            <w:tcBorders>
              <w:top w:val="nil"/>
              <w:left w:val="nil"/>
              <w:bottom w:val="nil"/>
              <w:right w:val="nil"/>
            </w:tcBorders>
            <w:shd w:val="clear" w:color="auto" w:fill="auto"/>
            <w:noWrap/>
            <w:vAlign w:val="bottom"/>
            <w:hideMark/>
          </w:tcPr>
          <w:p w:rsidRPr="00DC731E" w:rsidR="00DC731E" w:rsidP="00DC731E" w:rsidRDefault="00DC731E" w14:paraId="198C2BE1" w14:textId="77777777">
            <w:pPr>
              <w:spacing w:after="0"/>
              <w:rPr>
                <w:rFonts w:eastAsia="Times New Roman" w:cs="Times New Roman" w:asciiTheme="majorHAnsi" w:hAnsiTheme="majorHAnsi"/>
                <w:noProof w:val="0"/>
                <w:lang w:eastAsia="nl-NL"/>
              </w:rPr>
            </w:pPr>
          </w:p>
        </w:tc>
        <w:tc>
          <w:tcPr>
            <w:tcW w:w="1180" w:type="dxa"/>
            <w:tcBorders>
              <w:top w:val="nil"/>
              <w:left w:val="nil"/>
              <w:bottom w:val="nil"/>
              <w:right w:val="nil"/>
            </w:tcBorders>
            <w:shd w:val="clear" w:color="auto" w:fill="auto"/>
            <w:noWrap/>
            <w:vAlign w:val="bottom"/>
            <w:hideMark/>
          </w:tcPr>
          <w:p w:rsidRPr="00DC731E" w:rsidR="00DC731E" w:rsidP="00DC731E" w:rsidRDefault="00DC731E" w14:paraId="317C20FE" w14:textId="3F70A687">
            <w:pPr>
              <w:spacing w:after="0"/>
              <w:rPr>
                <w:rFonts w:eastAsia="Times New Roman" w:cs="Arial" w:asciiTheme="majorHAnsi" w:hAnsiTheme="majorHAnsi"/>
                <w:noProof w:val="0"/>
                <w:color w:val="000000"/>
                <w:lang w:eastAsia="nl-NL"/>
              </w:rPr>
            </w:pPr>
            <w:r w:rsidRPr="00DC731E">
              <w:rPr>
                <w:rFonts w:eastAsia="Times New Roman" w:cs="Arial" w:asciiTheme="majorHAnsi" w:hAnsiTheme="majorHAnsi"/>
                <w:noProof w:val="0"/>
                <w:color w:val="000000"/>
                <w:lang w:eastAsia="nl-NL"/>
              </w:rPr>
              <w:t xml:space="preserve"> €    - </w:t>
            </w:r>
          </w:p>
        </w:tc>
      </w:tr>
      <w:tr w:rsidRPr="00DC731E" w:rsidR="00DC731E" w:rsidTr="00DC731E" w14:paraId="58149DC7" w14:textId="77777777">
        <w:trPr>
          <w:trHeight w:val="280"/>
        </w:trPr>
        <w:tc>
          <w:tcPr>
            <w:tcW w:w="4360" w:type="dxa"/>
            <w:gridSpan w:val="4"/>
            <w:tcBorders>
              <w:top w:val="nil"/>
              <w:left w:val="nil"/>
              <w:bottom w:val="nil"/>
              <w:right w:val="nil"/>
            </w:tcBorders>
            <w:shd w:val="clear" w:color="auto" w:fill="auto"/>
            <w:noWrap/>
            <w:vAlign w:val="bottom"/>
            <w:hideMark/>
          </w:tcPr>
          <w:p w:rsidRPr="00DC731E" w:rsidR="00DC731E" w:rsidP="00DC731E" w:rsidRDefault="00DC731E" w14:paraId="6969EBD1" w14:textId="77777777">
            <w:pPr>
              <w:spacing w:after="0"/>
              <w:rPr>
                <w:rFonts w:eastAsia="Times New Roman" w:cs="Arial" w:asciiTheme="majorHAnsi" w:hAnsiTheme="majorHAnsi"/>
                <w:noProof w:val="0"/>
                <w:color w:val="000000"/>
                <w:lang w:eastAsia="nl-NL"/>
              </w:rPr>
            </w:pPr>
            <w:r w:rsidRPr="00DC731E">
              <w:rPr>
                <w:rFonts w:eastAsia="Times New Roman" w:cs="Arial" w:asciiTheme="majorHAnsi" w:hAnsiTheme="majorHAnsi"/>
                <w:noProof w:val="0"/>
                <w:color w:val="000000"/>
                <w:lang w:eastAsia="nl-NL"/>
              </w:rPr>
              <w:t>civiele helikopters en civiele luchtvaartuigen </w:t>
            </w:r>
          </w:p>
        </w:tc>
        <w:tc>
          <w:tcPr>
            <w:tcW w:w="1180" w:type="dxa"/>
            <w:tcBorders>
              <w:top w:val="nil"/>
              <w:left w:val="nil"/>
              <w:bottom w:val="single" w:color="auto" w:sz="4" w:space="0"/>
              <w:right w:val="nil"/>
            </w:tcBorders>
            <w:shd w:val="clear" w:color="auto" w:fill="auto"/>
            <w:noWrap/>
            <w:vAlign w:val="bottom"/>
            <w:hideMark/>
          </w:tcPr>
          <w:p w:rsidRPr="00DC731E" w:rsidR="00DC731E" w:rsidP="00DC731E" w:rsidRDefault="00DC731E" w14:paraId="1F88A452" w14:textId="77777777">
            <w:pPr>
              <w:spacing w:after="0"/>
              <w:rPr>
                <w:rFonts w:eastAsia="Times New Roman" w:cs="Arial" w:asciiTheme="majorHAnsi" w:hAnsiTheme="majorHAnsi"/>
                <w:noProof w:val="0"/>
                <w:color w:val="000000"/>
                <w:lang w:eastAsia="nl-NL"/>
              </w:rPr>
            </w:pPr>
            <w:r w:rsidRPr="00DC731E">
              <w:rPr>
                <w:rFonts w:eastAsia="Times New Roman" w:cs="Arial" w:asciiTheme="majorHAnsi" w:hAnsiTheme="majorHAnsi"/>
                <w:noProof w:val="0"/>
                <w:color w:val="000000"/>
                <w:lang w:eastAsia="nl-NL"/>
              </w:rPr>
              <w:t xml:space="preserve"> € 520.000 </w:t>
            </w:r>
          </w:p>
        </w:tc>
      </w:tr>
      <w:tr w:rsidRPr="00DC731E" w:rsidR="00DC731E" w:rsidTr="00DC731E" w14:paraId="6EB9D1AE" w14:textId="77777777">
        <w:trPr>
          <w:trHeight w:val="280"/>
        </w:trPr>
        <w:tc>
          <w:tcPr>
            <w:tcW w:w="1090" w:type="dxa"/>
            <w:tcBorders>
              <w:top w:val="nil"/>
              <w:left w:val="nil"/>
              <w:bottom w:val="nil"/>
              <w:right w:val="nil"/>
            </w:tcBorders>
            <w:shd w:val="clear" w:color="auto" w:fill="auto"/>
            <w:noWrap/>
            <w:vAlign w:val="bottom"/>
            <w:hideMark/>
          </w:tcPr>
          <w:p w:rsidRPr="00DC731E" w:rsidR="00DC731E" w:rsidP="00DC731E" w:rsidRDefault="00DC731E" w14:paraId="29F5B9C7" w14:textId="77777777">
            <w:pPr>
              <w:spacing w:after="0"/>
              <w:rPr>
                <w:rFonts w:eastAsia="Times New Roman" w:cs="Arial" w:asciiTheme="majorHAnsi" w:hAnsiTheme="majorHAnsi"/>
                <w:noProof w:val="0"/>
                <w:color w:val="000000"/>
                <w:lang w:eastAsia="nl-NL"/>
              </w:rPr>
            </w:pPr>
          </w:p>
        </w:tc>
        <w:tc>
          <w:tcPr>
            <w:tcW w:w="1090" w:type="dxa"/>
            <w:tcBorders>
              <w:top w:val="nil"/>
              <w:left w:val="nil"/>
              <w:bottom w:val="nil"/>
              <w:right w:val="nil"/>
            </w:tcBorders>
            <w:shd w:val="clear" w:color="auto" w:fill="auto"/>
            <w:noWrap/>
            <w:vAlign w:val="bottom"/>
            <w:hideMark/>
          </w:tcPr>
          <w:p w:rsidRPr="00DC731E" w:rsidR="00DC731E" w:rsidP="00DC731E" w:rsidRDefault="00DC731E" w14:paraId="52E4E301" w14:textId="77777777">
            <w:pPr>
              <w:spacing w:after="0"/>
              <w:rPr>
                <w:rFonts w:eastAsia="Times New Roman" w:cs="Times New Roman" w:asciiTheme="majorHAnsi" w:hAnsiTheme="majorHAnsi"/>
                <w:noProof w:val="0"/>
                <w:lang w:eastAsia="nl-NL"/>
              </w:rPr>
            </w:pPr>
          </w:p>
        </w:tc>
        <w:tc>
          <w:tcPr>
            <w:tcW w:w="1090" w:type="dxa"/>
            <w:tcBorders>
              <w:top w:val="nil"/>
              <w:left w:val="nil"/>
              <w:bottom w:val="nil"/>
              <w:right w:val="nil"/>
            </w:tcBorders>
            <w:shd w:val="clear" w:color="auto" w:fill="auto"/>
            <w:noWrap/>
            <w:vAlign w:val="bottom"/>
            <w:hideMark/>
          </w:tcPr>
          <w:p w:rsidRPr="00DC731E" w:rsidR="00DC731E" w:rsidP="00DC731E" w:rsidRDefault="00DC731E" w14:paraId="31E583CB" w14:textId="77777777">
            <w:pPr>
              <w:spacing w:after="0"/>
              <w:rPr>
                <w:rFonts w:eastAsia="Times New Roman" w:cs="Times New Roman" w:asciiTheme="majorHAnsi" w:hAnsiTheme="majorHAnsi"/>
                <w:noProof w:val="0"/>
                <w:lang w:eastAsia="nl-NL"/>
              </w:rPr>
            </w:pPr>
          </w:p>
        </w:tc>
        <w:tc>
          <w:tcPr>
            <w:tcW w:w="1090" w:type="dxa"/>
            <w:tcBorders>
              <w:top w:val="nil"/>
              <w:left w:val="nil"/>
              <w:bottom w:val="nil"/>
              <w:right w:val="nil"/>
            </w:tcBorders>
            <w:shd w:val="clear" w:color="auto" w:fill="auto"/>
            <w:noWrap/>
            <w:vAlign w:val="bottom"/>
            <w:hideMark/>
          </w:tcPr>
          <w:p w:rsidRPr="00DC731E" w:rsidR="00DC731E" w:rsidP="00DC731E" w:rsidRDefault="00DC731E" w14:paraId="4CFDC1D6" w14:textId="77777777">
            <w:pPr>
              <w:spacing w:after="0"/>
              <w:rPr>
                <w:rFonts w:eastAsia="Times New Roman" w:cs="Times New Roman" w:asciiTheme="majorHAnsi" w:hAnsiTheme="majorHAnsi"/>
                <w:noProof w:val="0"/>
                <w:lang w:eastAsia="nl-NL"/>
              </w:rPr>
            </w:pPr>
          </w:p>
        </w:tc>
        <w:tc>
          <w:tcPr>
            <w:tcW w:w="1180" w:type="dxa"/>
            <w:tcBorders>
              <w:top w:val="nil"/>
              <w:left w:val="nil"/>
              <w:bottom w:val="nil"/>
              <w:right w:val="nil"/>
            </w:tcBorders>
            <w:shd w:val="clear" w:color="auto" w:fill="auto"/>
            <w:noWrap/>
            <w:vAlign w:val="bottom"/>
            <w:hideMark/>
          </w:tcPr>
          <w:p w:rsidRPr="00DC731E" w:rsidR="00DC731E" w:rsidP="00DC731E" w:rsidRDefault="00DC731E" w14:paraId="3E020655" w14:textId="77777777">
            <w:pPr>
              <w:spacing w:after="0"/>
              <w:rPr>
                <w:rFonts w:eastAsia="Times New Roman" w:cs="Arial" w:asciiTheme="majorHAnsi" w:hAnsiTheme="majorHAnsi"/>
                <w:noProof w:val="0"/>
                <w:color w:val="000000"/>
                <w:lang w:eastAsia="nl-NL"/>
              </w:rPr>
            </w:pPr>
            <w:r w:rsidRPr="00DC731E">
              <w:rPr>
                <w:rFonts w:eastAsia="Times New Roman" w:cs="Arial" w:asciiTheme="majorHAnsi" w:hAnsiTheme="majorHAnsi"/>
                <w:noProof w:val="0"/>
                <w:color w:val="000000"/>
                <w:lang w:eastAsia="nl-NL"/>
              </w:rPr>
              <w:t xml:space="preserve"> € 710.000 </w:t>
            </w:r>
          </w:p>
        </w:tc>
      </w:tr>
    </w:tbl>
    <w:p w:rsidRPr="00D112D4" w:rsidR="00D112D4" w:rsidP="002A77C1" w:rsidRDefault="00D112D4" w14:paraId="31283559" w14:textId="117F1C77">
      <w:pPr>
        <w:spacing w:after="0"/>
        <w:rPr>
          <w:rFonts w:ascii="Verdana" w:hAnsi="Verdana"/>
          <w:b/>
          <w:bCs/>
        </w:rPr>
      </w:pPr>
      <w:r w:rsidRPr="00D112D4">
        <w:rPr>
          <w:rFonts w:ascii="Verdana" w:hAnsi="Verdana"/>
          <w:b/>
          <w:bCs/>
        </w:rPr>
        <w:t xml:space="preserve">Vraag </w:t>
      </w:r>
      <w:r>
        <w:rPr>
          <w:rFonts w:ascii="Verdana" w:hAnsi="Verdana"/>
          <w:b/>
          <w:bCs/>
        </w:rPr>
        <w:t>10</w:t>
      </w:r>
    </w:p>
    <w:p w:rsidR="00D112D4" w:rsidP="002A77C1" w:rsidRDefault="00D112D4" w14:paraId="6E9359B7" w14:textId="4E1058FE">
      <w:pPr>
        <w:spacing w:after="0"/>
        <w:rPr>
          <w:rFonts w:ascii="Verdana" w:hAnsi="Verdana"/>
        </w:rPr>
      </w:pPr>
      <w:r w:rsidRPr="00D112D4">
        <w:rPr>
          <w:rFonts w:ascii="Verdana" w:hAnsi="Verdana"/>
        </w:rPr>
        <w:t>Kunt u aangeven hoeveel vluchten in 2025 zijn gemaakt door uitkeringsgerechtigde leden van het Koninklijk Huis met het regeringsvliegtuig en andere luchtvaartuigen?</w:t>
      </w:r>
    </w:p>
    <w:p w:rsidRPr="00D112D4" w:rsidR="002A77C1" w:rsidP="002A77C1" w:rsidRDefault="002A77C1" w14:paraId="16574629" w14:textId="77777777">
      <w:pPr>
        <w:spacing w:after="0"/>
        <w:rPr>
          <w:rFonts w:ascii="Verdana" w:hAnsi="Verdana"/>
        </w:rPr>
      </w:pPr>
    </w:p>
    <w:p w:rsidR="00D112D4" w:rsidP="00B90CE9" w:rsidRDefault="00D112D4" w14:paraId="25E5BF23" w14:textId="78AA8579">
      <w:pPr>
        <w:spacing w:after="0"/>
        <w:rPr>
          <w:rFonts w:ascii="Verdana" w:hAnsi="Verdana"/>
          <w:b/>
          <w:bCs/>
        </w:rPr>
      </w:pPr>
      <w:r w:rsidRPr="00D112D4">
        <w:rPr>
          <w:rFonts w:ascii="Verdana" w:hAnsi="Verdana"/>
          <w:b/>
          <w:bCs/>
        </w:rPr>
        <w:t xml:space="preserve">Antwoord op vraag </w:t>
      </w:r>
      <w:r>
        <w:rPr>
          <w:rFonts w:ascii="Verdana" w:hAnsi="Verdana"/>
          <w:b/>
          <w:bCs/>
        </w:rPr>
        <w:t>10</w:t>
      </w:r>
    </w:p>
    <w:p w:rsidR="00232D2A" w:rsidP="00B90CE9" w:rsidRDefault="00232D2A" w14:paraId="5E239090" w14:textId="5B532673">
      <w:pPr>
        <w:spacing w:after="0"/>
        <w:rPr>
          <w:rFonts w:ascii="Verdana" w:hAnsi="Verdana"/>
        </w:rPr>
      </w:pPr>
      <w:r w:rsidRPr="00232D2A">
        <w:rPr>
          <w:rFonts w:ascii="Verdana" w:hAnsi="Verdana"/>
        </w:rPr>
        <w:t>Elk kwartaal worden de vluchtgegevens van het regeringsvliegtuig over de afgelopen drie maanden gepubliceerd, met gegevens over vluchtdata, bestemmingen, gevlogen uren, passagiersaantallen en de aanvrager.</w:t>
      </w:r>
      <w:r w:rsidR="00BE42F4">
        <w:rPr>
          <w:rFonts w:ascii="Verdana" w:hAnsi="Verdana"/>
        </w:rPr>
        <w:t xml:space="preserve"> </w:t>
      </w:r>
      <w:r w:rsidRPr="00087BAB" w:rsidR="00087BAB">
        <w:rPr>
          <w:rFonts w:ascii="Verdana" w:hAnsi="Verdana"/>
        </w:rPr>
        <w:t>De vluchtgegevens van het gebruik van het regeringsvliegtuig door het Koninklijk Huis worden niet gedeeld. Dit wordt aangegeven middels een witregel.</w:t>
      </w:r>
      <w:r w:rsidR="00087BAB">
        <w:rPr>
          <w:rFonts w:ascii="Verdana" w:hAnsi="Verdana"/>
        </w:rPr>
        <w:t xml:space="preserve"> </w:t>
      </w:r>
      <w:r w:rsidR="00BE42F4">
        <w:rPr>
          <w:rFonts w:ascii="Verdana" w:hAnsi="Verdana"/>
        </w:rPr>
        <w:t>Voor nadere informatie kan de volgende site worden geraadpleegd:</w:t>
      </w:r>
    </w:p>
    <w:p w:rsidR="00065CEA" w:rsidP="00B90CE9" w:rsidRDefault="00065CEA" w14:paraId="72507132" w14:textId="77777777">
      <w:pPr>
        <w:spacing w:after="0"/>
        <w:rPr>
          <w:rFonts w:ascii="Verdana" w:hAnsi="Verdana"/>
          <w:b/>
          <w:bCs/>
        </w:rPr>
      </w:pPr>
    </w:p>
    <w:p w:rsidR="00D112D4" w:rsidP="00D112D4" w:rsidRDefault="00232D2A" w14:paraId="727EB242" w14:textId="314642B9">
      <w:pPr>
        <w:rPr>
          <w:rFonts w:ascii="Verdana" w:hAnsi="Verdana"/>
          <w:b/>
          <w:bCs/>
        </w:rPr>
      </w:pPr>
      <w:hyperlink w:history="1" r:id="rId7">
        <w:r w:rsidRPr="00232D2A">
          <w:rPr>
            <w:color w:val="0000FF"/>
            <w:u w:val="single"/>
          </w:rPr>
          <w:t>Vluchtgegevens regeringsvliegtuig PH-GOV | Publicatie | Rijksoverheid.nl</w:t>
        </w:r>
      </w:hyperlink>
    </w:p>
    <w:p w:rsidR="00BE42F4" w:rsidP="002A77C1" w:rsidRDefault="00BE42F4" w14:paraId="4F097FC8" w14:textId="3B15DF4F">
      <w:pPr>
        <w:spacing w:after="0"/>
        <w:rPr>
          <w:rFonts w:ascii="Verdana" w:hAnsi="Verdana"/>
        </w:rPr>
      </w:pPr>
      <w:r>
        <w:rPr>
          <w:rFonts w:ascii="Verdana" w:hAnsi="Verdana"/>
        </w:rPr>
        <w:t xml:space="preserve">De vluchtgegevens van het bij Defensie (de Gulfstream) in gebruik zijnde luchtvaartuig worden, voorzover het Koninklijk Huis betreft, om </w:t>
      </w:r>
      <w:r>
        <w:rPr>
          <w:rFonts w:ascii="Verdana" w:hAnsi="Verdana"/>
        </w:rPr>
        <w:lastRenderedPageBreak/>
        <w:t xml:space="preserve">veiligheidsredenen niet bekend gemaakt. Dit geldt ook voor vluchten met civiele luchtvaartuigen. </w:t>
      </w:r>
    </w:p>
    <w:p w:rsidRPr="00BE42F4" w:rsidR="00BE42F4" w:rsidP="002A77C1" w:rsidRDefault="00BE42F4" w14:paraId="0598F3E7" w14:textId="77777777">
      <w:pPr>
        <w:spacing w:after="0"/>
        <w:rPr>
          <w:rFonts w:ascii="Verdana" w:hAnsi="Verdana"/>
        </w:rPr>
      </w:pPr>
    </w:p>
    <w:p w:rsidR="00D112D4" w:rsidP="002A77C1" w:rsidRDefault="00D112D4" w14:paraId="79E26CB7" w14:textId="6044EB73">
      <w:pPr>
        <w:spacing w:after="0"/>
        <w:rPr>
          <w:rFonts w:ascii="Verdana" w:hAnsi="Verdana"/>
          <w:b/>
          <w:bCs/>
        </w:rPr>
      </w:pPr>
      <w:r w:rsidRPr="00D112D4">
        <w:rPr>
          <w:rFonts w:ascii="Verdana" w:hAnsi="Verdana"/>
          <w:b/>
          <w:bCs/>
        </w:rPr>
        <w:t xml:space="preserve">Vraag </w:t>
      </w:r>
      <w:r>
        <w:rPr>
          <w:rFonts w:ascii="Verdana" w:hAnsi="Verdana"/>
          <w:b/>
          <w:bCs/>
        </w:rPr>
        <w:t>11</w:t>
      </w:r>
    </w:p>
    <w:p w:rsidRPr="00D112D4" w:rsidR="00D112D4" w:rsidP="002A77C1" w:rsidRDefault="00D112D4" w14:paraId="0F9D7E43" w14:textId="62C5CD83">
      <w:pPr>
        <w:spacing w:after="0"/>
        <w:rPr>
          <w:rFonts w:ascii="Verdana" w:hAnsi="Verdana"/>
        </w:rPr>
      </w:pPr>
      <w:r w:rsidRPr="00D112D4">
        <w:rPr>
          <w:rFonts w:ascii="Verdana" w:hAnsi="Verdana"/>
        </w:rPr>
        <w:t>Kunt u aangeven waarom de onderhoudskosten voor de Groene Draeck in de periode 2021 tot en met 2025 met 434.999 euro vrijwel exact het maximumbedrag van € 435.000 hebben bereikt?</w:t>
      </w:r>
    </w:p>
    <w:p w:rsidRPr="00D112D4" w:rsidR="00D112D4" w:rsidP="00D112D4" w:rsidRDefault="00D112D4" w14:paraId="7E71A1DC" w14:textId="77777777">
      <w:pPr>
        <w:rPr>
          <w:rFonts w:ascii="Verdana" w:hAnsi="Verdana"/>
          <w:b/>
          <w:bCs/>
        </w:rPr>
      </w:pPr>
    </w:p>
    <w:p w:rsidRPr="005D7927" w:rsidR="005D7927" w:rsidP="005D7927" w:rsidRDefault="00D112D4" w14:paraId="6FD143AA" w14:textId="4A1DB77C">
      <w:pPr>
        <w:spacing w:after="0"/>
        <w:rPr>
          <w:rFonts w:ascii="Verdana" w:hAnsi="Verdana"/>
          <w:b/>
          <w:bCs/>
          <w:vertAlign w:val="superscript"/>
        </w:rPr>
      </w:pPr>
      <w:r w:rsidRPr="00D112D4">
        <w:rPr>
          <w:rFonts w:ascii="Verdana" w:hAnsi="Verdana"/>
          <w:b/>
          <w:bCs/>
        </w:rPr>
        <w:t xml:space="preserve">Antwoord op vraag </w:t>
      </w:r>
      <w:r>
        <w:rPr>
          <w:rFonts w:ascii="Verdana" w:hAnsi="Verdana"/>
          <w:b/>
          <w:bCs/>
        </w:rPr>
        <w:t>11</w:t>
      </w:r>
    </w:p>
    <w:p w:rsidRPr="005D7927" w:rsidR="00D112D4" w:rsidP="005D7927" w:rsidRDefault="005D7927" w14:paraId="4DD2BABE" w14:textId="5DF5616F">
      <w:pPr>
        <w:spacing w:after="0"/>
        <w:rPr>
          <w:rFonts w:ascii="Verdana" w:hAnsi="Verdana"/>
        </w:rPr>
      </w:pPr>
      <w:r>
        <w:rPr>
          <w:rFonts w:ascii="Verdana" w:hAnsi="Verdana"/>
        </w:rPr>
        <w:t xml:space="preserve">De in het jaarverslag aangegeven kosten zijn de kosten die voor rekening zijn gekomen van het rijk. </w:t>
      </w:r>
      <w:r w:rsidRPr="005D7927">
        <w:rPr>
          <w:rFonts w:ascii="Verdana" w:hAnsi="Verdana"/>
        </w:rPr>
        <w:t>De meerkosten in de planperiode boven de € 435.000 voor het onderhoud aan de Groene Draeck komen voor rekening van de eigenaresse.</w:t>
      </w:r>
    </w:p>
    <w:p w:rsidR="00D112D4" w:rsidP="00D112D4" w:rsidRDefault="00D112D4" w14:paraId="572B1651" w14:textId="77777777">
      <w:pPr>
        <w:rPr>
          <w:rFonts w:ascii="Verdana" w:hAnsi="Verdana"/>
          <w:b/>
          <w:bCs/>
        </w:rPr>
      </w:pPr>
    </w:p>
    <w:p w:rsidR="00D112D4" w:rsidP="002A77C1" w:rsidRDefault="00D112D4" w14:paraId="19248D4E" w14:textId="17A6056E">
      <w:pPr>
        <w:spacing w:after="0"/>
        <w:rPr>
          <w:rFonts w:ascii="Verdana" w:hAnsi="Verdana"/>
          <w:b/>
          <w:bCs/>
        </w:rPr>
      </w:pPr>
      <w:r w:rsidRPr="00D112D4">
        <w:rPr>
          <w:rFonts w:ascii="Verdana" w:hAnsi="Verdana"/>
          <w:b/>
          <w:bCs/>
        </w:rPr>
        <w:t xml:space="preserve">Vraag </w:t>
      </w:r>
      <w:r>
        <w:rPr>
          <w:rFonts w:ascii="Verdana" w:hAnsi="Verdana"/>
          <w:b/>
          <w:bCs/>
        </w:rPr>
        <w:t>12</w:t>
      </w:r>
    </w:p>
    <w:p w:rsidRPr="00D112D4" w:rsidR="00D112D4" w:rsidP="002A77C1" w:rsidRDefault="00D112D4" w14:paraId="415991BA" w14:textId="7EBF9AE3">
      <w:pPr>
        <w:spacing w:after="0"/>
        <w:rPr>
          <w:rFonts w:ascii="Verdana" w:hAnsi="Verdana"/>
        </w:rPr>
      </w:pPr>
      <w:r w:rsidRPr="00D112D4">
        <w:rPr>
          <w:rFonts w:ascii="Verdana" w:hAnsi="Verdana"/>
        </w:rPr>
        <w:t>Kunt u aangeven welke nieuwe verplichting in 2025 is aangegaan voor het onderhoud van de Groene Draeck voor de periode 2026 tot en met 2031?</w:t>
      </w:r>
    </w:p>
    <w:p w:rsidR="007B0A2B" w:rsidP="00203D95" w:rsidRDefault="007B0A2B" w14:paraId="0E998FB1" w14:textId="77777777">
      <w:pPr>
        <w:spacing w:after="0"/>
        <w:rPr>
          <w:rFonts w:ascii="Verdana" w:hAnsi="Verdana"/>
          <w:b/>
          <w:bCs/>
        </w:rPr>
      </w:pPr>
    </w:p>
    <w:p w:rsidR="00D112D4" w:rsidP="00203D95" w:rsidRDefault="00D112D4" w14:paraId="7E7749E1" w14:textId="20CDB4B0">
      <w:pPr>
        <w:spacing w:after="0"/>
        <w:rPr>
          <w:rFonts w:ascii="Verdana" w:hAnsi="Verdana"/>
          <w:b/>
          <w:bCs/>
        </w:rPr>
      </w:pPr>
      <w:r w:rsidRPr="00D112D4">
        <w:rPr>
          <w:rFonts w:ascii="Verdana" w:hAnsi="Verdana"/>
          <w:b/>
          <w:bCs/>
        </w:rPr>
        <w:t xml:space="preserve">Antwoord op vraag </w:t>
      </w:r>
      <w:r>
        <w:rPr>
          <w:rFonts w:ascii="Verdana" w:hAnsi="Verdana"/>
          <w:b/>
          <w:bCs/>
        </w:rPr>
        <w:t>12</w:t>
      </w:r>
    </w:p>
    <w:p w:rsidR="00E93587" w:rsidP="00203D95" w:rsidRDefault="00E93587" w14:paraId="451BB0A0" w14:textId="7753C945">
      <w:pPr>
        <w:spacing w:after="0"/>
        <w:rPr>
          <w:rFonts w:ascii="Verdana" w:hAnsi="Verdana"/>
        </w:rPr>
      </w:pPr>
      <w:bookmarkStart w:name="_Hlk231293675" w:id="4"/>
      <w:r w:rsidRPr="00E93587">
        <w:rPr>
          <w:rFonts w:ascii="Verdana" w:hAnsi="Verdana"/>
        </w:rPr>
        <w:t xml:space="preserve">Toen de Nederlandse bevolking De Groene Draeck in 1957 aan toenmalig Kroonprinses Beatrix schonk, gaf de Staat daarbij ook het onderhoud van de Groene Draeck als geschenk. De kosten voor het reguliere onderhoud aan de Groene Draeck worden verantwoord bij het ministerie van Defensie zolang Prinses Beatrix gebruikmaakt van het schip. Het betreft een </w:t>
      </w:r>
      <w:r w:rsidR="00C90C1D">
        <w:rPr>
          <w:rFonts w:ascii="Verdana" w:hAnsi="Verdana"/>
        </w:rPr>
        <w:t>m</w:t>
      </w:r>
      <w:r w:rsidRPr="00E93587">
        <w:rPr>
          <w:rFonts w:ascii="Verdana" w:hAnsi="Verdana"/>
        </w:rPr>
        <w:t xml:space="preserve">useaal schip met historische waarde. Het onderhoud is specialistisch en </w:t>
      </w:r>
      <w:r w:rsidR="00C90C1D">
        <w:rPr>
          <w:rFonts w:ascii="Verdana" w:hAnsi="Verdana"/>
        </w:rPr>
        <w:t xml:space="preserve">de kosten zijn </w:t>
      </w:r>
      <w:r w:rsidRPr="00E93587">
        <w:rPr>
          <w:rFonts w:ascii="Verdana" w:hAnsi="Verdana"/>
        </w:rPr>
        <w:t>voor zo'n klassiek schip marktconform. Het onderhoud wordt (via de Dienst van het Koninklijk Huis) uitbesteed aan een specialistische werf met inzet van meerdere gespecialiseerde partijen.</w:t>
      </w:r>
    </w:p>
    <w:p w:rsidR="00E93587" w:rsidP="00203D95" w:rsidRDefault="00E93587" w14:paraId="2D87A689" w14:textId="77777777">
      <w:pPr>
        <w:spacing w:after="0"/>
        <w:rPr>
          <w:rFonts w:ascii="Verdana" w:hAnsi="Verdana"/>
        </w:rPr>
      </w:pPr>
    </w:p>
    <w:p w:rsidRPr="005D7927" w:rsidR="00E93587" w:rsidP="00E93587" w:rsidRDefault="00232D2A" w14:paraId="4FD02D59" w14:textId="77777777">
      <w:pPr>
        <w:spacing w:after="0"/>
        <w:rPr>
          <w:rFonts w:ascii="Verdana" w:hAnsi="Verdana"/>
        </w:rPr>
      </w:pPr>
      <w:r w:rsidRPr="00232D2A">
        <w:rPr>
          <w:rFonts w:ascii="Verdana" w:hAnsi="Verdana"/>
        </w:rPr>
        <w:t>Tussen het Ministerie van Algemene Zaken en het Ministerie van Defensie zijn afspraken gemaakt over het onderhoud aan de Groene Draeck. In de planperiode 2026 t/m 2030 is maximaal € 435.000 (5 maal € 87.000) beschikbaar voor onderhoud, waarbij de daadwerkelijke uitgaven kunnen fluctueren over de jaren heen</w:t>
      </w:r>
      <w:r>
        <w:rPr>
          <w:rFonts w:ascii="Verdana" w:hAnsi="Verdana"/>
        </w:rPr>
        <w:t xml:space="preserve">. </w:t>
      </w:r>
      <w:r w:rsidRPr="00E93587" w:rsidR="00E93587">
        <w:rPr>
          <w:rFonts w:ascii="Verdana" w:hAnsi="Verdana"/>
        </w:rPr>
        <w:t>Er wordt gestuurd op het niet overschrijden van het totaalbedrag van € 435.000 per vijfjaarsperiode.</w:t>
      </w:r>
      <w:r w:rsidR="00E93587">
        <w:rPr>
          <w:rFonts w:ascii="Verdana" w:hAnsi="Verdana"/>
        </w:rPr>
        <w:t xml:space="preserve"> </w:t>
      </w:r>
      <w:r w:rsidRPr="005D7927" w:rsidR="00E93587">
        <w:rPr>
          <w:rFonts w:ascii="Verdana" w:hAnsi="Verdana"/>
        </w:rPr>
        <w:t>De meerkosten in de planperiode boven de € 435.000 voor het onderhoud aan de Groene Draeck komen voor rekening van de eigenaresse.</w:t>
      </w:r>
    </w:p>
    <w:p w:rsidR="00E93587" w:rsidP="00203D95" w:rsidRDefault="00E93587" w14:paraId="6E0F4DAA" w14:textId="77777777">
      <w:pPr>
        <w:spacing w:after="0"/>
        <w:rPr>
          <w:rFonts w:ascii="Verdana" w:hAnsi="Verdana"/>
        </w:rPr>
      </w:pPr>
    </w:p>
    <w:p w:rsidRPr="00232D2A" w:rsidR="00232D2A" w:rsidP="00203D95" w:rsidRDefault="00203D95" w14:paraId="61AEFC96" w14:textId="64DF8572">
      <w:pPr>
        <w:spacing w:after="0"/>
        <w:rPr>
          <w:rFonts w:ascii="Verdana" w:hAnsi="Verdana"/>
        </w:rPr>
      </w:pPr>
      <w:r>
        <w:rPr>
          <w:rFonts w:ascii="Verdana" w:hAnsi="Verdana"/>
        </w:rPr>
        <w:t>Deze kosten worden in verband met inzichtelijkheid genoemd in de extracomptabele bijlage maar worden verantwoord op de begroting van het ministerie van Defensie.</w:t>
      </w:r>
    </w:p>
    <w:bookmarkEnd w:id="4"/>
    <w:p w:rsidR="00C90C1D" w:rsidP="002A77C1" w:rsidRDefault="00C90C1D" w14:paraId="689ED128" w14:textId="77777777">
      <w:pPr>
        <w:spacing w:after="0"/>
        <w:rPr>
          <w:rFonts w:ascii="Verdana" w:hAnsi="Verdana"/>
          <w:b/>
          <w:bCs/>
        </w:rPr>
      </w:pPr>
    </w:p>
    <w:p w:rsidR="00D112D4" w:rsidP="002A77C1" w:rsidRDefault="00D112D4" w14:paraId="415A2ABC" w14:textId="645D414B">
      <w:pPr>
        <w:spacing w:after="0"/>
        <w:rPr>
          <w:rFonts w:ascii="Verdana" w:hAnsi="Verdana"/>
          <w:b/>
          <w:bCs/>
        </w:rPr>
      </w:pPr>
      <w:r w:rsidRPr="00D112D4">
        <w:rPr>
          <w:rFonts w:ascii="Verdana" w:hAnsi="Verdana"/>
          <w:b/>
          <w:bCs/>
        </w:rPr>
        <w:t xml:space="preserve">Vraag </w:t>
      </w:r>
      <w:r>
        <w:rPr>
          <w:rFonts w:ascii="Verdana" w:hAnsi="Verdana"/>
          <w:b/>
          <w:bCs/>
        </w:rPr>
        <w:t>13</w:t>
      </w:r>
    </w:p>
    <w:p w:rsidRPr="00D112D4" w:rsidR="00D112D4" w:rsidP="002A77C1" w:rsidRDefault="00D112D4" w14:paraId="7D3C575C" w14:textId="0A6197EE">
      <w:pPr>
        <w:spacing w:after="0"/>
        <w:rPr>
          <w:rFonts w:ascii="Verdana" w:hAnsi="Verdana"/>
        </w:rPr>
      </w:pPr>
      <w:r w:rsidRPr="00D112D4">
        <w:rPr>
          <w:rFonts w:ascii="Verdana" w:hAnsi="Verdana"/>
        </w:rPr>
        <w:t>Kunt u aangeven welke controle plaatsvindt op de besteding van de subsidie van 745.000 euro voor Kroondomein Het Loo in 2025?</w:t>
      </w:r>
    </w:p>
    <w:p w:rsidR="00C90C1D" w:rsidP="005D7927" w:rsidRDefault="00C90C1D" w14:paraId="5441BFC3" w14:textId="77777777">
      <w:pPr>
        <w:spacing w:after="0"/>
        <w:rPr>
          <w:rFonts w:ascii="Verdana" w:hAnsi="Verdana"/>
          <w:b/>
          <w:bCs/>
        </w:rPr>
      </w:pPr>
    </w:p>
    <w:p w:rsidR="00D112D4" w:rsidP="005D7927" w:rsidRDefault="00D112D4" w14:paraId="44A4CFAA" w14:textId="3D49D373">
      <w:pPr>
        <w:spacing w:after="0"/>
        <w:rPr>
          <w:rFonts w:ascii="Verdana" w:hAnsi="Verdana"/>
          <w:b/>
          <w:bCs/>
        </w:rPr>
      </w:pPr>
      <w:r w:rsidRPr="00D112D4">
        <w:rPr>
          <w:rFonts w:ascii="Verdana" w:hAnsi="Verdana"/>
          <w:b/>
          <w:bCs/>
        </w:rPr>
        <w:t xml:space="preserve">Antwoord op vraag </w:t>
      </w:r>
      <w:r>
        <w:rPr>
          <w:rFonts w:ascii="Verdana" w:hAnsi="Verdana"/>
          <w:b/>
          <w:bCs/>
        </w:rPr>
        <w:t>13</w:t>
      </w:r>
    </w:p>
    <w:p w:rsidR="00633033" w:rsidP="005D7927" w:rsidRDefault="00633033" w14:paraId="1F2B47B3" w14:textId="7447AD98">
      <w:pPr>
        <w:spacing w:after="0"/>
        <w:rPr>
          <w:rFonts w:ascii="Verdana" w:hAnsi="Verdana"/>
        </w:rPr>
      </w:pPr>
      <w:r w:rsidRPr="00633033">
        <w:rPr>
          <w:rFonts w:ascii="Verdana" w:hAnsi="Verdana"/>
        </w:rPr>
        <w:t>De subsidie wordt verstrekt op basis van de Kaderwet</w:t>
      </w:r>
      <w:r w:rsidR="004971A9">
        <w:rPr>
          <w:rFonts w:ascii="Verdana" w:hAnsi="Verdana"/>
        </w:rPr>
        <w:t xml:space="preserve"> EZK- en</w:t>
      </w:r>
      <w:r w:rsidRPr="00633033">
        <w:rPr>
          <w:rFonts w:ascii="Verdana" w:hAnsi="Verdana"/>
        </w:rPr>
        <w:t xml:space="preserve"> LNV-subsidies. De voorwaarden komen inhoudelijk overeen met de voorwaarden van de provincie Gelderland en volgen de voorwaarden zoals deze eerder op 8 september 2021 aan </w:t>
      </w:r>
      <w:r w:rsidRPr="00633033">
        <w:rPr>
          <w:rFonts w:ascii="Verdana" w:hAnsi="Verdana"/>
        </w:rPr>
        <w:lastRenderedPageBreak/>
        <w:t>uw Kamer zijn verstuurd door de minister van LNV</w:t>
      </w:r>
      <w:r w:rsidR="005B1490">
        <w:rPr>
          <w:rFonts w:ascii="Verdana" w:hAnsi="Verdana"/>
        </w:rPr>
        <w:t xml:space="preserve"> (kamerstukken II 2020-2021, 35570-I, nr. 16) </w:t>
      </w:r>
      <w:r w:rsidRPr="00633033">
        <w:rPr>
          <w:rFonts w:ascii="Verdana" w:hAnsi="Verdana"/>
        </w:rPr>
        <w:t xml:space="preserve">.  </w:t>
      </w:r>
    </w:p>
    <w:p w:rsidRPr="00633033" w:rsidR="00633033" w:rsidP="00D112D4" w:rsidRDefault="00633033" w14:paraId="5C14CA84" w14:textId="5E48B889">
      <w:pPr>
        <w:rPr>
          <w:rFonts w:ascii="Verdana" w:hAnsi="Verdana"/>
        </w:rPr>
      </w:pPr>
      <w:r w:rsidRPr="00633033">
        <w:rPr>
          <w:rFonts w:ascii="Verdana" w:hAnsi="Verdana"/>
        </w:rPr>
        <w:t>Alle gecertificeerde natuurbeheerders in Nederland kunnen subsidie aanvragen voor het beheer en behoud van natuurgebied. Natuursubsidies zijn een bijdrage in de kosten voor het beheer, zij dekken niet alle kosten. Dit is per 2022 maximaal 84% van de gemiddelde (landelijke norm) kosten. Volgens de voorwaarden die het ministerie van LNV voor verstrekking heeft gesteld, gelden voor het Kroondomein dezelfde voorwaarden als voor elk ander natuurgebied in Nederland.</w:t>
      </w:r>
    </w:p>
    <w:p w:rsidRPr="00D112D4" w:rsidR="00D112D4" w:rsidP="00D112D4" w:rsidRDefault="00D112D4" w14:paraId="7196F2D0" w14:textId="77777777">
      <w:pPr>
        <w:rPr>
          <w:rFonts w:ascii="Verdana" w:hAnsi="Verdana"/>
          <w:b/>
          <w:bCs/>
        </w:rPr>
      </w:pPr>
    </w:p>
    <w:p w:rsidR="005B1490" w:rsidP="006A281D" w:rsidRDefault="005B1490" w14:paraId="6808C605" w14:textId="77777777">
      <w:pPr>
        <w:rPr>
          <w:rFonts w:ascii="Verdana" w:hAnsi="Verdana"/>
        </w:rPr>
      </w:pPr>
    </w:p>
    <w:sectPr w:rsidR="005B1490" w:rsidSect="006E0DDF">
      <w:headerReference w:type="default" r:id="rId8"/>
      <w:footerReference w:type="default" r:id="rId9"/>
      <w:headerReference w:type="first" r:id="rId10"/>
      <w:footerReference w:type="first" r:id="rId11"/>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7DFA" w14:textId="77777777" w:rsidR="005F362B" w:rsidRDefault="005F362B">
      <w:pPr>
        <w:spacing w:after="0"/>
      </w:pPr>
      <w:r>
        <w:separator/>
      </w:r>
    </w:p>
  </w:endnote>
  <w:endnote w:type="continuationSeparator" w:id="0">
    <w:p w14:paraId="1CE1FEDB" w14:textId="77777777" w:rsidR="005F362B" w:rsidRDefault="005F36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995BB8" w14:paraId="6B8B8F23" w14:textId="77777777" w:rsidTr="00BF2DBE">
      <w:trPr>
        <w:trHeight w:hRule="exact" w:val="204"/>
      </w:trPr>
      <w:tc>
        <w:tcPr>
          <w:tcW w:w="3028" w:type="dxa"/>
        </w:tcPr>
        <w:p w14:paraId="68942644" w14:textId="77777777" w:rsidR="009F28C4" w:rsidRPr="00EB3EAC" w:rsidRDefault="00000000"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168CFED5" w14:textId="77777777" w:rsidR="009F28C4" w:rsidRPr="00EB3EAC" w:rsidRDefault="009F28C4" w:rsidP="00644DB0">
          <w:pPr>
            <w:pStyle w:val="Standaardgeenafstand"/>
            <w:jc w:val="center"/>
            <w:rPr>
              <w:b/>
              <w:bCs/>
              <w:sz w:val="13"/>
              <w:szCs w:val="13"/>
            </w:rPr>
          </w:pPr>
        </w:p>
      </w:tc>
      <w:tc>
        <w:tcPr>
          <w:tcW w:w="3501" w:type="dxa"/>
        </w:tcPr>
        <w:p w14:paraId="3A18FC15" w14:textId="77777777" w:rsidR="009F28C4" w:rsidRPr="005215E5" w:rsidRDefault="0000000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63FF25ED" w14:textId="77777777" w:rsidR="00995BB8" w:rsidRDefault="00995B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995BB8" w14:paraId="1A13521B" w14:textId="77777777" w:rsidTr="00BF2DBE">
      <w:trPr>
        <w:trHeight w:hRule="exact" w:val="204"/>
      </w:trPr>
      <w:tc>
        <w:tcPr>
          <w:tcW w:w="3028" w:type="dxa"/>
        </w:tcPr>
        <w:p w14:paraId="5E73C881" w14:textId="77777777" w:rsidR="009F28C4" w:rsidRPr="00EB3EAC" w:rsidRDefault="00000000"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1ADFE9F6" w14:textId="77777777" w:rsidR="009F28C4" w:rsidRPr="00EB3EAC" w:rsidRDefault="009F28C4" w:rsidP="00644DB0">
          <w:pPr>
            <w:pStyle w:val="Standaardgeenafstand"/>
            <w:jc w:val="center"/>
            <w:rPr>
              <w:b/>
              <w:bCs/>
              <w:sz w:val="13"/>
              <w:szCs w:val="13"/>
            </w:rPr>
          </w:pPr>
        </w:p>
      </w:tc>
      <w:tc>
        <w:tcPr>
          <w:tcW w:w="3501" w:type="dxa"/>
        </w:tcPr>
        <w:p w14:paraId="1B1F47D4" w14:textId="77777777" w:rsidR="009F28C4" w:rsidRPr="005215E5" w:rsidRDefault="0000000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72419139" w14:textId="77777777" w:rsidR="00995BB8" w:rsidRDefault="00995B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790F" w14:textId="77777777" w:rsidR="005F362B" w:rsidRDefault="005F362B">
      <w:pPr>
        <w:spacing w:after="0"/>
      </w:pPr>
      <w:r>
        <w:separator/>
      </w:r>
    </w:p>
  </w:footnote>
  <w:footnote w:type="continuationSeparator" w:id="0">
    <w:p w14:paraId="3EA421CA" w14:textId="77777777" w:rsidR="005F362B" w:rsidRDefault="005F36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995BB8" w14:paraId="4A353783" w14:textId="77777777" w:rsidTr="00D177FB">
      <w:tc>
        <w:tcPr>
          <w:tcW w:w="2013" w:type="dxa"/>
        </w:tcPr>
        <w:p w14:paraId="620BEDD7" w14:textId="77777777" w:rsidR="00A600B7" w:rsidRDefault="00000000" w:rsidP="00D177FB">
          <w:pPr>
            <w:tabs>
              <w:tab w:val="center" w:pos="4680"/>
              <w:tab w:val="right" w:pos="9360"/>
            </w:tabs>
            <w:rPr>
              <w:b/>
              <w:bCs/>
              <w:sz w:val="13"/>
              <w:szCs w:val="13"/>
              <w:lang w:val="de-DE"/>
            </w:rPr>
          </w:pPr>
          <w:bookmarkStart w:id="5" w:name="_Hlk138798055"/>
          <w:r>
            <w:rPr>
              <w:b/>
              <w:bCs/>
              <w:sz w:val="13"/>
              <w:szCs w:val="13"/>
              <w:lang w:val="de-DE"/>
            </w:rPr>
            <w:t>Directie Financieel-Economische Zaken</w:t>
          </w:r>
        </w:p>
        <w:p w14:paraId="7EB03D86" w14:textId="77777777" w:rsidR="001D161B" w:rsidRPr="00BA4D7B" w:rsidRDefault="001D161B" w:rsidP="00D177FB">
          <w:pPr>
            <w:tabs>
              <w:tab w:val="center" w:pos="4680"/>
              <w:tab w:val="right" w:pos="9360"/>
            </w:tabs>
            <w:rPr>
              <w:b/>
              <w:bCs/>
              <w:sz w:val="13"/>
              <w:szCs w:val="13"/>
              <w:lang w:val="de-DE"/>
            </w:rPr>
          </w:pPr>
        </w:p>
      </w:tc>
    </w:tr>
    <w:tr w:rsidR="00995BB8" w14:paraId="3F0C33B6" w14:textId="77777777" w:rsidTr="00D177FB">
      <w:tc>
        <w:tcPr>
          <w:tcW w:w="2013" w:type="dxa"/>
        </w:tcPr>
        <w:p w14:paraId="769F83EA" w14:textId="77777777" w:rsidR="00FA7BC7" w:rsidRPr="00A600B7" w:rsidRDefault="00000000"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9 juni 2026</w:t>
          </w:r>
        </w:p>
        <w:p w14:paraId="6094945A" w14:textId="77777777" w:rsidR="00FA7BC7" w:rsidRPr="00A600B7" w:rsidRDefault="00FA7BC7" w:rsidP="00D177FB">
          <w:pPr>
            <w:tabs>
              <w:tab w:val="center" w:pos="4680"/>
              <w:tab w:val="right" w:pos="9360"/>
            </w:tabs>
            <w:rPr>
              <w:b/>
              <w:bCs/>
              <w:sz w:val="13"/>
              <w:szCs w:val="13"/>
              <w:lang w:val="de-DE"/>
            </w:rPr>
          </w:pPr>
        </w:p>
      </w:tc>
    </w:tr>
    <w:tr w:rsidR="00995BB8" w14:paraId="7B8E82B3" w14:textId="77777777" w:rsidTr="00D177FB">
      <w:tc>
        <w:tcPr>
          <w:tcW w:w="2013" w:type="dxa"/>
          <w:hideMark/>
        </w:tcPr>
        <w:p w14:paraId="52289FFD" w14:textId="77777777" w:rsidR="00A600B7" w:rsidRPr="00A600B7" w:rsidRDefault="00000000"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2025-001604</w:t>
          </w:r>
          <w:r w:rsidR="00BE69DE">
            <w:rPr>
              <w:sz w:val="13"/>
              <w:szCs w:val="13"/>
            </w:rPr>
            <w:t>/</w:t>
          </w:r>
          <w:r>
            <w:rPr>
              <w:sz w:val="13"/>
              <w:szCs w:val="13"/>
            </w:rPr>
            <w:t>10106138</w:t>
          </w:r>
        </w:p>
      </w:tc>
      <w:bookmarkEnd w:id="5"/>
    </w:tr>
  </w:tbl>
  <w:p w14:paraId="25390C68" w14:textId="77777777" w:rsidR="006E0DDF" w:rsidRDefault="006E0DDF" w:rsidP="00A600B7">
    <w:pPr>
      <w:pStyle w:val="Koptekst"/>
    </w:pPr>
  </w:p>
  <w:p w14:paraId="189DC388" w14:textId="77777777" w:rsidR="00A21920" w:rsidRDefault="00A21920" w:rsidP="003A53DE"/>
  <w:p w14:paraId="7762F266" w14:textId="77777777" w:rsidR="00A21920" w:rsidRDefault="00A21920" w:rsidP="003A53DE"/>
  <w:p w14:paraId="29FA2386" w14:textId="77777777" w:rsidR="00D258BD" w:rsidRDefault="00D258BD" w:rsidP="003A53DE"/>
  <w:p w14:paraId="7C3197E1" w14:textId="77777777" w:rsidR="00D258BD" w:rsidRDefault="00D258BD" w:rsidP="003A53DE"/>
  <w:p w14:paraId="159C8887" w14:textId="77777777" w:rsidR="00D258BD" w:rsidRDefault="00D258BD" w:rsidP="003A53DE"/>
  <w:p w14:paraId="312E6B33" w14:textId="77777777" w:rsidR="00D258BD" w:rsidRPr="005F71DD" w:rsidRDefault="00D258BD" w:rsidP="003A53DE">
    <w:pPr>
      <w:rPr>
        <w:sz w:val="22"/>
        <w:szCs w:val="22"/>
      </w:rPr>
    </w:pPr>
  </w:p>
  <w:p w14:paraId="5CD35A4B" w14:textId="77777777" w:rsidR="00D258BD" w:rsidRDefault="00D258BD" w:rsidP="003A53DE"/>
  <w:p w14:paraId="333BD620" w14:textId="77777777" w:rsidR="00AE4A4D" w:rsidRPr="003A53DE" w:rsidRDefault="00AE4A4D" w:rsidP="003A53DE">
    <w:pPr>
      <w:rPr>
        <w:b/>
        <w:bCs/>
        <w:sz w:val="13"/>
        <w:szCs w:val="13"/>
      </w:rPr>
    </w:pPr>
  </w:p>
  <w:p w14:paraId="19924C2A" w14:textId="77777777" w:rsidR="00E764DE" w:rsidRDefault="00E764DE" w:rsidP="00A600B7">
    <w:pPr>
      <w:pStyle w:val="Koptekst"/>
    </w:pPr>
  </w:p>
  <w:p w14:paraId="1C80A620" w14:textId="77777777" w:rsidR="00E764DE" w:rsidRPr="00A600B7" w:rsidRDefault="00E764DE" w:rsidP="00A60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EEC0" w14:textId="77777777" w:rsidR="00A600B7" w:rsidRPr="000F04FD" w:rsidRDefault="00000000" w:rsidP="00A600B7">
    <w:pPr>
      <w:pStyle w:val="Koptekst"/>
    </w:pPr>
    <w:r>
      <w:drawing>
        <wp:anchor distT="0" distB="0" distL="114300" distR="114300" simplePos="0" relativeHeight="251658240" behindDoc="1" locked="0" layoutInCell="1" allowOverlap="1" wp14:anchorId="357A2785" wp14:editId="2A4AEF8F">
          <wp:simplePos x="0" y="0"/>
          <wp:positionH relativeFrom="page">
            <wp:posOffset>3564255</wp:posOffset>
          </wp:positionH>
          <wp:positionV relativeFrom="page">
            <wp:posOffset>0</wp:posOffset>
          </wp:positionV>
          <wp:extent cx="468000" cy="1580400"/>
          <wp:effectExtent l="0" t="0" r="825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889724199"/>
                  <pic:cNvPicPr/>
                </pic:nvPicPr>
                <pic:blipFill>
                  <a:blip r:embed="rId1">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9264" behindDoc="1" locked="0" layoutInCell="1" allowOverlap="1" wp14:anchorId="17D51D6A" wp14:editId="65D62487">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Lettertype, schermopname, wi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306E16A4" w14:textId="77777777" w:rsidR="00A600B7" w:rsidRPr="000F04FD" w:rsidRDefault="00A600B7" w:rsidP="00A600B7">
    <w:pPr>
      <w:pStyle w:val="Koptekst"/>
    </w:pPr>
  </w:p>
  <w:p w14:paraId="0A6751B8" w14:textId="77777777" w:rsidR="00A600B7" w:rsidRPr="000F04FD" w:rsidRDefault="00A600B7" w:rsidP="00A600B7">
    <w:pPr>
      <w:pStyle w:val="Koptekst"/>
    </w:pPr>
  </w:p>
  <w:p w14:paraId="38B6C5E7" w14:textId="77777777" w:rsidR="00BC5840" w:rsidRPr="000F04FD" w:rsidRDefault="00BC5840" w:rsidP="00A600B7">
    <w:pPr>
      <w:pStyle w:val="Koptekst"/>
    </w:pPr>
  </w:p>
  <w:p w14:paraId="56D30263" w14:textId="77777777" w:rsidR="00E7100A" w:rsidRDefault="00E7100A" w:rsidP="00A600B7">
    <w:pPr>
      <w:pStyle w:val="Koptekst"/>
    </w:pPr>
  </w:p>
  <w:p w14:paraId="780F7723" w14:textId="77777777" w:rsidR="00C62FDE" w:rsidRDefault="00C62FDE" w:rsidP="00A600B7">
    <w:pPr>
      <w:pStyle w:val="Koptekst"/>
    </w:pPr>
  </w:p>
  <w:p w14:paraId="045A7E7E"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995BB8" w14:paraId="60FD00B7" w14:textId="77777777" w:rsidTr="00BA6777">
      <w:trPr>
        <w:trHeight w:val="400"/>
      </w:trPr>
      <w:tc>
        <w:tcPr>
          <w:tcW w:w="7515" w:type="dxa"/>
          <w:gridSpan w:val="2"/>
          <w:hideMark/>
        </w:tcPr>
        <w:p w14:paraId="1EB35628" w14:textId="77777777" w:rsidR="00A600B7" w:rsidRPr="000F04FD" w:rsidRDefault="00000000"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995BB8" w14:paraId="12681D6D" w14:textId="77777777" w:rsidTr="00BA6777">
      <w:trPr>
        <w:cantSplit/>
        <w:trHeight w:val="2440"/>
      </w:trPr>
      <w:tc>
        <w:tcPr>
          <w:tcW w:w="7515" w:type="dxa"/>
          <w:gridSpan w:val="2"/>
        </w:tcPr>
        <w:p w14:paraId="6511518F" w14:textId="77777777" w:rsidR="00DF704E" w:rsidRDefault="00DF704E" w:rsidP="00A600B7">
          <w:pPr>
            <w:rPr>
              <w:b/>
              <w:bCs/>
              <w:sz w:val="13"/>
              <w:szCs w:val="13"/>
            </w:rPr>
          </w:pPr>
        </w:p>
        <w:p w14:paraId="6472B60F" w14:textId="77777777" w:rsidR="00A600B7" w:rsidRPr="000F04FD" w:rsidRDefault="00000000" w:rsidP="00A600B7">
          <w:pPr>
            <w:spacing w:after="0" w:line="240" w:lineRule="exact"/>
          </w:pPr>
          <w:r>
            <w:t>Tweede Kamer der Staten Generaal</w:t>
          </w:r>
        </w:p>
        <w:p w14:paraId="1FBF58DC" w14:textId="3778AAE2" w:rsidR="00BD6AAE" w:rsidRPr="00BD6AAE" w:rsidRDefault="00000000" w:rsidP="009412F6">
          <w:pPr>
            <w:spacing w:after="0" w:line="240" w:lineRule="exact"/>
          </w:pPr>
          <w:r w:rsidRPr="00F95E83">
            <w:t>T.a.v.</w:t>
          </w:r>
          <w:r w:rsidR="00B477A4">
            <w:t xml:space="preserve"> </w:t>
          </w:r>
          <w:r>
            <w:t>de Voorzitter</w:t>
          </w:r>
          <w:r w:rsidR="0058549C" w:rsidRPr="00E12966">
            <w:t xml:space="preserve"> </w:t>
          </w:r>
        </w:p>
        <w:p w14:paraId="0AC0A99F" w14:textId="77777777" w:rsidR="009412F6" w:rsidRPr="00BD6AAE" w:rsidRDefault="00000000" w:rsidP="009412F6">
          <w:pPr>
            <w:spacing w:after="0" w:line="240" w:lineRule="exact"/>
          </w:pPr>
          <w:r>
            <w:t>Postbus</w:t>
          </w:r>
          <w:r w:rsidRPr="009412F6">
            <w:t xml:space="preserve"> </w:t>
          </w:r>
          <w:r>
            <w:t>20018</w:t>
          </w:r>
        </w:p>
        <w:p w14:paraId="1C37E6FF" w14:textId="77777777" w:rsidR="009412F6" w:rsidRPr="009412F6" w:rsidRDefault="00000000" w:rsidP="009412F6">
          <w:pPr>
            <w:spacing w:after="0" w:line="240" w:lineRule="exact"/>
          </w:pPr>
          <w:r>
            <w:t>2500 EA DEN HAAG</w:t>
          </w:r>
        </w:p>
        <w:p w14:paraId="27A57AE3" w14:textId="77777777" w:rsidR="00A600B7" w:rsidRPr="000F04FD" w:rsidRDefault="00A600B7" w:rsidP="00A600B7">
          <w:pPr>
            <w:tabs>
              <w:tab w:val="left" w:pos="1470"/>
            </w:tabs>
          </w:pPr>
        </w:p>
      </w:tc>
    </w:tr>
    <w:tr w:rsidR="00995BB8" w14:paraId="511E2A07" w14:textId="77777777" w:rsidTr="00BA6777">
      <w:trPr>
        <w:trHeight w:val="400"/>
      </w:trPr>
      <w:tc>
        <w:tcPr>
          <w:tcW w:w="7515" w:type="dxa"/>
          <w:gridSpan w:val="2"/>
        </w:tcPr>
        <w:p w14:paraId="3F3D9299" w14:textId="77777777" w:rsidR="00D42015" w:rsidRPr="00DF7F9C" w:rsidRDefault="00D42015" w:rsidP="00D42015">
          <w:pPr>
            <w:tabs>
              <w:tab w:val="left" w:pos="740"/>
            </w:tabs>
            <w:autoSpaceDE w:val="0"/>
            <w:autoSpaceDN w:val="0"/>
            <w:adjustRightInd w:val="0"/>
            <w:rPr>
              <w:rFonts w:cs="Verdana"/>
              <w:sz w:val="16"/>
              <w:szCs w:val="16"/>
            </w:rPr>
          </w:pPr>
        </w:p>
        <w:p w14:paraId="382DD3AB" w14:textId="77777777" w:rsidR="00D42015" w:rsidRPr="000F04FD" w:rsidRDefault="00D42015" w:rsidP="00D42015">
          <w:pPr>
            <w:tabs>
              <w:tab w:val="left" w:pos="740"/>
            </w:tabs>
            <w:autoSpaceDE w:val="0"/>
            <w:autoSpaceDN w:val="0"/>
            <w:adjustRightInd w:val="0"/>
            <w:rPr>
              <w:rFonts w:cs="Verdana"/>
            </w:rPr>
          </w:pPr>
        </w:p>
      </w:tc>
    </w:tr>
    <w:tr w:rsidR="00995BB8" w14:paraId="3757F8F1" w14:textId="77777777" w:rsidTr="00A427F4">
      <w:trPr>
        <w:trHeight w:val="240"/>
      </w:trPr>
      <w:tc>
        <w:tcPr>
          <w:tcW w:w="851" w:type="dxa"/>
          <w:hideMark/>
        </w:tcPr>
        <w:p w14:paraId="0D3F1F65" w14:textId="77777777" w:rsidR="000E34D5" w:rsidRPr="000F04FD" w:rsidRDefault="00000000"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49A418CB" w14:textId="104423FD" w:rsidR="000E34D5" w:rsidRPr="000F04FD" w:rsidRDefault="00000000" w:rsidP="00FF4877">
          <w:pPr>
            <w:pStyle w:val="Standaardgeenafstand"/>
            <w:rPr>
              <w:rFonts w:cs="Verdana"/>
            </w:rPr>
          </w:pPr>
          <w:r>
            <w:rPr>
              <w:rFonts w:cs="Verdana"/>
            </w:rPr>
            <w:t>9 juni 2026</w:t>
          </w:r>
          <w:r w:rsidR="002C3C97" w:rsidRPr="000F04FD">
            <w:rPr>
              <w:rFonts w:cs="Verdana"/>
            </w:rPr>
            <w:br/>
          </w:r>
          <w:r>
            <w:rPr>
              <w:rFonts w:cs="Verdana"/>
            </w:rPr>
            <w:t>Beantwoording feitelijke vragen over het Jaarverslag</w:t>
          </w:r>
          <w:r w:rsidR="00E0777C">
            <w:rPr>
              <w:rFonts w:cs="Verdana"/>
            </w:rPr>
            <w:t xml:space="preserve"> </w:t>
          </w:r>
          <w:r w:rsidR="000A26C8">
            <w:rPr>
              <w:rFonts w:cs="Verdana"/>
            </w:rPr>
            <w:t xml:space="preserve">van de Koning </w:t>
          </w:r>
          <w:r>
            <w:rPr>
              <w:rFonts w:cs="Verdana"/>
            </w:rPr>
            <w:t xml:space="preserve"> 2025</w:t>
          </w:r>
        </w:p>
      </w:tc>
    </w:tr>
  </w:tbl>
  <w:p w14:paraId="44F5FD2F" w14:textId="77777777" w:rsidR="00A600B7" w:rsidRPr="000F04FD" w:rsidRDefault="00A600B7" w:rsidP="005F53EB">
    <w:pPr>
      <w:pStyle w:val="Koptekst"/>
      <w:spacing w:after="0"/>
      <w:rPr>
        <w:rFonts w:cs="Times New Roman"/>
        <w:szCs w:val="24"/>
        <w:lang w:eastAsia="nl-NL"/>
      </w:rPr>
    </w:pPr>
  </w:p>
  <w:p w14:paraId="2BFEC06D"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995BB8" w14:paraId="28FD8748" w14:textId="77777777" w:rsidTr="00FF24E6">
      <w:trPr>
        <w:trHeight w:val="357"/>
      </w:trPr>
      <w:tc>
        <w:tcPr>
          <w:tcW w:w="2160" w:type="dxa"/>
        </w:tcPr>
        <w:p w14:paraId="6728F2F5" w14:textId="77777777" w:rsidR="00C62FDE" w:rsidRPr="000F04FD" w:rsidRDefault="00C62FDE" w:rsidP="006B4764">
          <w:pPr>
            <w:pStyle w:val="Huisstijl-Adres"/>
            <w:rPr>
              <w:b/>
              <w:lang w:eastAsia="en-US"/>
            </w:rPr>
          </w:pPr>
        </w:p>
      </w:tc>
    </w:tr>
    <w:tr w:rsidR="00995BB8" w14:paraId="166A5750" w14:textId="77777777" w:rsidTr="006B4764">
      <w:tc>
        <w:tcPr>
          <w:tcW w:w="2160" w:type="dxa"/>
          <w:hideMark/>
        </w:tcPr>
        <w:p w14:paraId="213BACAD" w14:textId="77777777" w:rsidR="00A600B7" w:rsidRDefault="00000000" w:rsidP="00A97387">
          <w:pPr>
            <w:pStyle w:val="Huisstijl-Adres"/>
            <w:spacing w:after="0" w:line="240" w:lineRule="auto"/>
            <w:rPr>
              <w:b/>
              <w:lang w:eastAsia="en-US"/>
            </w:rPr>
          </w:pPr>
          <w:r>
            <w:rPr>
              <w:b/>
              <w:lang w:eastAsia="en-US"/>
            </w:rPr>
            <w:t>Directie Financieel-Economische Zaken</w:t>
          </w:r>
        </w:p>
        <w:p w14:paraId="095C2252" w14:textId="77777777" w:rsidR="00FE28BE" w:rsidRPr="000F04FD" w:rsidRDefault="00FE28BE" w:rsidP="00A97387">
          <w:pPr>
            <w:pStyle w:val="Huisstijl-Adres"/>
            <w:spacing w:after="0" w:line="240" w:lineRule="auto"/>
            <w:rPr>
              <w:b/>
              <w:lang w:eastAsia="en-US"/>
            </w:rPr>
          </w:pPr>
        </w:p>
        <w:p w14:paraId="2E9D637B" w14:textId="77777777" w:rsidR="00CA3368" w:rsidRPr="000F04FD" w:rsidRDefault="00000000" w:rsidP="00A97387">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p w14:paraId="66FE284B" w14:textId="77777777" w:rsidR="00A600B7" w:rsidRPr="000F04FD" w:rsidRDefault="00A600B7" w:rsidP="00A97387">
          <w:pPr>
            <w:pStyle w:val="Huisstijl-Adres"/>
            <w:spacing w:after="0" w:line="240" w:lineRule="auto"/>
            <w:rPr>
              <w:lang w:eastAsia="en-US"/>
            </w:rPr>
          </w:pPr>
        </w:p>
        <w:p w14:paraId="69DE6DAC" w14:textId="77777777" w:rsidR="00145117" w:rsidRPr="00D76EA2" w:rsidRDefault="00145117" w:rsidP="00145117">
          <w:pPr>
            <w:pStyle w:val="Huisstijl-Adres"/>
            <w:spacing w:after="0" w:line="240" w:lineRule="auto"/>
            <w:rPr>
              <w:b/>
              <w:bCs/>
              <w:lang w:eastAsia="en-US"/>
            </w:rPr>
          </w:pPr>
          <w:r w:rsidRPr="00D76EA2">
            <w:rPr>
              <w:b/>
              <w:bCs/>
              <w:lang w:eastAsia="en-US"/>
            </w:rPr>
            <w:t>Onze referentie</w:t>
          </w:r>
        </w:p>
        <w:p w14:paraId="0BC16C74" w14:textId="15224458" w:rsidR="00995BB8" w:rsidRPr="00145117" w:rsidRDefault="00145117" w:rsidP="00145117">
          <w:pPr>
            <w:rPr>
              <w:sz w:val="13"/>
              <w:szCs w:val="13"/>
            </w:rPr>
          </w:pPr>
          <w:r w:rsidRPr="00145117">
            <w:rPr>
              <w:bCs/>
              <w:sz w:val="13"/>
              <w:szCs w:val="13"/>
            </w:rPr>
            <w:t>2025-001604/10106138</w:t>
          </w:r>
        </w:p>
      </w:tc>
    </w:tr>
    <w:tr w:rsidR="00995BB8" w14:paraId="2559B79F" w14:textId="77777777" w:rsidTr="006B4764">
      <w:tc>
        <w:tcPr>
          <w:tcW w:w="2160" w:type="dxa"/>
        </w:tcPr>
        <w:p w14:paraId="08A4623F" w14:textId="77777777" w:rsidR="00B21143" w:rsidRPr="000F04FD" w:rsidRDefault="00B21143" w:rsidP="00A97387">
          <w:pPr>
            <w:pStyle w:val="Huisstijl-Adres"/>
            <w:spacing w:after="0" w:line="240" w:lineRule="auto"/>
            <w:rPr>
              <w:b/>
              <w:lang w:eastAsia="en-US"/>
            </w:rPr>
          </w:pPr>
        </w:p>
      </w:tc>
    </w:tr>
    <w:tr w:rsidR="00995BB8" w14:paraId="7E7772BB" w14:textId="77777777" w:rsidTr="006B4764">
      <w:tc>
        <w:tcPr>
          <w:tcW w:w="2160" w:type="dxa"/>
        </w:tcPr>
        <w:p w14:paraId="7DE61318" w14:textId="03E54EDA" w:rsidR="00E00906" w:rsidRPr="00145117" w:rsidRDefault="00145117" w:rsidP="00A97387">
          <w:pPr>
            <w:pStyle w:val="Huisstijl-Adres"/>
            <w:spacing w:after="0" w:line="240" w:lineRule="auto"/>
            <w:rPr>
              <w:b/>
              <w:lang w:eastAsia="en-US"/>
            </w:rPr>
          </w:pPr>
          <w:r w:rsidRPr="00145117">
            <w:rPr>
              <w:b/>
              <w:lang w:eastAsia="en-US"/>
            </w:rPr>
            <w:t>Uw Kenmerk</w:t>
          </w:r>
        </w:p>
      </w:tc>
    </w:tr>
    <w:tr w:rsidR="00995BB8" w14:paraId="17C74C5D" w14:textId="77777777" w:rsidTr="00841F74">
      <w:trPr>
        <w:trHeight w:val="153"/>
      </w:trPr>
      <w:tc>
        <w:tcPr>
          <w:tcW w:w="2160" w:type="dxa"/>
        </w:tcPr>
        <w:p w14:paraId="147E459E" w14:textId="47851BEC" w:rsidR="00145117" w:rsidRDefault="00145117" w:rsidP="00145117">
          <w:pPr>
            <w:pStyle w:val="Huisstijl-Adres"/>
            <w:spacing w:after="0"/>
            <w:rPr>
              <w:b/>
              <w:bCs/>
              <w:lang w:eastAsia="en-US"/>
            </w:rPr>
          </w:pPr>
          <w:r w:rsidRPr="0095369A">
            <w:rPr>
              <w:b/>
              <w:bCs/>
              <w:lang w:eastAsia="en-US"/>
            </w:rPr>
            <w:t>36</w:t>
          </w:r>
          <w:r>
            <w:rPr>
              <w:b/>
              <w:bCs/>
              <w:lang w:eastAsia="en-US"/>
            </w:rPr>
            <w:t>945</w:t>
          </w:r>
          <w:r w:rsidR="000A26C8">
            <w:rPr>
              <w:b/>
              <w:bCs/>
              <w:lang w:eastAsia="en-US"/>
            </w:rPr>
            <w:t>-</w:t>
          </w:r>
          <w:r w:rsidRPr="0095369A">
            <w:rPr>
              <w:b/>
              <w:bCs/>
              <w:lang w:eastAsia="en-US"/>
            </w:rPr>
            <w:t>I, nr. 1</w:t>
          </w:r>
        </w:p>
        <w:p w14:paraId="2B9A4EF1" w14:textId="5246D5B7" w:rsidR="00145117" w:rsidRDefault="00145117" w:rsidP="00145117">
          <w:pPr>
            <w:pStyle w:val="Huisstijl-Adres"/>
            <w:spacing w:after="0"/>
            <w:rPr>
              <w:b/>
              <w:bCs/>
              <w:lang w:eastAsia="en-US"/>
            </w:rPr>
          </w:pPr>
        </w:p>
        <w:p w14:paraId="4779693E" w14:textId="77777777" w:rsidR="00854221" w:rsidRPr="000F04FD" w:rsidRDefault="00854221" w:rsidP="00A97387">
          <w:pPr>
            <w:pStyle w:val="Huisstijl-Adres"/>
            <w:spacing w:after="0" w:line="240" w:lineRule="auto"/>
            <w:rPr>
              <w:lang w:eastAsia="en-US"/>
            </w:rPr>
          </w:pPr>
        </w:p>
      </w:tc>
    </w:tr>
    <w:tr w:rsidR="00995BB8" w14:paraId="55F5DA87" w14:textId="77777777" w:rsidTr="006B4764">
      <w:trPr>
        <w:trHeight w:val="1740"/>
      </w:trPr>
      <w:tc>
        <w:tcPr>
          <w:tcW w:w="2160" w:type="dxa"/>
        </w:tcPr>
        <w:p w14:paraId="6ADA5B85" w14:textId="02574AD5" w:rsidR="00A600B7" w:rsidRPr="000F04FD" w:rsidRDefault="00A600B7" w:rsidP="00A97387">
          <w:pPr>
            <w:pStyle w:val="Huisstijl-Kopje"/>
            <w:spacing w:line="240" w:lineRule="auto"/>
            <w:rPr>
              <w:b w:val="0"/>
              <w:bCs/>
              <w:lang w:eastAsia="en-US"/>
            </w:rPr>
          </w:pPr>
        </w:p>
      </w:tc>
    </w:tr>
  </w:tbl>
  <w:p w14:paraId="53CD4562" w14:textId="77777777" w:rsidR="00A600B7" w:rsidRPr="000F04FD" w:rsidRDefault="00A600B7" w:rsidP="00CD7262">
    <w:pPr>
      <w:pStyle w:val="Koptekst"/>
      <w:tabs>
        <w:tab w:val="clear" w:pos="4680"/>
        <w:tab w:val="clear" w:pos="9360"/>
        <w:tab w:val="left" w:pos="1785"/>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0228D"/>
    <w:rsid w:val="000042AD"/>
    <w:rsid w:val="0002088A"/>
    <w:rsid w:val="00030A99"/>
    <w:rsid w:val="00047951"/>
    <w:rsid w:val="00065CEA"/>
    <w:rsid w:val="00067076"/>
    <w:rsid w:val="000671D3"/>
    <w:rsid w:val="00084DAC"/>
    <w:rsid w:val="00087BAB"/>
    <w:rsid w:val="0009204C"/>
    <w:rsid w:val="000A26C8"/>
    <w:rsid w:val="000D12CC"/>
    <w:rsid w:val="000E34D5"/>
    <w:rsid w:val="000F04FD"/>
    <w:rsid w:val="00101B8F"/>
    <w:rsid w:val="00112E42"/>
    <w:rsid w:val="00115EDC"/>
    <w:rsid w:val="001302AA"/>
    <w:rsid w:val="00145117"/>
    <w:rsid w:val="00174A4E"/>
    <w:rsid w:val="0018075E"/>
    <w:rsid w:val="00184D7D"/>
    <w:rsid w:val="00184F6A"/>
    <w:rsid w:val="00185B8F"/>
    <w:rsid w:val="0019026A"/>
    <w:rsid w:val="00195CA9"/>
    <w:rsid w:val="001977BE"/>
    <w:rsid w:val="001A01FB"/>
    <w:rsid w:val="001D161B"/>
    <w:rsid w:val="001F2A1A"/>
    <w:rsid w:val="001F408C"/>
    <w:rsid w:val="00203D95"/>
    <w:rsid w:val="002048A3"/>
    <w:rsid w:val="00222061"/>
    <w:rsid w:val="00232A48"/>
    <w:rsid w:val="00232D2A"/>
    <w:rsid w:val="00233BE1"/>
    <w:rsid w:val="002424E3"/>
    <w:rsid w:val="002556E1"/>
    <w:rsid w:val="0027124E"/>
    <w:rsid w:val="00286C62"/>
    <w:rsid w:val="002A77C1"/>
    <w:rsid w:val="002C2BB0"/>
    <w:rsid w:val="002C3C97"/>
    <w:rsid w:val="002D598F"/>
    <w:rsid w:val="002F42D8"/>
    <w:rsid w:val="00312E29"/>
    <w:rsid w:val="00333F85"/>
    <w:rsid w:val="0033518D"/>
    <w:rsid w:val="003442FC"/>
    <w:rsid w:val="0036103C"/>
    <w:rsid w:val="00384A4B"/>
    <w:rsid w:val="003863B9"/>
    <w:rsid w:val="00393DFE"/>
    <w:rsid w:val="003A53DE"/>
    <w:rsid w:val="003B756D"/>
    <w:rsid w:val="003C5BB0"/>
    <w:rsid w:val="003D00B5"/>
    <w:rsid w:val="003D2CF8"/>
    <w:rsid w:val="003F162F"/>
    <w:rsid w:val="003F559F"/>
    <w:rsid w:val="00430860"/>
    <w:rsid w:val="00444541"/>
    <w:rsid w:val="00451ED0"/>
    <w:rsid w:val="004634AF"/>
    <w:rsid w:val="00471026"/>
    <w:rsid w:val="004945D0"/>
    <w:rsid w:val="004971A9"/>
    <w:rsid w:val="004C5A87"/>
    <w:rsid w:val="004D55A9"/>
    <w:rsid w:val="004D58A3"/>
    <w:rsid w:val="005134D3"/>
    <w:rsid w:val="005160D1"/>
    <w:rsid w:val="005215E5"/>
    <w:rsid w:val="00523DCD"/>
    <w:rsid w:val="005401BF"/>
    <w:rsid w:val="00564C7D"/>
    <w:rsid w:val="00566222"/>
    <w:rsid w:val="00566F87"/>
    <w:rsid w:val="00581659"/>
    <w:rsid w:val="005844F4"/>
    <w:rsid w:val="0058549C"/>
    <w:rsid w:val="0059422C"/>
    <w:rsid w:val="005A0E45"/>
    <w:rsid w:val="005A3E3A"/>
    <w:rsid w:val="005A3F3F"/>
    <w:rsid w:val="005B1490"/>
    <w:rsid w:val="005B49A4"/>
    <w:rsid w:val="005C3F12"/>
    <w:rsid w:val="005C6C22"/>
    <w:rsid w:val="005D7927"/>
    <w:rsid w:val="005D7B8A"/>
    <w:rsid w:val="005F362B"/>
    <w:rsid w:val="005F53EB"/>
    <w:rsid w:val="005F59A5"/>
    <w:rsid w:val="005F71DD"/>
    <w:rsid w:val="00633033"/>
    <w:rsid w:val="00635530"/>
    <w:rsid w:val="006358EA"/>
    <w:rsid w:val="0064356E"/>
    <w:rsid w:val="00644DB0"/>
    <w:rsid w:val="006471A7"/>
    <w:rsid w:val="006550A3"/>
    <w:rsid w:val="00671F18"/>
    <w:rsid w:val="00683EC4"/>
    <w:rsid w:val="006A281D"/>
    <w:rsid w:val="006B1EA7"/>
    <w:rsid w:val="006B4764"/>
    <w:rsid w:val="006E0DDF"/>
    <w:rsid w:val="006E70C9"/>
    <w:rsid w:val="006F1591"/>
    <w:rsid w:val="006F7785"/>
    <w:rsid w:val="00700557"/>
    <w:rsid w:val="00700753"/>
    <w:rsid w:val="00705492"/>
    <w:rsid w:val="00716BD7"/>
    <w:rsid w:val="00733B92"/>
    <w:rsid w:val="00736749"/>
    <w:rsid w:val="007434C1"/>
    <w:rsid w:val="0077261D"/>
    <w:rsid w:val="007A36EE"/>
    <w:rsid w:val="007B0A2B"/>
    <w:rsid w:val="007B2124"/>
    <w:rsid w:val="007C2E6D"/>
    <w:rsid w:val="007C3CAD"/>
    <w:rsid w:val="007D1FAB"/>
    <w:rsid w:val="007D38EC"/>
    <w:rsid w:val="007E2690"/>
    <w:rsid w:val="008139A0"/>
    <w:rsid w:val="00832BD0"/>
    <w:rsid w:val="008352B1"/>
    <w:rsid w:val="00836856"/>
    <w:rsid w:val="00841F74"/>
    <w:rsid w:val="00844087"/>
    <w:rsid w:val="00854221"/>
    <w:rsid w:val="00863B8B"/>
    <w:rsid w:val="0087700F"/>
    <w:rsid w:val="008B5408"/>
    <w:rsid w:val="008C7052"/>
    <w:rsid w:val="008D5405"/>
    <w:rsid w:val="008F4519"/>
    <w:rsid w:val="00927709"/>
    <w:rsid w:val="009412F6"/>
    <w:rsid w:val="00942038"/>
    <w:rsid w:val="00944325"/>
    <w:rsid w:val="009534E8"/>
    <w:rsid w:val="00956C9C"/>
    <w:rsid w:val="00960E34"/>
    <w:rsid w:val="00964B70"/>
    <w:rsid w:val="009653FF"/>
    <w:rsid w:val="00972F3A"/>
    <w:rsid w:val="00977010"/>
    <w:rsid w:val="009928B8"/>
    <w:rsid w:val="00995BB8"/>
    <w:rsid w:val="009C70C3"/>
    <w:rsid w:val="009D6539"/>
    <w:rsid w:val="009F28C4"/>
    <w:rsid w:val="00A10603"/>
    <w:rsid w:val="00A12DC3"/>
    <w:rsid w:val="00A14A59"/>
    <w:rsid w:val="00A21920"/>
    <w:rsid w:val="00A427F4"/>
    <w:rsid w:val="00A600B7"/>
    <w:rsid w:val="00A66D3C"/>
    <w:rsid w:val="00A81691"/>
    <w:rsid w:val="00A82249"/>
    <w:rsid w:val="00A846BB"/>
    <w:rsid w:val="00A9188E"/>
    <w:rsid w:val="00A97387"/>
    <w:rsid w:val="00AA6644"/>
    <w:rsid w:val="00AB305C"/>
    <w:rsid w:val="00AB73D6"/>
    <w:rsid w:val="00AC5B84"/>
    <w:rsid w:val="00AD7A2F"/>
    <w:rsid w:val="00AE21A1"/>
    <w:rsid w:val="00AE22D2"/>
    <w:rsid w:val="00AE4A4D"/>
    <w:rsid w:val="00B21143"/>
    <w:rsid w:val="00B27EE2"/>
    <w:rsid w:val="00B477A4"/>
    <w:rsid w:val="00B625FE"/>
    <w:rsid w:val="00B73046"/>
    <w:rsid w:val="00B82153"/>
    <w:rsid w:val="00B90CE9"/>
    <w:rsid w:val="00BA4D7B"/>
    <w:rsid w:val="00BA5717"/>
    <w:rsid w:val="00BB102E"/>
    <w:rsid w:val="00BC5840"/>
    <w:rsid w:val="00BC73C3"/>
    <w:rsid w:val="00BC7E95"/>
    <w:rsid w:val="00BD6574"/>
    <w:rsid w:val="00BD6AAE"/>
    <w:rsid w:val="00BD6D07"/>
    <w:rsid w:val="00BE42F4"/>
    <w:rsid w:val="00BE69DE"/>
    <w:rsid w:val="00BF4D1F"/>
    <w:rsid w:val="00C004F4"/>
    <w:rsid w:val="00C04BCB"/>
    <w:rsid w:val="00C13E00"/>
    <w:rsid w:val="00C15ECB"/>
    <w:rsid w:val="00C160C0"/>
    <w:rsid w:val="00C236A7"/>
    <w:rsid w:val="00C3281A"/>
    <w:rsid w:val="00C33A70"/>
    <w:rsid w:val="00C45478"/>
    <w:rsid w:val="00C62FDE"/>
    <w:rsid w:val="00C67C63"/>
    <w:rsid w:val="00C80A29"/>
    <w:rsid w:val="00C8616E"/>
    <w:rsid w:val="00C876E7"/>
    <w:rsid w:val="00C87D65"/>
    <w:rsid w:val="00C90C1D"/>
    <w:rsid w:val="00C957CD"/>
    <w:rsid w:val="00CA0D2E"/>
    <w:rsid w:val="00CA3368"/>
    <w:rsid w:val="00CA6045"/>
    <w:rsid w:val="00CC44F3"/>
    <w:rsid w:val="00CD7262"/>
    <w:rsid w:val="00CF19FA"/>
    <w:rsid w:val="00CF44AD"/>
    <w:rsid w:val="00D0586C"/>
    <w:rsid w:val="00D07A37"/>
    <w:rsid w:val="00D10A12"/>
    <w:rsid w:val="00D112D4"/>
    <w:rsid w:val="00D177FB"/>
    <w:rsid w:val="00D23A3B"/>
    <w:rsid w:val="00D258BD"/>
    <w:rsid w:val="00D31AD4"/>
    <w:rsid w:val="00D42015"/>
    <w:rsid w:val="00D76EA2"/>
    <w:rsid w:val="00DB13C1"/>
    <w:rsid w:val="00DB6757"/>
    <w:rsid w:val="00DC731E"/>
    <w:rsid w:val="00DD15C0"/>
    <w:rsid w:val="00DE20E6"/>
    <w:rsid w:val="00DE3A11"/>
    <w:rsid w:val="00DE4B4E"/>
    <w:rsid w:val="00DE4BA1"/>
    <w:rsid w:val="00DE770F"/>
    <w:rsid w:val="00DE7AD9"/>
    <w:rsid w:val="00DF704E"/>
    <w:rsid w:val="00DF7F9C"/>
    <w:rsid w:val="00E00906"/>
    <w:rsid w:val="00E02696"/>
    <w:rsid w:val="00E03103"/>
    <w:rsid w:val="00E04FA9"/>
    <w:rsid w:val="00E0777C"/>
    <w:rsid w:val="00E12966"/>
    <w:rsid w:val="00E20C3D"/>
    <w:rsid w:val="00E20E7B"/>
    <w:rsid w:val="00E575D3"/>
    <w:rsid w:val="00E70535"/>
    <w:rsid w:val="00E7100A"/>
    <w:rsid w:val="00E74DFA"/>
    <w:rsid w:val="00E764DE"/>
    <w:rsid w:val="00E93587"/>
    <w:rsid w:val="00EA4C9D"/>
    <w:rsid w:val="00EA7652"/>
    <w:rsid w:val="00EB0451"/>
    <w:rsid w:val="00EB3EAC"/>
    <w:rsid w:val="00EC594C"/>
    <w:rsid w:val="00ED1723"/>
    <w:rsid w:val="00ED2E80"/>
    <w:rsid w:val="00ED7C20"/>
    <w:rsid w:val="00EE3BDF"/>
    <w:rsid w:val="00EE5D4B"/>
    <w:rsid w:val="00EE7F54"/>
    <w:rsid w:val="00EF1B65"/>
    <w:rsid w:val="00EF2CAD"/>
    <w:rsid w:val="00EF6B32"/>
    <w:rsid w:val="00EF7E18"/>
    <w:rsid w:val="00F05620"/>
    <w:rsid w:val="00F1019A"/>
    <w:rsid w:val="00F45A94"/>
    <w:rsid w:val="00F62ACC"/>
    <w:rsid w:val="00F671BA"/>
    <w:rsid w:val="00F82846"/>
    <w:rsid w:val="00F95E83"/>
    <w:rsid w:val="00F96266"/>
    <w:rsid w:val="00FA3330"/>
    <w:rsid w:val="00FA7BC7"/>
    <w:rsid w:val="00FB32A7"/>
    <w:rsid w:val="00FD0424"/>
    <w:rsid w:val="00FD1154"/>
    <w:rsid w:val="00FD45EF"/>
    <w:rsid w:val="00FE28BE"/>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27020">
      <w:bodyDiv w:val="1"/>
      <w:marLeft w:val="0"/>
      <w:marRight w:val="0"/>
      <w:marTop w:val="0"/>
      <w:marBottom w:val="0"/>
      <w:divBdr>
        <w:top w:val="none" w:sz="0" w:space="0" w:color="auto"/>
        <w:left w:val="none" w:sz="0" w:space="0" w:color="auto"/>
        <w:bottom w:val="none" w:sz="0" w:space="0" w:color="auto"/>
        <w:right w:val="none" w:sz="0" w:space="0" w:color="auto"/>
      </w:divBdr>
    </w:div>
    <w:div w:id="1350374808">
      <w:bodyDiv w:val="1"/>
      <w:marLeft w:val="0"/>
      <w:marRight w:val="0"/>
      <w:marTop w:val="0"/>
      <w:marBottom w:val="0"/>
      <w:divBdr>
        <w:top w:val="none" w:sz="0" w:space="0" w:color="auto"/>
        <w:left w:val="none" w:sz="0" w:space="0" w:color="auto"/>
        <w:bottom w:val="none" w:sz="0" w:space="0" w:color="auto"/>
        <w:right w:val="none" w:sz="0" w:space="0" w:color="auto"/>
      </w:divBdr>
    </w:div>
    <w:div w:id="1723282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ww.rijksoverheid.nl/documenten/publicaties/2023/01/10/vluchtgegevens-regeringsvliegtuig-ph-gov"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1720</ap:Words>
  <ap:Characters>9464</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2026-05-26T13:40:00.0000000Z</dcterms:created>
  <dcterms:modified xsi:type="dcterms:W3CDTF">2026-06-04T09:29:00.0000000Z</dcterms:modified>
  <dc:description>------------------------</dc:description>
  <dc:subject/>
  <dc:title/>
  <keywords/>
  <version/>
  <category/>
</coreProperties>
</file>