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31E4" w:rsidR="005A6AAA" w:rsidP="005A6AAA" w:rsidRDefault="005A6AAA" w14:paraId="5D9D6D9F" w14:textId="7AA200CA">
      <w:pPr>
        <w:spacing w:after="0" w:line="240" w:lineRule="auto"/>
        <w:rPr>
          <w:rFonts w:ascii="Verdana" w:hAnsi="Verdana"/>
          <w:b/>
          <w:bCs/>
          <w:sz w:val="18"/>
          <w:szCs w:val="18"/>
        </w:rPr>
      </w:pPr>
      <w:r w:rsidRPr="00C431E4">
        <w:rPr>
          <w:rFonts w:ascii="Verdana" w:hAnsi="Verdana"/>
          <w:b/>
          <w:bCs/>
          <w:sz w:val="18"/>
          <w:szCs w:val="18"/>
        </w:rPr>
        <w:t>Vragen bij slotwet ministerie van Sociale Zaken en Werkgelegenheid 202</w:t>
      </w:r>
      <w:r>
        <w:rPr>
          <w:rFonts w:ascii="Verdana" w:hAnsi="Verdana"/>
          <w:b/>
          <w:bCs/>
          <w:sz w:val="18"/>
          <w:szCs w:val="18"/>
        </w:rPr>
        <w:t>5</w:t>
      </w:r>
    </w:p>
    <w:p w:rsidRPr="000E1AD6" w:rsidR="00494710" w:rsidP="000E1AD6" w:rsidRDefault="00494710" w14:paraId="39A07DA4" w14:textId="77777777">
      <w:pPr>
        <w:spacing w:after="0" w:line="240" w:lineRule="auto"/>
        <w:rPr>
          <w:rFonts w:ascii="Verdana" w:hAnsi="Verdana"/>
          <w:sz w:val="18"/>
          <w:szCs w:val="18"/>
        </w:rPr>
      </w:pPr>
    </w:p>
    <w:p w:rsidRPr="000E1AD6" w:rsidR="00CC5C28" w:rsidP="000E1AD6" w:rsidRDefault="00CC5C28" w14:paraId="7180BA68" w14:textId="77777777">
      <w:pPr>
        <w:spacing w:after="0" w:line="240" w:lineRule="auto"/>
        <w:rPr>
          <w:rFonts w:ascii="Verdana" w:hAnsi="Verdana"/>
          <w:sz w:val="18"/>
          <w:szCs w:val="18"/>
          <w:u w:val="single"/>
        </w:rPr>
      </w:pPr>
      <w:r w:rsidRPr="000E1AD6">
        <w:rPr>
          <w:rFonts w:ascii="Verdana" w:hAnsi="Verdana"/>
          <w:sz w:val="18"/>
          <w:szCs w:val="18"/>
          <w:u w:val="single"/>
        </w:rPr>
        <w:t>Vraag 1</w:t>
      </w:r>
    </w:p>
    <w:p w:rsidRPr="000E1AD6" w:rsidR="00CC5C28" w:rsidP="000E1AD6" w:rsidRDefault="00CC5C28" w14:paraId="727C1121" w14:textId="77777777">
      <w:pPr>
        <w:spacing w:after="0" w:line="240" w:lineRule="auto"/>
        <w:rPr>
          <w:rFonts w:ascii="Verdana" w:hAnsi="Verdana"/>
          <w:sz w:val="18"/>
          <w:szCs w:val="18"/>
        </w:rPr>
      </w:pPr>
      <w:r w:rsidRPr="000E1AD6">
        <w:rPr>
          <w:rFonts w:ascii="Verdana" w:hAnsi="Verdana"/>
          <w:sz w:val="18"/>
          <w:szCs w:val="18"/>
        </w:rPr>
        <w:t>Wat was in Nederland in 2025 de gemiddelde loonwig? En wat was de loonwig in de andere EU-lidstaten?</w:t>
      </w:r>
    </w:p>
    <w:p w:rsidRPr="000E1AD6" w:rsidR="00CC5C28" w:rsidP="000E1AD6" w:rsidRDefault="00CC5C28" w14:paraId="1CAA07D1" w14:textId="77777777">
      <w:pPr>
        <w:spacing w:after="0" w:line="240" w:lineRule="auto"/>
        <w:rPr>
          <w:rFonts w:ascii="Verdana" w:hAnsi="Verdana"/>
          <w:sz w:val="18"/>
          <w:szCs w:val="18"/>
          <w:u w:val="single"/>
        </w:rPr>
      </w:pPr>
    </w:p>
    <w:p w:rsidRPr="000E1AD6" w:rsidR="00CC5C28" w:rsidP="000E1AD6" w:rsidRDefault="00CC5C28" w14:paraId="41FA94E6" w14:textId="77777777">
      <w:pPr>
        <w:spacing w:after="0" w:line="240" w:lineRule="auto"/>
        <w:rPr>
          <w:rFonts w:ascii="Verdana" w:hAnsi="Verdana"/>
          <w:sz w:val="18"/>
          <w:szCs w:val="18"/>
          <w:u w:val="single"/>
        </w:rPr>
      </w:pPr>
      <w:r w:rsidRPr="000E1AD6">
        <w:rPr>
          <w:rFonts w:ascii="Verdana" w:hAnsi="Verdana"/>
          <w:sz w:val="18"/>
          <w:szCs w:val="18"/>
          <w:u w:val="single"/>
        </w:rPr>
        <w:t>Antwoord 1</w:t>
      </w:r>
    </w:p>
    <w:p w:rsidRPr="000E1AD6" w:rsidR="00CC5C28" w:rsidP="000E1AD6" w:rsidRDefault="00CC5C28" w14:paraId="452F0955" w14:textId="77777777">
      <w:pPr>
        <w:spacing w:after="0" w:line="240" w:lineRule="auto"/>
        <w:rPr>
          <w:rFonts w:ascii="Verdana" w:hAnsi="Verdana"/>
          <w:sz w:val="18"/>
          <w:szCs w:val="18"/>
        </w:rPr>
      </w:pPr>
      <w:r w:rsidRPr="000E1AD6">
        <w:rPr>
          <w:rFonts w:ascii="Verdana" w:hAnsi="Verdana"/>
          <w:sz w:val="18"/>
          <w:szCs w:val="18"/>
        </w:rPr>
        <w:t>De totale loonwig in 2025 in Nederland is volgens de OESO 35,9%. Daarmee zitten we erg dicht op het OESO-gemiddelde van 35,1%. De meeste EU-lidstaten kennen een hogere loonwig.</w:t>
      </w:r>
    </w:p>
    <w:p w:rsidRPr="000E1AD6" w:rsidR="00CC5C28" w:rsidP="000E1AD6" w:rsidRDefault="00CC5C28" w14:paraId="3885CA2F" w14:textId="77777777">
      <w:pPr>
        <w:spacing w:after="0" w:line="240" w:lineRule="auto"/>
        <w:rPr>
          <w:rFonts w:ascii="Verdana" w:hAnsi="Verdana"/>
          <w:sz w:val="18"/>
          <w:szCs w:val="18"/>
        </w:rPr>
      </w:pPr>
    </w:p>
    <w:p w:rsidRPr="000E1AD6" w:rsidR="00CC5C28" w:rsidP="000E1AD6" w:rsidRDefault="00CC5C28" w14:paraId="7FAA51C6" w14:textId="77777777">
      <w:pPr>
        <w:spacing w:after="0" w:line="240" w:lineRule="auto"/>
        <w:rPr>
          <w:rFonts w:ascii="Verdana" w:hAnsi="Verdana"/>
          <w:sz w:val="18"/>
          <w:szCs w:val="18"/>
        </w:rPr>
      </w:pPr>
      <w:r w:rsidRPr="000E1AD6">
        <w:rPr>
          <w:rFonts w:ascii="Verdana" w:hAnsi="Verdana"/>
          <w:sz w:val="18"/>
          <w:szCs w:val="18"/>
        </w:rPr>
        <w:t>Met de loonwig wordt het verschil bedoeld tussen de loonkosten voor de werkgever en het nettoloon dat de werknemer ontvangt. Het verschil ontstaat doordat de werkgever over de loonsom premies sociale zekerheid moet afdragen en daarnaast inhoudingen moet doen op het brutoloon voor de werknemersbijdragen voor de sociale zekerheid en inkomstenbelasting. Dit is dus afhankelijk van de hoogte van het inkomen en type huishouden.</w:t>
      </w:r>
    </w:p>
    <w:p w:rsidRPr="000E1AD6" w:rsidR="00CC5C28" w:rsidP="000E1AD6" w:rsidRDefault="00CC5C28" w14:paraId="44101DED" w14:textId="77777777">
      <w:pPr>
        <w:spacing w:after="0" w:line="240" w:lineRule="auto"/>
        <w:rPr>
          <w:rFonts w:ascii="Verdana" w:hAnsi="Verdana"/>
          <w:sz w:val="18"/>
          <w:szCs w:val="18"/>
        </w:rPr>
      </w:pPr>
    </w:p>
    <w:p w:rsidRPr="000E1AD6" w:rsidR="00CC5C28" w:rsidP="000E1AD6" w:rsidRDefault="00CC5C28" w14:paraId="3958F6D2" w14:textId="77777777">
      <w:pPr>
        <w:spacing w:after="0" w:line="240" w:lineRule="auto"/>
        <w:rPr>
          <w:rFonts w:ascii="Verdana" w:hAnsi="Verdana"/>
          <w:sz w:val="18"/>
          <w:szCs w:val="18"/>
        </w:rPr>
      </w:pPr>
      <w:r w:rsidRPr="000E1AD6">
        <w:rPr>
          <w:rFonts w:ascii="Verdana" w:hAnsi="Verdana"/>
          <w:sz w:val="18"/>
          <w:szCs w:val="18"/>
        </w:rPr>
        <w:t>Volgens het recente rapport van de OESO ‘Taxing Wages’</w:t>
      </w:r>
      <w:r w:rsidRPr="000E1AD6">
        <w:rPr>
          <w:rStyle w:val="Voetnootmarkering"/>
          <w:rFonts w:ascii="Verdana" w:hAnsi="Verdana"/>
          <w:sz w:val="18"/>
          <w:szCs w:val="18"/>
        </w:rPr>
        <w:footnoteReference w:id="1"/>
      </w:r>
      <w:r w:rsidRPr="000E1AD6">
        <w:rPr>
          <w:rFonts w:ascii="Verdana" w:hAnsi="Verdana"/>
          <w:sz w:val="18"/>
          <w:szCs w:val="18"/>
        </w:rPr>
        <w:t>, kent Nederland de volgende loonwiggen:</w:t>
      </w:r>
    </w:p>
    <w:p w:rsidRPr="000E1AD6" w:rsidR="00CC5C28" w:rsidP="000E1AD6" w:rsidRDefault="00CC5C28" w14:paraId="2501BB72" w14:textId="77777777">
      <w:pPr>
        <w:pStyle w:val="Lijstalinea"/>
        <w:spacing w:after="0" w:line="240" w:lineRule="auto"/>
        <w:ind w:left="360"/>
        <w:rPr>
          <w:rFonts w:ascii="Verdana" w:hAnsi="Verdana"/>
          <w:sz w:val="18"/>
          <w:szCs w:val="18"/>
        </w:rPr>
      </w:pPr>
    </w:p>
    <w:tbl>
      <w:tblPr>
        <w:tblStyle w:val="Rastertabel1licht-Accent5"/>
        <w:tblW w:w="0" w:type="auto"/>
        <w:tblLook w:val="04A0" w:firstRow="1" w:lastRow="0" w:firstColumn="1" w:lastColumn="0" w:noHBand="0" w:noVBand="1"/>
      </w:tblPr>
      <w:tblGrid>
        <w:gridCol w:w="3020"/>
        <w:gridCol w:w="3021"/>
        <w:gridCol w:w="3021"/>
      </w:tblGrid>
      <w:tr w:rsidRPr="000E1AD6" w:rsidR="00CC5C28" w:rsidTr="00537BC9" w14:paraId="1A1169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4E80C022" w14:textId="77777777">
            <w:pPr>
              <w:rPr>
                <w:rFonts w:ascii="Verdana" w:hAnsi="Verdana"/>
                <w:sz w:val="18"/>
                <w:szCs w:val="18"/>
              </w:rPr>
            </w:pPr>
            <w:r w:rsidRPr="000E1AD6">
              <w:rPr>
                <w:rFonts w:ascii="Verdana" w:hAnsi="Verdana"/>
                <w:sz w:val="18"/>
                <w:szCs w:val="18"/>
              </w:rPr>
              <w:t>Huishouden</w:t>
            </w:r>
          </w:p>
        </w:tc>
        <w:tc>
          <w:tcPr>
            <w:tcW w:w="3021" w:type="dxa"/>
          </w:tcPr>
          <w:p w:rsidRPr="000E1AD6" w:rsidR="00CC5C28" w:rsidP="000E1AD6" w:rsidRDefault="00CC5C28" w14:paraId="3C57A94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Inkomen (% gemiddeld loon)</w:t>
            </w:r>
          </w:p>
        </w:tc>
        <w:tc>
          <w:tcPr>
            <w:tcW w:w="3021" w:type="dxa"/>
          </w:tcPr>
          <w:p w:rsidRPr="000E1AD6" w:rsidR="00CC5C28" w:rsidP="000E1AD6" w:rsidRDefault="00CC5C28" w14:paraId="0A05C2DE"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Wig</w:t>
            </w:r>
          </w:p>
        </w:tc>
      </w:tr>
      <w:tr w:rsidRPr="000E1AD6" w:rsidR="00CC5C28" w:rsidTr="00537BC9" w14:paraId="39FAECA7"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2903B66E" w14:textId="77777777">
            <w:pPr>
              <w:rPr>
                <w:rFonts w:ascii="Verdana" w:hAnsi="Verdana"/>
                <w:sz w:val="18"/>
                <w:szCs w:val="18"/>
              </w:rPr>
            </w:pPr>
            <w:r w:rsidRPr="000E1AD6">
              <w:rPr>
                <w:rFonts w:ascii="Verdana" w:hAnsi="Verdana"/>
                <w:sz w:val="18"/>
                <w:szCs w:val="18"/>
              </w:rPr>
              <w:t>Eenpersoons</w:t>
            </w:r>
          </w:p>
        </w:tc>
        <w:tc>
          <w:tcPr>
            <w:tcW w:w="3021" w:type="dxa"/>
          </w:tcPr>
          <w:p w:rsidRPr="000E1AD6" w:rsidR="00CC5C28" w:rsidP="000E1AD6" w:rsidRDefault="00CC5C28" w14:paraId="0E7A62C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67</w:t>
            </w:r>
          </w:p>
        </w:tc>
        <w:tc>
          <w:tcPr>
            <w:tcW w:w="3021" w:type="dxa"/>
          </w:tcPr>
          <w:p w:rsidRPr="000E1AD6" w:rsidR="00CC5C28" w:rsidP="000E1AD6" w:rsidRDefault="00CC5C28" w14:paraId="082CCE8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27,5%</w:t>
            </w:r>
          </w:p>
        </w:tc>
      </w:tr>
      <w:tr w:rsidRPr="000E1AD6" w:rsidR="00CC5C28" w:rsidTr="00537BC9" w14:paraId="75F98446"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6A558893" w14:textId="77777777">
            <w:pPr>
              <w:rPr>
                <w:rFonts w:ascii="Verdana" w:hAnsi="Verdana"/>
                <w:sz w:val="18"/>
                <w:szCs w:val="18"/>
              </w:rPr>
            </w:pPr>
          </w:p>
        </w:tc>
        <w:tc>
          <w:tcPr>
            <w:tcW w:w="3021" w:type="dxa"/>
          </w:tcPr>
          <w:p w:rsidRPr="000E1AD6" w:rsidR="00CC5C28" w:rsidP="000E1AD6" w:rsidRDefault="00CC5C28" w14:paraId="6E655B4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100</w:t>
            </w:r>
          </w:p>
        </w:tc>
        <w:tc>
          <w:tcPr>
            <w:tcW w:w="3021" w:type="dxa"/>
          </w:tcPr>
          <w:p w:rsidRPr="000E1AD6" w:rsidR="00CC5C28" w:rsidP="000E1AD6" w:rsidRDefault="00CC5C28" w14:paraId="416C620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35,9%</w:t>
            </w:r>
          </w:p>
        </w:tc>
      </w:tr>
      <w:tr w:rsidRPr="000E1AD6" w:rsidR="00CC5C28" w:rsidTr="00537BC9" w14:paraId="76262E0F"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00547A8D" w14:textId="77777777">
            <w:pPr>
              <w:rPr>
                <w:rFonts w:ascii="Verdana" w:hAnsi="Verdana"/>
                <w:sz w:val="18"/>
                <w:szCs w:val="18"/>
              </w:rPr>
            </w:pPr>
          </w:p>
        </w:tc>
        <w:tc>
          <w:tcPr>
            <w:tcW w:w="3021" w:type="dxa"/>
          </w:tcPr>
          <w:p w:rsidRPr="000E1AD6" w:rsidR="00CC5C28" w:rsidP="000E1AD6" w:rsidRDefault="00CC5C28" w14:paraId="43EE364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167</w:t>
            </w:r>
          </w:p>
        </w:tc>
        <w:tc>
          <w:tcPr>
            <w:tcW w:w="3021" w:type="dxa"/>
          </w:tcPr>
          <w:p w:rsidRPr="000E1AD6" w:rsidR="00CC5C28" w:rsidP="000E1AD6" w:rsidRDefault="00CC5C28" w14:paraId="24A557C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42,2%</w:t>
            </w:r>
          </w:p>
        </w:tc>
      </w:tr>
      <w:tr w:rsidRPr="000E1AD6" w:rsidR="00CC5C28" w:rsidTr="00537BC9" w14:paraId="0602E6DB"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31C1E671" w14:textId="77777777">
            <w:pPr>
              <w:rPr>
                <w:rFonts w:ascii="Verdana" w:hAnsi="Verdana"/>
                <w:sz w:val="18"/>
                <w:szCs w:val="18"/>
              </w:rPr>
            </w:pPr>
            <w:r w:rsidRPr="000E1AD6">
              <w:rPr>
                <w:rFonts w:ascii="Verdana" w:hAnsi="Verdana"/>
                <w:sz w:val="18"/>
                <w:szCs w:val="18"/>
              </w:rPr>
              <w:t>Eenpersoon met 2 kinderen</w:t>
            </w:r>
          </w:p>
        </w:tc>
        <w:tc>
          <w:tcPr>
            <w:tcW w:w="3021" w:type="dxa"/>
          </w:tcPr>
          <w:p w:rsidRPr="000E1AD6" w:rsidR="00CC5C28" w:rsidP="000E1AD6" w:rsidRDefault="00CC5C28" w14:paraId="76B2539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67</w:t>
            </w:r>
          </w:p>
        </w:tc>
        <w:tc>
          <w:tcPr>
            <w:tcW w:w="3021" w:type="dxa"/>
          </w:tcPr>
          <w:p w:rsidRPr="000E1AD6" w:rsidR="00CC5C28" w:rsidP="000E1AD6" w:rsidRDefault="00CC5C28" w14:paraId="323DC03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2,5%</w:t>
            </w:r>
          </w:p>
        </w:tc>
      </w:tr>
      <w:tr w:rsidRPr="000E1AD6" w:rsidR="00CC5C28" w:rsidTr="00537BC9" w14:paraId="63FB6C74"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385F04E0" w14:textId="77777777">
            <w:pPr>
              <w:rPr>
                <w:rFonts w:ascii="Verdana" w:hAnsi="Verdana"/>
                <w:sz w:val="18"/>
                <w:szCs w:val="18"/>
              </w:rPr>
            </w:pPr>
            <w:r w:rsidRPr="000E1AD6">
              <w:rPr>
                <w:rFonts w:ascii="Verdana" w:hAnsi="Verdana"/>
                <w:sz w:val="18"/>
                <w:szCs w:val="18"/>
              </w:rPr>
              <w:t>Stel met 2 kinderen</w:t>
            </w:r>
          </w:p>
        </w:tc>
        <w:tc>
          <w:tcPr>
            <w:tcW w:w="3021" w:type="dxa"/>
          </w:tcPr>
          <w:p w:rsidRPr="000E1AD6" w:rsidR="00CC5C28" w:rsidP="000E1AD6" w:rsidRDefault="00CC5C28" w14:paraId="304ACA6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100-0</w:t>
            </w:r>
          </w:p>
        </w:tc>
        <w:tc>
          <w:tcPr>
            <w:tcW w:w="3021" w:type="dxa"/>
          </w:tcPr>
          <w:p w:rsidRPr="000E1AD6" w:rsidR="00CC5C28" w:rsidP="000E1AD6" w:rsidRDefault="00CC5C28" w14:paraId="4042F69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28,5%</w:t>
            </w:r>
          </w:p>
        </w:tc>
      </w:tr>
      <w:tr w:rsidRPr="000E1AD6" w:rsidR="00CC5C28" w:rsidTr="00537BC9" w14:paraId="5B89D9AD"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3F7C774E" w14:textId="77777777">
            <w:pPr>
              <w:rPr>
                <w:rFonts w:ascii="Verdana" w:hAnsi="Verdana"/>
                <w:sz w:val="18"/>
                <w:szCs w:val="18"/>
              </w:rPr>
            </w:pPr>
          </w:p>
        </w:tc>
        <w:tc>
          <w:tcPr>
            <w:tcW w:w="3021" w:type="dxa"/>
          </w:tcPr>
          <w:p w:rsidRPr="000E1AD6" w:rsidR="00CC5C28" w:rsidP="000E1AD6" w:rsidRDefault="00CC5C28" w14:paraId="24F9CB0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100-67</w:t>
            </w:r>
          </w:p>
        </w:tc>
        <w:tc>
          <w:tcPr>
            <w:tcW w:w="3021" w:type="dxa"/>
          </w:tcPr>
          <w:p w:rsidRPr="000E1AD6" w:rsidR="00CC5C28" w:rsidP="000E1AD6" w:rsidRDefault="00CC5C28" w14:paraId="1DEE56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28,1%</w:t>
            </w:r>
          </w:p>
        </w:tc>
      </w:tr>
      <w:tr w:rsidRPr="000E1AD6" w:rsidR="00CC5C28" w:rsidTr="00537BC9" w14:paraId="051F65B1"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5270AD4B" w14:textId="77777777">
            <w:pPr>
              <w:rPr>
                <w:rFonts w:ascii="Verdana" w:hAnsi="Verdana"/>
                <w:sz w:val="18"/>
                <w:szCs w:val="18"/>
              </w:rPr>
            </w:pPr>
          </w:p>
        </w:tc>
        <w:tc>
          <w:tcPr>
            <w:tcW w:w="3021" w:type="dxa"/>
          </w:tcPr>
          <w:p w:rsidRPr="000E1AD6" w:rsidR="00CC5C28" w:rsidP="000E1AD6" w:rsidRDefault="00CC5C28" w14:paraId="47B5023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100-100</w:t>
            </w:r>
          </w:p>
        </w:tc>
        <w:tc>
          <w:tcPr>
            <w:tcW w:w="3021" w:type="dxa"/>
          </w:tcPr>
          <w:p w:rsidRPr="000E1AD6" w:rsidR="00CC5C28" w:rsidP="000E1AD6" w:rsidRDefault="00CC5C28" w14:paraId="0622EE5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32,2%</w:t>
            </w:r>
          </w:p>
        </w:tc>
      </w:tr>
      <w:tr w:rsidRPr="000E1AD6" w:rsidR="00CC5C28" w:rsidTr="00537BC9" w14:paraId="4C9BFFC6" w14:textId="77777777">
        <w:tc>
          <w:tcPr>
            <w:cnfStyle w:val="001000000000" w:firstRow="0" w:lastRow="0" w:firstColumn="1" w:lastColumn="0" w:oddVBand="0" w:evenVBand="0" w:oddHBand="0" w:evenHBand="0" w:firstRowFirstColumn="0" w:firstRowLastColumn="0" w:lastRowFirstColumn="0" w:lastRowLastColumn="0"/>
            <w:tcW w:w="3020" w:type="dxa"/>
          </w:tcPr>
          <w:p w:rsidRPr="000E1AD6" w:rsidR="00CC5C28" w:rsidP="000E1AD6" w:rsidRDefault="00CC5C28" w14:paraId="208CED1A" w14:textId="77777777">
            <w:pPr>
              <w:rPr>
                <w:rFonts w:ascii="Verdana" w:hAnsi="Verdana"/>
                <w:sz w:val="18"/>
                <w:szCs w:val="18"/>
              </w:rPr>
            </w:pPr>
            <w:r w:rsidRPr="000E1AD6">
              <w:rPr>
                <w:rFonts w:ascii="Verdana" w:hAnsi="Verdana"/>
                <w:sz w:val="18"/>
                <w:szCs w:val="18"/>
              </w:rPr>
              <w:t>Stel zonder kinderen</w:t>
            </w:r>
          </w:p>
        </w:tc>
        <w:tc>
          <w:tcPr>
            <w:tcW w:w="3021" w:type="dxa"/>
          </w:tcPr>
          <w:p w:rsidRPr="000E1AD6" w:rsidR="00CC5C28" w:rsidP="000E1AD6" w:rsidRDefault="00CC5C28" w14:paraId="5970C1F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100-67</w:t>
            </w:r>
          </w:p>
        </w:tc>
        <w:tc>
          <w:tcPr>
            <w:tcW w:w="3021" w:type="dxa"/>
          </w:tcPr>
          <w:p w:rsidRPr="000E1AD6" w:rsidR="00CC5C28" w:rsidP="000E1AD6" w:rsidRDefault="00CC5C28" w14:paraId="55CDA0B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E1AD6">
              <w:rPr>
                <w:rFonts w:ascii="Verdana" w:hAnsi="Verdana"/>
                <w:sz w:val="18"/>
                <w:szCs w:val="18"/>
              </w:rPr>
              <w:t>32,6%</w:t>
            </w:r>
          </w:p>
        </w:tc>
      </w:tr>
    </w:tbl>
    <w:p w:rsidRPr="000E1AD6" w:rsidR="00CC5C28" w:rsidP="000E1AD6" w:rsidRDefault="00CC5C28" w14:paraId="17B0209B" w14:textId="77777777">
      <w:pPr>
        <w:spacing w:after="0" w:line="240" w:lineRule="auto"/>
        <w:rPr>
          <w:rFonts w:ascii="Verdana" w:hAnsi="Verdana"/>
          <w:sz w:val="18"/>
          <w:szCs w:val="18"/>
        </w:rPr>
      </w:pPr>
    </w:p>
    <w:p w:rsidRPr="000E1AD6" w:rsidR="00CC5C28" w:rsidP="000E1AD6" w:rsidRDefault="00CC5C28" w14:paraId="561EE5FB" w14:textId="77777777">
      <w:pPr>
        <w:spacing w:after="0" w:line="240" w:lineRule="auto"/>
        <w:rPr>
          <w:rFonts w:ascii="Verdana" w:hAnsi="Verdana"/>
          <w:sz w:val="18"/>
          <w:szCs w:val="18"/>
        </w:rPr>
      </w:pPr>
    </w:p>
    <w:p w:rsidRPr="000E1AD6" w:rsidR="00CC5C28" w:rsidP="000E1AD6" w:rsidRDefault="00CC5C28" w14:paraId="21D1BE10" w14:textId="77777777">
      <w:pPr>
        <w:spacing w:after="0" w:line="240" w:lineRule="auto"/>
        <w:rPr>
          <w:rFonts w:ascii="Verdana" w:hAnsi="Verdana"/>
          <w:sz w:val="18"/>
          <w:szCs w:val="18"/>
          <w:u w:val="single"/>
        </w:rPr>
      </w:pPr>
      <w:r w:rsidRPr="000E1AD6">
        <w:rPr>
          <w:rFonts w:ascii="Verdana" w:hAnsi="Verdana"/>
          <w:sz w:val="18"/>
          <w:szCs w:val="18"/>
          <w:u w:val="single"/>
        </w:rPr>
        <w:t>Vraag 2</w:t>
      </w:r>
    </w:p>
    <w:p w:rsidRPr="000E1AD6" w:rsidR="00CC5C28" w:rsidP="000E1AD6" w:rsidRDefault="00CC5C28" w14:paraId="06753EE9" w14:textId="77777777">
      <w:pPr>
        <w:spacing w:after="0" w:line="240" w:lineRule="auto"/>
        <w:rPr>
          <w:rFonts w:ascii="Verdana" w:hAnsi="Verdana"/>
          <w:sz w:val="18"/>
          <w:szCs w:val="18"/>
        </w:rPr>
      </w:pPr>
      <w:r w:rsidRPr="000E1AD6">
        <w:rPr>
          <w:rFonts w:ascii="Verdana" w:hAnsi="Verdana"/>
          <w:sz w:val="18"/>
          <w:szCs w:val="18"/>
        </w:rPr>
        <w:t>Wat is in 2025 de werkelijke gemiddelde leeftijd waarop mensen met pensioen gaan in Nederland? Hoe heeft dit zich de afgelopen 25 jaar ontwikkeld?</w:t>
      </w:r>
    </w:p>
    <w:p w:rsidRPr="000E1AD6" w:rsidR="00CC5C28" w:rsidP="000E1AD6" w:rsidRDefault="00CC5C28" w14:paraId="5AFB34FA" w14:textId="77777777">
      <w:pPr>
        <w:spacing w:after="0" w:line="240" w:lineRule="auto"/>
        <w:rPr>
          <w:rFonts w:ascii="Verdana" w:hAnsi="Verdana"/>
          <w:sz w:val="18"/>
          <w:szCs w:val="18"/>
        </w:rPr>
      </w:pPr>
    </w:p>
    <w:p w:rsidRPr="000E1AD6" w:rsidR="00CC5C28" w:rsidP="000E1AD6" w:rsidRDefault="00CC5C28" w14:paraId="722C4DD5" w14:textId="77777777">
      <w:pPr>
        <w:spacing w:after="0" w:line="240" w:lineRule="auto"/>
        <w:rPr>
          <w:rFonts w:ascii="Verdana" w:hAnsi="Verdana"/>
          <w:sz w:val="18"/>
          <w:szCs w:val="18"/>
          <w:u w:val="single"/>
        </w:rPr>
      </w:pPr>
      <w:r w:rsidRPr="000E1AD6">
        <w:rPr>
          <w:rFonts w:ascii="Verdana" w:hAnsi="Verdana"/>
          <w:sz w:val="18"/>
          <w:szCs w:val="18"/>
          <w:u w:val="single"/>
        </w:rPr>
        <w:t>Antwoord 2</w:t>
      </w:r>
    </w:p>
    <w:p w:rsidRPr="000E1AD6" w:rsidR="00CC5C28" w:rsidP="000E1AD6" w:rsidRDefault="00CC5C28" w14:paraId="28B2DD9D" w14:textId="77777777">
      <w:pPr>
        <w:spacing w:after="0" w:line="240" w:lineRule="auto"/>
        <w:rPr>
          <w:rFonts w:ascii="Verdana" w:hAnsi="Verdana"/>
          <w:sz w:val="18"/>
          <w:szCs w:val="18"/>
        </w:rPr>
      </w:pPr>
      <w:r w:rsidRPr="000E1AD6">
        <w:rPr>
          <w:rFonts w:ascii="Verdana" w:hAnsi="Verdana"/>
          <w:sz w:val="18"/>
          <w:szCs w:val="18"/>
        </w:rPr>
        <w:t>In 2025 was de werkelijke gemiddelde leeftijd waarop mensen in Nederland met pensioen zijn gegaan 66 jaar en 4 maanden. In onderstaande grafiek is zichtbaar hoe zich dit de afgelopen 25 jaar heeft ontwikkeld.</w:t>
      </w:r>
      <w:r w:rsidRPr="000E1AD6">
        <w:rPr>
          <w:rStyle w:val="Voetnootmarkering"/>
          <w:rFonts w:ascii="Verdana" w:hAnsi="Verdana"/>
          <w:sz w:val="18"/>
          <w:szCs w:val="18"/>
        </w:rPr>
        <w:footnoteReference w:id="2"/>
      </w:r>
    </w:p>
    <w:p w:rsidR="00CC5C28" w:rsidP="00CC5C28" w:rsidRDefault="00CC5C28" w14:paraId="70ECA5FA" w14:textId="77777777">
      <w:pPr>
        <w:spacing w:after="0" w:line="240" w:lineRule="auto"/>
        <w:rPr>
          <w:rFonts w:ascii="Verdana" w:hAnsi="Verdana"/>
          <w:sz w:val="18"/>
          <w:szCs w:val="18"/>
        </w:rPr>
      </w:pPr>
    </w:p>
    <w:p w:rsidR="00CC5C28" w:rsidP="00CC5C28" w:rsidRDefault="00CC5C28" w14:paraId="41A84EC6" w14:textId="77777777">
      <w:pPr>
        <w:spacing w:after="0" w:line="240" w:lineRule="auto"/>
        <w:rPr>
          <w:rFonts w:ascii="Verdana" w:hAnsi="Verdana"/>
          <w:sz w:val="18"/>
          <w:szCs w:val="18"/>
        </w:rPr>
      </w:pPr>
      <w:r w:rsidRPr="00D13C74">
        <w:rPr>
          <w:rFonts w:ascii="Verdana" w:hAnsi="Verdana"/>
          <w:noProof/>
          <w:sz w:val="18"/>
          <w:szCs w:val="18"/>
        </w:rPr>
        <w:lastRenderedPageBreak/>
        <w:drawing>
          <wp:inline distT="0" distB="0" distL="0" distR="0" wp14:anchorId="5D4E8264" wp14:editId="27ED199C">
            <wp:extent cx="5217256" cy="3925594"/>
            <wp:effectExtent l="0" t="0" r="2540" b="0"/>
            <wp:docPr id="10821326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32651" name=""/>
                    <pic:cNvPicPr/>
                  </pic:nvPicPr>
                  <pic:blipFill>
                    <a:blip r:embed="rId7"/>
                    <a:stretch>
                      <a:fillRect/>
                    </a:stretch>
                  </pic:blipFill>
                  <pic:spPr>
                    <a:xfrm>
                      <a:off x="0" y="0"/>
                      <a:ext cx="5222944" cy="3929874"/>
                    </a:xfrm>
                    <a:prstGeom prst="rect">
                      <a:avLst/>
                    </a:prstGeom>
                  </pic:spPr>
                </pic:pic>
              </a:graphicData>
            </a:graphic>
          </wp:inline>
        </w:drawing>
      </w:r>
    </w:p>
    <w:p w:rsidRPr="000E1AD6" w:rsidR="00CC5C28" w:rsidP="00CC5C28" w:rsidRDefault="00CC5C28" w14:paraId="47A9022C" w14:textId="4F71C73C">
      <w:pPr>
        <w:spacing w:after="0" w:line="240" w:lineRule="auto"/>
        <w:rPr>
          <w:rFonts w:ascii="Verdana" w:hAnsi="Verdana"/>
          <w:sz w:val="16"/>
          <w:szCs w:val="16"/>
        </w:rPr>
      </w:pPr>
      <w:r w:rsidRPr="000E1AD6">
        <w:rPr>
          <w:rFonts w:ascii="Verdana" w:hAnsi="Verdana"/>
          <w:sz w:val="16"/>
          <w:szCs w:val="16"/>
        </w:rPr>
        <w:t>Bron: Centraal Bureau voor de Statistiek (CBS)</w:t>
      </w:r>
    </w:p>
    <w:p w:rsidR="00CC5C28" w:rsidP="00CC5C28" w:rsidRDefault="00CC5C28" w14:paraId="39C53351" w14:textId="77777777">
      <w:pPr>
        <w:spacing w:after="0" w:line="240" w:lineRule="auto"/>
        <w:rPr>
          <w:rFonts w:ascii="Verdana" w:hAnsi="Verdana"/>
          <w:sz w:val="18"/>
          <w:szCs w:val="18"/>
          <w:u w:val="single"/>
        </w:rPr>
      </w:pPr>
    </w:p>
    <w:p w:rsidRPr="006F633C" w:rsidR="00CC5C28" w:rsidP="000E1AD6" w:rsidRDefault="00CC5C28" w14:paraId="4C49D2A4" w14:textId="77777777">
      <w:pPr>
        <w:spacing w:after="0" w:line="240" w:lineRule="auto"/>
        <w:rPr>
          <w:rFonts w:ascii="Verdana" w:hAnsi="Verdana"/>
          <w:sz w:val="18"/>
          <w:szCs w:val="18"/>
          <w:u w:val="single"/>
        </w:rPr>
      </w:pPr>
      <w:r w:rsidRPr="006F633C">
        <w:rPr>
          <w:rFonts w:ascii="Verdana" w:hAnsi="Verdana"/>
          <w:sz w:val="18"/>
          <w:szCs w:val="18"/>
          <w:u w:val="single"/>
        </w:rPr>
        <w:t>Vraag 3</w:t>
      </w:r>
    </w:p>
    <w:p w:rsidRPr="006F633C" w:rsidR="00CC5C28" w:rsidP="000E1AD6" w:rsidRDefault="00CC5C28" w14:paraId="4722B385" w14:textId="77777777">
      <w:pPr>
        <w:spacing w:after="0" w:line="240" w:lineRule="auto"/>
        <w:rPr>
          <w:rFonts w:ascii="Verdana" w:hAnsi="Verdana"/>
          <w:sz w:val="18"/>
          <w:szCs w:val="18"/>
        </w:rPr>
      </w:pPr>
      <w:r w:rsidRPr="006F633C">
        <w:rPr>
          <w:rFonts w:ascii="Verdana" w:hAnsi="Verdana"/>
          <w:sz w:val="18"/>
          <w:szCs w:val="18"/>
        </w:rPr>
        <w:t>Wat is de Nederlandse werkgelegenheidsgraad in de leeftijdscategorie 67 jaar en ouder?</w:t>
      </w:r>
    </w:p>
    <w:p w:rsidRPr="006F633C" w:rsidR="00CC5C28" w:rsidP="000E1AD6" w:rsidRDefault="00CC5C28" w14:paraId="194DDC45" w14:textId="77777777">
      <w:pPr>
        <w:spacing w:after="0" w:line="240" w:lineRule="auto"/>
        <w:rPr>
          <w:rFonts w:ascii="Verdana" w:hAnsi="Verdana"/>
          <w:sz w:val="18"/>
          <w:szCs w:val="18"/>
        </w:rPr>
      </w:pPr>
    </w:p>
    <w:p w:rsidRPr="006F633C" w:rsidR="00CC5C28" w:rsidP="000E1AD6" w:rsidRDefault="00CC5C28" w14:paraId="5B080C92" w14:textId="77777777">
      <w:pPr>
        <w:spacing w:after="0" w:line="240" w:lineRule="auto"/>
        <w:rPr>
          <w:rFonts w:ascii="Verdana" w:hAnsi="Verdana"/>
          <w:sz w:val="18"/>
          <w:szCs w:val="18"/>
          <w:u w:val="single"/>
        </w:rPr>
      </w:pPr>
      <w:r w:rsidRPr="006F633C">
        <w:rPr>
          <w:rFonts w:ascii="Verdana" w:hAnsi="Verdana"/>
          <w:sz w:val="18"/>
          <w:szCs w:val="18"/>
          <w:u w:val="single"/>
        </w:rPr>
        <w:t>Antwoord</w:t>
      </w:r>
      <w:r>
        <w:rPr>
          <w:rFonts w:ascii="Verdana" w:hAnsi="Verdana"/>
          <w:sz w:val="18"/>
          <w:szCs w:val="18"/>
          <w:u w:val="single"/>
        </w:rPr>
        <w:t xml:space="preserve"> 3</w:t>
      </w:r>
    </w:p>
    <w:p w:rsidRPr="006F633C" w:rsidR="00CC5C28" w:rsidP="000E1AD6" w:rsidRDefault="00CC5C28" w14:paraId="5ED71E25" w14:textId="77777777">
      <w:pPr>
        <w:spacing w:after="0" w:line="240" w:lineRule="auto"/>
        <w:rPr>
          <w:rFonts w:ascii="Verdana" w:hAnsi="Verdana"/>
          <w:sz w:val="18"/>
          <w:szCs w:val="18"/>
        </w:rPr>
      </w:pPr>
      <w:r w:rsidRPr="006F633C">
        <w:rPr>
          <w:rFonts w:ascii="Verdana" w:hAnsi="Verdana"/>
          <w:sz w:val="18"/>
          <w:szCs w:val="18"/>
        </w:rPr>
        <w:t>In 2025 bedroeg de netto arbeidsparticipatie van mensen op de AOW-leeftijd</w:t>
      </w:r>
      <w:r w:rsidRPr="006F633C">
        <w:rPr>
          <w:rStyle w:val="Voetnootmarkering"/>
          <w:rFonts w:ascii="Verdana" w:hAnsi="Verdana"/>
          <w:sz w:val="18"/>
          <w:szCs w:val="18"/>
        </w:rPr>
        <w:footnoteReference w:id="3"/>
      </w:r>
      <w:r w:rsidRPr="006F633C">
        <w:rPr>
          <w:rFonts w:ascii="Verdana" w:hAnsi="Verdana"/>
          <w:sz w:val="18"/>
          <w:szCs w:val="18"/>
        </w:rPr>
        <w:t xml:space="preserve"> of ouder 9 procent</w:t>
      </w:r>
      <w:r w:rsidRPr="006F633C">
        <w:rPr>
          <w:rStyle w:val="Voetnootmarkering"/>
          <w:rFonts w:ascii="Verdana" w:hAnsi="Verdana"/>
          <w:sz w:val="18"/>
          <w:szCs w:val="18"/>
        </w:rPr>
        <w:footnoteReference w:id="4"/>
      </w:r>
      <w:r w:rsidRPr="006F633C">
        <w:rPr>
          <w:rFonts w:ascii="Verdana" w:hAnsi="Verdana"/>
          <w:sz w:val="18"/>
          <w:szCs w:val="18"/>
        </w:rPr>
        <w:t xml:space="preserve">. De netto arbeidsparticipatie betreft het aandeel werkenden in de bevolking, in dit geval voor de mensen op de AOW-leeftijd of ouder. </w:t>
      </w:r>
    </w:p>
    <w:p w:rsidR="00B06B15" w:rsidP="000E1AD6" w:rsidRDefault="00B06B15" w14:paraId="17205E66" w14:textId="77777777">
      <w:pPr>
        <w:spacing w:after="0" w:line="240" w:lineRule="auto"/>
        <w:rPr>
          <w:rFonts w:ascii="Verdana" w:hAnsi="Verdana"/>
          <w:sz w:val="18"/>
          <w:szCs w:val="18"/>
        </w:rPr>
      </w:pPr>
    </w:p>
    <w:p w:rsidRPr="002971FE" w:rsidR="009A192F" w:rsidP="000E1AD6" w:rsidRDefault="009A192F" w14:paraId="4D772419" w14:textId="77777777">
      <w:pPr>
        <w:spacing w:after="0" w:line="240" w:lineRule="auto"/>
        <w:rPr>
          <w:rFonts w:ascii="Verdana" w:hAnsi="Verdana"/>
          <w:sz w:val="18"/>
          <w:szCs w:val="18"/>
          <w:u w:val="single"/>
        </w:rPr>
      </w:pPr>
      <w:r w:rsidRPr="002971FE">
        <w:rPr>
          <w:rFonts w:ascii="Verdana" w:hAnsi="Verdana"/>
          <w:sz w:val="18"/>
          <w:szCs w:val="18"/>
          <w:u w:val="single"/>
        </w:rPr>
        <w:t>Vraag 4</w:t>
      </w:r>
    </w:p>
    <w:p w:rsidRPr="002971FE" w:rsidR="009A192F" w:rsidP="000E1AD6" w:rsidRDefault="009A192F" w14:paraId="6EB0C4AC" w14:textId="77777777">
      <w:pPr>
        <w:spacing w:after="0" w:line="240" w:lineRule="auto"/>
        <w:rPr>
          <w:rFonts w:ascii="Verdana" w:hAnsi="Verdana"/>
          <w:sz w:val="18"/>
          <w:szCs w:val="18"/>
        </w:rPr>
      </w:pPr>
      <w:r w:rsidRPr="002971FE">
        <w:rPr>
          <w:rFonts w:ascii="Verdana" w:hAnsi="Verdana"/>
          <w:sz w:val="18"/>
          <w:szCs w:val="18"/>
        </w:rPr>
        <w:t>Kunt u in een grafiek het aantal Nederlanders met een arbeidsongeschiktheidsuitkering uitdrukken sinds 2010? Met 2010 = 100?</w:t>
      </w:r>
    </w:p>
    <w:p w:rsidRPr="002971FE" w:rsidR="009A192F" w:rsidP="000E1AD6" w:rsidRDefault="009A192F" w14:paraId="0E75E26A" w14:textId="77777777">
      <w:pPr>
        <w:spacing w:after="0" w:line="240" w:lineRule="auto"/>
        <w:rPr>
          <w:rFonts w:ascii="Verdana" w:hAnsi="Verdana"/>
          <w:sz w:val="18"/>
          <w:szCs w:val="18"/>
        </w:rPr>
      </w:pPr>
    </w:p>
    <w:p w:rsidRPr="002971FE" w:rsidR="009A192F" w:rsidP="000E1AD6" w:rsidRDefault="009A192F" w14:paraId="5B7BAD96" w14:textId="77777777">
      <w:pPr>
        <w:spacing w:after="0" w:line="240" w:lineRule="auto"/>
        <w:rPr>
          <w:rFonts w:ascii="Verdana" w:hAnsi="Verdana"/>
          <w:sz w:val="18"/>
          <w:szCs w:val="18"/>
          <w:u w:val="single"/>
        </w:rPr>
      </w:pPr>
      <w:r w:rsidRPr="002971FE">
        <w:rPr>
          <w:rFonts w:ascii="Verdana" w:hAnsi="Verdana"/>
          <w:sz w:val="18"/>
          <w:szCs w:val="18"/>
          <w:u w:val="single"/>
        </w:rPr>
        <w:t xml:space="preserve">Antwoord </w:t>
      </w:r>
      <w:r>
        <w:rPr>
          <w:rFonts w:ascii="Verdana" w:hAnsi="Verdana"/>
          <w:sz w:val="18"/>
          <w:szCs w:val="18"/>
          <w:u w:val="single"/>
        </w:rPr>
        <w:t>4</w:t>
      </w:r>
    </w:p>
    <w:p w:rsidR="009A192F" w:rsidP="000E1AD6" w:rsidRDefault="009A192F" w14:paraId="32BF2C5C" w14:textId="77777777">
      <w:pPr>
        <w:spacing w:after="0" w:line="240" w:lineRule="auto"/>
        <w:rPr>
          <w:rFonts w:ascii="Verdana" w:hAnsi="Verdana"/>
          <w:sz w:val="18"/>
          <w:szCs w:val="18"/>
        </w:rPr>
      </w:pPr>
      <w:r w:rsidRPr="002971FE">
        <w:rPr>
          <w:rFonts w:ascii="Verdana" w:hAnsi="Verdana"/>
          <w:sz w:val="18"/>
          <w:szCs w:val="18"/>
        </w:rPr>
        <w:t xml:space="preserve">De grafiek hieronder </w:t>
      </w:r>
      <w:r>
        <w:rPr>
          <w:rFonts w:ascii="Verdana" w:hAnsi="Verdana"/>
          <w:sz w:val="18"/>
          <w:szCs w:val="18"/>
        </w:rPr>
        <w:t>geeft</w:t>
      </w:r>
      <w:r w:rsidRPr="002971FE">
        <w:rPr>
          <w:rFonts w:ascii="Verdana" w:hAnsi="Verdana"/>
          <w:sz w:val="18"/>
          <w:szCs w:val="18"/>
        </w:rPr>
        <w:t xml:space="preserve"> het aantal uitkeringsontvangers aan van de arbeidsongeschiktheidsregelingen (AO) sinds 2010</w:t>
      </w:r>
      <w:r>
        <w:rPr>
          <w:rFonts w:ascii="Verdana" w:hAnsi="Verdana"/>
          <w:sz w:val="18"/>
          <w:szCs w:val="18"/>
        </w:rPr>
        <w:t xml:space="preserve"> (met 2010 = 100)</w:t>
      </w:r>
      <w:r w:rsidRPr="002971FE">
        <w:rPr>
          <w:rFonts w:ascii="Verdana" w:hAnsi="Verdana"/>
          <w:sz w:val="18"/>
          <w:szCs w:val="18"/>
        </w:rPr>
        <w:t>. De volumes zijn volgens de definitie van het CBS en hebben betrekking op de WAO, WAZ, WIA, Wajong en ZW.</w:t>
      </w:r>
      <w:r>
        <w:rPr>
          <w:rFonts w:ascii="Verdana" w:hAnsi="Verdana"/>
          <w:sz w:val="18"/>
          <w:szCs w:val="18"/>
        </w:rPr>
        <w:t xml:space="preserve"> De volumes betreffen het aantal uitkeringen aan het eind van het kalenderjaar.</w:t>
      </w:r>
    </w:p>
    <w:p w:rsidR="000E1AD6" w:rsidP="009A192F" w:rsidRDefault="000E1AD6" w14:paraId="063E4401" w14:textId="77777777">
      <w:pPr>
        <w:spacing w:after="0" w:line="240" w:lineRule="auto"/>
        <w:rPr>
          <w:rFonts w:ascii="Verdana" w:hAnsi="Verdana"/>
          <w:i/>
          <w:iCs/>
          <w:sz w:val="18"/>
          <w:szCs w:val="18"/>
        </w:rPr>
      </w:pPr>
    </w:p>
    <w:p w:rsidR="000E1AD6" w:rsidRDefault="000E1AD6" w14:paraId="73DA2F1E" w14:textId="77777777">
      <w:pPr>
        <w:rPr>
          <w:rFonts w:ascii="Verdana" w:hAnsi="Verdana"/>
          <w:i/>
          <w:iCs/>
          <w:sz w:val="18"/>
          <w:szCs w:val="18"/>
        </w:rPr>
      </w:pPr>
      <w:r>
        <w:rPr>
          <w:rFonts w:ascii="Verdana" w:hAnsi="Verdana"/>
          <w:i/>
          <w:iCs/>
          <w:sz w:val="18"/>
          <w:szCs w:val="18"/>
        </w:rPr>
        <w:br w:type="page"/>
      </w:r>
    </w:p>
    <w:p w:rsidRPr="004038AE" w:rsidR="009A192F" w:rsidP="009A192F" w:rsidRDefault="009A192F" w14:paraId="6B15893B" w14:textId="1DC3993B">
      <w:pPr>
        <w:spacing w:after="0" w:line="240" w:lineRule="auto"/>
        <w:rPr>
          <w:rFonts w:ascii="Verdana" w:hAnsi="Verdana"/>
          <w:i/>
          <w:iCs/>
          <w:sz w:val="18"/>
          <w:szCs w:val="18"/>
        </w:rPr>
      </w:pPr>
      <w:r>
        <w:rPr>
          <w:rFonts w:ascii="Verdana" w:hAnsi="Verdana"/>
          <w:i/>
          <w:iCs/>
          <w:sz w:val="18"/>
          <w:szCs w:val="18"/>
        </w:rPr>
        <w:lastRenderedPageBreak/>
        <w:t>Grafiek: het aantal arbeidsongeschiktheidsuitkeringen sinds 2010 (2010 = 100)</w:t>
      </w:r>
    </w:p>
    <w:p w:rsidR="009A192F" w:rsidP="009A192F" w:rsidRDefault="009A192F" w14:paraId="343E8509" w14:textId="77777777">
      <w:pPr>
        <w:rPr>
          <w:rFonts w:ascii="Verdana" w:hAnsi="Verdana"/>
          <w:sz w:val="18"/>
          <w:szCs w:val="18"/>
          <w:highlight w:val="yellow"/>
        </w:rPr>
      </w:pPr>
      <w:r>
        <w:rPr>
          <w:noProof/>
        </w:rPr>
        <w:drawing>
          <wp:inline distT="0" distB="0" distL="0" distR="0" wp14:anchorId="7537F2E9" wp14:editId="7E6EC39C">
            <wp:extent cx="4572000" cy="2743200"/>
            <wp:effectExtent l="0" t="0" r="0" b="0"/>
            <wp:docPr id="2027703113" name="Grafiek 1">
              <a:extLst xmlns:a="http://schemas.openxmlformats.org/drawingml/2006/main">
                <a:ext uri="{FF2B5EF4-FFF2-40B4-BE49-F238E27FC236}">
                  <a16:creationId xmlns:a16="http://schemas.microsoft.com/office/drawing/2014/main" id="{C9109E62-7F99-48E5-A388-16BD76C63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0E1AD6" w:rsidR="009A192F" w:rsidP="009A192F" w:rsidRDefault="009A192F" w14:paraId="5D82739F" w14:textId="77777777">
      <w:pPr>
        <w:spacing w:after="0" w:line="240" w:lineRule="auto"/>
        <w:rPr>
          <w:rFonts w:ascii="Verdana" w:hAnsi="Verdana"/>
          <w:sz w:val="16"/>
          <w:szCs w:val="16"/>
        </w:rPr>
      </w:pPr>
      <w:r w:rsidRPr="000E1AD6">
        <w:rPr>
          <w:rFonts w:ascii="Verdana" w:hAnsi="Verdana"/>
          <w:sz w:val="16"/>
          <w:szCs w:val="16"/>
        </w:rPr>
        <w:t>Bron: CBS, Statline, geraadpleegd op 28-05-2026.</w:t>
      </w:r>
    </w:p>
    <w:p w:rsidR="009A192F" w:rsidP="000E1AD6" w:rsidRDefault="009A192F" w14:paraId="709A944B" w14:textId="77777777">
      <w:pPr>
        <w:spacing w:after="0" w:line="240" w:lineRule="auto"/>
        <w:rPr>
          <w:rFonts w:ascii="Verdana" w:hAnsi="Verdana"/>
          <w:sz w:val="18"/>
          <w:szCs w:val="18"/>
          <w:highlight w:val="yellow"/>
        </w:rPr>
      </w:pPr>
    </w:p>
    <w:p w:rsidRPr="000E1AD6" w:rsidR="009A192F" w:rsidP="009A192F" w:rsidRDefault="009A192F" w14:paraId="7B96D8A5" w14:textId="77777777">
      <w:pPr>
        <w:spacing w:after="0" w:line="240" w:lineRule="auto"/>
        <w:rPr>
          <w:rFonts w:ascii="Verdana" w:hAnsi="Verdana"/>
          <w:sz w:val="18"/>
          <w:szCs w:val="18"/>
          <w:u w:val="single"/>
        </w:rPr>
      </w:pPr>
      <w:r w:rsidRPr="000E1AD6">
        <w:rPr>
          <w:rFonts w:ascii="Verdana" w:hAnsi="Verdana"/>
          <w:sz w:val="18"/>
          <w:szCs w:val="18"/>
          <w:u w:val="single"/>
        </w:rPr>
        <w:t>Vraag 5</w:t>
      </w:r>
    </w:p>
    <w:p w:rsidRPr="000E1AD6" w:rsidR="009A192F" w:rsidP="009A192F" w:rsidRDefault="009A192F" w14:paraId="65023CA2" w14:textId="77777777">
      <w:pPr>
        <w:spacing w:after="0" w:line="240" w:lineRule="auto"/>
        <w:rPr>
          <w:rFonts w:ascii="Verdana" w:hAnsi="Verdana"/>
          <w:sz w:val="18"/>
          <w:szCs w:val="18"/>
        </w:rPr>
      </w:pPr>
      <w:r w:rsidRPr="000E1AD6">
        <w:rPr>
          <w:rFonts w:ascii="Verdana" w:hAnsi="Verdana"/>
          <w:sz w:val="18"/>
          <w:szCs w:val="18"/>
        </w:rPr>
        <w:t>Hoeveel Nederlanders ontvangen een sociale uitkering en/of toeslag?</w:t>
      </w:r>
    </w:p>
    <w:p w:rsidRPr="000E1AD6" w:rsidR="009A192F" w:rsidP="009A192F" w:rsidRDefault="009A192F" w14:paraId="21DCF516" w14:textId="77777777">
      <w:pPr>
        <w:spacing w:after="0" w:line="240" w:lineRule="auto"/>
        <w:rPr>
          <w:rFonts w:ascii="Verdana" w:hAnsi="Verdana"/>
          <w:sz w:val="18"/>
          <w:szCs w:val="18"/>
        </w:rPr>
      </w:pPr>
    </w:p>
    <w:p w:rsidRPr="000E1AD6" w:rsidR="009A192F" w:rsidP="009A192F" w:rsidRDefault="009A192F" w14:paraId="34B3057D" w14:textId="77777777">
      <w:pPr>
        <w:spacing w:after="0" w:line="240" w:lineRule="auto"/>
        <w:rPr>
          <w:rFonts w:ascii="Verdana" w:hAnsi="Verdana"/>
          <w:sz w:val="18"/>
          <w:szCs w:val="18"/>
          <w:u w:val="single"/>
        </w:rPr>
      </w:pPr>
      <w:r w:rsidRPr="000E1AD6">
        <w:rPr>
          <w:rFonts w:ascii="Verdana" w:hAnsi="Verdana"/>
          <w:sz w:val="18"/>
          <w:szCs w:val="18"/>
          <w:u w:val="single"/>
        </w:rPr>
        <w:t>Antwoord 5</w:t>
      </w:r>
    </w:p>
    <w:p w:rsidRPr="000E1AD6" w:rsidR="009A192F" w:rsidP="009A192F" w:rsidRDefault="009A192F" w14:paraId="52E6649A" w14:textId="0E316BE6">
      <w:pPr>
        <w:pStyle w:val="Voetnoottekst"/>
        <w:rPr>
          <w:rFonts w:ascii="Verdana" w:hAnsi="Verdana"/>
          <w:sz w:val="18"/>
          <w:szCs w:val="18"/>
        </w:rPr>
      </w:pPr>
      <w:r w:rsidRPr="000E1AD6">
        <w:rPr>
          <w:rFonts w:ascii="Verdana" w:hAnsi="Verdana"/>
          <w:sz w:val="18"/>
          <w:szCs w:val="18"/>
        </w:rPr>
        <w:t>Volgens de meest recente definitieve cijfers (november 2025) ontvangen 5.120.110 personen een uitkering in het kader van de Werkloosheidswet (WW), Bijstandsgerelateerde wet (P</w:t>
      </w:r>
      <w:r w:rsidRPr="000E1AD6" w:rsidR="000E1AD6">
        <w:rPr>
          <w:rFonts w:ascii="Verdana" w:hAnsi="Verdana"/>
          <w:sz w:val="18"/>
          <w:szCs w:val="18"/>
        </w:rPr>
        <w:t>articipatie</w:t>
      </w:r>
      <w:r w:rsidRPr="000E1AD6">
        <w:rPr>
          <w:rFonts w:ascii="Verdana" w:hAnsi="Verdana"/>
          <w:sz w:val="18"/>
          <w:szCs w:val="18"/>
        </w:rPr>
        <w:t xml:space="preserve">wet, IOAW, IOAZ, Bbz), arbeidsongeschiktheidswet (WAO, WIA, WAZ, Wajong, Wet Wajong 2015) of de Algemene ouderdomswet (AOW) (Bron: </w:t>
      </w:r>
      <w:hyperlink w:history="1" w:anchor="/CBS/nl/dataset/80794ned/table?dl=D5688" r:id="rId9">
        <w:r w:rsidRPr="000E1AD6">
          <w:rPr>
            <w:rStyle w:val="Hyperlink"/>
            <w:rFonts w:ascii="Verdana" w:hAnsi="Verdana"/>
            <w:sz w:val="18"/>
            <w:szCs w:val="18"/>
          </w:rPr>
          <w:t>CBS, Statline</w:t>
        </w:r>
      </w:hyperlink>
      <w:r w:rsidRPr="000E1AD6">
        <w:rPr>
          <w:rFonts w:ascii="Verdana" w:hAnsi="Verdana"/>
          <w:sz w:val="18"/>
          <w:szCs w:val="18"/>
        </w:rPr>
        <w:t>, geraadpleegd 28-05-2026).</w:t>
      </w:r>
    </w:p>
    <w:p w:rsidRPr="000E1AD6" w:rsidR="009A192F" w:rsidP="009A192F" w:rsidRDefault="009A192F" w14:paraId="6BAE39C4" w14:textId="77777777">
      <w:pPr>
        <w:spacing w:after="0" w:line="240" w:lineRule="auto"/>
        <w:rPr>
          <w:rFonts w:ascii="Verdana" w:hAnsi="Verdana"/>
          <w:sz w:val="18"/>
          <w:szCs w:val="18"/>
        </w:rPr>
      </w:pPr>
    </w:p>
    <w:p w:rsidRPr="000E1AD6" w:rsidR="009A192F" w:rsidP="009A192F" w:rsidRDefault="009A192F" w14:paraId="15EAFB88" w14:textId="77777777">
      <w:pPr>
        <w:spacing w:after="0" w:line="240" w:lineRule="auto"/>
        <w:rPr>
          <w:rFonts w:ascii="Verdana" w:hAnsi="Verdana"/>
          <w:sz w:val="18"/>
          <w:szCs w:val="18"/>
        </w:rPr>
      </w:pPr>
      <w:r w:rsidRPr="000E1AD6">
        <w:rPr>
          <w:rFonts w:ascii="Verdana" w:hAnsi="Verdana"/>
          <w:sz w:val="18"/>
          <w:szCs w:val="18"/>
        </w:rPr>
        <w:t xml:space="preserve">Toeslagen worden toegekend op huishoudensniveau, waarbij in 2025 circa 6 miljoen huishoudens één of meer toeslagen ontvingen (Bron: </w:t>
      </w:r>
      <w:hyperlink w:history="1" r:id="rId10">
        <w:r w:rsidRPr="000E1AD6">
          <w:rPr>
            <w:rStyle w:val="Hyperlink"/>
            <w:rFonts w:ascii="Verdana" w:hAnsi="Verdana"/>
            <w:sz w:val="18"/>
            <w:szCs w:val="18"/>
          </w:rPr>
          <w:t>Dienst Toeslagen, aantallen en bedragen</w:t>
        </w:r>
      </w:hyperlink>
      <w:r w:rsidRPr="000E1AD6">
        <w:rPr>
          <w:rFonts w:ascii="Verdana" w:hAnsi="Verdana"/>
          <w:sz w:val="18"/>
          <w:szCs w:val="18"/>
        </w:rPr>
        <w:t>, geraadpleegd op 28-05-2026). Cijfers over toeslagen zijn niet beschikbaar op persoonsniveau.</w:t>
      </w:r>
    </w:p>
    <w:p w:rsidRPr="000E1AD6" w:rsidR="009A192F" w:rsidP="005A6AAA" w:rsidRDefault="009A192F" w14:paraId="18D28CAE" w14:textId="77777777">
      <w:pPr>
        <w:spacing w:after="0" w:line="240" w:lineRule="auto"/>
        <w:rPr>
          <w:rFonts w:ascii="Verdana" w:hAnsi="Verdana"/>
          <w:sz w:val="18"/>
          <w:szCs w:val="18"/>
        </w:rPr>
      </w:pPr>
    </w:p>
    <w:p w:rsidRPr="000E1AD6" w:rsidR="00B06B15" w:rsidP="00B06B15" w:rsidRDefault="00B06B15" w14:paraId="404027CB" w14:textId="77777777">
      <w:pPr>
        <w:spacing w:after="0" w:line="240" w:lineRule="auto"/>
        <w:rPr>
          <w:rFonts w:ascii="Verdana" w:hAnsi="Verdana"/>
          <w:sz w:val="18"/>
          <w:szCs w:val="18"/>
          <w:u w:val="single"/>
        </w:rPr>
      </w:pPr>
      <w:r w:rsidRPr="000E1AD6">
        <w:rPr>
          <w:rFonts w:ascii="Verdana" w:hAnsi="Verdana"/>
          <w:sz w:val="18"/>
          <w:szCs w:val="18"/>
          <w:u w:val="single"/>
        </w:rPr>
        <w:t>Vraag 6</w:t>
      </w:r>
    </w:p>
    <w:p w:rsidRPr="000E1AD6" w:rsidR="00B06B15" w:rsidP="00B06B15" w:rsidRDefault="00B06B15" w14:paraId="784361BF" w14:textId="77777777">
      <w:pPr>
        <w:spacing w:after="0" w:line="240" w:lineRule="auto"/>
        <w:rPr>
          <w:rFonts w:ascii="Verdana" w:hAnsi="Verdana"/>
          <w:sz w:val="18"/>
          <w:szCs w:val="18"/>
        </w:rPr>
      </w:pPr>
      <w:r w:rsidRPr="000E1AD6">
        <w:rPr>
          <w:rFonts w:ascii="Verdana" w:hAnsi="Verdana"/>
          <w:sz w:val="18"/>
          <w:szCs w:val="18"/>
        </w:rPr>
        <w:t>Wat zijn de apparaatskosten van het Uitvoeringsinstituut Werknemersverzekeringen (UWV) in 2025? Hoeveel hiervan is kosten voor personeel? Hoe hebben beide aantallen zich ontwikkeld?</w:t>
      </w:r>
    </w:p>
    <w:p w:rsidRPr="000E1AD6" w:rsidR="00B06B15" w:rsidP="00B06B15" w:rsidRDefault="00B06B15" w14:paraId="4C09D5C5" w14:textId="77777777">
      <w:pPr>
        <w:spacing w:after="0" w:line="240" w:lineRule="auto"/>
        <w:rPr>
          <w:rFonts w:ascii="Verdana" w:hAnsi="Verdana"/>
          <w:sz w:val="18"/>
          <w:szCs w:val="18"/>
        </w:rPr>
      </w:pPr>
    </w:p>
    <w:p w:rsidRPr="000E1AD6" w:rsidR="00B06B15" w:rsidP="00B06B15" w:rsidRDefault="00B06B15" w14:paraId="305ACA4C" w14:textId="77777777">
      <w:pPr>
        <w:spacing w:after="0" w:line="240" w:lineRule="auto"/>
        <w:rPr>
          <w:rFonts w:ascii="Verdana" w:hAnsi="Verdana"/>
          <w:sz w:val="18"/>
          <w:szCs w:val="18"/>
          <w:u w:val="single"/>
        </w:rPr>
      </w:pPr>
      <w:r w:rsidRPr="000E1AD6">
        <w:rPr>
          <w:rFonts w:ascii="Verdana" w:hAnsi="Verdana"/>
          <w:sz w:val="18"/>
          <w:szCs w:val="18"/>
          <w:u w:val="single"/>
        </w:rPr>
        <w:t>Antwoord 6</w:t>
      </w:r>
    </w:p>
    <w:p w:rsidRPr="000E1AD6" w:rsidR="00B06B15" w:rsidP="00B06B15" w:rsidRDefault="00B06B15" w14:paraId="260F9662" w14:textId="533615CA">
      <w:pPr>
        <w:spacing w:after="0" w:line="240" w:lineRule="auto"/>
        <w:rPr>
          <w:rFonts w:ascii="Verdana" w:hAnsi="Verdana"/>
          <w:sz w:val="18"/>
          <w:szCs w:val="18"/>
        </w:rPr>
      </w:pPr>
      <w:r w:rsidRPr="000E1AD6">
        <w:rPr>
          <w:rFonts w:ascii="Verdana" w:hAnsi="Verdana"/>
          <w:sz w:val="18"/>
          <w:szCs w:val="18"/>
        </w:rPr>
        <w:t>De totale apparaatskosten van UWV bedroegen netto € 2.662 miljoen, waarvan het aandeel personeelskosten € 2.196 miljoen betrof in 2025. Ten opzichte van 2024 betekent dat een stijging van € 51 miljoen van de totale apparaatskosten van UWV. Voor het aandeel personeelskosten betekent dit een stijging van € 32 miljoen in 2025 ten opzichte van 2024 (bron: UWV, jaarverslag 2025, pagina 102).</w:t>
      </w:r>
    </w:p>
    <w:p w:rsidRPr="000E1AD6" w:rsidR="00B06B15" w:rsidP="005A6AAA" w:rsidRDefault="00B06B15" w14:paraId="4A447B6F" w14:textId="77777777">
      <w:pPr>
        <w:spacing w:after="0" w:line="240" w:lineRule="auto"/>
        <w:rPr>
          <w:rFonts w:ascii="Verdana" w:hAnsi="Verdana"/>
          <w:sz w:val="18"/>
          <w:szCs w:val="18"/>
        </w:rPr>
      </w:pPr>
    </w:p>
    <w:p w:rsidRPr="000E1AD6" w:rsidR="00B06B15" w:rsidP="00B06B15" w:rsidRDefault="00B06B15" w14:paraId="414E6494" w14:textId="77777777">
      <w:pPr>
        <w:spacing w:after="0" w:line="240" w:lineRule="auto"/>
        <w:rPr>
          <w:rFonts w:ascii="Verdana" w:hAnsi="Verdana"/>
          <w:sz w:val="18"/>
          <w:szCs w:val="18"/>
          <w:u w:val="single"/>
        </w:rPr>
      </w:pPr>
      <w:r w:rsidRPr="000E1AD6">
        <w:rPr>
          <w:rFonts w:ascii="Verdana" w:hAnsi="Verdana"/>
          <w:sz w:val="18"/>
          <w:szCs w:val="18"/>
          <w:u w:val="single"/>
        </w:rPr>
        <w:t>Vraag 7</w:t>
      </w:r>
    </w:p>
    <w:p w:rsidRPr="000E1AD6" w:rsidR="00B06B15" w:rsidP="00B06B15" w:rsidRDefault="00B06B15" w14:paraId="777560FF" w14:textId="77777777">
      <w:pPr>
        <w:spacing w:after="0" w:line="240" w:lineRule="auto"/>
        <w:rPr>
          <w:rFonts w:ascii="Verdana" w:hAnsi="Verdana"/>
          <w:sz w:val="18"/>
          <w:szCs w:val="18"/>
        </w:rPr>
      </w:pPr>
      <w:r w:rsidRPr="000E1AD6">
        <w:rPr>
          <w:rFonts w:ascii="Verdana" w:hAnsi="Verdana"/>
          <w:sz w:val="18"/>
          <w:szCs w:val="18"/>
        </w:rPr>
        <w:t>Hoeveel dossiers behandelde UWV in 2025?</w:t>
      </w:r>
    </w:p>
    <w:p w:rsidRPr="000E1AD6" w:rsidR="00B06B15" w:rsidP="00B06B15" w:rsidRDefault="00B06B15" w14:paraId="6D1711AB" w14:textId="77777777">
      <w:pPr>
        <w:spacing w:after="0" w:line="240" w:lineRule="auto"/>
        <w:rPr>
          <w:rFonts w:ascii="Verdana" w:hAnsi="Verdana"/>
          <w:sz w:val="18"/>
          <w:szCs w:val="18"/>
        </w:rPr>
      </w:pPr>
    </w:p>
    <w:p w:rsidRPr="000E1AD6" w:rsidR="00B06B15" w:rsidP="00B06B15" w:rsidRDefault="00B06B15" w14:paraId="290DB0DA" w14:textId="77777777">
      <w:pPr>
        <w:spacing w:after="0" w:line="240" w:lineRule="auto"/>
        <w:rPr>
          <w:rFonts w:ascii="Verdana" w:hAnsi="Verdana"/>
          <w:sz w:val="18"/>
          <w:szCs w:val="18"/>
          <w:u w:val="single"/>
        </w:rPr>
      </w:pPr>
      <w:r w:rsidRPr="000E1AD6">
        <w:rPr>
          <w:rFonts w:ascii="Verdana" w:hAnsi="Verdana"/>
          <w:sz w:val="18"/>
          <w:szCs w:val="18"/>
          <w:u w:val="single"/>
        </w:rPr>
        <w:t xml:space="preserve">Antwoord 7 </w:t>
      </w:r>
    </w:p>
    <w:p w:rsidRPr="000E1AD6" w:rsidR="00B06B15" w:rsidP="00B06B15" w:rsidRDefault="00B06B15" w14:paraId="0D466C0C" w14:textId="5A7BA9A2">
      <w:pPr>
        <w:spacing w:after="0" w:line="240" w:lineRule="auto"/>
        <w:rPr>
          <w:rFonts w:ascii="Verdana" w:hAnsi="Verdana"/>
          <w:sz w:val="18"/>
          <w:szCs w:val="18"/>
        </w:rPr>
      </w:pPr>
      <w:r w:rsidRPr="000E1AD6">
        <w:rPr>
          <w:rFonts w:ascii="Verdana" w:hAnsi="Verdana"/>
          <w:sz w:val="18"/>
          <w:szCs w:val="18"/>
        </w:rPr>
        <w:t>Elke maand ondersteunt UWV bijna 1,3 miljoen mensen. De overzichten van lopende, nieuwe en beëindigde uitkeringen per wet, zoals weergegeven op pagina 8 van het jaarverslag, geven een benadering van het aantal dossier</w:t>
      </w:r>
      <w:r w:rsidR="00BD7493">
        <w:rPr>
          <w:rFonts w:ascii="Verdana" w:hAnsi="Verdana"/>
          <w:sz w:val="18"/>
          <w:szCs w:val="18"/>
        </w:rPr>
        <w:t>s</w:t>
      </w:r>
      <w:r w:rsidRPr="000E1AD6">
        <w:rPr>
          <w:rFonts w:ascii="Verdana" w:hAnsi="Verdana"/>
          <w:sz w:val="18"/>
          <w:szCs w:val="18"/>
        </w:rPr>
        <w:t xml:space="preserve"> dat UWV in 2025 behandelde. UWV rapporteert hiernaast uitgebreid in het jaarverslag over verschillende typen andersoortige dossiers, onder meer gerelateerd aan herstel</w:t>
      </w:r>
      <w:r w:rsidR="00BD7493">
        <w:rPr>
          <w:rFonts w:ascii="Verdana" w:hAnsi="Verdana"/>
          <w:sz w:val="18"/>
          <w:szCs w:val="18"/>
        </w:rPr>
        <w:t>-</w:t>
      </w:r>
      <w:r w:rsidRPr="000E1AD6">
        <w:rPr>
          <w:rFonts w:ascii="Verdana" w:hAnsi="Verdana"/>
          <w:sz w:val="18"/>
          <w:szCs w:val="18"/>
        </w:rPr>
        <w:t xml:space="preserve"> en corrigeeracties. </w:t>
      </w:r>
    </w:p>
    <w:p w:rsidRPr="000E1AD6" w:rsidR="00B06B15" w:rsidP="005A6AAA" w:rsidRDefault="00B06B15" w14:paraId="7EEF66F9" w14:textId="77777777">
      <w:pPr>
        <w:spacing w:after="0" w:line="240" w:lineRule="auto"/>
        <w:rPr>
          <w:rFonts w:ascii="Verdana" w:hAnsi="Verdana"/>
          <w:sz w:val="18"/>
          <w:szCs w:val="18"/>
        </w:rPr>
      </w:pPr>
    </w:p>
    <w:p w:rsidRPr="000E1AD6" w:rsidR="00DE65DA" w:rsidP="00DE65DA" w:rsidRDefault="00DE65DA" w14:paraId="303FA702" w14:textId="77777777">
      <w:pPr>
        <w:pStyle w:val="Geenafstand"/>
        <w:rPr>
          <w:rFonts w:ascii="Verdana" w:hAnsi="Verdana"/>
          <w:sz w:val="18"/>
          <w:szCs w:val="18"/>
          <w:u w:val="single"/>
        </w:rPr>
      </w:pPr>
      <w:r w:rsidRPr="000E1AD6">
        <w:rPr>
          <w:rFonts w:ascii="Verdana" w:hAnsi="Verdana"/>
          <w:sz w:val="18"/>
          <w:szCs w:val="18"/>
          <w:u w:val="single"/>
        </w:rPr>
        <w:t>Vraag 8</w:t>
      </w:r>
    </w:p>
    <w:p w:rsidRPr="000E1AD6" w:rsidR="00DE65DA" w:rsidP="00DE65DA" w:rsidRDefault="00DE65DA" w14:paraId="14F6CF3F" w14:textId="77777777">
      <w:pPr>
        <w:pStyle w:val="Geenafstand"/>
        <w:rPr>
          <w:rFonts w:ascii="Verdana" w:hAnsi="Verdana"/>
          <w:sz w:val="18"/>
          <w:szCs w:val="18"/>
        </w:rPr>
      </w:pPr>
      <w:r w:rsidRPr="000E1AD6">
        <w:rPr>
          <w:rFonts w:ascii="Verdana" w:hAnsi="Verdana"/>
          <w:sz w:val="18"/>
          <w:szCs w:val="18"/>
        </w:rPr>
        <w:t>Wat zijn de gemiddelde premiekosten voor de Wet werk en inkomen naar arbeidsvermogen (WIA) per werknemer in loondienst aan zowel de werkgevers- als de werknemerskant?</w:t>
      </w:r>
    </w:p>
    <w:p w:rsidRPr="000E1AD6" w:rsidR="00DE65DA" w:rsidP="00DE65DA" w:rsidRDefault="00DE65DA" w14:paraId="5B795D5B" w14:textId="77777777">
      <w:pPr>
        <w:pStyle w:val="Geenafstand"/>
        <w:rPr>
          <w:rFonts w:ascii="Verdana" w:hAnsi="Verdana"/>
          <w:sz w:val="18"/>
          <w:szCs w:val="18"/>
        </w:rPr>
      </w:pPr>
    </w:p>
    <w:p w:rsidRPr="000E1AD6" w:rsidR="00DE65DA" w:rsidP="00DE65DA" w:rsidRDefault="00DE65DA" w14:paraId="59FF521C" w14:textId="29993779">
      <w:pPr>
        <w:pStyle w:val="Geenafstand"/>
        <w:rPr>
          <w:rFonts w:ascii="Verdana" w:hAnsi="Verdana"/>
          <w:sz w:val="18"/>
          <w:szCs w:val="18"/>
          <w:u w:val="single"/>
        </w:rPr>
      </w:pPr>
      <w:r w:rsidRPr="000E1AD6">
        <w:rPr>
          <w:rFonts w:ascii="Verdana" w:hAnsi="Verdana"/>
          <w:sz w:val="18"/>
          <w:szCs w:val="18"/>
          <w:u w:val="single"/>
        </w:rPr>
        <w:t xml:space="preserve">Antwoord 8 </w:t>
      </w:r>
    </w:p>
    <w:p w:rsidRPr="00F65569" w:rsidR="00DE65DA" w:rsidP="00383B85" w:rsidRDefault="00DE65DA" w14:paraId="32FDE526" w14:textId="6D0A90A5">
      <w:pPr>
        <w:pStyle w:val="Geenafstand"/>
        <w:rPr>
          <w:rFonts w:ascii="Verdana" w:hAnsi="Verdana"/>
          <w:sz w:val="18"/>
          <w:szCs w:val="18"/>
        </w:rPr>
      </w:pPr>
      <w:r w:rsidRPr="00F65569">
        <w:rPr>
          <w:rFonts w:ascii="Verdana" w:hAnsi="Verdana"/>
          <w:sz w:val="18"/>
          <w:szCs w:val="18"/>
        </w:rPr>
        <w:lastRenderedPageBreak/>
        <w:t xml:space="preserve">Een compleet antwoord op deze vraag is niet te geven. </w:t>
      </w:r>
      <w:bookmarkStart w:name="_Hlk230937174" w:id="0"/>
      <w:r w:rsidRPr="00F65569">
        <w:rPr>
          <w:rFonts w:ascii="Verdana" w:hAnsi="Verdana"/>
          <w:sz w:val="18"/>
          <w:szCs w:val="18"/>
        </w:rPr>
        <w:t>De WIA bestaat uit twee regelingen: de Werkhervatting Gedeeltelijk Arbeidsgeschikten (WGA) en de Inkomensvoorziening Volledig Arbeidsongeschikten (IVA). Deze regelingen worden op een andere manier gefinancierd.</w:t>
      </w:r>
      <w:bookmarkStart w:name="_Hlk230963998" w:id="1"/>
      <w:bookmarkEnd w:id="0"/>
      <w:r w:rsidRPr="00F65569">
        <w:rPr>
          <w:rFonts w:ascii="Verdana" w:hAnsi="Verdana"/>
          <w:sz w:val="18"/>
          <w:szCs w:val="18"/>
        </w:rPr>
        <w:t xml:space="preserve"> IVA-uitkeringen en een deel van de WGA-uitkeringen worden betaald uit het arbeidsongeschiktheidsfonds (Aof). De Aof-premie was in 2025 voor kleine werkgevers 6,28% en voor (middel)grote werkgevers 7,64%. Vanuit het Aof worden ook andere zaken betaald zoals Wet op de arbeidsongeschiktheidsverzekering (WAO)-uitkeringen en Wet arbeid en zorg (Wazo)-uitkeringen. De Aof-premie hoeft niet lastendekkend te worden vastgesteld. Hierdoor is het niet mogelijk om de Aof-premie uit te splitsen in een tarief per regeling of een tarief voor de WIA. </w:t>
      </w:r>
      <w:bookmarkEnd w:id="1"/>
    </w:p>
    <w:p w:rsidRPr="00F65569" w:rsidR="00DE65DA" w:rsidP="00383B85" w:rsidRDefault="00DE65DA" w14:paraId="514CA8A3" w14:textId="77777777">
      <w:pPr>
        <w:pStyle w:val="Geenafstand"/>
        <w:rPr>
          <w:rFonts w:ascii="Verdana" w:hAnsi="Verdana"/>
          <w:sz w:val="18"/>
          <w:szCs w:val="18"/>
        </w:rPr>
      </w:pPr>
    </w:p>
    <w:p w:rsidRPr="00F65569" w:rsidR="00DE65DA" w:rsidP="00383B85" w:rsidRDefault="00DE65DA" w14:paraId="04EE5A26" w14:textId="77777777">
      <w:pPr>
        <w:pStyle w:val="Geenafstand"/>
        <w:rPr>
          <w:rFonts w:ascii="Verdana" w:hAnsi="Verdana"/>
          <w:sz w:val="18"/>
          <w:szCs w:val="18"/>
        </w:rPr>
      </w:pPr>
      <w:r w:rsidRPr="00F65569">
        <w:rPr>
          <w:rFonts w:ascii="Verdana" w:hAnsi="Verdana"/>
          <w:sz w:val="18"/>
          <w:szCs w:val="18"/>
        </w:rPr>
        <w:t xml:space="preserve">Het resterende deel van de WGA-uitkeringen wordt gefinancierd uit de werkhervattingskas (Whk) en door eigenrisicodragers. De Whk-premie is gedifferentieerd naar de grootte van de werkgever. Het zogenoemde ‘gemiddelde WGA Whk-premiepercentage’ van 2025 is 0,83%. Dat percentage wordt alleen door grote (en deels middelgrote) werkgevers betaald. De kleine (en deels middelgrote) werkgevers betalen een sectorale premie. Er zijn 69 verschillende sectoren. </w:t>
      </w:r>
    </w:p>
    <w:p w:rsidRPr="00F65569" w:rsidR="00DE65DA" w:rsidP="00383B85" w:rsidRDefault="00DE65DA" w14:paraId="47050A9E" w14:textId="77777777">
      <w:pPr>
        <w:pStyle w:val="Geenafstand"/>
        <w:rPr>
          <w:rFonts w:ascii="Verdana" w:hAnsi="Verdana"/>
          <w:sz w:val="18"/>
          <w:szCs w:val="18"/>
        </w:rPr>
      </w:pPr>
    </w:p>
    <w:p w:rsidRPr="00F65569" w:rsidR="00DE65DA" w:rsidP="00383B85" w:rsidRDefault="00DE65DA" w14:paraId="27752CB0" w14:textId="77777777">
      <w:pPr>
        <w:pStyle w:val="Geenafstand"/>
        <w:rPr>
          <w:rFonts w:ascii="Verdana" w:hAnsi="Verdana"/>
          <w:sz w:val="18"/>
          <w:szCs w:val="18"/>
        </w:rPr>
      </w:pPr>
      <w:r w:rsidRPr="00F65569">
        <w:rPr>
          <w:rFonts w:ascii="Verdana" w:hAnsi="Verdana"/>
          <w:sz w:val="18"/>
          <w:szCs w:val="18"/>
        </w:rPr>
        <w:t xml:space="preserve">Eigenrisicodragers zijn financieel zelf verantwoordelijk voor de toegekende WGA-uitkeringen, maar zij kunnen het financiële risico wel verzekeren bij een private verzekeraar. De gemiddelde WGA-kosten bij eigenrisicodragers zijn niet bekend, net zomin als de gemiddelde private premie.  </w:t>
      </w:r>
    </w:p>
    <w:p w:rsidRPr="00F65569" w:rsidR="00DE65DA" w:rsidP="00383B85" w:rsidRDefault="00DE65DA" w14:paraId="554014E2" w14:textId="77777777">
      <w:pPr>
        <w:pStyle w:val="Geenafstand"/>
        <w:rPr>
          <w:rFonts w:ascii="Verdana" w:hAnsi="Verdana"/>
          <w:sz w:val="18"/>
          <w:szCs w:val="18"/>
        </w:rPr>
      </w:pPr>
    </w:p>
    <w:p w:rsidRPr="00F65569" w:rsidR="00DE65DA" w:rsidP="00383B85" w:rsidRDefault="00DE65DA" w14:paraId="166DFDBE" w14:textId="77777777">
      <w:pPr>
        <w:pStyle w:val="Geenafstand"/>
        <w:rPr>
          <w:rFonts w:ascii="Verdana" w:hAnsi="Verdana"/>
          <w:sz w:val="18"/>
          <w:szCs w:val="18"/>
        </w:rPr>
      </w:pPr>
      <w:r w:rsidRPr="00F65569">
        <w:rPr>
          <w:rFonts w:ascii="Verdana" w:hAnsi="Verdana"/>
          <w:sz w:val="18"/>
          <w:szCs w:val="18"/>
        </w:rPr>
        <w:t>Een werkgever mag maximaal de helft van de betaalde WGA-premie doorbelasten aan de werknemer. Het is niet bekend hoeveel werkgevers dit doen en voor welk deel. Het is daardoor niet mogelijk om uitspraken te doen over de werknemerskant.</w:t>
      </w:r>
    </w:p>
    <w:p w:rsidR="00B06B15" w:rsidP="00383B85" w:rsidRDefault="00B06B15" w14:paraId="2ACFCAF0" w14:textId="77777777">
      <w:pPr>
        <w:spacing w:after="0" w:line="240" w:lineRule="auto"/>
        <w:rPr>
          <w:rFonts w:ascii="Verdana" w:hAnsi="Verdana"/>
          <w:sz w:val="18"/>
          <w:szCs w:val="18"/>
        </w:rPr>
      </w:pPr>
    </w:p>
    <w:p w:rsidRPr="00F65569" w:rsidR="00DE65DA" w:rsidP="00383B85" w:rsidRDefault="00DE65DA" w14:paraId="34C0D148" w14:textId="77777777">
      <w:pPr>
        <w:spacing w:after="0" w:line="240" w:lineRule="auto"/>
        <w:rPr>
          <w:rFonts w:ascii="Verdana" w:hAnsi="Verdana"/>
          <w:sz w:val="18"/>
          <w:szCs w:val="18"/>
          <w:u w:val="single"/>
        </w:rPr>
      </w:pPr>
      <w:r w:rsidRPr="00F65569">
        <w:rPr>
          <w:rFonts w:ascii="Verdana" w:hAnsi="Verdana"/>
          <w:sz w:val="18"/>
          <w:szCs w:val="18"/>
          <w:u w:val="single"/>
        </w:rPr>
        <w:t>Vraag 9</w:t>
      </w:r>
      <w:bookmarkStart w:name="_Hlk231216239" w:id="2"/>
      <w:r w:rsidRPr="00F65569">
        <w:rPr>
          <w:rFonts w:ascii="Verdana" w:hAnsi="Verdana"/>
          <w:sz w:val="18"/>
          <w:szCs w:val="18"/>
          <w:u w:val="single"/>
        </w:rPr>
        <w:br/>
      </w:r>
      <w:r w:rsidRPr="00F65569">
        <w:rPr>
          <w:rFonts w:ascii="Verdana" w:hAnsi="Verdana"/>
          <w:sz w:val="18"/>
          <w:szCs w:val="18"/>
        </w:rPr>
        <w:t>Hoe lang ontvangen mensen gemiddeld een WIA-uitkering, uitgesplitst op type uitkering?</w:t>
      </w:r>
      <w:bookmarkEnd w:id="2"/>
    </w:p>
    <w:p w:rsidR="00DE65DA" w:rsidP="00383B85" w:rsidRDefault="00DE65DA" w14:paraId="5784603D" w14:textId="77777777">
      <w:pPr>
        <w:spacing w:after="0" w:line="240" w:lineRule="auto"/>
        <w:rPr>
          <w:rFonts w:ascii="Verdana" w:hAnsi="Verdana"/>
          <w:sz w:val="18"/>
          <w:szCs w:val="18"/>
          <w:u w:val="single"/>
        </w:rPr>
      </w:pPr>
    </w:p>
    <w:p w:rsidRPr="00D77BB2" w:rsidR="00DE65DA" w:rsidP="00383B85" w:rsidRDefault="00DE65DA" w14:paraId="64298E85" w14:textId="0806F0CC">
      <w:pPr>
        <w:spacing w:after="0" w:line="240" w:lineRule="auto"/>
        <w:rPr>
          <w:rFonts w:ascii="Verdana" w:hAnsi="Verdana"/>
          <w:sz w:val="18"/>
          <w:szCs w:val="18"/>
          <w:u w:val="single"/>
        </w:rPr>
      </w:pPr>
      <w:r w:rsidRPr="00F65569">
        <w:rPr>
          <w:rFonts w:ascii="Verdana" w:hAnsi="Verdana"/>
          <w:sz w:val="18"/>
          <w:szCs w:val="18"/>
          <w:u w:val="single"/>
        </w:rPr>
        <w:t>Antwoord 9</w:t>
      </w:r>
      <w:r w:rsidRPr="00F65569">
        <w:rPr>
          <w:rFonts w:ascii="Verdana" w:hAnsi="Verdana"/>
          <w:sz w:val="18"/>
          <w:szCs w:val="18"/>
          <w:u w:val="single"/>
        </w:rPr>
        <w:br/>
      </w:r>
      <w:r w:rsidRPr="00F65569">
        <w:rPr>
          <w:rFonts w:ascii="Verdana" w:hAnsi="Verdana"/>
          <w:sz w:val="18"/>
          <w:szCs w:val="18"/>
        </w:rPr>
        <w:t xml:space="preserve">In de beantwoording is gekeken naar hoe lang mensen gemiddeld een WIA-uitkering hebben ontvangen op het moment dat UWV de uitkering heeft beëindigd. De berekende cijfers zijn gebaseerd op beëindigingen (oftewel de uitstroom) in 2024. Dit is het meest recente (volledige) jaar waarvan het </w:t>
      </w:r>
      <w:r>
        <w:rPr>
          <w:rFonts w:ascii="Verdana" w:hAnsi="Verdana"/>
          <w:sz w:val="18"/>
          <w:szCs w:val="18"/>
        </w:rPr>
        <w:t>m</w:t>
      </w:r>
      <w:r w:rsidRPr="00F65569">
        <w:rPr>
          <w:rFonts w:ascii="Verdana" w:hAnsi="Verdana"/>
          <w:sz w:val="18"/>
          <w:szCs w:val="18"/>
        </w:rPr>
        <w:t>inisterie van SZW gegevens beschikbaar heeft.</w:t>
      </w:r>
    </w:p>
    <w:p w:rsidR="00DE65DA" w:rsidP="00383B85" w:rsidRDefault="00DE65DA" w14:paraId="2D1EEAA4" w14:textId="77777777">
      <w:pPr>
        <w:spacing w:after="0" w:line="240" w:lineRule="auto"/>
        <w:rPr>
          <w:rFonts w:ascii="Verdana" w:hAnsi="Verdana"/>
          <w:sz w:val="18"/>
          <w:szCs w:val="18"/>
        </w:rPr>
      </w:pPr>
    </w:p>
    <w:p w:rsidRPr="00F65569" w:rsidR="00DE65DA" w:rsidP="00383B85" w:rsidRDefault="00DE65DA" w14:paraId="294D7C94" w14:textId="552794C0">
      <w:pPr>
        <w:spacing w:after="0" w:line="240" w:lineRule="auto"/>
        <w:rPr>
          <w:rFonts w:ascii="Verdana" w:hAnsi="Verdana"/>
          <w:sz w:val="18"/>
          <w:szCs w:val="18"/>
        </w:rPr>
      </w:pPr>
      <w:r w:rsidRPr="00F65569">
        <w:rPr>
          <w:rFonts w:ascii="Verdana" w:hAnsi="Verdana"/>
          <w:sz w:val="18"/>
          <w:szCs w:val="18"/>
        </w:rPr>
        <w:t>Mensen die in 2024 uit de WIA zijn gestroomd hebben gemiddeld 6 jaar en 3 maanden een WIA-uitkering ontvangen. Uitgespli</w:t>
      </w:r>
      <w:r w:rsidR="00BD7493">
        <w:rPr>
          <w:rFonts w:ascii="Verdana" w:hAnsi="Verdana"/>
          <w:sz w:val="18"/>
          <w:szCs w:val="18"/>
        </w:rPr>
        <w:t>t</w:t>
      </w:r>
      <w:r w:rsidRPr="00F65569">
        <w:rPr>
          <w:rFonts w:ascii="Verdana" w:hAnsi="Verdana"/>
          <w:sz w:val="18"/>
          <w:szCs w:val="18"/>
        </w:rPr>
        <w:t xml:space="preserve">st naar type uitkering is de gemiddelde duur dat mensen een WIA-uitkering ontvangen als volgt: </w:t>
      </w:r>
    </w:p>
    <w:p w:rsidRPr="00F65569" w:rsidR="00DE65DA" w:rsidP="00383B85" w:rsidRDefault="00DE65DA" w14:paraId="1CB101B3" w14:textId="77777777">
      <w:pPr>
        <w:pStyle w:val="Lijstalinea"/>
        <w:numPr>
          <w:ilvl w:val="0"/>
          <w:numId w:val="1"/>
        </w:numPr>
        <w:spacing w:after="0" w:line="240" w:lineRule="auto"/>
        <w:rPr>
          <w:rFonts w:ascii="Verdana" w:hAnsi="Verdana"/>
          <w:sz w:val="18"/>
          <w:szCs w:val="18"/>
        </w:rPr>
      </w:pPr>
      <w:r w:rsidRPr="00F65569">
        <w:rPr>
          <w:rFonts w:ascii="Verdana" w:hAnsi="Verdana"/>
          <w:sz w:val="18"/>
          <w:szCs w:val="18"/>
        </w:rPr>
        <w:t xml:space="preserve">Mensen van wie hun IVA-uitkering in 2024 is beëindigd, hebben gemiddeld 6 jaar en 9 maanden een WIA-uitkering ontvangen. </w:t>
      </w:r>
    </w:p>
    <w:p w:rsidRPr="00F65569" w:rsidR="00DE65DA" w:rsidP="00383B85" w:rsidRDefault="00DE65DA" w14:paraId="4D9AF1E4" w14:textId="77777777">
      <w:pPr>
        <w:pStyle w:val="Lijstalinea"/>
        <w:numPr>
          <w:ilvl w:val="0"/>
          <w:numId w:val="1"/>
        </w:numPr>
        <w:spacing w:after="0" w:line="240" w:lineRule="auto"/>
        <w:rPr>
          <w:rFonts w:ascii="Verdana" w:hAnsi="Verdana"/>
          <w:sz w:val="18"/>
          <w:szCs w:val="18"/>
        </w:rPr>
      </w:pPr>
      <w:r w:rsidRPr="00F65569">
        <w:rPr>
          <w:rFonts w:ascii="Verdana" w:hAnsi="Verdana"/>
          <w:sz w:val="18"/>
          <w:szCs w:val="18"/>
        </w:rPr>
        <w:t>Mensen van wie hun WGA-uitkering in 2024 is beëindigd, hebben gemiddeld 5 jaar en 10 maanden een WIA-uitkering ontvangen.</w:t>
      </w:r>
    </w:p>
    <w:p w:rsidR="00DE65DA" w:rsidP="00383B85" w:rsidRDefault="00DE65DA" w14:paraId="170942CE" w14:textId="77777777">
      <w:pPr>
        <w:spacing w:after="0" w:line="240" w:lineRule="auto"/>
        <w:rPr>
          <w:rFonts w:ascii="Verdana" w:hAnsi="Verdana"/>
          <w:sz w:val="18"/>
          <w:szCs w:val="18"/>
        </w:rPr>
      </w:pPr>
    </w:p>
    <w:p w:rsidRPr="00F65569" w:rsidR="00DE65DA" w:rsidP="00383B85" w:rsidRDefault="00DE65DA" w14:paraId="4C3E84B4" w14:textId="0E380AF6">
      <w:pPr>
        <w:spacing w:after="0" w:line="240" w:lineRule="auto"/>
        <w:rPr>
          <w:rFonts w:ascii="Verdana" w:hAnsi="Verdana"/>
          <w:sz w:val="18"/>
          <w:szCs w:val="18"/>
        </w:rPr>
      </w:pPr>
      <w:r w:rsidRPr="00F65569">
        <w:rPr>
          <w:rFonts w:ascii="Verdana" w:hAnsi="Verdana"/>
          <w:sz w:val="18"/>
          <w:szCs w:val="18"/>
        </w:rPr>
        <w:t>Hierbij dient te worden opgemerkt dat het type uitkering dat mensen ontvangen tussentijds kan veranderen. Dit omdat het mogelijk is om van de WGA naar de IVA door te stromen of omgekeerd, al komt dat laatste slechts beperkt voor.</w:t>
      </w:r>
    </w:p>
    <w:p w:rsidR="00DE65DA" w:rsidP="00383B85" w:rsidRDefault="00DE65DA" w14:paraId="1E550B2E" w14:textId="77777777">
      <w:pPr>
        <w:spacing w:after="0" w:line="240" w:lineRule="auto"/>
        <w:rPr>
          <w:rFonts w:ascii="Verdana" w:hAnsi="Verdana"/>
          <w:sz w:val="18"/>
          <w:szCs w:val="18"/>
        </w:rPr>
      </w:pPr>
    </w:p>
    <w:p w:rsidRPr="00F65569" w:rsidR="00DE65DA" w:rsidP="00383B85" w:rsidRDefault="00DE65DA" w14:paraId="1575D52B" w14:textId="59549E98">
      <w:pPr>
        <w:spacing w:after="0" w:line="240" w:lineRule="auto"/>
        <w:rPr>
          <w:rFonts w:ascii="Verdana" w:hAnsi="Verdana"/>
          <w:sz w:val="18"/>
          <w:szCs w:val="18"/>
        </w:rPr>
      </w:pPr>
      <w:r w:rsidRPr="00F65569">
        <w:rPr>
          <w:rFonts w:ascii="Verdana" w:hAnsi="Verdana"/>
          <w:sz w:val="18"/>
          <w:szCs w:val="18"/>
        </w:rPr>
        <w:t>De verwachting is dat de gemiddelde duur in de toekomst hoger zal liggen omdat de WIA sinds de introductie in 2006 nog een ingroeiende regeling is. De maximale duur op dit moment betreft 20 jaar, deze zal uiteindelijk toenemen tot circa 45 jaar.</w:t>
      </w:r>
    </w:p>
    <w:p w:rsidR="00DE65DA" w:rsidP="00383B85" w:rsidRDefault="00DE65DA" w14:paraId="6AC06FF3" w14:textId="77777777">
      <w:pPr>
        <w:spacing w:after="0" w:line="240" w:lineRule="auto"/>
        <w:rPr>
          <w:rFonts w:ascii="Verdana" w:hAnsi="Verdana"/>
          <w:sz w:val="18"/>
          <w:szCs w:val="18"/>
        </w:rPr>
      </w:pPr>
    </w:p>
    <w:p w:rsidR="00DE65DA" w:rsidP="00383B85" w:rsidRDefault="00DE65DA" w14:paraId="36F805BD" w14:textId="77777777">
      <w:pPr>
        <w:spacing w:after="0" w:line="240" w:lineRule="auto"/>
        <w:rPr>
          <w:rFonts w:ascii="Verdana" w:hAnsi="Verdana"/>
          <w:sz w:val="18"/>
          <w:szCs w:val="18"/>
        </w:rPr>
      </w:pPr>
      <w:r w:rsidRPr="00F65569">
        <w:rPr>
          <w:rFonts w:ascii="Verdana" w:hAnsi="Verdana"/>
          <w:sz w:val="18"/>
          <w:szCs w:val="18"/>
          <w:u w:val="single"/>
        </w:rPr>
        <w:t>Vraag 10</w:t>
      </w:r>
      <w:r>
        <w:rPr>
          <w:rFonts w:ascii="Verdana" w:hAnsi="Verdana"/>
          <w:sz w:val="18"/>
          <w:szCs w:val="18"/>
          <w:u w:val="single"/>
        </w:rPr>
        <w:br/>
      </w:r>
      <w:r w:rsidRPr="00F65569">
        <w:rPr>
          <w:rFonts w:ascii="Verdana" w:hAnsi="Verdana"/>
          <w:sz w:val="18"/>
          <w:szCs w:val="18"/>
        </w:rPr>
        <w:t>Wat zijn de demografische gegevens van het WIA-bestand? Graag uitgesplitst naar leeftijd, man, vrouw, migratieachtergrond, beroepsachtergrond.</w:t>
      </w:r>
    </w:p>
    <w:p w:rsidRPr="00D77BB2" w:rsidR="00383B85" w:rsidP="00383B85" w:rsidRDefault="00383B85" w14:paraId="17DE39B4" w14:textId="77777777">
      <w:pPr>
        <w:spacing w:after="0" w:line="240" w:lineRule="auto"/>
        <w:rPr>
          <w:rFonts w:ascii="Verdana" w:hAnsi="Verdana"/>
          <w:sz w:val="18"/>
          <w:szCs w:val="18"/>
          <w:u w:val="single"/>
        </w:rPr>
      </w:pPr>
    </w:p>
    <w:p w:rsidR="00DE65DA" w:rsidP="00383B85" w:rsidRDefault="00DE65DA" w14:paraId="6400F63B" w14:textId="44898051">
      <w:pPr>
        <w:spacing w:after="0" w:line="240" w:lineRule="auto"/>
        <w:rPr>
          <w:rFonts w:ascii="Verdana" w:hAnsi="Verdana"/>
          <w:sz w:val="18"/>
          <w:szCs w:val="18"/>
        </w:rPr>
      </w:pPr>
      <w:r w:rsidRPr="00F65569">
        <w:rPr>
          <w:rFonts w:ascii="Verdana" w:hAnsi="Verdana"/>
          <w:sz w:val="18"/>
          <w:szCs w:val="18"/>
          <w:u w:val="single"/>
        </w:rPr>
        <w:t>Antwoord 10</w:t>
      </w:r>
      <w:r w:rsidRPr="00F65569">
        <w:rPr>
          <w:rFonts w:ascii="Verdana" w:hAnsi="Verdana"/>
          <w:sz w:val="18"/>
          <w:szCs w:val="18"/>
          <w:u w:val="single"/>
        </w:rPr>
        <w:br/>
      </w:r>
      <w:r w:rsidRPr="00F65569">
        <w:rPr>
          <w:rFonts w:ascii="Verdana" w:hAnsi="Verdana"/>
          <w:sz w:val="18"/>
          <w:szCs w:val="18"/>
        </w:rPr>
        <w:t xml:space="preserve">De beantwoording van deze vraag is gebaseerd op de groep mensen die op 30 juni 2025 een WIA-uitkering ontvangen. Dit is het meest recente peilmoment waarvan het </w:t>
      </w:r>
      <w:r>
        <w:rPr>
          <w:rFonts w:ascii="Verdana" w:hAnsi="Verdana"/>
          <w:sz w:val="18"/>
          <w:szCs w:val="18"/>
        </w:rPr>
        <w:t>m</w:t>
      </w:r>
      <w:r w:rsidRPr="00F65569">
        <w:rPr>
          <w:rFonts w:ascii="Verdana" w:hAnsi="Verdana"/>
          <w:sz w:val="18"/>
          <w:szCs w:val="18"/>
        </w:rPr>
        <w:t xml:space="preserve">inisterie van SZW gegevens beschikbaar heeft. De aantallen zijn naar leeftijd en geslacht uitgesplitst in onderstaande tabel. Migratieachtergrond en beroepsachtergrond worden voor de WIA-uitkering niet geregistreerd en zijn niet bij UWV en het </w:t>
      </w:r>
      <w:r>
        <w:rPr>
          <w:rFonts w:ascii="Verdana" w:hAnsi="Verdana"/>
          <w:sz w:val="18"/>
          <w:szCs w:val="18"/>
        </w:rPr>
        <w:t>m</w:t>
      </w:r>
      <w:r w:rsidRPr="00F65569">
        <w:rPr>
          <w:rFonts w:ascii="Verdana" w:hAnsi="Verdana"/>
          <w:sz w:val="18"/>
          <w:szCs w:val="18"/>
        </w:rPr>
        <w:t xml:space="preserve">inisterie van SZW beschikbaar. </w:t>
      </w:r>
    </w:p>
    <w:p w:rsidRPr="00F65569" w:rsidR="00383B85" w:rsidP="00383B85" w:rsidRDefault="00383B85" w14:paraId="31B207AF" w14:textId="77777777">
      <w:pPr>
        <w:spacing w:after="0" w:line="240" w:lineRule="auto"/>
        <w:rPr>
          <w:rFonts w:ascii="Verdana" w:hAnsi="Verdana"/>
          <w:sz w:val="18"/>
          <w:szCs w:val="18"/>
          <w:u w:val="single"/>
        </w:rPr>
      </w:pPr>
    </w:p>
    <w:p w:rsidR="001427F8" w:rsidRDefault="001427F8" w14:paraId="14E768D6" w14:textId="77777777">
      <w:pPr>
        <w:rPr>
          <w:rFonts w:ascii="Verdana" w:hAnsi="Verdana"/>
          <w:i/>
          <w:iCs/>
          <w:sz w:val="18"/>
          <w:szCs w:val="18"/>
        </w:rPr>
      </w:pPr>
      <w:r>
        <w:rPr>
          <w:rFonts w:ascii="Verdana" w:hAnsi="Verdana"/>
          <w:i/>
          <w:iCs/>
          <w:sz w:val="18"/>
          <w:szCs w:val="18"/>
        </w:rPr>
        <w:br w:type="page"/>
      </w:r>
    </w:p>
    <w:p w:rsidRPr="00F65569" w:rsidR="00DE65DA" w:rsidP="00DE65DA" w:rsidRDefault="00DE65DA" w14:paraId="13F315B8" w14:textId="5B2AD2D7">
      <w:pPr>
        <w:spacing w:after="0" w:line="240" w:lineRule="auto"/>
        <w:rPr>
          <w:rFonts w:ascii="Verdana" w:hAnsi="Verdana"/>
          <w:i/>
          <w:iCs/>
          <w:sz w:val="18"/>
          <w:szCs w:val="18"/>
        </w:rPr>
      </w:pPr>
      <w:r w:rsidRPr="00F65569">
        <w:rPr>
          <w:rFonts w:ascii="Verdana" w:hAnsi="Verdana"/>
          <w:i/>
          <w:iCs/>
          <w:sz w:val="18"/>
          <w:szCs w:val="18"/>
        </w:rPr>
        <w:lastRenderedPageBreak/>
        <w:t>Tabel: Samenstelling van de WIA-populatie naar leeftijd en geslacht (peildatum 30 juni 2025).</w:t>
      </w:r>
    </w:p>
    <w:tbl>
      <w:tblPr>
        <w:tblW w:w="5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100"/>
        <w:gridCol w:w="1200"/>
        <w:gridCol w:w="1200"/>
        <w:gridCol w:w="1200"/>
      </w:tblGrid>
      <w:tr w:rsidRPr="00F65569" w:rsidR="00DE65DA" w:rsidTr="00A70065" w14:paraId="3CCD64A8" w14:textId="77777777">
        <w:trPr>
          <w:trHeight w:val="290"/>
        </w:trPr>
        <w:tc>
          <w:tcPr>
            <w:tcW w:w="2100" w:type="dxa"/>
            <w:shd w:val="clear" w:color="auto" w:fill="auto"/>
            <w:noWrap/>
            <w:vAlign w:val="bottom"/>
            <w:hideMark/>
          </w:tcPr>
          <w:p w:rsidRPr="00F65569" w:rsidR="00DE65DA" w:rsidP="00A70065" w:rsidRDefault="00DE65DA" w14:paraId="6F94F6FA"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 </w:t>
            </w:r>
          </w:p>
        </w:tc>
        <w:tc>
          <w:tcPr>
            <w:tcW w:w="1200" w:type="dxa"/>
            <w:shd w:val="clear" w:color="auto" w:fill="auto"/>
            <w:noWrap/>
            <w:vAlign w:val="bottom"/>
            <w:hideMark/>
          </w:tcPr>
          <w:p w:rsidRPr="00F65569" w:rsidR="00DE65DA" w:rsidP="00A70065" w:rsidRDefault="00DE65DA" w14:paraId="40D3CB6F" w14:textId="77777777">
            <w:pPr>
              <w:spacing w:line="240" w:lineRule="auto"/>
              <w:jc w:val="center"/>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Mannen</w:t>
            </w:r>
          </w:p>
        </w:tc>
        <w:tc>
          <w:tcPr>
            <w:tcW w:w="1200" w:type="dxa"/>
            <w:shd w:val="clear" w:color="auto" w:fill="auto"/>
            <w:noWrap/>
            <w:vAlign w:val="bottom"/>
            <w:hideMark/>
          </w:tcPr>
          <w:p w:rsidRPr="00F65569" w:rsidR="00DE65DA" w:rsidP="00A70065" w:rsidRDefault="00DE65DA" w14:paraId="1830297C" w14:textId="77777777">
            <w:pPr>
              <w:spacing w:line="240" w:lineRule="auto"/>
              <w:jc w:val="center"/>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Vrouwen</w:t>
            </w:r>
          </w:p>
        </w:tc>
        <w:tc>
          <w:tcPr>
            <w:tcW w:w="1200" w:type="dxa"/>
            <w:shd w:val="clear" w:color="auto" w:fill="auto"/>
            <w:noWrap/>
            <w:vAlign w:val="bottom"/>
            <w:hideMark/>
          </w:tcPr>
          <w:p w:rsidRPr="00F65569" w:rsidR="00DE65DA" w:rsidP="00A70065" w:rsidRDefault="00DE65DA" w14:paraId="0AB42A74" w14:textId="77777777">
            <w:pPr>
              <w:spacing w:line="240" w:lineRule="auto"/>
              <w:jc w:val="center"/>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Totaal</w:t>
            </w:r>
          </w:p>
        </w:tc>
      </w:tr>
      <w:tr w:rsidRPr="00F65569" w:rsidR="00DE65DA" w:rsidTr="00A70065" w14:paraId="54B393FF" w14:textId="77777777">
        <w:trPr>
          <w:trHeight w:val="290"/>
        </w:trPr>
        <w:tc>
          <w:tcPr>
            <w:tcW w:w="2100" w:type="dxa"/>
            <w:shd w:val="clear" w:color="auto" w:fill="auto"/>
            <w:vAlign w:val="center"/>
            <w:hideMark/>
          </w:tcPr>
          <w:p w:rsidRPr="00F65569" w:rsidR="00DE65DA" w:rsidP="00A70065" w:rsidRDefault="00DE65DA" w14:paraId="2E9B4392"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t/m 24 jaar</w:t>
            </w:r>
          </w:p>
        </w:tc>
        <w:tc>
          <w:tcPr>
            <w:tcW w:w="1200" w:type="dxa"/>
            <w:shd w:val="clear" w:color="auto" w:fill="auto"/>
            <w:noWrap/>
            <w:vAlign w:val="bottom"/>
            <w:hideMark/>
          </w:tcPr>
          <w:p w:rsidRPr="00F65569" w:rsidR="00DE65DA" w:rsidP="00A70065" w:rsidRDefault="00DE65DA" w14:paraId="157BF6E8"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738</w:t>
            </w:r>
          </w:p>
        </w:tc>
        <w:tc>
          <w:tcPr>
            <w:tcW w:w="1200" w:type="dxa"/>
            <w:shd w:val="clear" w:color="auto" w:fill="auto"/>
            <w:noWrap/>
            <w:vAlign w:val="bottom"/>
            <w:hideMark/>
          </w:tcPr>
          <w:p w:rsidRPr="00F65569" w:rsidR="00DE65DA" w:rsidP="00A70065" w:rsidRDefault="00DE65DA" w14:paraId="4FBBE4F8"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1.171</w:t>
            </w:r>
          </w:p>
        </w:tc>
        <w:tc>
          <w:tcPr>
            <w:tcW w:w="1200" w:type="dxa"/>
            <w:shd w:val="clear" w:color="auto" w:fill="auto"/>
            <w:noWrap/>
            <w:vAlign w:val="bottom"/>
            <w:hideMark/>
          </w:tcPr>
          <w:p w:rsidRPr="00F65569" w:rsidR="00DE65DA" w:rsidP="00A70065" w:rsidRDefault="00DE65DA" w14:paraId="764BCAE4"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1.909</w:t>
            </w:r>
          </w:p>
        </w:tc>
      </w:tr>
      <w:tr w:rsidRPr="00F65569" w:rsidR="00DE65DA" w:rsidTr="00A70065" w14:paraId="53BDB3B6" w14:textId="77777777">
        <w:trPr>
          <w:trHeight w:val="290"/>
        </w:trPr>
        <w:tc>
          <w:tcPr>
            <w:tcW w:w="2100" w:type="dxa"/>
            <w:shd w:val="clear" w:color="auto" w:fill="auto"/>
            <w:vAlign w:val="center"/>
            <w:hideMark/>
          </w:tcPr>
          <w:p w:rsidRPr="00F65569" w:rsidR="00DE65DA" w:rsidP="00A70065" w:rsidRDefault="00DE65DA" w14:paraId="0841918E"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25 t/m 34 jaar</w:t>
            </w:r>
          </w:p>
        </w:tc>
        <w:tc>
          <w:tcPr>
            <w:tcW w:w="1200" w:type="dxa"/>
            <w:shd w:val="clear" w:color="auto" w:fill="auto"/>
            <w:noWrap/>
            <w:vAlign w:val="bottom"/>
            <w:hideMark/>
          </w:tcPr>
          <w:p w:rsidRPr="00F65569" w:rsidR="00DE65DA" w:rsidP="00A70065" w:rsidRDefault="00DE65DA" w14:paraId="5679A7FC"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9.947</w:t>
            </w:r>
          </w:p>
        </w:tc>
        <w:tc>
          <w:tcPr>
            <w:tcW w:w="1200" w:type="dxa"/>
            <w:shd w:val="clear" w:color="auto" w:fill="auto"/>
            <w:noWrap/>
            <w:vAlign w:val="bottom"/>
            <w:hideMark/>
          </w:tcPr>
          <w:p w:rsidRPr="00F65569" w:rsidR="00DE65DA" w:rsidP="00A70065" w:rsidRDefault="00DE65DA" w14:paraId="142E5F9E"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21.764</w:t>
            </w:r>
          </w:p>
        </w:tc>
        <w:tc>
          <w:tcPr>
            <w:tcW w:w="1200" w:type="dxa"/>
            <w:shd w:val="clear" w:color="auto" w:fill="auto"/>
            <w:noWrap/>
            <w:vAlign w:val="bottom"/>
            <w:hideMark/>
          </w:tcPr>
          <w:p w:rsidRPr="00F65569" w:rsidR="00DE65DA" w:rsidP="00A70065" w:rsidRDefault="00DE65DA" w14:paraId="5216E78B"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31.711</w:t>
            </w:r>
          </w:p>
        </w:tc>
      </w:tr>
      <w:tr w:rsidRPr="00F65569" w:rsidR="00DE65DA" w:rsidTr="00A70065" w14:paraId="3B8E10B1" w14:textId="77777777">
        <w:trPr>
          <w:trHeight w:val="290"/>
        </w:trPr>
        <w:tc>
          <w:tcPr>
            <w:tcW w:w="2100" w:type="dxa"/>
            <w:shd w:val="clear" w:color="auto" w:fill="auto"/>
            <w:vAlign w:val="center"/>
            <w:hideMark/>
          </w:tcPr>
          <w:p w:rsidRPr="00F65569" w:rsidR="00DE65DA" w:rsidP="00A70065" w:rsidRDefault="00DE65DA" w14:paraId="2FA41C65"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35 t/m 44 jaar</w:t>
            </w:r>
          </w:p>
        </w:tc>
        <w:tc>
          <w:tcPr>
            <w:tcW w:w="1200" w:type="dxa"/>
            <w:shd w:val="clear" w:color="auto" w:fill="auto"/>
            <w:noWrap/>
            <w:vAlign w:val="bottom"/>
            <w:hideMark/>
          </w:tcPr>
          <w:p w:rsidRPr="00F65569" w:rsidR="00DE65DA" w:rsidP="00A70065" w:rsidRDefault="00DE65DA" w14:paraId="45E208E9"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27.316</w:t>
            </w:r>
          </w:p>
        </w:tc>
        <w:tc>
          <w:tcPr>
            <w:tcW w:w="1200" w:type="dxa"/>
            <w:shd w:val="clear" w:color="auto" w:fill="auto"/>
            <w:noWrap/>
            <w:vAlign w:val="bottom"/>
            <w:hideMark/>
          </w:tcPr>
          <w:p w:rsidRPr="00F65569" w:rsidR="00DE65DA" w:rsidP="00A70065" w:rsidRDefault="00DE65DA" w14:paraId="0B7CB1A8"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50.603</w:t>
            </w:r>
          </w:p>
        </w:tc>
        <w:tc>
          <w:tcPr>
            <w:tcW w:w="1200" w:type="dxa"/>
            <w:shd w:val="clear" w:color="auto" w:fill="auto"/>
            <w:noWrap/>
            <w:vAlign w:val="bottom"/>
            <w:hideMark/>
          </w:tcPr>
          <w:p w:rsidRPr="00F65569" w:rsidR="00DE65DA" w:rsidP="00A70065" w:rsidRDefault="00DE65DA" w14:paraId="49B839CC"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77.919</w:t>
            </w:r>
          </w:p>
        </w:tc>
      </w:tr>
      <w:tr w:rsidRPr="00F65569" w:rsidR="00DE65DA" w:rsidTr="00A70065" w14:paraId="199E3346" w14:textId="77777777">
        <w:trPr>
          <w:trHeight w:val="290"/>
        </w:trPr>
        <w:tc>
          <w:tcPr>
            <w:tcW w:w="2100" w:type="dxa"/>
            <w:shd w:val="clear" w:color="auto" w:fill="auto"/>
            <w:vAlign w:val="center"/>
            <w:hideMark/>
          </w:tcPr>
          <w:p w:rsidRPr="00F65569" w:rsidR="00DE65DA" w:rsidP="00A70065" w:rsidRDefault="00DE65DA" w14:paraId="54231803"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45 t/m 54 jaar</w:t>
            </w:r>
          </w:p>
        </w:tc>
        <w:tc>
          <w:tcPr>
            <w:tcW w:w="1200" w:type="dxa"/>
            <w:shd w:val="clear" w:color="auto" w:fill="auto"/>
            <w:noWrap/>
            <w:vAlign w:val="bottom"/>
            <w:hideMark/>
          </w:tcPr>
          <w:p w:rsidRPr="00F65569" w:rsidR="00DE65DA" w:rsidP="00A70065" w:rsidRDefault="00DE65DA" w14:paraId="615D1064"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48.233</w:t>
            </w:r>
          </w:p>
        </w:tc>
        <w:tc>
          <w:tcPr>
            <w:tcW w:w="1200" w:type="dxa"/>
            <w:shd w:val="clear" w:color="auto" w:fill="auto"/>
            <w:noWrap/>
            <w:vAlign w:val="bottom"/>
            <w:hideMark/>
          </w:tcPr>
          <w:p w:rsidRPr="00F65569" w:rsidR="00DE65DA" w:rsidP="00A70065" w:rsidRDefault="00DE65DA" w14:paraId="4A4ABC58"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67.683</w:t>
            </w:r>
          </w:p>
        </w:tc>
        <w:tc>
          <w:tcPr>
            <w:tcW w:w="1200" w:type="dxa"/>
            <w:shd w:val="clear" w:color="auto" w:fill="auto"/>
            <w:noWrap/>
            <w:vAlign w:val="bottom"/>
            <w:hideMark/>
          </w:tcPr>
          <w:p w:rsidRPr="00F65569" w:rsidR="00DE65DA" w:rsidP="00A70065" w:rsidRDefault="00DE65DA" w14:paraId="30286B04"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115.916</w:t>
            </w:r>
          </w:p>
        </w:tc>
      </w:tr>
      <w:tr w:rsidRPr="00F65569" w:rsidR="00DE65DA" w:rsidTr="00A70065" w14:paraId="3DF7052C" w14:textId="77777777">
        <w:trPr>
          <w:trHeight w:val="290"/>
        </w:trPr>
        <w:tc>
          <w:tcPr>
            <w:tcW w:w="2100" w:type="dxa"/>
            <w:shd w:val="clear" w:color="auto" w:fill="auto"/>
            <w:vAlign w:val="center"/>
            <w:hideMark/>
          </w:tcPr>
          <w:p w:rsidRPr="00F65569" w:rsidR="00DE65DA" w:rsidP="00A70065" w:rsidRDefault="00DE65DA" w14:paraId="6521CE75"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55 t/m 59 jaar</w:t>
            </w:r>
          </w:p>
        </w:tc>
        <w:tc>
          <w:tcPr>
            <w:tcW w:w="1200" w:type="dxa"/>
            <w:shd w:val="clear" w:color="auto" w:fill="auto"/>
            <w:noWrap/>
            <w:vAlign w:val="bottom"/>
            <w:hideMark/>
          </w:tcPr>
          <w:p w:rsidRPr="00F65569" w:rsidR="00DE65DA" w:rsidP="00A70065" w:rsidRDefault="00DE65DA" w14:paraId="5CFA4A06"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38.223</w:t>
            </w:r>
          </w:p>
        </w:tc>
        <w:tc>
          <w:tcPr>
            <w:tcW w:w="1200" w:type="dxa"/>
            <w:shd w:val="clear" w:color="auto" w:fill="auto"/>
            <w:noWrap/>
            <w:vAlign w:val="bottom"/>
            <w:hideMark/>
          </w:tcPr>
          <w:p w:rsidRPr="00F65569" w:rsidR="00DE65DA" w:rsidP="00A70065" w:rsidRDefault="00DE65DA" w14:paraId="08F6BB20"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45.268</w:t>
            </w:r>
          </w:p>
        </w:tc>
        <w:tc>
          <w:tcPr>
            <w:tcW w:w="1200" w:type="dxa"/>
            <w:shd w:val="clear" w:color="auto" w:fill="auto"/>
            <w:noWrap/>
            <w:vAlign w:val="bottom"/>
            <w:hideMark/>
          </w:tcPr>
          <w:p w:rsidRPr="00F65569" w:rsidR="00DE65DA" w:rsidP="00A70065" w:rsidRDefault="00DE65DA" w14:paraId="7C756029"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83.491</w:t>
            </w:r>
          </w:p>
        </w:tc>
      </w:tr>
      <w:tr w:rsidRPr="00F65569" w:rsidR="00DE65DA" w:rsidTr="00A70065" w14:paraId="3B2E4C0E" w14:textId="77777777">
        <w:trPr>
          <w:trHeight w:val="290"/>
        </w:trPr>
        <w:tc>
          <w:tcPr>
            <w:tcW w:w="2100" w:type="dxa"/>
            <w:shd w:val="clear" w:color="auto" w:fill="auto"/>
            <w:noWrap/>
            <w:vAlign w:val="bottom"/>
            <w:hideMark/>
          </w:tcPr>
          <w:p w:rsidRPr="00F65569" w:rsidR="00DE65DA" w:rsidP="00A70065" w:rsidRDefault="00DE65DA" w14:paraId="488E41A0"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60 t/m 64 jaar</w:t>
            </w:r>
          </w:p>
        </w:tc>
        <w:tc>
          <w:tcPr>
            <w:tcW w:w="1200" w:type="dxa"/>
            <w:shd w:val="clear" w:color="auto" w:fill="auto"/>
            <w:noWrap/>
            <w:vAlign w:val="bottom"/>
            <w:hideMark/>
          </w:tcPr>
          <w:p w:rsidRPr="00F65569" w:rsidR="00DE65DA" w:rsidP="00A70065" w:rsidRDefault="00DE65DA" w14:paraId="14786C65"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52.415</w:t>
            </w:r>
          </w:p>
        </w:tc>
        <w:tc>
          <w:tcPr>
            <w:tcW w:w="1200" w:type="dxa"/>
            <w:shd w:val="clear" w:color="auto" w:fill="auto"/>
            <w:noWrap/>
            <w:vAlign w:val="bottom"/>
            <w:hideMark/>
          </w:tcPr>
          <w:p w:rsidRPr="00F65569" w:rsidR="00DE65DA" w:rsidP="00A70065" w:rsidRDefault="00DE65DA" w14:paraId="6AE32D4A"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56.114</w:t>
            </w:r>
          </w:p>
        </w:tc>
        <w:tc>
          <w:tcPr>
            <w:tcW w:w="1200" w:type="dxa"/>
            <w:shd w:val="clear" w:color="auto" w:fill="auto"/>
            <w:noWrap/>
            <w:vAlign w:val="bottom"/>
            <w:hideMark/>
          </w:tcPr>
          <w:p w:rsidRPr="00F65569" w:rsidR="00DE65DA" w:rsidP="00A70065" w:rsidRDefault="00DE65DA" w14:paraId="284D5E7B"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108.529</w:t>
            </w:r>
          </w:p>
        </w:tc>
      </w:tr>
      <w:tr w:rsidRPr="00F65569" w:rsidR="00DE65DA" w:rsidTr="00A70065" w14:paraId="3C1CF6FE" w14:textId="77777777">
        <w:trPr>
          <w:trHeight w:val="290"/>
        </w:trPr>
        <w:tc>
          <w:tcPr>
            <w:tcW w:w="2100" w:type="dxa"/>
            <w:shd w:val="clear" w:color="auto" w:fill="auto"/>
            <w:noWrap/>
            <w:vAlign w:val="bottom"/>
            <w:hideMark/>
          </w:tcPr>
          <w:p w:rsidRPr="00F65569" w:rsidR="00DE65DA" w:rsidP="00A70065" w:rsidRDefault="00DE65DA" w14:paraId="7A2897D7" w14:textId="77777777">
            <w:pPr>
              <w:spacing w:line="240" w:lineRule="auto"/>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65 jaar en ouder</w:t>
            </w:r>
          </w:p>
        </w:tc>
        <w:tc>
          <w:tcPr>
            <w:tcW w:w="1200" w:type="dxa"/>
            <w:shd w:val="clear" w:color="auto" w:fill="auto"/>
            <w:noWrap/>
            <w:vAlign w:val="bottom"/>
            <w:hideMark/>
          </w:tcPr>
          <w:p w:rsidRPr="00F65569" w:rsidR="00DE65DA" w:rsidP="00A70065" w:rsidRDefault="00DE65DA" w14:paraId="0255FC62"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24.653</w:t>
            </w:r>
          </w:p>
        </w:tc>
        <w:tc>
          <w:tcPr>
            <w:tcW w:w="1200" w:type="dxa"/>
            <w:shd w:val="clear" w:color="auto" w:fill="auto"/>
            <w:noWrap/>
            <w:vAlign w:val="bottom"/>
            <w:hideMark/>
          </w:tcPr>
          <w:p w:rsidRPr="00F65569" w:rsidR="00DE65DA" w:rsidP="00A70065" w:rsidRDefault="00DE65DA" w14:paraId="37BFF705"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23.624</w:t>
            </w:r>
          </w:p>
        </w:tc>
        <w:tc>
          <w:tcPr>
            <w:tcW w:w="1200" w:type="dxa"/>
            <w:shd w:val="clear" w:color="auto" w:fill="auto"/>
            <w:noWrap/>
            <w:vAlign w:val="bottom"/>
            <w:hideMark/>
          </w:tcPr>
          <w:p w:rsidRPr="00F65569" w:rsidR="00DE65DA" w:rsidP="00A70065" w:rsidRDefault="00DE65DA" w14:paraId="5A74563B" w14:textId="77777777">
            <w:pPr>
              <w:spacing w:line="240" w:lineRule="auto"/>
              <w:jc w:val="right"/>
              <w:rPr>
                <w:rFonts w:ascii="Verdana" w:hAnsi="Verdana" w:eastAsia="Times New Roman" w:cs="Calibri"/>
                <w:color w:val="000000"/>
                <w:sz w:val="18"/>
                <w:szCs w:val="18"/>
                <w:lang w:eastAsia="nl-NL"/>
              </w:rPr>
            </w:pPr>
            <w:r w:rsidRPr="00F65569">
              <w:rPr>
                <w:rFonts w:ascii="Verdana" w:hAnsi="Verdana" w:eastAsia="Times New Roman" w:cs="Calibri"/>
                <w:color w:val="000000"/>
                <w:sz w:val="18"/>
                <w:szCs w:val="18"/>
                <w:lang w:eastAsia="nl-NL"/>
              </w:rPr>
              <w:t>48.277</w:t>
            </w:r>
          </w:p>
        </w:tc>
      </w:tr>
      <w:tr w:rsidRPr="00F65569" w:rsidR="00DE65DA" w:rsidTr="00A70065" w14:paraId="4C95CC52" w14:textId="77777777">
        <w:trPr>
          <w:trHeight w:val="290"/>
        </w:trPr>
        <w:tc>
          <w:tcPr>
            <w:tcW w:w="2100" w:type="dxa"/>
            <w:shd w:val="clear" w:color="auto" w:fill="auto"/>
            <w:noWrap/>
            <w:vAlign w:val="bottom"/>
            <w:hideMark/>
          </w:tcPr>
          <w:p w:rsidRPr="00F65569" w:rsidR="00DE65DA" w:rsidP="00A70065" w:rsidRDefault="00DE65DA" w14:paraId="3E3C34C8" w14:textId="77777777">
            <w:pPr>
              <w:spacing w:line="240" w:lineRule="auto"/>
              <w:rPr>
                <w:rFonts w:ascii="Verdana" w:hAnsi="Verdana" w:eastAsia="Times New Roman" w:cs="Calibri"/>
                <w:b/>
                <w:bCs/>
                <w:color w:val="000000"/>
                <w:sz w:val="18"/>
                <w:szCs w:val="18"/>
                <w:lang w:eastAsia="nl-NL"/>
              </w:rPr>
            </w:pPr>
            <w:r w:rsidRPr="00F65569">
              <w:rPr>
                <w:rFonts w:ascii="Verdana" w:hAnsi="Verdana" w:eastAsia="Times New Roman" w:cs="Calibri"/>
                <w:b/>
                <w:bCs/>
                <w:color w:val="000000"/>
                <w:sz w:val="18"/>
                <w:szCs w:val="18"/>
                <w:lang w:eastAsia="nl-NL"/>
              </w:rPr>
              <w:t>Totaal</w:t>
            </w:r>
          </w:p>
        </w:tc>
        <w:tc>
          <w:tcPr>
            <w:tcW w:w="1200" w:type="dxa"/>
            <w:shd w:val="clear" w:color="auto" w:fill="auto"/>
            <w:noWrap/>
            <w:vAlign w:val="bottom"/>
            <w:hideMark/>
          </w:tcPr>
          <w:p w:rsidRPr="00F65569" w:rsidR="00DE65DA" w:rsidP="00A70065" w:rsidRDefault="00DE65DA" w14:paraId="26C1B393" w14:textId="77777777">
            <w:pPr>
              <w:spacing w:line="240" w:lineRule="auto"/>
              <w:jc w:val="right"/>
              <w:rPr>
                <w:rFonts w:ascii="Verdana" w:hAnsi="Verdana" w:eastAsia="Times New Roman" w:cs="Calibri"/>
                <w:b/>
                <w:bCs/>
                <w:color w:val="000000"/>
                <w:sz w:val="18"/>
                <w:szCs w:val="18"/>
                <w:lang w:eastAsia="nl-NL"/>
              </w:rPr>
            </w:pPr>
            <w:r w:rsidRPr="00F65569">
              <w:rPr>
                <w:rFonts w:ascii="Verdana" w:hAnsi="Verdana" w:eastAsia="Times New Roman" w:cs="Calibri"/>
                <w:b/>
                <w:bCs/>
                <w:color w:val="000000"/>
                <w:sz w:val="18"/>
                <w:szCs w:val="18"/>
                <w:lang w:eastAsia="nl-NL"/>
              </w:rPr>
              <w:t>201.525</w:t>
            </w:r>
          </w:p>
        </w:tc>
        <w:tc>
          <w:tcPr>
            <w:tcW w:w="1200" w:type="dxa"/>
            <w:shd w:val="clear" w:color="auto" w:fill="auto"/>
            <w:noWrap/>
            <w:vAlign w:val="bottom"/>
            <w:hideMark/>
          </w:tcPr>
          <w:p w:rsidRPr="00F65569" w:rsidR="00DE65DA" w:rsidP="00A70065" w:rsidRDefault="00DE65DA" w14:paraId="7012DCDA" w14:textId="77777777">
            <w:pPr>
              <w:spacing w:line="240" w:lineRule="auto"/>
              <w:jc w:val="right"/>
              <w:rPr>
                <w:rFonts w:ascii="Verdana" w:hAnsi="Verdana" w:eastAsia="Times New Roman" w:cs="Calibri"/>
                <w:b/>
                <w:bCs/>
                <w:color w:val="000000"/>
                <w:sz w:val="18"/>
                <w:szCs w:val="18"/>
                <w:lang w:eastAsia="nl-NL"/>
              </w:rPr>
            </w:pPr>
            <w:r w:rsidRPr="00F65569">
              <w:rPr>
                <w:rFonts w:ascii="Verdana" w:hAnsi="Verdana" w:eastAsia="Times New Roman" w:cs="Calibri"/>
                <w:b/>
                <w:bCs/>
                <w:color w:val="000000"/>
                <w:sz w:val="18"/>
                <w:szCs w:val="18"/>
                <w:lang w:eastAsia="nl-NL"/>
              </w:rPr>
              <w:t>266.227</w:t>
            </w:r>
          </w:p>
        </w:tc>
        <w:tc>
          <w:tcPr>
            <w:tcW w:w="1200" w:type="dxa"/>
            <w:shd w:val="clear" w:color="auto" w:fill="auto"/>
            <w:noWrap/>
            <w:vAlign w:val="bottom"/>
            <w:hideMark/>
          </w:tcPr>
          <w:p w:rsidRPr="00F65569" w:rsidR="00DE65DA" w:rsidP="00A70065" w:rsidRDefault="00DE65DA" w14:paraId="1EAF77DB" w14:textId="77777777">
            <w:pPr>
              <w:spacing w:line="240" w:lineRule="auto"/>
              <w:jc w:val="right"/>
              <w:rPr>
                <w:rFonts w:ascii="Verdana" w:hAnsi="Verdana" w:eastAsia="Times New Roman" w:cs="Calibri"/>
                <w:b/>
                <w:bCs/>
                <w:color w:val="000000"/>
                <w:sz w:val="18"/>
                <w:szCs w:val="18"/>
                <w:lang w:eastAsia="nl-NL"/>
              </w:rPr>
            </w:pPr>
            <w:r w:rsidRPr="00F65569">
              <w:rPr>
                <w:rFonts w:ascii="Verdana" w:hAnsi="Verdana" w:eastAsia="Times New Roman" w:cs="Calibri"/>
                <w:b/>
                <w:bCs/>
                <w:color w:val="000000"/>
                <w:sz w:val="18"/>
                <w:szCs w:val="18"/>
                <w:lang w:eastAsia="nl-NL"/>
              </w:rPr>
              <w:t>467.752</w:t>
            </w:r>
          </w:p>
        </w:tc>
      </w:tr>
    </w:tbl>
    <w:p w:rsidRPr="00F65569" w:rsidR="00DE65DA" w:rsidP="00383B85" w:rsidRDefault="00DE65DA" w14:paraId="29CC55BC" w14:textId="77777777">
      <w:pPr>
        <w:spacing w:after="0" w:line="240" w:lineRule="auto"/>
        <w:rPr>
          <w:rFonts w:ascii="Verdana" w:hAnsi="Verdana"/>
          <w:sz w:val="18"/>
          <w:szCs w:val="18"/>
        </w:rPr>
      </w:pPr>
      <w:r w:rsidRPr="00F65569">
        <w:rPr>
          <w:rFonts w:ascii="Verdana" w:hAnsi="Verdana"/>
          <w:sz w:val="18"/>
          <w:szCs w:val="18"/>
        </w:rPr>
        <w:t xml:space="preserve"> </w:t>
      </w:r>
    </w:p>
    <w:p w:rsidRPr="00F65569" w:rsidR="00DE65DA" w:rsidP="00DE65DA" w:rsidRDefault="00DE65DA" w14:paraId="1FCCCE91" w14:textId="77777777">
      <w:pPr>
        <w:spacing w:after="0" w:line="240" w:lineRule="auto"/>
        <w:rPr>
          <w:rFonts w:ascii="Verdana" w:hAnsi="Verdana"/>
          <w:sz w:val="18"/>
          <w:szCs w:val="18"/>
          <w:u w:val="single"/>
        </w:rPr>
      </w:pPr>
      <w:r w:rsidRPr="00F65569">
        <w:rPr>
          <w:rFonts w:ascii="Verdana" w:hAnsi="Verdana"/>
          <w:sz w:val="18"/>
          <w:szCs w:val="18"/>
          <w:u w:val="single"/>
        </w:rPr>
        <w:t>Vraag 11</w:t>
      </w:r>
    </w:p>
    <w:p w:rsidRPr="00F65569" w:rsidR="00DE65DA" w:rsidP="00DE65DA" w:rsidRDefault="00DE65DA" w14:paraId="0F1D5BC2" w14:textId="77777777">
      <w:pPr>
        <w:spacing w:after="0" w:line="240" w:lineRule="auto"/>
        <w:rPr>
          <w:rFonts w:ascii="Verdana" w:hAnsi="Verdana"/>
          <w:sz w:val="18"/>
          <w:szCs w:val="18"/>
        </w:rPr>
      </w:pPr>
      <w:r w:rsidRPr="00F65569">
        <w:rPr>
          <w:rFonts w:ascii="Verdana" w:hAnsi="Verdana"/>
          <w:sz w:val="18"/>
          <w:szCs w:val="18"/>
        </w:rPr>
        <w:t>Hoeveel mensen zitten er in 2025 langer dan één jaar in de Werkloosheidswet (WW)? Wat zijn de demografische gegevens van dit smaldeel van het WW-bestand? Graag uitgesplitst naar leeftijd, man, vrouw, migratieachtergrond, beroepsachtergrond.</w:t>
      </w:r>
    </w:p>
    <w:p w:rsidRPr="00F65569" w:rsidR="00DE65DA" w:rsidP="00DE65DA" w:rsidRDefault="00DE65DA" w14:paraId="7455D519" w14:textId="77777777">
      <w:pPr>
        <w:spacing w:after="0" w:line="240" w:lineRule="auto"/>
        <w:rPr>
          <w:rFonts w:ascii="Verdana" w:hAnsi="Verdana"/>
          <w:sz w:val="18"/>
          <w:szCs w:val="18"/>
          <w:u w:val="single"/>
        </w:rPr>
      </w:pPr>
    </w:p>
    <w:p w:rsidRPr="00F65569" w:rsidR="00DE65DA" w:rsidP="00DE65DA" w:rsidRDefault="00DE65DA" w14:paraId="1BDD260E" w14:textId="77777777">
      <w:pPr>
        <w:spacing w:after="0" w:line="240" w:lineRule="auto"/>
        <w:rPr>
          <w:rFonts w:ascii="Verdana" w:hAnsi="Verdana"/>
          <w:sz w:val="18"/>
          <w:szCs w:val="18"/>
          <w:u w:val="single"/>
        </w:rPr>
      </w:pPr>
      <w:r w:rsidRPr="00F65569">
        <w:rPr>
          <w:rFonts w:ascii="Verdana" w:hAnsi="Verdana"/>
          <w:sz w:val="18"/>
          <w:szCs w:val="18"/>
          <w:u w:val="single"/>
        </w:rPr>
        <w:t>Antwoord 11</w:t>
      </w:r>
    </w:p>
    <w:p w:rsidRPr="00F65569" w:rsidR="00DE65DA" w:rsidP="00DE65DA" w:rsidRDefault="00DE65DA" w14:paraId="0E09B83D" w14:textId="15DD8457">
      <w:pPr>
        <w:spacing w:after="0" w:line="240" w:lineRule="auto"/>
        <w:rPr>
          <w:rFonts w:ascii="Verdana" w:hAnsi="Verdana"/>
          <w:sz w:val="18"/>
          <w:szCs w:val="18"/>
        </w:rPr>
      </w:pPr>
      <w:r w:rsidRPr="00F65569">
        <w:rPr>
          <w:rFonts w:ascii="Verdana" w:hAnsi="Verdana"/>
          <w:sz w:val="18"/>
          <w:szCs w:val="18"/>
        </w:rPr>
        <w:t xml:space="preserve">In 2025 zijn circa 47.000 WW-gerechtigden de grens van 12 maanden WW-uitkering gepasseerd. Hieronder zijn de demografische gegevens van deze groep weergegeven. Gegevens over de beroepsachtergrond kunnen niet binnen deze termijn geleverd worden. Gegevens over de migratieachtergrond van deze populatie worden niet geregistreerd.  </w:t>
      </w:r>
    </w:p>
    <w:p w:rsidRPr="00F65569" w:rsidR="00DE65DA" w:rsidP="00DE65DA" w:rsidRDefault="00DE65DA" w14:paraId="25EDA4C6" w14:textId="77777777">
      <w:pPr>
        <w:spacing w:after="0" w:line="240" w:lineRule="auto"/>
        <w:rPr>
          <w:rFonts w:ascii="Verdana" w:hAnsi="Verdana"/>
          <w:sz w:val="18"/>
          <w:szCs w:val="18"/>
        </w:rPr>
      </w:pPr>
    </w:p>
    <w:p w:rsidRPr="00F65569" w:rsidR="00DE65DA" w:rsidP="00DE65DA" w:rsidRDefault="00DE65DA" w14:paraId="28D704A4" w14:textId="77777777">
      <w:pPr>
        <w:spacing w:after="0" w:line="240" w:lineRule="auto"/>
        <w:rPr>
          <w:rFonts w:ascii="Verdana" w:hAnsi="Verdana"/>
          <w:i/>
          <w:iCs/>
          <w:sz w:val="18"/>
          <w:szCs w:val="18"/>
        </w:rPr>
      </w:pPr>
      <w:r w:rsidRPr="00F65569">
        <w:rPr>
          <w:rFonts w:ascii="Verdana" w:hAnsi="Verdana"/>
          <w:i/>
          <w:iCs/>
          <w:sz w:val="18"/>
          <w:szCs w:val="18"/>
        </w:rPr>
        <w:t>Tabel: Leeftijdsverdeling</w:t>
      </w:r>
    </w:p>
    <w:tbl>
      <w:tblPr>
        <w:tblStyle w:val="Tabelraster"/>
        <w:tblW w:w="0" w:type="auto"/>
        <w:tblInd w:w="0" w:type="dxa"/>
        <w:tblLook w:val="04A0" w:firstRow="1" w:lastRow="0" w:firstColumn="1" w:lastColumn="0" w:noHBand="0" w:noVBand="1"/>
      </w:tblPr>
      <w:tblGrid>
        <w:gridCol w:w="4508"/>
        <w:gridCol w:w="4509"/>
      </w:tblGrid>
      <w:tr w:rsidRPr="00F65569" w:rsidR="00DE65DA" w:rsidTr="00A70065" w14:paraId="05D14B46" w14:textId="77777777">
        <w:tc>
          <w:tcPr>
            <w:tcW w:w="4508" w:type="dxa"/>
          </w:tcPr>
          <w:p w:rsidRPr="00F65569" w:rsidR="00DE65DA" w:rsidP="00A70065" w:rsidRDefault="00DE65DA" w14:paraId="5BD9D0B5" w14:textId="77777777">
            <w:pPr>
              <w:rPr>
                <w:rFonts w:ascii="Verdana" w:hAnsi="Verdana"/>
                <w:sz w:val="18"/>
                <w:szCs w:val="18"/>
              </w:rPr>
            </w:pPr>
            <w:r w:rsidRPr="00F65569">
              <w:rPr>
                <w:rFonts w:ascii="Verdana" w:hAnsi="Verdana"/>
                <w:sz w:val="18"/>
                <w:szCs w:val="18"/>
              </w:rPr>
              <w:t>&lt; 34 jaar</w:t>
            </w:r>
          </w:p>
        </w:tc>
        <w:tc>
          <w:tcPr>
            <w:tcW w:w="4509" w:type="dxa"/>
          </w:tcPr>
          <w:p w:rsidRPr="00F65569" w:rsidR="00DE65DA" w:rsidP="00A70065" w:rsidRDefault="00DE65DA" w14:paraId="4E289462" w14:textId="77777777">
            <w:pPr>
              <w:rPr>
                <w:rFonts w:ascii="Verdana" w:hAnsi="Verdana"/>
                <w:sz w:val="18"/>
                <w:szCs w:val="18"/>
              </w:rPr>
            </w:pPr>
            <w:r w:rsidRPr="00F65569">
              <w:rPr>
                <w:rFonts w:ascii="Verdana" w:hAnsi="Verdana"/>
                <w:sz w:val="18"/>
                <w:szCs w:val="18"/>
              </w:rPr>
              <w:t>3%</w:t>
            </w:r>
          </w:p>
        </w:tc>
      </w:tr>
      <w:tr w:rsidRPr="00F65569" w:rsidR="00DE65DA" w:rsidTr="00A70065" w14:paraId="3841F0EE" w14:textId="77777777">
        <w:tc>
          <w:tcPr>
            <w:tcW w:w="4508" w:type="dxa"/>
          </w:tcPr>
          <w:p w:rsidRPr="00F65569" w:rsidR="00DE65DA" w:rsidP="00A70065" w:rsidRDefault="00DE65DA" w14:paraId="49415D79" w14:textId="77777777">
            <w:pPr>
              <w:rPr>
                <w:rFonts w:ascii="Verdana" w:hAnsi="Verdana"/>
                <w:sz w:val="18"/>
                <w:szCs w:val="18"/>
              </w:rPr>
            </w:pPr>
            <w:r w:rsidRPr="00F65569">
              <w:rPr>
                <w:rFonts w:ascii="Verdana" w:hAnsi="Verdana"/>
                <w:sz w:val="18"/>
                <w:szCs w:val="18"/>
              </w:rPr>
              <w:t>35 – 44 jaar</w:t>
            </w:r>
          </w:p>
        </w:tc>
        <w:tc>
          <w:tcPr>
            <w:tcW w:w="4509" w:type="dxa"/>
          </w:tcPr>
          <w:p w:rsidRPr="00F65569" w:rsidR="00DE65DA" w:rsidP="00A70065" w:rsidRDefault="00DE65DA" w14:paraId="6BABC8C4" w14:textId="77777777">
            <w:pPr>
              <w:rPr>
                <w:rFonts w:ascii="Verdana" w:hAnsi="Verdana"/>
                <w:sz w:val="18"/>
                <w:szCs w:val="18"/>
              </w:rPr>
            </w:pPr>
            <w:r w:rsidRPr="00F65569">
              <w:rPr>
                <w:rFonts w:ascii="Verdana" w:hAnsi="Verdana"/>
                <w:sz w:val="18"/>
                <w:szCs w:val="18"/>
              </w:rPr>
              <w:t>23%</w:t>
            </w:r>
          </w:p>
        </w:tc>
      </w:tr>
      <w:tr w:rsidRPr="00F65569" w:rsidR="00DE65DA" w:rsidTr="00A70065" w14:paraId="10D10DB2" w14:textId="77777777">
        <w:tc>
          <w:tcPr>
            <w:tcW w:w="4508" w:type="dxa"/>
          </w:tcPr>
          <w:p w:rsidRPr="00F65569" w:rsidR="00DE65DA" w:rsidP="00A70065" w:rsidRDefault="00DE65DA" w14:paraId="54C49953" w14:textId="77777777">
            <w:pPr>
              <w:rPr>
                <w:rFonts w:ascii="Verdana" w:hAnsi="Verdana"/>
                <w:sz w:val="18"/>
                <w:szCs w:val="18"/>
              </w:rPr>
            </w:pPr>
            <w:r w:rsidRPr="00F65569">
              <w:rPr>
                <w:rFonts w:ascii="Verdana" w:hAnsi="Verdana"/>
                <w:sz w:val="18"/>
                <w:szCs w:val="18"/>
              </w:rPr>
              <w:t>45 – 54 jaar</w:t>
            </w:r>
          </w:p>
        </w:tc>
        <w:tc>
          <w:tcPr>
            <w:tcW w:w="4509" w:type="dxa"/>
          </w:tcPr>
          <w:p w:rsidRPr="00F65569" w:rsidR="00DE65DA" w:rsidP="00A70065" w:rsidRDefault="00DE65DA" w14:paraId="153AEE34" w14:textId="77777777">
            <w:pPr>
              <w:rPr>
                <w:rFonts w:ascii="Verdana" w:hAnsi="Verdana"/>
                <w:sz w:val="18"/>
                <w:szCs w:val="18"/>
              </w:rPr>
            </w:pPr>
            <w:r w:rsidRPr="00F65569">
              <w:rPr>
                <w:rFonts w:ascii="Verdana" w:hAnsi="Verdana"/>
                <w:sz w:val="18"/>
                <w:szCs w:val="18"/>
              </w:rPr>
              <w:t>28%</w:t>
            </w:r>
          </w:p>
        </w:tc>
      </w:tr>
      <w:tr w:rsidRPr="00F65569" w:rsidR="00DE65DA" w:rsidTr="00A70065" w14:paraId="156755F9" w14:textId="77777777">
        <w:tc>
          <w:tcPr>
            <w:tcW w:w="4508" w:type="dxa"/>
          </w:tcPr>
          <w:p w:rsidRPr="00F65569" w:rsidR="00DE65DA" w:rsidP="00A70065" w:rsidRDefault="00DE65DA" w14:paraId="3F07201C" w14:textId="77777777">
            <w:pPr>
              <w:rPr>
                <w:rFonts w:ascii="Verdana" w:hAnsi="Verdana"/>
                <w:sz w:val="18"/>
                <w:szCs w:val="18"/>
              </w:rPr>
            </w:pPr>
            <w:r w:rsidRPr="00F65569">
              <w:rPr>
                <w:rFonts w:ascii="Verdana" w:hAnsi="Verdana"/>
                <w:sz w:val="18"/>
                <w:szCs w:val="18"/>
              </w:rPr>
              <w:t>55 – 64 jaar</w:t>
            </w:r>
          </w:p>
        </w:tc>
        <w:tc>
          <w:tcPr>
            <w:tcW w:w="4509" w:type="dxa"/>
          </w:tcPr>
          <w:p w:rsidRPr="00F65569" w:rsidR="00DE65DA" w:rsidP="00A70065" w:rsidRDefault="00DE65DA" w14:paraId="0F679FBA" w14:textId="77777777">
            <w:pPr>
              <w:rPr>
                <w:rFonts w:ascii="Verdana" w:hAnsi="Verdana"/>
                <w:sz w:val="18"/>
                <w:szCs w:val="18"/>
              </w:rPr>
            </w:pPr>
            <w:r w:rsidRPr="00F65569">
              <w:rPr>
                <w:rFonts w:ascii="Verdana" w:hAnsi="Verdana"/>
                <w:sz w:val="18"/>
                <w:szCs w:val="18"/>
              </w:rPr>
              <w:t>35%</w:t>
            </w:r>
          </w:p>
        </w:tc>
      </w:tr>
      <w:tr w:rsidRPr="00F65569" w:rsidR="00DE65DA" w:rsidTr="00A70065" w14:paraId="7502F9A1" w14:textId="77777777">
        <w:tc>
          <w:tcPr>
            <w:tcW w:w="4508" w:type="dxa"/>
          </w:tcPr>
          <w:p w:rsidRPr="00F65569" w:rsidR="00DE65DA" w:rsidP="00A70065" w:rsidRDefault="00DE65DA" w14:paraId="3859FC29" w14:textId="77777777">
            <w:pPr>
              <w:rPr>
                <w:rFonts w:ascii="Verdana" w:hAnsi="Verdana"/>
                <w:sz w:val="18"/>
                <w:szCs w:val="18"/>
              </w:rPr>
            </w:pPr>
            <w:r w:rsidRPr="00F65569">
              <w:rPr>
                <w:rFonts w:ascii="Verdana" w:hAnsi="Verdana"/>
                <w:sz w:val="18"/>
                <w:szCs w:val="18"/>
              </w:rPr>
              <w:t>65 – 67 jaar</w:t>
            </w:r>
          </w:p>
        </w:tc>
        <w:tc>
          <w:tcPr>
            <w:tcW w:w="4509" w:type="dxa"/>
          </w:tcPr>
          <w:p w:rsidRPr="00F65569" w:rsidR="00DE65DA" w:rsidP="00A70065" w:rsidRDefault="00DE65DA" w14:paraId="6F2B8E67" w14:textId="77777777">
            <w:pPr>
              <w:rPr>
                <w:rFonts w:ascii="Verdana" w:hAnsi="Verdana"/>
                <w:sz w:val="18"/>
                <w:szCs w:val="18"/>
              </w:rPr>
            </w:pPr>
            <w:r w:rsidRPr="00F65569">
              <w:rPr>
                <w:rFonts w:ascii="Verdana" w:hAnsi="Verdana"/>
                <w:sz w:val="18"/>
                <w:szCs w:val="18"/>
              </w:rPr>
              <w:t>11%</w:t>
            </w:r>
          </w:p>
        </w:tc>
      </w:tr>
    </w:tbl>
    <w:p w:rsidRPr="00383B85" w:rsidR="00DE65DA" w:rsidP="00DE65DA" w:rsidRDefault="00DE65DA" w14:paraId="0E2F8B34" w14:textId="77777777">
      <w:pPr>
        <w:spacing w:after="0" w:line="240" w:lineRule="auto"/>
        <w:rPr>
          <w:rFonts w:ascii="Verdana" w:hAnsi="Verdana"/>
          <w:sz w:val="16"/>
          <w:szCs w:val="16"/>
        </w:rPr>
      </w:pPr>
      <w:r w:rsidRPr="00383B85">
        <w:rPr>
          <w:rFonts w:ascii="Verdana" w:hAnsi="Verdana"/>
          <w:sz w:val="16"/>
          <w:szCs w:val="16"/>
        </w:rPr>
        <w:t>Bron: UWV</w:t>
      </w:r>
    </w:p>
    <w:p w:rsidRPr="00F65569" w:rsidR="00DE65DA" w:rsidP="00DE65DA" w:rsidRDefault="00DE65DA" w14:paraId="50FC0B27" w14:textId="77777777">
      <w:pPr>
        <w:spacing w:after="0" w:line="240" w:lineRule="auto"/>
        <w:rPr>
          <w:rFonts w:ascii="Verdana" w:hAnsi="Verdana"/>
          <w:sz w:val="18"/>
          <w:szCs w:val="18"/>
        </w:rPr>
      </w:pPr>
    </w:p>
    <w:p w:rsidRPr="00F65569" w:rsidR="00DE65DA" w:rsidP="00DE65DA" w:rsidRDefault="00DE65DA" w14:paraId="7044B906" w14:textId="77777777">
      <w:pPr>
        <w:spacing w:after="0" w:line="240" w:lineRule="auto"/>
        <w:rPr>
          <w:rFonts w:ascii="Verdana" w:hAnsi="Verdana"/>
          <w:i/>
          <w:iCs/>
          <w:sz w:val="18"/>
          <w:szCs w:val="18"/>
        </w:rPr>
      </w:pPr>
      <w:r w:rsidRPr="00F65569">
        <w:rPr>
          <w:rFonts w:ascii="Verdana" w:hAnsi="Verdana"/>
          <w:i/>
          <w:iCs/>
          <w:sz w:val="18"/>
          <w:szCs w:val="18"/>
        </w:rPr>
        <w:t>Tabel: Geslacht</w:t>
      </w:r>
    </w:p>
    <w:tbl>
      <w:tblPr>
        <w:tblStyle w:val="Tabelraster"/>
        <w:tblW w:w="0" w:type="auto"/>
        <w:tblInd w:w="0" w:type="dxa"/>
        <w:tblLook w:val="04A0" w:firstRow="1" w:lastRow="0" w:firstColumn="1" w:lastColumn="0" w:noHBand="0" w:noVBand="1"/>
      </w:tblPr>
      <w:tblGrid>
        <w:gridCol w:w="4508"/>
        <w:gridCol w:w="4509"/>
      </w:tblGrid>
      <w:tr w:rsidRPr="00F65569" w:rsidR="00DE65DA" w:rsidTr="00A70065" w14:paraId="0F5CA636" w14:textId="77777777">
        <w:tc>
          <w:tcPr>
            <w:tcW w:w="4508" w:type="dxa"/>
          </w:tcPr>
          <w:p w:rsidRPr="00F65569" w:rsidR="00DE65DA" w:rsidP="00A70065" w:rsidRDefault="00DE65DA" w14:paraId="177AFD90" w14:textId="77777777">
            <w:pPr>
              <w:rPr>
                <w:rFonts w:ascii="Verdana" w:hAnsi="Verdana"/>
                <w:sz w:val="18"/>
                <w:szCs w:val="18"/>
              </w:rPr>
            </w:pPr>
            <w:r w:rsidRPr="00F65569">
              <w:rPr>
                <w:rFonts w:ascii="Verdana" w:hAnsi="Verdana"/>
                <w:sz w:val="18"/>
                <w:szCs w:val="18"/>
              </w:rPr>
              <w:t>Man</w:t>
            </w:r>
          </w:p>
        </w:tc>
        <w:tc>
          <w:tcPr>
            <w:tcW w:w="4509" w:type="dxa"/>
          </w:tcPr>
          <w:p w:rsidRPr="00F65569" w:rsidR="00DE65DA" w:rsidP="00A70065" w:rsidRDefault="00DE65DA" w14:paraId="645E43D1" w14:textId="77777777">
            <w:pPr>
              <w:rPr>
                <w:rFonts w:ascii="Verdana" w:hAnsi="Verdana"/>
                <w:sz w:val="18"/>
                <w:szCs w:val="18"/>
              </w:rPr>
            </w:pPr>
            <w:r w:rsidRPr="00F65569">
              <w:rPr>
                <w:rFonts w:ascii="Verdana" w:hAnsi="Verdana"/>
                <w:sz w:val="18"/>
                <w:szCs w:val="18"/>
              </w:rPr>
              <w:t>54%</w:t>
            </w:r>
          </w:p>
        </w:tc>
      </w:tr>
      <w:tr w:rsidRPr="00F65569" w:rsidR="00DE65DA" w:rsidTr="00A70065" w14:paraId="78B1197C" w14:textId="77777777">
        <w:tc>
          <w:tcPr>
            <w:tcW w:w="4508" w:type="dxa"/>
          </w:tcPr>
          <w:p w:rsidRPr="00F65569" w:rsidR="00DE65DA" w:rsidP="00A70065" w:rsidRDefault="00DE65DA" w14:paraId="70610DB4" w14:textId="77777777">
            <w:pPr>
              <w:rPr>
                <w:rFonts w:ascii="Verdana" w:hAnsi="Verdana"/>
                <w:sz w:val="18"/>
                <w:szCs w:val="18"/>
              </w:rPr>
            </w:pPr>
            <w:r w:rsidRPr="00F65569">
              <w:rPr>
                <w:rFonts w:ascii="Verdana" w:hAnsi="Verdana"/>
                <w:sz w:val="18"/>
                <w:szCs w:val="18"/>
              </w:rPr>
              <w:t>Vrouw</w:t>
            </w:r>
          </w:p>
        </w:tc>
        <w:tc>
          <w:tcPr>
            <w:tcW w:w="4509" w:type="dxa"/>
          </w:tcPr>
          <w:p w:rsidRPr="00F65569" w:rsidR="00DE65DA" w:rsidP="00A70065" w:rsidRDefault="00DE65DA" w14:paraId="5657930C" w14:textId="77777777">
            <w:pPr>
              <w:rPr>
                <w:rFonts w:ascii="Verdana" w:hAnsi="Verdana"/>
                <w:sz w:val="18"/>
                <w:szCs w:val="18"/>
              </w:rPr>
            </w:pPr>
            <w:r w:rsidRPr="00F65569">
              <w:rPr>
                <w:rFonts w:ascii="Verdana" w:hAnsi="Verdana"/>
                <w:sz w:val="18"/>
                <w:szCs w:val="18"/>
              </w:rPr>
              <w:t>46%</w:t>
            </w:r>
          </w:p>
        </w:tc>
      </w:tr>
    </w:tbl>
    <w:p w:rsidRPr="00383B85" w:rsidR="00DE65DA" w:rsidP="00DE65DA" w:rsidRDefault="00DE65DA" w14:paraId="3D2B99FE" w14:textId="77777777">
      <w:pPr>
        <w:spacing w:after="0" w:line="240" w:lineRule="auto"/>
        <w:rPr>
          <w:rFonts w:ascii="Verdana" w:hAnsi="Verdana"/>
          <w:sz w:val="16"/>
          <w:szCs w:val="16"/>
        </w:rPr>
      </w:pPr>
      <w:r w:rsidRPr="00383B85">
        <w:rPr>
          <w:rFonts w:ascii="Verdana" w:hAnsi="Verdana"/>
          <w:sz w:val="16"/>
          <w:szCs w:val="16"/>
        </w:rPr>
        <w:t>Bron: UWV</w:t>
      </w:r>
    </w:p>
    <w:p w:rsidR="00DE65DA" w:rsidP="005A6AAA" w:rsidRDefault="00DE65DA" w14:paraId="1F4EE1F8" w14:textId="77777777">
      <w:pPr>
        <w:spacing w:after="0" w:line="240" w:lineRule="auto"/>
        <w:rPr>
          <w:rFonts w:ascii="Verdana" w:hAnsi="Verdana"/>
          <w:sz w:val="18"/>
          <w:szCs w:val="18"/>
        </w:rPr>
      </w:pPr>
    </w:p>
    <w:p w:rsidRPr="00042552" w:rsidR="00B06B15" w:rsidP="00B06B15" w:rsidRDefault="00B06B15" w14:paraId="1E442ECE"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w:t>
      </w:r>
    </w:p>
    <w:p w:rsidRPr="00042552" w:rsidR="00B06B15" w:rsidP="00B06B15" w:rsidRDefault="00B06B15" w14:paraId="38C46396" w14:textId="77777777">
      <w:pPr>
        <w:spacing w:after="0" w:line="240" w:lineRule="auto"/>
        <w:rPr>
          <w:rFonts w:ascii="Verdana" w:hAnsi="Verdana"/>
          <w:sz w:val="18"/>
          <w:szCs w:val="18"/>
        </w:rPr>
      </w:pPr>
      <w:bookmarkStart w:name="_Hlk231222892" w:id="3"/>
      <w:r w:rsidRPr="00B5447A">
        <w:rPr>
          <w:rFonts w:ascii="Verdana" w:hAnsi="Verdana"/>
          <w:sz w:val="18"/>
          <w:szCs w:val="18"/>
        </w:rPr>
        <w:t>Wat doet de regering aan het toezicht op UWV als uitvoeringsorganisatie met onderscheid productiviteit kwaliteit en complexiteit?</w:t>
      </w:r>
    </w:p>
    <w:bookmarkEnd w:id="3"/>
    <w:p w:rsidR="00B06B15" w:rsidP="00B06B15" w:rsidRDefault="00B06B15" w14:paraId="612D47A8" w14:textId="77777777">
      <w:pPr>
        <w:spacing w:after="0" w:line="240" w:lineRule="auto"/>
        <w:rPr>
          <w:rFonts w:ascii="Verdana" w:hAnsi="Verdana"/>
          <w:sz w:val="18"/>
          <w:szCs w:val="18"/>
          <w:u w:val="single"/>
        </w:rPr>
      </w:pPr>
    </w:p>
    <w:p w:rsidR="00B06B15" w:rsidP="00B06B15" w:rsidRDefault="00B06B15" w14:paraId="2122F3E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w:t>
      </w:r>
    </w:p>
    <w:p w:rsidR="00B06B15" w:rsidP="00B06B15" w:rsidRDefault="00B06B15" w14:paraId="54F32EF8" w14:textId="674BC45E">
      <w:pPr>
        <w:spacing w:after="0" w:line="240" w:lineRule="auto"/>
        <w:rPr>
          <w:rFonts w:ascii="Verdana" w:hAnsi="Verdana"/>
          <w:sz w:val="18"/>
          <w:szCs w:val="18"/>
        </w:rPr>
      </w:pPr>
      <w:r>
        <w:rPr>
          <w:rFonts w:ascii="Verdana" w:hAnsi="Verdana"/>
          <w:sz w:val="18"/>
          <w:szCs w:val="18"/>
        </w:rPr>
        <w:t xml:space="preserve">Op grond van de </w:t>
      </w:r>
      <w:r w:rsidR="00383B85">
        <w:rPr>
          <w:rFonts w:ascii="Verdana" w:hAnsi="Verdana"/>
          <w:sz w:val="18"/>
          <w:szCs w:val="18"/>
        </w:rPr>
        <w:t>Wet Structuur uitvoeringsorganisatie werk en inkomen (W</w:t>
      </w:r>
      <w:r>
        <w:rPr>
          <w:rFonts w:ascii="Verdana" w:hAnsi="Verdana"/>
          <w:sz w:val="18"/>
          <w:szCs w:val="18"/>
        </w:rPr>
        <w:t>et SUWI</w:t>
      </w:r>
      <w:r w:rsidR="00383B85">
        <w:rPr>
          <w:rFonts w:ascii="Verdana" w:hAnsi="Verdana"/>
          <w:sz w:val="18"/>
          <w:szCs w:val="18"/>
        </w:rPr>
        <w:t>)</w:t>
      </w:r>
      <w:r>
        <w:rPr>
          <w:rFonts w:ascii="Verdana" w:hAnsi="Verdana"/>
          <w:sz w:val="18"/>
          <w:szCs w:val="18"/>
        </w:rPr>
        <w:t xml:space="preserve"> en de </w:t>
      </w:r>
      <w:r w:rsidR="00383B85">
        <w:rPr>
          <w:rFonts w:ascii="Verdana" w:hAnsi="Verdana"/>
          <w:sz w:val="18"/>
          <w:szCs w:val="18"/>
        </w:rPr>
        <w:t>K</w:t>
      </w:r>
      <w:r>
        <w:rPr>
          <w:rFonts w:ascii="Verdana" w:hAnsi="Verdana"/>
          <w:sz w:val="18"/>
          <w:szCs w:val="18"/>
        </w:rPr>
        <w:t xml:space="preserve">aderwet </w:t>
      </w:r>
      <w:r w:rsidR="00383B85">
        <w:rPr>
          <w:rFonts w:ascii="Verdana" w:hAnsi="Verdana"/>
          <w:sz w:val="18"/>
          <w:szCs w:val="18"/>
        </w:rPr>
        <w:t xml:space="preserve">zelfstandige bestuursorganen (Kaderwet </w:t>
      </w:r>
      <w:r>
        <w:rPr>
          <w:rFonts w:ascii="Verdana" w:hAnsi="Verdana"/>
          <w:sz w:val="18"/>
          <w:szCs w:val="18"/>
        </w:rPr>
        <w:t>zbo’s</w:t>
      </w:r>
      <w:r w:rsidR="00383B85">
        <w:rPr>
          <w:rFonts w:ascii="Verdana" w:hAnsi="Verdana"/>
          <w:sz w:val="18"/>
          <w:szCs w:val="18"/>
        </w:rPr>
        <w:t>)</w:t>
      </w:r>
      <w:r>
        <w:rPr>
          <w:rFonts w:ascii="Verdana" w:hAnsi="Verdana"/>
          <w:sz w:val="18"/>
          <w:szCs w:val="18"/>
        </w:rPr>
        <w:t xml:space="preserve"> houdt het ministerie toezicht op de zbo’s, waaronder UWV. Daartoe is onder meer een planning- en controlcyclus en een gesprekscyclus ingericht. Een belangrijk aandachtspunt is of UWV de afgesproken dienstverlening (begeleiden naar werk, verstrekkingen van uitkeringen) op tijd levert. Naast de productie is van belang dat de dienstverlening de kwaliteit heeft die burgers en bedrijven mogen verwachten. Bij met name de WIA was dat gedurende enkele jaren niet het geval. Met het programma Kwaliteit op orde wordt het kwaliteitsmanagementsysteem UWV-breed stapsgewijs verbeterd. Complexiteit van wet- en regelgeving is </w:t>
      </w:r>
      <w:r w:rsidR="00BD7493">
        <w:rPr>
          <w:rFonts w:ascii="Verdana" w:hAnsi="Verdana"/>
          <w:sz w:val="18"/>
          <w:szCs w:val="18"/>
        </w:rPr>
        <w:t>ee</w:t>
      </w:r>
      <w:r>
        <w:rPr>
          <w:rFonts w:ascii="Verdana" w:hAnsi="Verdana"/>
          <w:sz w:val="18"/>
          <w:szCs w:val="18"/>
        </w:rPr>
        <w:t>n van de oorzaken die zowel de productie als de kwaliteit van dienstverlening onder druk zet. UWV en SZW werken samen aan een vereenvoudigingsagenda om hier stappen in te zetten. Mede naar aanleiding van het rapport van de Algemene Rekenkamer naar fouten in de WIA is een reeks maatregelen aangekondigd om het toezicht op UWV te verbeteren. Op korte termijn wordt u geïnformeerd over de voortgang van deze maatregelen.</w:t>
      </w:r>
    </w:p>
    <w:p w:rsidR="00B06B15" w:rsidP="005A6AAA" w:rsidRDefault="00B06B15" w14:paraId="749BF648" w14:textId="77777777">
      <w:pPr>
        <w:spacing w:after="0" w:line="240" w:lineRule="auto"/>
        <w:rPr>
          <w:rFonts w:ascii="Verdana" w:hAnsi="Verdana"/>
          <w:sz w:val="18"/>
          <w:szCs w:val="18"/>
        </w:rPr>
      </w:pPr>
    </w:p>
    <w:p w:rsidRPr="00334F6D" w:rsidR="00DE65DA" w:rsidP="00DE65DA" w:rsidRDefault="00DE65DA" w14:paraId="18D1405B" w14:textId="77777777">
      <w:pPr>
        <w:spacing w:after="0" w:line="240" w:lineRule="auto"/>
        <w:rPr>
          <w:rFonts w:ascii="Verdana" w:hAnsi="Verdana"/>
          <w:sz w:val="18"/>
          <w:szCs w:val="18"/>
          <w:u w:val="single"/>
        </w:rPr>
      </w:pPr>
      <w:r w:rsidRPr="00334F6D">
        <w:rPr>
          <w:rFonts w:ascii="Verdana" w:hAnsi="Verdana"/>
          <w:sz w:val="18"/>
          <w:szCs w:val="18"/>
          <w:u w:val="single"/>
        </w:rPr>
        <w:t>Vraag 13</w:t>
      </w:r>
    </w:p>
    <w:p w:rsidRPr="00334F6D" w:rsidR="00DE65DA" w:rsidP="00DE65DA" w:rsidRDefault="00DE65DA" w14:paraId="2E9E9B55" w14:textId="77777777">
      <w:pPr>
        <w:spacing w:after="0" w:line="240" w:lineRule="auto"/>
        <w:rPr>
          <w:rFonts w:ascii="Verdana" w:hAnsi="Verdana"/>
          <w:sz w:val="18"/>
          <w:szCs w:val="18"/>
        </w:rPr>
      </w:pPr>
      <w:r w:rsidRPr="00334F6D">
        <w:rPr>
          <w:rFonts w:ascii="Verdana" w:hAnsi="Verdana"/>
          <w:sz w:val="18"/>
          <w:szCs w:val="18"/>
        </w:rPr>
        <w:lastRenderedPageBreak/>
        <w:t>Wat is het verschil in aanpak ten aanzien van de WIA nu het een toprisico is van het ministerie en op de hoogrisicolijst staat van de Algemene Rekenkamer? Wat betekent dit voor de algemene aanpak van de WIA-problematiek?</w:t>
      </w:r>
    </w:p>
    <w:p w:rsidRPr="00334F6D" w:rsidR="00DE65DA" w:rsidP="00DE65DA" w:rsidRDefault="00DE65DA" w14:paraId="15B9CF2B" w14:textId="77777777">
      <w:pPr>
        <w:spacing w:after="0" w:line="240" w:lineRule="auto"/>
        <w:rPr>
          <w:rFonts w:ascii="Verdana" w:hAnsi="Verdana"/>
          <w:sz w:val="18"/>
          <w:szCs w:val="18"/>
        </w:rPr>
      </w:pPr>
    </w:p>
    <w:p w:rsidRPr="00334F6D" w:rsidR="00DE65DA" w:rsidP="00DE65DA" w:rsidRDefault="00DE65DA" w14:paraId="144D5C72" w14:textId="77777777">
      <w:pPr>
        <w:spacing w:after="0" w:line="240" w:lineRule="auto"/>
        <w:rPr>
          <w:rFonts w:ascii="Verdana" w:hAnsi="Verdana"/>
          <w:sz w:val="18"/>
          <w:szCs w:val="18"/>
          <w:u w:val="single"/>
        </w:rPr>
      </w:pPr>
      <w:r w:rsidRPr="00334F6D">
        <w:rPr>
          <w:rFonts w:ascii="Verdana" w:hAnsi="Verdana"/>
          <w:sz w:val="18"/>
          <w:szCs w:val="18"/>
          <w:u w:val="single"/>
        </w:rPr>
        <w:t>Antwoord 13</w:t>
      </w:r>
    </w:p>
    <w:p w:rsidRPr="00334F6D" w:rsidR="00DE65DA" w:rsidP="00DE65DA" w:rsidRDefault="00DE65DA" w14:paraId="76E04140" w14:textId="171B3078">
      <w:pPr>
        <w:spacing w:after="0" w:line="240" w:lineRule="auto"/>
        <w:rPr>
          <w:rFonts w:ascii="Verdana" w:hAnsi="Verdana"/>
          <w:sz w:val="18"/>
          <w:szCs w:val="18"/>
        </w:rPr>
      </w:pPr>
      <w:r w:rsidRPr="00334F6D">
        <w:rPr>
          <w:rFonts w:ascii="Verdana" w:hAnsi="Verdana"/>
          <w:sz w:val="18"/>
          <w:szCs w:val="18"/>
        </w:rPr>
        <w:t>Er is al vaak aangegeven dat er fors ingegrepen moet worden in het WIA-</w:t>
      </w:r>
      <w:r w:rsidR="00383B85">
        <w:rPr>
          <w:rFonts w:ascii="Verdana" w:hAnsi="Verdana"/>
          <w:sz w:val="18"/>
          <w:szCs w:val="18"/>
        </w:rPr>
        <w:t>s</w:t>
      </w:r>
      <w:r w:rsidRPr="00334F6D">
        <w:rPr>
          <w:rFonts w:ascii="Verdana" w:hAnsi="Verdana"/>
          <w:sz w:val="18"/>
          <w:szCs w:val="18"/>
        </w:rPr>
        <w:t xml:space="preserve">telsel. Op korte termijn werkt UWV aan een organisatie- en cultuurverandering. UWV heeft daartoe de ‘Ontwikkelagenda sociaal-medische dienstverlening’ opgesteld, waarvan de eerste acties inmiddels lopen. Voor de middellange termijn heeft het </w:t>
      </w:r>
      <w:r w:rsidR="00383B85">
        <w:rPr>
          <w:rFonts w:ascii="Verdana" w:hAnsi="Verdana"/>
          <w:sz w:val="18"/>
          <w:szCs w:val="18"/>
        </w:rPr>
        <w:t>k</w:t>
      </w:r>
      <w:r w:rsidRPr="00334F6D">
        <w:rPr>
          <w:rFonts w:ascii="Verdana" w:hAnsi="Verdana"/>
          <w:sz w:val="18"/>
          <w:szCs w:val="18"/>
        </w:rPr>
        <w:t>abinet maatregelen aangekondigd in het coalitieakkoord. Het gaat om drie maatregelen die volgen uit het ‘doenpakket’ van het eind 2025 verschenen Interdepartementaal Beleidsonderzoek naar de WIA. Ten eerste gaan UWV en SZW aan de slag om verdergaande taakdelegatie en taakherschikking zo snel mogelijk in te voeren. Ten tweede scherpen we het proces rond het aanvragen en afhandelen van herbeoordelingen aan. Tot slot beoogt het kabinet het duurzaamheidscriterium in de WIA vanaf 2030 af te schaffen, waarmee het onderscheid tussen de WGA en de IVA verdwijnt. Het kabinet gaat hierover graag in gesprek met de polder. Voor de lange termijn werkt het kabinet aan een toekomstvisie voor het arbeidsongeschiktheidsstelsel.</w:t>
      </w:r>
    </w:p>
    <w:p w:rsidR="00DE65DA" w:rsidP="005A6AAA" w:rsidRDefault="00DE65DA" w14:paraId="789C2200" w14:textId="77777777">
      <w:pPr>
        <w:spacing w:after="0" w:line="240" w:lineRule="auto"/>
        <w:rPr>
          <w:rFonts w:ascii="Verdana" w:hAnsi="Verdana"/>
          <w:sz w:val="18"/>
          <w:szCs w:val="18"/>
        </w:rPr>
      </w:pPr>
    </w:p>
    <w:p w:rsidRPr="00042552" w:rsidR="00B06B15" w:rsidP="00B06B15" w:rsidRDefault="00B06B15" w14:paraId="6CD38D0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14</w:t>
      </w:r>
    </w:p>
    <w:p w:rsidR="00B06B15" w:rsidP="00B06B15" w:rsidRDefault="00B06B15" w14:paraId="0AD717FF" w14:textId="77777777">
      <w:pPr>
        <w:spacing w:after="0" w:line="240" w:lineRule="auto"/>
        <w:rPr>
          <w:rFonts w:ascii="Verdana" w:hAnsi="Verdana"/>
          <w:sz w:val="18"/>
          <w:szCs w:val="18"/>
        </w:rPr>
      </w:pPr>
      <w:r w:rsidRPr="00C75A66">
        <w:rPr>
          <w:rFonts w:ascii="Verdana" w:hAnsi="Verdana"/>
          <w:sz w:val="18"/>
          <w:szCs w:val="18"/>
        </w:rPr>
        <w:t>Wat doet de regering aan de vereenvoudiging van wet en regelgeving in 2026? Wat is de agenda in het vereenvoudigen van wet en regelgeving in 2026 en verder?</w:t>
      </w:r>
    </w:p>
    <w:p w:rsidRPr="00042552" w:rsidR="00B06B15" w:rsidP="00B06B15" w:rsidRDefault="00B06B15" w14:paraId="78C0573E" w14:textId="77777777">
      <w:pPr>
        <w:spacing w:after="0" w:line="240" w:lineRule="auto"/>
        <w:rPr>
          <w:rFonts w:ascii="Verdana" w:hAnsi="Verdana"/>
          <w:sz w:val="18"/>
          <w:szCs w:val="18"/>
        </w:rPr>
      </w:pPr>
    </w:p>
    <w:p w:rsidRPr="00042552" w:rsidR="00B06B15" w:rsidP="00B06B15" w:rsidRDefault="00B06B15" w14:paraId="05DFDBE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14</w:t>
      </w:r>
    </w:p>
    <w:p w:rsidR="00B06B15" w:rsidP="00B06B15" w:rsidRDefault="00B06B15" w14:paraId="7804532E" w14:textId="77777777">
      <w:pPr>
        <w:spacing w:after="0" w:line="240" w:lineRule="auto"/>
        <w:rPr>
          <w:rFonts w:ascii="Verdana" w:hAnsi="Verdana"/>
          <w:sz w:val="18"/>
          <w:szCs w:val="18"/>
        </w:rPr>
      </w:pPr>
      <w:r>
        <w:rPr>
          <w:rFonts w:ascii="Verdana" w:hAnsi="Verdana"/>
          <w:sz w:val="18"/>
          <w:szCs w:val="18"/>
        </w:rPr>
        <w:t>Het kabinet werkt via de</w:t>
      </w:r>
      <w:r w:rsidRPr="00C75A66">
        <w:rPr>
          <w:rFonts w:ascii="Verdana" w:hAnsi="Verdana"/>
          <w:sz w:val="18"/>
          <w:szCs w:val="18"/>
        </w:rPr>
        <w:t xml:space="preserve"> Hervormingsagenda inkomensondersteuning </w:t>
      </w:r>
      <w:r>
        <w:rPr>
          <w:rFonts w:ascii="Verdana" w:hAnsi="Verdana"/>
          <w:sz w:val="18"/>
          <w:szCs w:val="18"/>
        </w:rPr>
        <w:t>aan vereenvoudiging en hervorming van de sociale z</w:t>
      </w:r>
      <w:r w:rsidRPr="00C75A66">
        <w:rPr>
          <w:rFonts w:ascii="Verdana" w:hAnsi="Verdana"/>
          <w:sz w:val="18"/>
          <w:szCs w:val="18"/>
        </w:rPr>
        <w:t>e</w:t>
      </w:r>
      <w:r>
        <w:rPr>
          <w:rFonts w:ascii="Verdana" w:hAnsi="Verdana"/>
          <w:sz w:val="18"/>
          <w:szCs w:val="18"/>
        </w:rPr>
        <w:t>ker</w:t>
      </w:r>
      <w:r w:rsidRPr="00C75A66">
        <w:rPr>
          <w:rFonts w:ascii="Verdana" w:hAnsi="Verdana"/>
          <w:sz w:val="18"/>
          <w:szCs w:val="18"/>
        </w:rPr>
        <w:t>heid</w:t>
      </w:r>
      <w:r>
        <w:rPr>
          <w:rFonts w:ascii="Verdana" w:hAnsi="Verdana"/>
          <w:sz w:val="18"/>
          <w:szCs w:val="18"/>
        </w:rPr>
        <w:t xml:space="preserve">. De Hervormingsagenda bevat een Routekaart </w:t>
      </w:r>
      <w:r w:rsidRPr="00C75A66">
        <w:rPr>
          <w:rFonts w:ascii="Verdana" w:hAnsi="Verdana"/>
          <w:sz w:val="18"/>
          <w:szCs w:val="18"/>
        </w:rPr>
        <w:t xml:space="preserve">richting 2035 </w:t>
      </w:r>
      <w:r>
        <w:rPr>
          <w:rFonts w:ascii="Verdana" w:hAnsi="Verdana"/>
          <w:sz w:val="18"/>
          <w:szCs w:val="18"/>
        </w:rPr>
        <w:t xml:space="preserve">en schetst jaarlijks de voortgang van 35 trajecten. Deze trajecten dragen alle bij aan </w:t>
      </w:r>
      <w:r w:rsidRPr="00A035F5">
        <w:rPr>
          <w:rFonts w:ascii="Verdana" w:hAnsi="Verdana"/>
          <w:sz w:val="18"/>
          <w:szCs w:val="18"/>
        </w:rPr>
        <w:t>een zekerder en begrijpelijker stelsel van inkomensondersteuning waarin (meer) werken loont</w:t>
      </w:r>
      <w:r>
        <w:rPr>
          <w:rFonts w:ascii="Verdana" w:hAnsi="Verdana"/>
          <w:sz w:val="18"/>
          <w:szCs w:val="18"/>
        </w:rPr>
        <w:t xml:space="preserve">. Momenteel liggen de wetsvoorstellen proactieve dienstverlening en handhaving sociale zekerheid in uw Kamer ter behandeling. Daarnaast wordt in 2026 het ontwerpwetsvoorstel voor het nieuwe financieringsstelsel van kinderopvang </w:t>
      </w:r>
      <w:r w:rsidRPr="00887D93">
        <w:rPr>
          <w:rFonts w:ascii="Verdana" w:hAnsi="Verdana"/>
          <w:sz w:val="18"/>
          <w:szCs w:val="18"/>
        </w:rPr>
        <w:t>voor advies aan</w:t>
      </w:r>
      <w:r>
        <w:rPr>
          <w:rFonts w:ascii="Verdana" w:hAnsi="Verdana"/>
          <w:sz w:val="18"/>
          <w:szCs w:val="18"/>
        </w:rPr>
        <w:t xml:space="preserve">geboden </w:t>
      </w:r>
      <w:r w:rsidRPr="00887D93">
        <w:rPr>
          <w:rFonts w:ascii="Verdana" w:hAnsi="Verdana"/>
          <w:sz w:val="18"/>
          <w:szCs w:val="18"/>
        </w:rPr>
        <w:t>aan de Raad van State</w:t>
      </w:r>
      <w:r>
        <w:rPr>
          <w:rFonts w:ascii="Verdana" w:hAnsi="Verdana"/>
          <w:sz w:val="18"/>
          <w:szCs w:val="18"/>
        </w:rPr>
        <w:t>. Ook zullen in 2026 naar verwachting de wetsvoorstellen over het regionale loket naar werk en over verbreding van de banenafspraak aan uw Kamer worden aangeboden. In de Hervormingsagenda staat het volledige overzicht van voorbereidingen die in 2026 worden getroffen om ook wetsvoorstellen in de volgende jaren aan uw Kamer aan te bieden, bijvoorbeeld over de nieuwe kindregeling, de WIA en de modernisering van het vorderingenbeleid. Voor het zomerreces biedt het kabinet uw Kamer een voortgangsbrief aan over de Hervormingsagenda.</w:t>
      </w:r>
    </w:p>
    <w:p w:rsidR="00B06B15" w:rsidP="005A6AAA" w:rsidRDefault="00B06B15" w14:paraId="137E3C14" w14:textId="77777777">
      <w:pPr>
        <w:spacing w:after="0" w:line="240" w:lineRule="auto"/>
        <w:rPr>
          <w:rFonts w:ascii="Verdana" w:hAnsi="Verdana"/>
          <w:sz w:val="18"/>
          <w:szCs w:val="18"/>
        </w:rPr>
      </w:pPr>
    </w:p>
    <w:p w:rsidRPr="00042552" w:rsidR="00CC5C28" w:rsidP="00CC5C28" w:rsidRDefault="00CC5C28" w14:paraId="0CD745F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15</w:t>
      </w:r>
    </w:p>
    <w:p w:rsidR="00CC5C28" w:rsidP="00CC5C28" w:rsidRDefault="00CC5C28" w14:paraId="39A4B6DA" w14:textId="77777777">
      <w:pPr>
        <w:spacing w:after="0" w:line="240" w:lineRule="auto"/>
        <w:rPr>
          <w:rFonts w:ascii="Verdana" w:hAnsi="Verdana"/>
          <w:sz w:val="18"/>
          <w:szCs w:val="18"/>
        </w:rPr>
      </w:pPr>
      <w:r w:rsidRPr="00FB3894">
        <w:rPr>
          <w:rFonts w:ascii="Verdana" w:hAnsi="Verdana"/>
          <w:sz w:val="18"/>
          <w:szCs w:val="18"/>
        </w:rPr>
        <w:t>Waarom lukt het de regering opnieuw niet om beschikbare middelen tijdig bij mensen en ondernemers te krijgen, terwijl bij regelingen als de Stimuleringsregeling Leren en Ontwikkelen in Bedrijven (SLIM) en Tijdelijke Maatwerkregeling Duurzame Inzetbaarheid en Eerder Uittreden (MDIEU) tientallen miljoenen blijven liggen door vertragingen in beoordelingen en lagere voorschotverzoeken?</w:t>
      </w:r>
    </w:p>
    <w:p w:rsidR="00CC5C28" w:rsidP="00CC5C28" w:rsidRDefault="00CC5C28" w14:paraId="64D24D3F" w14:textId="77777777">
      <w:pPr>
        <w:spacing w:after="0" w:line="240" w:lineRule="auto"/>
        <w:rPr>
          <w:rFonts w:ascii="Verdana" w:hAnsi="Verdana"/>
          <w:sz w:val="18"/>
          <w:szCs w:val="18"/>
          <w:u w:val="single"/>
        </w:rPr>
      </w:pPr>
    </w:p>
    <w:p w:rsidRPr="00042552" w:rsidR="00CC5C28" w:rsidP="00CC5C28" w:rsidRDefault="00CC5C28" w14:paraId="72EA6298"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15</w:t>
      </w:r>
    </w:p>
    <w:p w:rsidR="00CC5C28" w:rsidP="00CC5C28" w:rsidRDefault="00CC5C28" w14:paraId="24D552F6" w14:textId="3D8EC594">
      <w:pPr>
        <w:spacing w:after="0" w:line="240" w:lineRule="auto"/>
        <w:rPr>
          <w:rFonts w:ascii="Verdana" w:hAnsi="Verdana"/>
          <w:sz w:val="18"/>
          <w:szCs w:val="18"/>
        </w:rPr>
      </w:pPr>
      <w:r>
        <w:rPr>
          <w:rFonts w:ascii="Verdana" w:hAnsi="Verdana"/>
          <w:sz w:val="18"/>
          <w:szCs w:val="18"/>
        </w:rPr>
        <w:t>Zoals aangegeven in de Slotwet was er € 23,4 miljoen onderuitputting op het kasbudget en € 10,3 miljoen op het verplichtingenbudget in 2025. Van de</w:t>
      </w:r>
      <w:r w:rsidR="00BD7493">
        <w:rPr>
          <w:rFonts w:ascii="Verdana" w:hAnsi="Verdana"/>
          <w:sz w:val="18"/>
          <w:szCs w:val="18"/>
        </w:rPr>
        <w:t xml:space="preserve"> €</w:t>
      </w:r>
      <w:r>
        <w:rPr>
          <w:rFonts w:ascii="Verdana" w:hAnsi="Verdana"/>
          <w:sz w:val="18"/>
          <w:szCs w:val="18"/>
        </w:rPr>
        <w:t xml:space="preserve"> 23,4 miljoen lagere uitgaven dan begroot, komt circa € 6 miljoen door Slim Scholen en circa € 17 miljoen door Slim MKB. De lagere uitgaven aan Slim in 2025 kom</w:t>
      </w:r>
      <w:r w:rsidR="001427F8">
        <w:rPr>
          <w:rFonts w:ascii="Verdana" w:hAnsi="Verdana"/>
          <w:sz w:val="18"/>
          <w:szCs w:val="18"/>
        </w:rPr>
        <w:t>en</w:t>
      </w:r>
      <w:r>
        <w:rPr>
          <w:rFonts w:ascii="Verdana" w:hAnsi="Verdana"/>
          <w:sz w:val="18"/>
          <w:szCs w:val="18"/>
        </w:rPr>
        <w:t xml:space="preserve"> doordat een deel van de aanvragen van eind 2025 in 2026 </w:t>
      </w:r>
      <w:r w:rsidR="001427F8">
        <w:rPr>
          <w:rFonts w:ascii="Verdana" w:hAnsi="Verdana"/>
          <w:sz w:val="18"/>
          <w:szCs w:val="18"/>
        </w:rPr>
        <w:t xml:space="preserve">zijn </w:t>
      </w:r>
      <w:r>
        <w:rPr>
          <w:rFonts w:ascii="Verdana" w:hAnsi="Verdana"/>
          <w:sz w:val="18"/>
          <w:szCs w:val="18"/>
        </w:rPr>
        <w:t>beschikt. Ook is een deel van het budget, ruim € 3 miljoen, van Slim Scholen onverwacht niet aangevraagd door ondernemers.</w:t>
      </w:r>
    </w:p>
    <w:p w:rsidR="00CC5C28" w:rsidP="00CC5C28" w:rsidRDefault="00CC5C28" w14:paraId="26DC7705" w14:textId="77777777">
      <w:pPr>
        <w:spacing w:after="0" w:line="240" w:lineRule="auto"/>
        <w:rPr>
          <w:rFonts w:ascii="Verdana" w:hAnsi="Verdana"/>
          <w:i/>
          <w:iCs/>
          <w:sz w:val="18"/>
          <w:szCs w:val="18"/>
        </w:rPr>
      </w:pPr>
    </w:p>
    <w:p w:rsidR="00CC5C28" w:rsidP="00CC5C28" w:rsidRDefault="00CC5C28" w14:paraId="72CEB183" w14:textId="0A8177F4">
      <w:pPr>
        <w:spacing w:after="0" w:line="240" w:lineRule="auto"/>
        <w:rPr>
          <w:rFonts w:ascii="Verdana" w:hAnsi="Verdana"/>
          <w:sz w:val="18"/>
          <w:szCs w:val="18"/>
        </w:rPr>
      </w:pPr>
      <w:r>
        <w:rPr>
          <w:rFonts w:ascii="Verdana" w:hAnsi="Verdana"/>
          <w:sz w:val="18"/>
          <w:szCs w:val="18"/>
        </w:rPr>
        <w:t>Aan Slim MKB is minder uitgegeven</w:t>
      </w:r>
      <w:r w:rsidR="00DF33F5">
        <w:rPr>
          <w:rFonts w:ascii="Verdana" w:hAnsi="Verdana"/>
          <w:sz w:val="18"/>
          <w:szCs w:val="18"/>
        </w:rPr>
        <w:t>,</w:t>
      </w:r>
      <w:r>
        <w:rPr>
          <w:rFonts w:ascii="Verdana" w:hAnsi="Verdana"/>
          <w:sz w:val="18"/>
          <w:szCs w:val="18"/>
        </w:rPr>
        <w:t xml:space="preserve"> omdat de </w:t>
      </w:r>
      <w:r w:rsidRPr="00922EFA">
        <w:rPr>
          <w:rFonts w:ascii="Verdana" w:hAnsi="Verdana"/>
          <w:sz w:val="18"/>
          <w:szCs w:val="18"/>
        </w:rPr>
        <w:t xml:space="preserve">hoeveelheid betalingen </w:t>
      </w:r>
      <w:r>
        <w:rPr>
          <w:rFonts w:ascii="Verdana" w:hAnsi="Verdana"/>
          <w:sz w:val="18"/>
          <w:szCs w:val="18"/>
        </w:rPr>
        <w:t xml:space="preserve">benodigd voor </w:t>
      </w:r>
      <w:r w:rsidRPr="00922EFA">
        <w:rPr>
          <w:rFonts w:ascii="Verdana" w:hAnsi="Verdana"/>
          <w:sz w:val="18"/>
          <w:szCs w:val="18"/>
        </w:rPr>
        <w:t xml:space="preserve">vaststellingen en voorschotten te hoog </w:t>
      </w:r>
      <w:r>
        <w:rPr>
          <w:rFonts w:ascii="Verdana" w:hAnsi="Verdana"/>
          <w:sz w:val="18"/>
          <w:szCs w:val="18"/>
        </w:rPr>
        <w:t>ingeschat</w:t>
      </w:r>
      <w:r w:rsidR="00DF33F5">
        <w:rPr>
          <w:rFonts w:ascii="Verdana" w:hAnsi="Verdana"/>
          <w:sz w:val="18"/>
          <w:szCs w:val="18"/>
        </w:rPr>
        <w:t xml:space="preserve"> bleek te zijn</w:t>
      </w:r>
      <w:r w:rsidRPr="00922EFA">
        <w:rPr>
          <w:rFonts w:ascii="Verdana" w:hAnsi="Verdana"/>
          <w:sz w:val="18"/>
          <w:szCs w:val="18"/>
        </w:rPr>
        <w:t xml:space="preserve">. Dit komt doordat op voorhand de looptijd van projecten en de timing van vaststellingsverzoeken moeilijk </w:t>
      </w:r>
      <w:r>
        <w:rPr>
          <w:rFonts w:ascii="Verdana" w:hAnsi="Verdana"/>
          <w:sz w:val="18"/>
          <w:szCs w:val="18"/>
        </w:rPr>
        <w:t xml:space="preserve">exact </w:t>
      </w:r>
      <w:r w:rsidRPr="00922EFA">
        <w:rPr>
          <w:rFonts w:ascii="Verdana" w:hAnsi="Verdana"/>
          <w:sz w:val="18"/>
          <w:szCs w:val="18"/>
        </w:rPr>
        <w:t>te voorspellen zijn.</w:t>
      </w:r>
      <w:r>
        <w:rPr>
          <w:rFonts w:ascii="Verdana" w:hAnsi="Verdana"/>
          <w:sz w:val="18"/>
          <w:szCs w:val="18"/>
        </w:rPr>
        <w:t xml:space="preserve"> Zo is de termijn voor het indienen van de vaststelling van een subsidie voor het MKB 22 weken, waardoor het op voorhand lastig te voorspellen is wanneer SZW het verzoek krijgt en kan vaststellen en uitbetalen. </w:t>
      </w:r>
    </w:p>
    <w:p w:rsidR="00CC5C28" w:rsidP="00CC5C28" w:rsidRDefault="00CC5C28" w14:paraId="7E7CDF5A" w14:textId="77777777">
      <w:pPr>
        <w:spacing w:after="0" w:line="240" w:lineRule="auto"/>
        <w:rPr>
          <w:rFonts w:ascii="Verdana" w:hAnsi="Verdana"/>
          <w:sz w:val="18"/>
          <w:szCs w:val="18"/>
        </w:rPr>
      </w:pPr>
    </w:p>
    <w:p w:rsidR="00CC5C28" w:rsidP="00CC5C28" w:rsidRDefault="00CC5C28" w14:paraId="17918E23" w14:textId="7E4D8BFB">
      <w:pPr>
        <w:spacing w:after="0" w:line="240" w:lineRule="auto"/>
        <w:rPr>
          <w:rFonts w:ascii="Verdana" w:hAnsi="Verdana"/>
          <w:sz w:val="18"/>
          <w:szCs w:val="18"/>
        </w:rPr>
      </w:pPr>
      <w:r>
        <w:rPr>
          <w:rFonts w:ascii="Verdana" w:hAnsi="Verdana"/>
          <w:sz w:val="18"/>
          <w:szCs w:val="18"/>
        </w:rPr>
        <w:t>Daarnaast was</w:t>
      </w:r>
      <w:r w:rsidR="001427F8">
        <w:rPr>
          <w:rFonts w:ascii="Verdana" w:hAnsi="Verdana"/>
          <w:sz w:val="18"/>
          <w:szCs w:val="18"/>
        </w:rPr>
        <w:t xml:space="preserve"> er</w:t>
      </w:r>
      <w:r>
        <w:rPr>
          <w:rFonts w:ascii="Verdana" w:hAnsi="Verdana"/>
          <w:sz w:val="18"/>
          <w:szCs w:val="18"/>
        </w:rPr>
        <w:t xml:space="preserve"> € 6</w:t>
      </w:r>
      <w:r w:rsidR="001427F8">
        <w:rPr>
          <w:rFonts w:ascii="Verdana" w:hAnsi="Verdana"/>
          <w:sz w:val="18"/>
          <w:szCs w:val="18"/>
        </w:rPr>
        <w:t xml:space="preserve"> </w:t>
      </w:r>
      <w:r>
        <w:rPr>
          <w:rFonts w:ascii="Verdana" w:hAnsi="Verdana"/>
          <w:sz w:val="18"/>
          <w:szCs w:val="18"/>
        </w:rPr>
        <w:t>miljoen onderuitputting op het kasbudget en € 14,5 miljoen op het verplichtingenbudget in 2025 van MDIEU. Deze onderuitputting vloeit voort uit het gegeven dat</w:t>
      </w:r>
      <w:r w:rsidR="001427F8">
        <w:rPr>
          <w:rFonts w:ascii="Verdana" w:hAnsi="Verdana"/>
          <w:sz w:val="18"/>
          <w:szCs w:val="18"/>
        </w:rPr>
        <w:t xml:space="preserve"> </w:t>
      </w:r>
      <w:r>
        <w:rPr>
          <w:rFonts w:ascii="Verdana" w:hAnsi="Verdana"/>
          <w:sz w:val="18"/>
          <w:szCs w:val="18"/>
        </w:rPr>
        <w:t xml:space="preserve">subsidieontvangers in hun projecten minder geld hebben uitgegeven dan dat zij in hun subsidieaanvraag hadden begroot. Dit heeft geleid tot bijstelling van de subsidies en de uitbetaling van lagere voorschotbedragen. Inmiddels is de tijdelijke MDIEU-regeling op 31 december 2025 </w:t>
      </w:r>
      <w:r>
        <w:rPr>
          <w:rFonts w:ascii="Verdana" w:hAnsi="Verdana"/>
          <w:sz w:val="18"/>
          <w:szCs w:val="18"/>
        </w:rPr>
        <w:lastRenderedPageBreak/>
        <w:t xml:space="preserve">beëindigd. Alle MDIEU-projecten bij sectoren en bij individuele bedrijven hadden op dat moment hun einddatum en zullen einddeclaraties indienen. </w:t>
      </w:r>
    </w:p>
    <w:p w:rsidR="00CC5C28" w:rsidP="005A6AAA" w:rsidRDefault="00CC5C28" w14:paraId="48C58868" w14:textId="77777777">
      <w:pPr>
        <w:spacing w:after="0" w:line="240" w:lineRule="auto"/>
        <w:rPr>
          <w:rFonts w:ascii="Verdana" w:hAnsi="Verdana"/>
          <w:sz w:val="18"/>
          <w:szCs w:val="18"/>
        </w:rPr>
      </w:pPr>
    </w:p>
    <w:p w:rsidRPr="00042552" w:rsidR="0081368D" w:rsidP="0081368D" w:rsidRDefault="0081368D" w14:paraId="6956B0BE"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w:t>
      </w:r>
    </w:p>
    <w:p w:rsidR="0081368D" w:rsidP="0081368D" w:rsidRDefault="0081368D" w14:paraId="3DC74842" w14:textId="77777777">
      <w:pPr>
        <w:spacing w:after="0" w:line="240" w:lineRule="auto"/>
        <w:rPr>
          <w:rFonts w:ascii="Verdana" w:hAnsi="Verdana"/>
          <w:sz w:val="18"/>
          <w:szCs w:val="18"/>
        </w:rPr>
      </w:pPr>
      <w:r w:rsidRPr="00CD7861">
        <w:rPr>
          <w:rFonts w:ascii="Verdana" w:hAnsi="Verdana"/>
          <w:sz w:val="18"/>
          <w:szCs w:val="18"/>
        </w:rPr>
        <w:t>Hoe kan het dat er € 53,1 miljoen minder is uitgegeven aan kinderopvang dan geraamd, terwijl gewone werkende gezinnen juist iedere maand worstelen met hoge kosten voor kinderopvang?</w:t>
      </w:r>
    </w:p>
    <w:p w:rsidRPr="00042552" w:rsidR="0081368D" w:rsidP="0081368D" w:rsidRDefault="0081368D" w14:paraId="212BE0A6" w14:textId="77777777">
      <w:pPr>
        <w:spacing w:after="0" w:line="240" w:lineRule="auto"/>
        <w:rPr>
          <w:rFonts w:ascii="Verdana" w:hAnsi="Verdana"/>
          <w:sz w:val="18"/>
          <w:szCs w:val="18"/>
        </w:rPr>
      </w:pPr>
    </w:p>
    <w:p w:rsidRPr="00042552" w:rsidR="0081368D" w:rsidP="0081368D" w:rsidRDefault="0081368D" w14:paraId="2B55FD8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w:t>
      </w:r>
    </w:p>
    <w:p w:rsidR="0081368D" w:rsidP="0081368D" w:rsidRDefault="0081368D" w14:paraId="1CEBC085" w14:textId="77777777">
      <w:pPr>
        <w:spacing w:after="0" w:line="240" w:lineRule="auto"/>
        <w:rPr>
          <w:rFonts w:ascii="Verdana" w:hAnsi="Verdana"/>
          <w:sz w:val="18"/>
          <w:szCs w:val="18"/>
        </w:rPr>
      </w:pPr>
      <w:r w:rsidRPr="00F158D0">
        <w:rPr>
          <w:rFonts w:ascii="Verdana" w:hAnsi="Verdana"/>
          <w:sz w:val="18"/>
          <w:szCs w:val="18"/>
        </w:rPr>
        <w:t>In de begroting is een raming gemaakt van de uitgaven aan kinderopvangtoeslag, op basis van o</w:t>
      </w:r>
      <w:r>
        <w:rPr>
          <w:rFonts w:ascii="Verdana" w:hAnsi="Verdana"/>
          <w:sz w:val="18"/>
          <w:szCs w:val="18"/>
        </w:rPr>
        <w:t>nder andere</w:t>
      </w:r>
      <w:r w:rsidRPr="00F158D0">
        <w:rPr>
          <w:rFonts w:ascii="Verdana" w:hAnsi="Verdana"/>
          <w:sz w:val="18"/>
          <w:szCs w:val="18"/>
        </w:rPr>
        <w:t xml:space="preserve"> het verwachte gebruik van kinderopvang en de uurprijzen. De realisatie kan om verschillende redenen afwijken van de begroting, bijvoorbeeld als meer of minder kinderen naar de opvang gaan, het gemiddelde urengebruik per kind hoger of lager uitvalt of als kinderopvangorganisaties hogere of lagere uurtarieven hanteren dan verwacht. De kosten die een individueel gezin maakt zijn afhankelijk van het individuele toetsingsinkomen, het</w:t>
      </w:r>
      <w:r>
        <w:rPr>
          <w:rFonts w:ascii="Verdana" w:hAnsi="Verdana"/>
          <w:sz w:val="18"/>
          <w:szCs w:val="18"/>
        </w:rPr>
        <w:t xml:space="preserve"> type opvang waar een gezin gebruik van maakt, het aantal dagen en uren opvang en de uurprijs van de kinderopvang. </w:t>
      </w:r>
    </w:p>
    <w:p w:rsidR="0081368D" w:rsidP="0081368D" w:rsidRDefault="0081368D" w14:paraId="1B4562B2" w14:textId="77777777">
      <w:pPr>
        <w:spacing w:after="0" w:line="240" w:lineRule="auto"/>
        <w:rPr>
          <w:rFonts w:ascii="Verdana" w:hAnsi="Verdana"/>
          <w:sz w:val="18"/>
          <w:szCs w:val="18"/>
        </w:rPr>
      </w:pPr>
    </w:p>
    <w:p w:rsidR="0081368D" w:rsidP="0081368D" w:rsidRDefault="0081368D" w14:paraId="4FE7F8DE" w14:textId="77777777">
      <w:pPr>
        <w:spacing w:after="0" w:line="240" w:lineRule="auto"/>
        <w:rPr>
          <w:rFonts w:ascii="Verdana" w:hAnsi="Verdana"/>
          <w:sz w:val="18"/>
          <w:szCs w:val="18"/>
        </w:rPr>
      </w:pPr>
      <w:r>
        <w:rPr>
          <w:rFonts w:ascii="Verdana" w:hAnsi="Verdana"/>
          <w:sz w:val="18"/>
          <w:szCs w:val="18"/>
        </w:rPr>
        <w:t>In 2025 zijn de vergoedingspercentages in de kinderopvangtoeslag verhoogd voor huishoudens met een inkomen tussen de circa € 29.400 en € 159.200 (loonpeil 2025). Zij ontvingen een vergoedingspercentage in de eerste kindtabel dat maximaal 8,7 procentpunt hoger lag dan in 2024, waardoor kinderopvang voor deze ouders beter betaalbaar werd.</w:t>
      </w:r>
    </w:p>
    <w:p w:rsidRPr="005A6AAA" w:rsidR="0081368D" w:rsidP="005A6AAA" w:rsidRDefault="0081368D" w14:paraId="5B27E2AB" w14:textId="77777777">
      <w:pPr>
        <w:spacing w:after="0" w:line="240" w:lineRule="auto"/>
        <w:rPr>
          <w:rFonts w:ascii="Verdana" w:hAnsi="Verdana"/>
          <w:sz w:val="18"/>
          <w:szCs w:val="18"/>
        </w:rPr>
      </w:pPr>
    </w:p>
    <w:sectPr w:rsidRPr="005A6AAA" w:rsidR="008136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6F9E" w14:textId="77777777" w:rsidR="009A5AA2" w:rsidRDefault="009A5AA2" w:rsidP="005A6AAA">
      <w:pPr>
        <w:spacing w:after="0" w:line="240" w:lineRule="auto"/>
      </w:pPr>
      <w:r>
        <w:separator/>
      </w:r>
    </w:p>
  </w:endnote>
  <w:endnote w:type="continuationSeparator" w:id="0">
    <w:p w14:paraId="0BBBEBC6" w14:textId="77777777" w:rsidR="009A5AA2" w:rsidRDefault="009A5AA2" w:rsidP="005A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0895" w14:textId="77777777" w:rsidR="00764FA3" w:rsidRDefault="00764F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6835"/>
      <w:docPartObj>
        <w:docPartGallery w:val="Page Numbers (Bottom of Page)"/>
        <w:docPartUnique/>
      </w:docPartObj>
    </w:sdtPr>
    <w:sdtEndPr/>
    <w:sdtContent>
      <w:p w14:paraId="7A40FB66" w14:textId="61F79430" w:rsidR="005A6AAA" w:rsidRDefault="005A6AAA">
        <w:pPr>
          <w:pStyle w:val="Voettekst"/>
          <w:jc w:val="right"/>
        </w:pPr>
        <w:r>
          <w:fldChar w:fldCharType="begin"/>
        </w:r>
        <w:r>
          <w:instrText>PAGE   \* MERGEFORMAT</w:instrText>
        </w:r>
        <w:r>
          <w:fldChar w:fldCharType="separate"/>
        </w:r>
        <w:r>
          <w:t>2</w:t>
        </w:r>
        <w:r>
          <w:fldChar w:fldCharType="end"/>
        </w:r>
      </w:p>
    </w:sdtContent>
  </w:sdt>
  <w:p w14:paraId="7FDAE00D" w14:textId="77777777" w:rsidR="005A6AAA" w:rsidRDefault="005A6A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B3EB" w14:textId="77777777" w:rsidR="00764FA3" w:rsidRDefault="00764F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42BA" w14:textId="77777777" w:rsidR="009A5AA2" w:rsidRDefault="009A5AA2" w:rsidP="005A6AAA">
      <w:pPr>
        <w:spacing w:after="0" w:line="240" w:lineRule="auto"/>
      </w:pPr>
      <w:r>
        <w:separator/>
      </w:r>
    </w:p>
  </w:footnote>
  <w:footnote w:type="continuationSeparator" w:id="0">
    <w:p w14:paraId="3AC7E39E" w14:textId="77777777" w:rsidR="009A5AA2" w:rsidRDefault="009A5AA2" w:rsidP="005A6AAA">
      <w:pPr>
        <w:spacing w:after="0" w:line="240" w:lineRule="auto"/>
      </w:pPr>
      <w:r>
        <w:continuationSeparator/>
      </w:r>
    </w:p>
  </w:footnote>
  <w:footnote w:id="1">
    <w:p w14:paraId="4D3DEA78" w14:textId="77777777" w:rsidR="00CC5C28" w:rsidRPr="002245E0" w:rsidRDefault="00CC5C28" w:rsidP="00CC5C28">
      <w:pPr>
        <w:pStyle w:val="Voetnoottekst"/>
        <w:rPr>
          <w:rFonts w:ascii="Verdana" w:hAnsi="Verdana"/>
          <w:sz w:val="16"/>
          <w:szCs w:val="16"/>
          <w:lang w:val="en-GB"/>
        </w:rPr>
      </w:pPr>
      <w:r w:rsidRPr="002245E0">
        <w:rPr>
          <w:rStyle w:val="Voetnootmarkering"/>
          <w:rFonts w:ascii="Verdana" w:hAnsi="Verdana"/>
          <w:sz w:val="16"/>
          <w:szCs w:val="16"/>
        </w:rPr>
        <w:footnoteRef/>
      </w:r>
      <w:r w:rsidRPr="002245E0">
        <w:rPr>
          <w:rFonts w:ascii="Verdana" w:hAnsi="Verdana"/>
          <w:sz w:val="16"/>
          <w:szCs w:val="16"/>
          <w:lang w:val="en-GB"/>
        </w:rPr>
        <w:t xml:space="preserve"> OECD (2026), </w:t>
      </w:r>
      <w:r w:rsidRPr="002245E0">
        <w:rPr>
          <w:rFonts w:ascii="Verdana" w:hAnsi="Verdana"/>
          <w:i/>
          <w:iCs/>
          <w:sz w:val="16"/>
          <w:szCs w:val="16"/>
          <w:lang w:val="en-GB"/>
        </w:rPr>
        <w:t>Taxing Wages 2026: The Progressivity of Labour Taxation in OECD Countries</w:t>
      </w:r>
      <w:r w:rsidRPr="002245E0">
        <w:rPr>
          <w:rFonts w:ascii="Verdana" w:hAnsi="Verdana"/>
          <w:sz w:val="16"/>
          <w:szCs w:val="16"/>
          <w:lang w:val="en-GB"/>
        </w:rPr>
        <w:t xml:space="preserve">, OECD Publishing, Paris </w:t>
      </w:r>
      <w:hyperlink r:id="rId1" w:history="1">
        <w:r w:rsidRPr="002245E0">
          <w:rPr>
            <w:rStyle w:val="Hyperlink"/>
            <w:rFonts w:ascii="Verdana" w:hAnsi="Verdana"/>
            <w:sz w:val="16"/>
            <w:szCs w:val="16"/>
            <w:lang w:val="en-GB"/>
          </w:rPr>
          <w:t>https://doi.org/10.1787/3a5169ef-en</w:t>
        </w:r>
      </w:hyperlink>
      <w:r w:rsidRPr="002245E0">
        <w:rPr>
          <w:rFonts w:ascii="Verdana" w:hAnsi="Verdana"/>
          <w:sz w:val="16"/>
          <w:szCs w:val="16"/>
          <w:lang w:val="en-GB"/>
        </w:rPr>
        <w:t>.</w:t>
      </w:r>
    </w:p>
  </w:footnote>
  <w:footnote w:id="2">
    <w:p w14:paraId="4DFC42FF" w14:textId="77777777" w:rsidR="00CC5C28" w:rsidRPr="000E1AD6" w:rsidRDefault="00CC5C28" w:rsidP="00CC5C28">
      <w:pPr>
        <w:pStyle w:val="Voetnoottekst"/>
        <w:rPr>
          <w:rFonts w:ascii="Verdana" w:hAnsi="Verdana"/>
          <w:sz w:val="16"/>
          <w:szCs w:val="16"/>
        </w:rPr>
      </w:pPr>
      <w:r w:rsidRPr="000E1AD6">
        <w:rPr>
          <w:rStyle w:val="Voetnootmarkering"/>
          <w:rFonts w:ascii="Verdana" w:hAnsi="Verdana"/>
          <w:sz w:val="16"/>
          <w:szCs w:val="16"/>
        </w:rPr>
        <w:footnoteRef/>
      </w:r>
      <w:r w:rsidRPr="000E1AD6">
        <w:rPr>
          <w:rFonts w:ascii="Verdana" w:hAnsi="Verdana"/>
          <w:sz w:val="16"/>
          <w:szCs w:val="16"/>
        </w:rPr>
        <w:t xml:space="preserve"> </w:t>
      </w:r>
      <w:hyperlink r:id="rId2" w:history="1">
        <w:r w:rsidRPr="000E1AD6">
          <w:rPr>
            <w:rStyle w:val="Hyperlink"/>
            <w:rFonts w:ascii="Verdana" w:hAnsi="Verdana"/>
            <w:sz w:val="16"/>
            <w:szCs w:val="16"/>
          </w:rPr>
          <w:t>Gemiddelde pensioenleeftijd gestegen naar 66 jaar en 4 maanden | CBS</w:t>
        </w:r>
      </w:hyperlink>
    </w:p>
  </w:footnote>
  <w:footnote w:id="3">
    <w:p w14:paraId="7DAC5ADD" w14:textId="69A7DE22" w:rsidR="00CC5C28" w:rsidRPr="002245E0" w:rsidRDefault="00CC5C28" w:rsidP="00CC5C28">
      <w:pPr>
        <w:pStyle w:val="Voetnoottekst"/>
        <w:rPr>
          <w:rFonts w:ascii="Verdana" w:hAnsi="Verdana"/>
          <w:sz w:val="16"/>
          <w:szCs w:val="16"/>
        </w:rPr>
      </w:pPr>
      <w:r w:rsidRPr="002245E0">
        <w:rPr>
          <w:rStyle w:val="Voetnootmarkering"/>
          <w:rFonts w:ascii="Verdana" w:hAnsi="Verdana"/>
          <w:sz w:val="16"/>
          <w:szCs w:val="16"/>
        </w:rPr>
        <w:footnoteRef/>
      </w:r>
      <w:r w:rsidRPr="002245E0">
        <w:rPr>
          <w:rFonts w:ascii="Verdana" w:hAnsi="Verdana"/>
          <w:sz w:val="16"/>
          <w:szCs w:val="16"/>
        </w:rPr>
        <w:t xml:space="preserve"> In 2025 was de AOW</w:t>
      </w:r>
      <w:r w:rsidR="000E1AD6">
        <w:rPr>
          <w:rFonts w:ascii="Verdana" w:hAnsi="Verdana"/>
          <w:sz w:val="16"/>
          <w:szCs w:val="16"/>
        </w:rPr>
        <w:t>-</w:t>
      </w:r>
      <w:r w:rsidRPr="002245E0">
        <w:rPr>
          <w:rFonts w:ascii="Verdana" w:hAnsi="Verdana"/>
          <w:sz w:val="16"/>
          <w:szCs w:val="16"/>
        </w:rPr>
        <w:t xml:space="preserve">leeftijd 67 jaar. </w:t>
      </w:r>
    </w:p>
  </w:footnote>
  <w:footnote w:id="4">
    <w:p w14:paraId="5826BFED" w14:textId="5EA497FD" w:rsidR="00CC5C28" w:rsidRDefault="00CC5C28" w:rsidP="00CC5C28">
      <w:pPr>
        <w:pStyle w:val="Voetnoottekst"/>
      </w:pPr>
      <w:r w:rsidRPr="002245E0">
        <w:rPr>
          <w:rStyle w:val="Voetnootmarkering"/>
          <w:rFonts w:ascii="Verdana" w:hAnsi="Verdana"/>
          <w:sz w:val="16"/>
          <w:szCs w:val="16"/>
        </w:rPr>
        <w:footnoteRef/>
      </w:r>
      <w:r w:rsidRPr="002245E0">
        <w:rPr>
          <w:rFonts w:ascii="Verdana" w:hAnsi="Verdana"/>
          <w:sz w:val="16"/>
          <w:szCs w:val="16"/>
        </w:rPr>
        <w:t xml:space="preserve"> </w:t>
      </w:r>
      <w:r w:rsidR="000E1AD6">
        <w:rPr>
          <w:rFonts w:ascii="Verdana" w:hAnsi="Verdana"/>
          <w:sz w:val="16"/>
          <w:szCs w:val="16"/>
        </w:rPr>
        <w:t xml:space="preserve">Bron: </w:t>
      </w:r>
      <w:r w:rsidRPr="002245E0">
        <w:rPr>
          <w:rFonts w:ascii="Verdana" w:hAnsi="Verdana"/>
          <w:sz w:val="16"/>
          <w:szCs w:val="16"/>
        </w:rPr>
        <w:t>CBS Statline: Arbeidsdeelname; ouderen. Geraadpleegd op 28-05-2026.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F4FE" w14:textId="77777777" w:rsidR="00764FA3" w:rsidRDefault="00764F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FE49" w14:textId="77777777" w:rsidR="00764FA3" w:rsidRDefault="00764F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BEE9" w14:textId="77777777" w:rsidR="00764FA3" w:rsidRDefault="00764F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A0D"/>
    <w:multiLevelType w:val="hybridMultilevel"/>
    <w:tmpl w:val="989E5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4853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93"/>
    <w:rsid w:val="00055ED2"/>
    <w:rsid w:val="0007175D"/>
    <w:rsid w:val="000952E8"/>
    <w:rsid w:val="000D6BD6"/>
    <w:rsid w:val="000E1AD6"/>
    <w:rsid w:val="001073C7"/>
    <w:rsid w:val="001427F8"/>
    <w:rsid w:val="00165517"/>
    <w:rsid w:val="00196956"/>
    <w:rsid w:val="00212777"/>
    <w:rsid w:val="00253900"/>
    <w:rsid w:val="00293463"/>
    <w:rsid w:val="002A1F63"/>
    <w:rsid w:val="002F5560"/>
    <w:rsid w:val="00383B85"/>
    <w:rsid w:val="003F2FA0"/>
    <w:rsid w:val="004177FD"/>
    <w:rsid w:val="004259F9"/>
    <w:rsid w:val="00494710"/>
    <w:rsid w:val="005A6AAA"/>
    <w:rsid w:val="005E35BB"/>
    <w:rsid w:val="006B1A93"/>
    <w:rsid w:val="00727353"/>
    <w:rsid w:val="00764FA3"/>
    <w:rsid w:val="0081368D"/>
    <w:rsid w:val="00835FD1"/>
    <w:rsid w:val="008413F7"/>
    <w:rsid w:val="009A192F"/>
    <w:rsid w:val="009A5AA2"/>
    <w:rsid w:val="009D6D4D"/>
    <w:rsid w:val="00AA2210"/>
    <w:rsid w:val="00AA2800"/>
    <w:rsid w:val="00B06B15"/>
    <w:rsid w:val="00B421CC"/>
    <w:rsid w:val="00B86D9B"/>
    <w:rsid w:val="00BA2093"/>
    <w:rsid w:val="00BD7493"/>
    <w:rsid w:val="00C23C3E"/>
    <w:rsid w:val="00CA3AE3"/>
    <w:rsid w:val="00CC5C28"/>
    <w:rsid w:val="00DB062A"/>
    <w:rsid w:val="00DE64FE"/>
    <w:rsid w:val="00DE65DA"/>
    <w:rsid w:val="00DF33F5"/>
    <w:rsid w:val="00EC4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4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6AAA"/>
  </w:style>
  <w:style w:type="paragraph" w:styleId="Kop1">
    <w:name w:val="heading 1"/>
    <w:basedOn w:val="Standaard"/>
    <w:next w:val="Standaard"/>
    <w:link w:val="Kop1Char"/>
    <w:uiPriority w:val="9"/>
    <w:qFormat/>
    <w:rsid w:val="006B1A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B1A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B1A9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B1A9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B1A9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B1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A9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B1A9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B1A9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B1A9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B1A9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B1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A93"/>
    <w:rPr>
      <w:rFonts w:eastAsiaTheme="majorEastAsia" w:cstheme="majorBidi"/>
      <w:color w:val="272727" w:themeColor="text1" w:themeTint="D8"/>
    </w:rPr>
  </w:style>
  <w:style w:type="paragraph" w:styleId="Titel">
    <w:name w:val="Title"/>
    <w:basedOn w:val="Standaard"/>
    <w:next w:val="Standaard"/>
    <w:link w:val="TitelChar"/>
    <w:uiPriority w:val="10"/>
    <w:qFormat/>
    <w:rsid w:val="006B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1A93"/>
    <w:rPr>
      <w:i/>
      <w:iCs/>
      <w:color w:val="404040" w:themeColor="text1" w:themeTint="BF"/>
    </w:rPr>
  </w:style>
  <w:style w:type="paragraph" w:styleId="Lijstalinea">
    <w:name w:val="List Paragraph"/>
    <w:basedOn w:val="Standaard"/>
    <w:uiPriority w:val="34"/>
    <w:qFormat/>
    <w:rsid w:val="006B1A93"/>
    <w:pPr>
      <w:ind w:left="720"/>
      <w:contextualSpacing/>
    </w:pPr>
  </w:style>
  <w:style w:type="character" w:styleId="Intensievebenadrukking">
    <w:name w:val="Intense Emphasis"/>
    <w:basedOn w:val="Standaardalinea-lettertype"/>
    <w:uiPriority w:val="21"/>
    <w:qFormat/>
    <w:rsid w:val="006B1A93"/>
    <w:rPr>
      <w:i/>
      <w:iCs/>
      <w:color w:val="2E74B5" w:themeColor="accent1" w:themeShade="BF"/>
    </w:rPr>
  </w:style>
  <w:style w:type="paragraph" w:styleId="Duidelijkcitaat">
    <w:name w:val="Intense Quote"/>
    <w:basedOn w:val="Standaard"/>
    <w:next w:val="Standaard"/>
    <w:link w:val="DuidelijkcitaatChar"/>
    <w:uiPriority w:val="30"/>
    <w:qFormat/>
    <w:rsid w:val="006B1A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B1A93"/>
    <w:rPr>
      <w:i/>
      <w:iCs/>
      <w:color w:val="2E74B5" w:themeColor="accent1" w:themeShade="BF"/>
    </w:rPr>
  </w:style>
  <w:style w:type="character" w:styleId="Intensieveverwijzing">
    <w:name w:val="Intense Reference"/>
    <w:basedOn w:val="Standaardalinea-lettertype"/>
    <w:uiPriority w:val="32"/>
    <w:qFormat/>
    <w:rsid w:val="006B1A93"/>
    <w:rPr>
      <w:b/>
      <w:bCs/>
      <w:smallCaps/>
      <w:color w:val="2E74B5" w:themeColor="accent1" w:themeShade="BF"/>
      <w:spacing w:val="5"/>
    </w:rPr>
  </w:style>
  <w:style w:type="paragraph" w:styleId="Koptekst">
    <w:name w:val="header"/>
    <w:basedOn w:val="Standaard"/>
    <w:link w:val="KoptekstChar"/>
    <w:uiPriority w:val="99"/>
    <w:unhideWhenUsed/>
    <w:rsid w:val="005A6A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AAA"/>
  </w:style>
  <w:style w:type="paragraph" w:styleId="Voettekst">
    <w:name w:val="footer"/>
    <w:basedOn w:val="Standaard"/>
    <w:link w:val="VoettekstChar"/>
    <w:uiPriority w:val="99"/>
    <w:unhideWhenUsed/>
    <w:rsid w:val="005A6A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AAA"/>
  </w:style>
  <w:style w:type="paragraph" w:styleId="Geenafstand">
    <w:name w:val="No Spacing"/>
    <w:uiPriority w:val="1"/>
    <w:qFormat/>
    <w:rsid w:val="00DE65DA"/>
    <w:pPr>
      <w:spacing w:after="0" w:line="240" w:lineRule="auto"/>
    </w:pPr>
    <w:rPr>
      <w:kern w:val="0"/>
      <w14:ligatures w14:val="none"/>
    </w:rPr>
  </w:style>
  <w:style w:type="table" w:styleId="Tabelraster">
    <w:name w:val="Table Grid"/>
    <w:basedOn w:val="Standaardtabel"/>
    <w:uiPriority w:val="39"/>
    <w:rsid w:val="00DE65D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A192F"/>
    <w:rPr>
      <w:color w:val="0563C1" w:themeColor="hyperlink"/>
      <w:u w:val="single"/>
    </w:rPr>
  </w:style>
  <w:style w:type="paragraph" w:styleId="Voetnoottekst">
    <w:name w:val="footnote text"/>
    <w:basedOn w:val="Standaard"/>
    <w:link w:val="VoetnoottekstChar"/>
    <w:uiPriority w:val="99"/>
    <w:semiHidden/>
    <w:unhideWhenUsed/>
    <w:rsid w:val="009A192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A192F"/>
    <w:rPr>
      <w:kern w:val="0"/>
      <w:sz w:val="20"/>
      <w:szCs w:val="20"/>
      <w14:ligatures w14:val="none"/>
    </w:rPr>
  </w:style>
  <w:style w:type="character" w:styleId="Voetnootmarkering">
    <w:name w:val="footnote reference"/>
    <w:basedOn w:val="Standaardalinea-lettertype"/>
    <w:uiPriority w:val="99"/>
    <w:semiHidden/>
    <w:unhideWhenUsed/>
    <w:rsid w:val="00CC5C28"/>
    <w:rPr>
      <w:vertAlign w:val="superscript"/>
    </w:rPr>
  </w:style>
  <w:style w:type="table" w:styleId="Rastertabel1licht-Accent5">
    <w:name w:val="Grid Table 1 Light Accent 5"/>
    <w:basedOn w:val="Standaardtabel"/>
    <w:uiPriority w:val="46"/>
    <w:rsid w:val="00CC5C28"/>
    <w:pPr>
      <w:spacing w:after="0" w:line="240" w:lineRule="auto"/>
    </w:pPr>
    <w:rPr>
      <w:kern w:val="0"/>
      <w14:ligatures w14:val="non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vertoeslagen.nl/over-ons-werk/aantallen-en-bedragen" TargetMode="External"/><Relationship Id="rId4" Type="http://schemas.openxmlformats.org/officeDocument/2006/relationships/webSettings" Target="webSettings.xml"/><Relationship Id="rId9" Type="http://schemas.openxmlformats.org/officeDocument/2006/relationships/hyperlink" Target="https://opendata.cbs.n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nieuws/2026/17/gemiddelde-pensioenleeftijd-gestegen-naar-66-jaar-en-4-maanden" TargetMode="External"/><Relationship Id="rId1" Type="http://schemas.openxmlformats.org/officeDocument/2006/relationships/hyperlink" Target="https://doi.org/10.1787/3a5169ef-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zw.digidoc-zfc.rijksweb.nl/zfc/editdocument/yfabrie/DD23D171FB6740C718401E8A149566F8A3ECD20DBFF01144D71A6C41/%7b9672057F-3D8D-C9DE-BC72-9E6DC6500003%7d/20260528%20AO-uitgaven%20en%20-uitkeringen%20als%20percentage%20van%20beroepsbevolking%20en%20BB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Index aantal AO-uitkeringen</a:t>
            </a:r>
            <a:r>
              <a:rPr lang="nl-NL" baseline="0"/>
              <a:t> sinds 2010</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olidFill>
              <a:round/>
            </a:ln>
            <a:effectLst/>
          </c:spPr>
          <c:marker>
            <c:symbol val="none"/>
          </c:marker>
          <c:cat>
            <c:numRef>
              <c:f>'[20260528 AO-uitgaven en -uitkeringen als percentage van beroepsbevolking en BBP.xlsx]Blad1'!$A$42:$A$56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'[20260528 AO-uitgaven en -uitkeringen als percentage van beroepsbevolking en BBP.xlsx]Blad1'!$H$42:$H$56</c:f>
              <c:numCache>
                <c:formatCode>0</c:formatCode>
                <c:ptCount val="15"/>
                <c:pt idx="0">
                  <c:v>100</c:v>
                </c:pt>
                <c:pt idx="1">
                  <c:v>99.462365591397855</c:v>
                </c:pt>
                <c:pt idx="2">
                  <c:v>98.602150537634415</c:v>
                </c:pt>
                <c:pt idx="3">
                  <c:v>98.27956989247312</c:v>
                </c:pt>
                <c:pt idx="4">
                  <c:v>98.064516129032256</c:v>
                </c:pt>
                <c:pt idx="5">
                  <c:v>96.236559139784944</c:v>
                </c:pt>
                <c:pt idx="6">
                  <c:v>96.129032258064512</c:v>
                </c:pt>
                <c:pt idx="7">
                  <c:v>96.451612903225808</c:v>
                </c:pt>
                <c:pt idx="8">
                  <c:v>97.526881720430111</c:v>
                </c:pt>
                <c:pt idx="9">
                  <c:v>98.494623655913983</c:v>
                </c:pt>
                <c:pt idx="10">
                  <c:v>99.247311827956992</c:v>
                </c:pt>
                <c:pt idx="11">
                  <c:v>99.462365591397855</c:v>
                </c:pt>
                <c:pt idx="12">
                  <c:v>100</c:v>
                </c:pt>
                <c:pt idx="13">
                  <c:v>101.18279569892474</c:v>
                </c:pt>
                <c:pt idx="14">
                  <c:v>103.65591397849462</c:v>
                </c:pt>
              </c:numCache>
            </c:numRef>
          </c:val>
          <c:smooth val="0"/>
          <c:extLst>
            <c:ext xmlns:c16="http://schemas.microsoft.com/office/drawing/2014/chart" uri="{C3380CC4-5D6E-409C-BE32-E72D297353CC}">
              <c16:uniqueId val="{00000000-C07A-46A7-B200-10E6934055A1}"/>
            </c:ext>
          </c:extLst>
        </c:ser>
        <c:dLbls>
          <c:showLegendKey val="0"/>
          <c:showVal val="0"/>
          <c:showCatName val="0"/>
          <c:showSerName val="0"/>
          <c:showPercent val="0"/>
          <c:showBubbleSize val="0"/>
        </c:dLbls>
        <c:smooth val="0"/>
        <c:axId val="137242832"/>
        <c:axId val="137247152"/>
      </c:lineChart>
      <c:catAx>
        <c:axId val="137242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7247152"/>
        <c:crosses val="autoZero"/>
        <c:auto val="1"/>
        <c:lblAlgn val="ctr"/>
        <c:lblOffset val="100"/>
        <c:noMultiLvlLbl val="0"/>
      </c:catAx>
      <c:valAx>
        <c:axId val="137247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7242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2572</ap:Words>
  <ap:Characters>14146</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2026-06-02T14:12:00.0000000Z</dcterms:created>
  <dcterms:modified xsi:type="dcterms:W3CDTF">2026-06-08T15:13:00.0000000Z</dcterms:modified>
  <version/>
  <category/>
</coreProperties>
</file>