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6F4" w:rsidRDefault="41563305" w14:paraId="7071A14B" w14:textId="77777777">
      <w:pPr>
        <w:pStyle w:val="StandaardAanhef"/>
      </w:pPr>
      <w:r>
        <w:t>Geachte voorzitter,</w:t>
      </w:r>
    </w:p>
    <w:p w:rsidRPr="00323D4E" w:rsidR="00323D4E" w:rsidP="00323D4E" w:rsidRDefault="00323D4E" w14:paraId="5245AD2F" w14:textId="77777777">
      <w:pPr>
        <w:pStyle w:val="StandaardSlotzin"/>
      </w:pPr>
      <w:r w:rsidRPr="00323D4E">
        <w:t>Het kabinet dankt de Raad voor de leefomgeving en infrastructuur (</w:t>
      </w:r>
      <w:proofErr w:type="spellStart"/>
      <w:r w:rsidRPr="00323D4E">
        <w:t>Rli</w:t>
      </w:r>
      <w:proofErr w:type="spellEnd"/>
      <w:r w:rsidRPr="00323D4E">
        <w:t xml:space="preserve">) voor zijn advies over de rol van deelnemingen in het domein van de fysieke leefomgeving. De analyse en aanbevelingen bieden waardevolle aanknopingspunten voor verbeteringen in de samenwerking tussen overheid en deelnemingen, </w:t>
      </w:r>
      <w:proofErr w:type="gramStart"/>
      <w:r w:rsidRPr="00323D4E">
        <w:t>alsmede</w:t>
      </w:r>
      <w:proofErr w:type="gramEnd"/>
      <w:r w:rsidRPr="00323D4E">
        <w:t xml:space="preserve"> voor het afwegingskader </w:t>
      </w:r>
      <w:r w:rsidR="00694ECC">
        <w:t>voor</w:t>
      </w:r>
      <w:r w:rsidRPr="00323D4E">
        <w:t xml:space="preserve"> het aangaan en </w:t>
      </w:r>
      <w:r w:rsidR="00771052">
        <w:t>afstoten</w:t>
      </w:r>
      <w:r w:rsidRPr="00323D4E" w:rsidR="00771052">
        <w:t xml:space="preserve"> </w:t>
      </w:r>
      <w:r w:rsidRPr="00323D4E">
        <w:t>van deelnemingen.</w:t>
      </w:r>
      <w:r w:rsidR="00FC7914">
        <w:t xml:space="preserve"> </w:t>
      </w:r>
      <w:r w:rsidR="00771052">
        <w:t xml:space="preserve">In het eerste deel van deze brief reageren we op het </w:t>
      </w:r>
      <w:proofErr w:type="spellStart"/>
      <w:r w:rsidR="00771052">
        <w:t>Rli</w:t>
      </w:r>
      <w:proofErr w:type="spellEnd"/>
      <w:r w:rsidR="00771052">
        <w:t xml:space="preserve">-advies. In het tweede deel komen we </w:t>
      </w:r>
      <w:r w:rsidR="00FC7914">
        <w:t>terug op de toezegging aan de Eerste Kamer o</w:t>
      </w:r>
      <w:r w:rsidR="00771052">
        <w:t>ver</w:t>
      </w:r>
      <w:r w:rsidR="00FC7914">
        <w:t xml:space="preserve"> hoe de integrale besluitvorming samenhangt met de governance van een staatsdeelneming.</w:t>
      </w:r>
      <w:r w:rsidR="00771052">
        <w:rPr>
          <w:rStyle w:val="Voetnootmarkering"/>
        </w:rPr>
        <w:footnoteReference w:id="1"/>
      </w:r>
      <w:r w:rsidR="00FC7914">
        <w:t xml:space="preserve"> </w:t>
      </w:r>
    </w:p>
    <w:p w:rsidRPr="00E12D65" w:rsidR="00771052" w:rsidP="00771052" w:rsidRDefault="41563305" w14:paraId="5611D67D" w14:textId="77777777">
      <w:pPr>
        <w:pStyle w:val="StandaardSlotzin"/>
        <w:numPr>
          <w:ilvl w:val="0"/>
          <w:numId w:val="10"/>
        </w:numPr>
      </w:pPr>
      <w:r w:rsidRPr="41563305">
        <w:rPr>
          <w:b/>
          <w:bCs/>
        </w:rPr>
        <w:t>Advies Raad voor de leefomgeving en infrastructuur</w:t>
      </w:r>
    </w:p>
    <w:p w:rsidR="00771052" w:rsidP="00771052" w:rsidRDefault="41563305" w14:paraId="055E6144" w14:textId="77777777">
      <w:pPr>
        <w:pStyle w:val="StandaardSlotzin"/>
        <w:numPr>
          <w:ilvl w:val="0"/>
          <w:numId w:val="11"/>
        </w:numPr>
      </w:pPr>
      <w:r w:rsidRPr="41563305">
        <w:rPr>
          <w:b/>
          <w:bCs/>
        </w:rPr>
        <w:t>Samenvatting van het advies</w:t>
      </w:r>
    </w:p>
    <w:p w:rsidR="0015144B" w:rsidP="00771052" w:rsidRDefault="41563305" w14:paraId="10C617BE" w14:textId="77777777">
      <w:pPr>
        <w:pStyle w:val="StandaardSlotzin"/>
      </w:pPr>
      <w:r>
        <w:t>In het advies “</w:t>
      </w:r>
      <w:r w:rsidRPr="41563305">
        <w:rPr>
          <w:i/>
          <w:iCs/>
        </w:rPr>
        <w:t>Deelnemen zonder dogma’s</w:t>
      </w:r>
      <w:r>
        <w:t xml:space="preserve">” adviseert de </w:t>
      </w:r>
      <w:proofErr w:type="spellStart"/>
      <w:r>
        <w:t>Rli</w:t>
      </w:r>
      <w:proofErr w:type="spellEnd"/>
      <w:r>
        <w:t xml:space="preserve"> over de rol van overheidsdeelnemingen bij het adresseren van grote opgaven in het fysieke domein. De Nederlandse overheid als geheel – Rijk, provincies, gemeenten en waterschappen – is aandeelhouder in </w:t>
      </w:r>
      <w:proofErr w:type="gramStart"/>
      <w:r>
        <w:t>circa</w:t>
      </w:r>
      <w:proofErr w:type="gramEnd"/>
      <w:r>
        <w:t xml:space="preserve"> 550 bedrijven. Ongeveer 70% van deze bedrijven is actief op het gebied van infrastructuur, energie, milieu, regionale ontwikkeling en economische veiligheid. </w:t>
      </w:r>
    </w:p>
    <w:p w:rsidR="001424CB" w:rsidP="00630D19" w:rsidRDefault="41563305" w14:paraId="1A8983AE" w14:textId="77777777">
      <w:pPr>
        <w:pStyle w:val="StandaardSlotzin"/>
      </w:pPr>
      <w:r>
        <w:t xml:space="preserve">Het </w:t>
      </w:r>
      <w:proofErr w:type="spellStart"/>
      <w:r>
        <w:t>Rli</w:t>
      </w:r>
      <w:proofErr w:type="spellEnd"/>
      <w:r>
        <w:t xml:space="preserve">-advies bepleit een minder terughoudende en meer pragmatische inzet van overheidsdeelnemingen als instrument voor publieke opgaves. De </w:t>
      </w:r>
      <w:proofErr w:type="spellStart"/>
      <w:r>
        <w:t>Rli</w:t>
      </w:r>
      <w:proofErr w:type="spellEnd"/>
      <w:r>
        <w:t xml:space="preserve"> stelt dat deze bedrijven een cruciale rol kunnen spelen bij het oplossen van urgente maatschappelijk vraagstukken, maar dat in de praktijk de potentie van overheidsdeelnemingen onvoldoende wordt benut. Volgens de </w:t>
      </w:r>
      <w:proofErr w:type="spellStart"/>
      <w:r>
        <w:t>Rli</w:t>
      </w:r>
      <w:proofErr w:type="spellEnd"/>
      <w:r>
        <w:t xml:space="preserve"> zou dit komen door onder meer door een te smalle interpretatie van de begrippen publieke belangen en </w:t>
      </w:r>
      <w:proofErr w:type="spellStart"/>
      <w:r>
        <w:t>marktfalen</w:t>
      </w:r>
      <w:proofErr w:type="spellEnd"/>
      <w:r>
        <w:t xml:space="preserve">, een te grote nadruk op financiële risico’s en een voorkeur voor andere instrumenten zoals subsidies. De Raad roept daarom op tot een “frisse benadering”: deelnemingen zouden gelijkwaardig moeten worden beschouwd naast andere financiële instrumenten. De </w:t>
      </w:r>
      <w:proofErr w:type="spellStart"/>
      <w:r>
        <w:t>Rli</w:t>
      </w:r>
      <w:proofErr w:type="spellEnd"/>
      <w:r>
        <w:t xml:space="preserve"> doet hierbij zes aanbevelingen om de samenwerking, het afwegingskader voor het aangaan en afstoten van een deelneming en de kennispositie van de overheid te verbeteren. </w:t>
      </w:r>
    </w:p>
    <w:p w:rsidR="009276CF" w:rsidP="00323D4E" w:rsidRDefault="41563305" w14:paraId="288D71C5" w14:textId="77777777">
      <w:pPr>
        <w:pStyle w:val="StandaardSlotzin"/>
      </w:pPr>
      <w:r>
        <w:lastRenderedPageBreak/>
        <w:t xml:space="preserve">De meeste deelnemingen waar de </w:t>
      </w:r>
      <w:proofErr w:type="spellStart"/>
      <w:r>
        <w:t>Rli</w:t>
      </w:r>
      <w:proofErr w:type="spellEnd"/>
      <w:r>
        <w:t xml:space="preserve"> naar verwijst zijn in handen van provincies, gemeentes en waterschappen. De rijksoverheid is zelf aandeelhouder in 41 ondernemingen. De kabinetsreactie op het advies ziet alleen toe op het deelnemingenbeleid van de rijksoverheid, en daarmee de deelnemingen waar de rijksoverheid zelf aandeelhouder is. </w:t>
      </w:r>
    </w:p>
    <w:p w:rsidRPr="00323D4E" w:rsidR="00323D4E" w:rsidP="00900755" w:rsidRDefault="41563305" w14:paraId="555257F3" w14:textId="77777777">
      <w:pPr>
        <w:pStyle w:val="StandaardSlotzin"/>
        <w:numPr>
          <w:ilvl w:val="0"/>
          <w:numId w:val="12"/>
        </w:numPr>
      </w:pPr>
      <w:r w:rsidRPr="41563305">
        <w:rPr>
          <w:b/>
          <w:bCs/>
        </w:rPr>
        <w:t>Reactie op de aanbevelingen</w:t>
      </w:r>
    </w:p>
    <w:p w:rsidRPr="00900755" w:rsidR="00323D4E" w:rsidP="41563305" w:rsidRDefault="41563305" w14:paraId="5304E6C2" w14:textId="77777777">
      <w:pPr>
        <w:pStyle w:val="StandaardSlotzin"/>
        <w:rPr>
          <w:i/>
          <w:iCs/>
        </w:rPr>
      </w:pPr>
      <w:r w:rsidRPr="41563305">
        <w:rPr>
          <w:i/>
          <w:iCs/>
        </w:rPr>
        <w:t>1. Formuleer samen met deelnemingen de te behartigen publieke belangen</w:t>
      </w:r>
    </w:p>
    <w:p w:rsidR="00C278CC" w:rsidP="00323D4E" w:rsidRDefault="41563305" w14:paraId="7E158660" w14:textId="77777777">
      <w:pPr>
        <w:pStyle w:val="StandaardSlotzin"/>
      </w:pPr>
      <w:r>
        <w:t xml:space="preserve">De </w:t>
      </w:r>
      <w:proofErr w:type="spellStart"/>
      <w:r>
        <w:t>Rli</w:t>
      </w:r>
      <w:proofErr w:type="spellEnd"/>
      <w:r>
        <w:t xml:space="preserve"> </w:t>
      </w:r>
      <w:proofErr w:type="gramStart"/>
      <w:r>
        <w:t>onderstreept</w:t>
      </w:r>
      <w:proofErr w:type="gramEnd"/>
      <w:r>
        <w:t xml:space="preserve"> het belang van een heldere en breed geformuleerde vastlegging van publieke belangen, waarbij de overheid (in haar aandeelhouders- én beleidsverantwoordelijke rol) samen met deelnemingen niet alleen het publieke belang definieert, maar ook de gewenste uitkomsten formuleert. Het kabinet acht het wenselijk dat de publieke belangen die de deelneming moet borgen actueel zijn. Actualisatie van publieke belangen is dan ook een essentieel onderdeel bij zowel de strategievorming van de deelnemingen als bij de periodieke evaluatie van het aandeelhouderschap van deelnemingen. De mate waarin publieke belangen geborgd zijn, is ook een belangrijk onderdeel bij de periodieke evaluatie van het aandeelhouderschap van deelnemingen. </w:t>
      </w:r>
    </w:p>
    <w:p w:rsidRPr="00DD52DB" w:rsidR="0049208E" w:rsidP="00323D4E" w:rsidRDefault="41563305" w14:paraId="1AD11247" w14:textId="77777777">
      <w:pPr>
        <w:pStyle w:val="StandaardSlotzin"/>
      </w:pPr>
      <w:r>
        <w:t xml:space="preserve">De verantwoordelijkheid tot het vaststellen van publieke belangen ligt primair bij de overheid. De belangen dienen vanuit een breed welvaartsperspectief en met oog voor maatschappelijke impact beschreven te worden. Wij erkennen hierbij het belang van een actieve uitwisseling met deelnemingen rondom publieke belangen. Hierbij kan de kennis van de deelneming worden benut voor de vaststelling en actualisatie van de publieke belangen, </w:t>
      </w:r>
      <w:proofErr w:type="gramStart"/>
      <w:r>
        <w:t>alsmede</w:t>
      </w:r>
      <w:proofErr w:type="gramEnd"/>
      <w:r>
        <w:t xml:space="preserve"> de bijdrage van de deelneming aan het borgen van de publieke belangen. In de praktijk gebeurt dit in veel gevallen. We gaan de actieve uitwisseling tussen de deelneming en het Rijk </w:t>
      </w:r>
      <w:proofErr w:type="gramStart"/>
      <w:r>
        <w:t>omtrent</w:t>
      </w:r>
      <w:proofErr w:type="gramEnd"/>
      <w:r>
        <w:t xml:space="preserve"> de publieke belangen ook formeel in beleid vastleggen. </w:t>
      </w:r>
    </w:p>
    <w:p w:rsidR="0049208E" w:rsidP="00323D4E" w:rsidRDefault="41563305" w14:paraId="61B6FBF1" w14:textId="77777777">
      <w:pPr>
        <w:pStyle w:val="StandaardSlotzin"/>
      </w:pPr>
      <w:r>
        <w:t>Er zijn over het algemeen drie momenten waarop publieke belangen ge(her)</w:t>
      </w:r>
      <w:proofErr w:type="spellStart"/>
      <w:r>
        <w:t>definieerd</w:t>
      </w:r>
      <w:proofErr w:type="spellEnd"/>
      <w:r>
        <w:t xml:space="preserve"> kunnen worden: </w:t>
      </w:r>
    </w:p>
    <w:p w:rsidR="0049208E" w:rsidP="00900755" w:rsidRDefault="41563305" w14:paraId="43EC37B3" w14:textId="77777777">
      <w:pPr>
        <w:pStyle w:val="StandaardSlotzin"/>
        <w:numPr>
          <w:ilvl w:val="0"/>
          <w:numId w:val="7"/>
        </w:numPr>
        <w:spacing w:before="0"/>
      </w:pPr>
      <w:proofErr w:type="gramStart"/>
      <w:r>
        <w:t>bij</w:t>
      </w:r>
      <w:proofErr w:type="gramEnd"/>
      <w:r>
        <w:t xml:space="preserve"> het aangaan van een deelneming; </w:t>
      </w:r>
    </w:p>
    <w:p w:rsidR="0049208E" w:rsidP="00900755" w:rsidRDefault="41563305" w14:paraId="58219E20" w14:textId="77777777">
      <w:pPr>
        <w:pStyle w:val="StandaardSlotzin"/>
        <w:numPr>
          <w:ilvl w:val="0"/>
          <w:numId w:val="7"/>
        </w:numPr>
        <w:spacing w:before="0"/>
      </w:pPr>
      <w:proofErr w:type="gramStart"/>
      <w:r>
        <w:t>bij</w:t>
      </w:r>
      <w:proofErr w:type="gramEnd"/>
      <w:r>
        <w:t xml:space="preserve"> de vaststelling van de strategie van een deelneming; </w:t>
      </w:r>
    </w:p>
    <w:p w:rsidR="0049208E" w:rsidP="00900755" w:rsidRDefault="00323D4E" w14:paraId="1CBC1223" w14:textId="77777777">
      <w:pPr>
        <w:pStyle w:val="StandaardSlotzin"/>
        <w:numPr>
          <w:ilvl w:val="0"/>
          <w:numId w:val="7"/>
        </w:numPr>
        <w:spacing w:before="0"/>
      </w:pPr>
      <w:proofErr w:type="gramStart"/>
      <w:r>
        <w:t>bij</w:t>
      </w:r>
      <w:proofErr w:type="gramEnd"/>
      <w:r>
        <w:t xml:space="preserve"> de evaluatie van </w:t>
      </w:r>
      <w:r w:rsidR="00E911B1">
        <w:t xml:space="preserve">het aandeelhouderschap in </w:t>
      </w:r>
      <w:r>
        <w:t>een deelneming</w:t>
      </w:r>
      <w:r w:rsidR="00F2471F">
        <w:rPr>
          <w:rStyle w:val="Voetnootmarkering"/>
        </w:rPr>
        <w:footnoteReference w:id="2"/>
      </w:r>
      <w:r>
        <w:t xml:space="preserve">. </w:t>
      </w:r>
    </w:p>
    <w:p w:rsidR="00A70964" w:rsidP="00427923" w:rsidRDefault="0049476D" w14:paraId="76107A64" w14:textId="77777777">
      <w:pPr>
        <w:pStyle w:val="StandaardSlotzin"/>
      </w:pPr>
      <w:r>
        <w:t>Het beleid ten aanzien van het aandeelhouderschap is vastgelegd in de Nota Deelnemingenbeleid Rijksoverheid 2022</w:t>
      </w:r>
      <w:r w:rsidR="00F2471F">
        <w:rPr>
          <w:rStyle w:val="Voetnootmarkering"/>
        </w:rPr>
        <w:footnoteReference w:id="3"/>
      </w:r>
      <w:r>
        <w:t>. Dit beleid is uitgewerkt in handboeken; deze handboeken geven een meer concrete invulling van sturingsmogelijkheden</w:t>
      </w:r>
      <w:r w:rsidR="00B0261E">
        <w:t>. Zo geven ze richting</w:t>
      </w:r>
      <w:r>
        <w:t xml:space="preserve"> hoe</w:t>
      </w:r>
      <w:r w:rsidR="00B0261E">
        <w:t xml:space="preserve"> en onder welke omstandigheden</w:t>
      </w:r>
      <w:r>
        <w:t xml:space="preserve"> de overheid als aandeelhouder deze sturingsmogelijkheden </w:t>
      </w:r>
      <w:r w:rsidR="00B0261E">
        <w:t>kan inzetten</w:t>
      </w:r>
      <w:r>
        <w:t xml:space="preserve">. Deze handboeken zijn vrij toegankelijk </w:t>
      </w:r>
      <w:r w:rsidR="00694ECC">
        <w:t xml:space="preserve">en </w:t>
      </w:r>
      <w:r>
        <w:t xml:space="preserve">worden regelmatig </w:t>
      </w:r>
      <w:r w:rsidR="00E81A30">
        <w:t>geactualiseerd</w:t>
      </w:r>
      <w:r>
        <w:t xml:space="preserve"> naar aanleiding van ontwikkelingen of ervaringen uit de praktijk.</w:t>
      </w:r>
      <w:r>
        <w:rPr>
          <w:rStyle w:val="Voetnootmarkering"/>
        </w:rPr>
        <w:footnoteReference w:id="4"/>
      </w:r>
      <w:r>
        <w:t xml:space="preserve"> Bij</w:t>
      </w:r>
      <w:r w:rsidR="009013FE">
        <w:t xml:space="preserve"> de </w:t>
      </w:r>
      <w:r w:rsidRPr="00F122EA" w:rsidR="009013FE">
        <w:t>periodieke rapportage ter evaluatie van het deelnemingenbeleid die voor 2027</w:t>
      </w:r>
      <w:r w:rsidR="009013FE">
        <w:t xml:space="preserve"> gepland staat en </w:t>
      </w:r>
      <w:r w:rsidR="00323D4E">
        <w:t xml:space="preserve">bij de eerstvolgende </w:t>
      </w:r>
      <w:r w:rsidR="00E81A30">
        <w:t>actualisatie</w:t>
      </w:r>
      <w:r w:rsidR="00323D4E">
        <w:t xml:space="preserve"> van het </w:t>
      </w:r>
      <w:r w:rsidRPr="41563305" w:rsidR="00645712">
        <w:rPr>
          <w:i/>
          <w:iCs/>
        </w:rPr>
        <w:t>handboek aangaan</w:t>
      </w:r>
      <w:r w:rsidRPr="41563305" w:rsidR="00A70964">
        <w:rPr>
          <w:i/>
          <w:iCs/>
        </w:rPr>
        <w:t xml:space="preserve"> deelnemingen</w:t>
      </w:r>
      <w:r w:rsidR="00645712">
        <w:t xml:space="preserve">, het </w:t>
      </w:r>
      <w:r w:rsidRPr="41563305" w:rsidR="00323D4E">
        <w:rPr>
          <w:i/>
          <w:iCs/>
        </w:rPr>
        <w:t>handboek strategie</w:t>
      </w:r>
      <w:r w:rsidR="00323D4E">
        <w:t xml:space="preserve"> en het </w:t>
      </w:r>
      <w:r w:rsidRPr="41563305" w:rsidR="00323D4E">
        <w:rPr>
          <w:i/>
          <w:iCs/>
        </w:rPr>
        <w:t>handboek evalue</w:t>
      </w:r>
      <w:r w:rsidRPr="41563305" w:rsidR="00A70964">
        <w:rPr>
          <w:i/>
          <w:iCs/>
        </w:rPr>
        <w:t>ren</w:t>
      </w:r>
      <w:r w:rsidR="00323D4E">
        <w:t xml:space="preserve"> </w:t>
      </w:r>
      <w:r>
        <w:t>zal ter vastlegg</w:t>
      </w:r>
      <w:r w:rsidR="00E81A30">
        <w:t>ing</w:t>
      </w:r>
      <w:r w:rsidR="00323D4E">
        <w:t xml:space="preserve"> worden opgenomen dat </w:t>
      </w:r>
      <w:r w:rsidR="00345C15">
        <w:t xml:space="preserve">wanneer er sprake is van herijking van </w:t>
      </w:r>
      <w:r w:rsidR="00A32D28">
        <w:t>de</w:t>
      </w:r>
      <w:r w:rsidR="00323D4E">
        <w:t xml:space="preserve"> publieke belang</w:t>
      </w:r>
      <w:r w:rsidR="00A32D28">
        <w:t>en</w:t>
      </w:r>
      <w:r w:rsidR="00345C15">
        <w:t>,</w:t>
      </w:r>
      <w:r w:rsidR="001F5DEB">
        <w:t xml:space="preserve"> </w:t>
      </w:r>
      <w:r w:rsidR="007C5BC0">
        <w:t xml:space="preserve">vanuit het Rijk </w:t>
      </w:r>
      <w:r w:rsidR="00B73349">
        <w:t>vroegtijdige</w:t>
      </w:r>
      <w:r w:rsidR="001F5DEB">
        <w:t xml:space="preserve"> actieve uitwisseling plaatsvindt met de</w:t>
      </w:r>
      <w:r w:rsidR="00B73349">
        <w:t xml:space="preserve"> betreffende</w:t>
      </w:r>
      <w:r w:rsidR="001F5DEB">
        <w:t xml:space="preserve"> </w:t>
      </w:r>
      <w:r w:rsidR="001F5DEB">
        <w:lastRenderedPageBreak/>
        <w:t>deelneming</w:t>
      </w:r>
      <w:r w:rsidR="00B73349">
        <w:t xml:space="preserve"> over de vaststelling van de publieke belangen, het vaststellen van de gewenste uitkomsten en de haalbaarheid </w:t>
      </w:r>
      <w:r w:rsidR="009013FE">
        <w:t>rekening houdend met</w:t>
      </w:r>
      <w:r w:rsidR="00B73349">
        <w:t xml:space="preserve"> de kaders van de zeggenschapsrechten en de daar bijhorende sturingsmogelijkheden.</w:t>
      </w:r>
      <w:r w:rsidR="00323D4E">
        <w:t xml:space="preserve"> </w:t>
      </w:r>
    </w:p>
    <w:p w:rsidRPr="00900755" w:rsidR="00323D4E" w:rsidP="41563305" w:rsidRDefault="41563305" w14:paraId="71343893" w14:textId="77777777">
      <w:pPr>
        <w:pStyle w:val="StandaardSlotzin"/>
        <w:rPr>
          <w:i/>
          <w:iCs/>
        </w:rPr>
      </w:pPr>
      <w:r w:rsidRPr="41563305">
        <w:rPr>
          <w:i/>
          <w:iCs/>
        </w:rPr>
        <w:t>2. Formaliseer het driehoeksoverleg voor betere samenwerking</w:t>
      </w:r>
    </w:p>
    <w:p w:rsidR="00D87924" w:rsidP="00323D4E" w:rsidRDefault="41563305" w14:paraId="7B6B4F1E" w14:textId="77777777">
      <w:pPr>
        <w:pStyle w:val="StandaardSlotzin"/>
      </w:pPr>
      <w:r>
        <w:t xml:space="preserve">De Raad stelt voor om het zogenoemde driehoeksoverleg (tussen de deelneming, de aandeelhouder en de beleidsafdeling) te formaliseren en uit te breiden naar alle deelnemingen. Dit vergroot volgens het advies de samenhang tussen financiële, maatschappelijke en beleidsmatige belangen, en verlaagt de kans op inefficiëntie of tegenstrijdige instructies. Het kabinet onderschrijft het belang van gestructureerde afstemming tussen beleid, aandeelhouder en deelneming. In de praktijk vindt er in veel gevallen een driehoeksoverleg plaats. Het kabinet ziet het driehoeksoverleg dan ook als een waardevol instrument om beleidsontwikkeling en de inzet van deelnemingen (via de governance) goed op elkaar aan te laten sluiten. Partijen hebben binnen de kaders van de Nota Deelnemingenbeleid 2022 momenteel zelf de vrijheid om gezamenlijk een driehoeksoverleg op te starten. </w:t>
      </w:r>
    </w:p>
    <w:p w:rsidRPr="00323D4E" w:rsidR="00323D4E" w:rsidP="00323D4E" w:rsidRDefault="41563305" w14:paraId="5EC72B81" w14:textId="77777777">
      <w:pPr>
        <w:pStyle w:val="StandaardSlotzin"/>
      </w:pPr>
      <w:r>
        <w:t xml:space="preserve">Wij zullen bij de periodieke rapportage ter evaluatie van het deelnemingenbeleid inventariseren hoe een structureel driehoeksoverleg effectief kan bijdragen aan betere sturing en afstemming en hoe dit in beleid geformaliseerd kan worden. Aan de hand hiervan zal met de beleidsdepartementen naar eventuele vervolgstappen en verdere opvolging worden gekeken. </w:t>
      </w:r>
    </w:p>
    <w:p w:rsidRPr="00900755" w:rsidR="00323D4E" w:rsidP="41563305" w:rsidRDefault="41563305" w14:paraId="19DCEC93" w14:textId="77777777">
      <w:pPr>
        <w:pStyle w:val="StandaardSlotzin"/>
        <w:rPr>
          <w:i/>
          <w:iCs/>
        </w:rPr>
      </w:pPr>
      <w:r w:rsidRPr="41563305">
        <w:rPr>
          <w:i/>
          <w:iCs/>
        </w:rPr>
        <w:t>3. Vergroot binnen de overheid de kennis over publiek aandeelhouderschap</w:t>
      </w:r>
    </w:p>
    <w:p w:rsidR="00871C94" w:rsidP="001243CA" w:rsidRDefault="41563305" w14:paraId="4B6C8EC8" w14:textId="77777777">
      <w:pPr>
        <w:pStyle w:val="StandaardSlotzin"/>
      </w:pPr>
      <w:r>
        <w:t xml:space="preserve">Het advies signaleert een tekort aan capaciteit en specialistische kennis bij overheden om invulling te geven aan de samenwerkingsrelatie met hun deelnemingen. Hierbij signaleert de </w:t>
      </w:r>
      <w:proofErr w:type="spellStart"/>
      <w:r>
        <w:t>Rli</w:t>
      </w:r>
      <w:proofErr w:type="spellEnd"/>
      <w:r>
        <w:t xml:space="preserve"> dat bij beherende afdelingen kennis nodig is van de publieke belangen en dat bij de beleidsverantwoordelijke afdeling een kennisbehoefte is over het beleidsinstrument zelf. De </w:t>
      </w:r>
      <w:proofErr w:type="spellStart"/>
      <w:r>
        <w:t>Rli</w:t>
      </w:r>
      <w:proofErr w:type="spellEnd"/>
      <w:r>
        <w:t xml:space="preserve"> adviseert voor de rijksoverheid specifiek het opzetten van een verplicht opleidingscurriculum voor betrokken ambtenaren rondom overheidsdeelnemingen en het stimuleren van samenwerking tussen medeoverheden. </w:t>
      </w:r>
    </w:p>
    <w:p w:rsidR="00DD52DB" w:rsidP="001243CA" w:rsidRDefault="41563305" w14:paraId="1EAE5E28" w14:textId="77777777">
      <w:pPr>
        <w:pStyle w:val="StandaardSlotzin"/>
      </w:pPr>
      <w:r>
        <w:t xml:space="preserve">De kennis rondom deelnemingen wordt bij de rijksoverheid centraal geborgd via het ministerie van Financiën. Kennis met betrekking tot de publieke belangen wordt geborgd bij het betreffende beleidsdepartement. Structureel overleg en contact tussen het ministerie van Financiën en het beleidsdepartement borgt dat kennis uitgewisseld wordt. </w:t>
      </w:r>
      <w:proofErr w:type="gramStart"/>
      <w:r>
        <w:t>Indien</w:t>
      </w:r>
      <w:proofErr w:type="gramEnd"/>
      <w:r>
        <w:t xml:space="preserve"> het verantwoordelijke beleidsministerie de rol van aandeelhouder namens de staat vervult, is er sprake van een ‘beleidsdeelneming’. Het ministerie van Financiën staat in actief contact met de ministeries die verantwoordelijk zijn voor beleidsdeelnemingen ten behoeve van kennisdeling- en ontwikkeling. Waar benodigd kan dit contact geïntensifieerd worden.</w:t>
      </w:r>
    </w:p>
    <w:p w:rsidRPr="00323D4E" w:rsidR="00323D4E" w:rsidP="001243CA" w:rsidRDefault="41563305" w14:paraId="225EF3A8" w14:textId="77777777">
      <w:pPr>
        <w:pStyle w:val="StandaardSlotzin"/>
      </w:pPr>
      <w:r>
        <w:t xml:space="preserve">Daarnaast heeft het ministerie van Financiën zoals eerder genoemd met de Nota Deelnemingenbeleid Rijksoverheid 2022 gewerkt aan handboeken ten behoeve van uitvoering van het deelnemingenbeleid. Dit beleid is publiek toegankelijk, zodat </w:t>
      </w:r>
      <w:r w:rsidR="00346DB2">
        <w:t>medeoverheden</w:t>
      </w:r>
      <w:r>
        <w:t xml:space="preserve"> ook gebruik kunnen maken van deze kennis. Het kabinet ziet voor de rijksoverheid een rol bij verdere (specialistische) kennisdeling, ook richting decentrale overheden. Zo is het ministerie van Financiën betrokken bij het initiatief dat voortkomt uit het proefschrift “</w:t>
      </w:r>
      <w:r w:rsidRPr="41563305">
        <w:rPr>
          <w:i/>
          <w:iCs/>
        </w:rPr>
        <w:t xml:space="preserve">Het belang van </w:t>
      </w:r>
      <w:r w:rsidRPr="41563305">
        <w:rPr>
          <w:i/>
          <w:iCs/>
        </w:rPr>
        <w:lastRenderedPageBreak/>
        <w:t>staatsdeelnemingen</w:t>
      </w:r>
      <w:r>
        <w:t xml:space="preserve">” van Hans Smits voor het opzetten van een opleiding in publiek aandeelhouderschap. </w:t>
      </w:r>
    </w:p>
    <w:p w:rsidRPr="00900755" w:rsidR="00323D4E" w:rsidP="41563305" w:rsidRDefault="41563305" w14:paraId="2FB646AE" w14:textId="77777777">
      <w:pPr>
        <w:pStyle w:val="StandaardSlotzin"/>
        <w:rPr>
          <w:i/>
          <w:iCs/>
        </w:rPr>
      </w:pPr>
      <w:r w:rsidRPr="41563305">
        <w:rPr>
          <w:i/>
          <w:iCs/>
        </w:rPr>
        <w:t>4. Benut de volle breedte van het begrip '</w:t>
      </w:r>
      <w:proofErr w:type="spellStart"/>
      <w:r w:rsidRPr="41563305">
        <w:rPr>
          <w:i/>
          <w:iCs/>
        </w:rPr>
        <w:t>marktfalen</w:t>
      </w:r>
      <w:proofErr w:type="spellEnd"/>
      <w:r w:rsidRPr="41563305">
        <w:rPr>
          <w:i/>
          <w:iCs/>
        </w:rPr>
        <w:t>'</w:t>
      </w:r>
    </w:p>
    <w:p w:rsidRPr="003F792F" w:rsidR="003F792F" w:rsidP="006F789F" w:rsidRDefault="41563305" w14:paraId="7EC24218" w14:textId="77777777">
      <w:pPr>
        <w:pStyle w:val="StandaardSlotzin"/>
      </w:pPr>
      <w:r>
        <w:t xml:space="preserve">De </w:t>
      </w:r>
      <w:proofErr w:type="spellStart"/>
      <w:r>
        <w:t>Rli</w:t>
      </w:r>
      <w:proofErr w:type="spellEnd"/>
      <w:r>
        <w:t xml:space="preserve"> signaleert dat het deelnemingenbeleid in Nederland een te beperkte interpretatie van </w:t>
      </w:r>
      <w:proofErr w:type="spellStart"/>
      <w:r>
        <w:t>marktfalen</w:t>
      </w:r>
      <w:proofErr w:type="spellEnd"/>
      <w:r>
        <w:t xml:space="preserve"> hanteert, waarbij vooral monopolies en dus marktmacht als aanleiding dienen voor overheidsinterventie. De Raad betoogt dat ook voor markten in transitie, </w:t>
      </w:r>
      <w:proofErr w:type="spellStart"/>
      <w:r>
        <w:t>marktfalen</w:t>
      </w:r>
      <w:proofErr w:type="spellEnd"/>
      <w:r>
        <w:t xml:space="preserve"> als coördinatieproblemen, externe effecten en informatie-asymmetrie relevant zijn, zeker bij duurzaamheidstransities en strategische autonomie. Het kabinet deelt de analyse dat ook voor dit type markten er vormen van </w:t>
      </w:r>
      <w:proofErr w:type="spellStart"/>
      <w:r>
        <w:t>marktfalen</w:t>
      </w:r>
      <w:proofErr w:type="spellEnd"/>
      <w:r>
        <w:t xml:space="preserve"> kunnen ontstaan die mogelijk overheidsinterventie rechtvaardigen. Dit speelt onder meer bij de inzet van instrumenten gericht op innovatie, (regionaal) verdienvermogen en weerbaarheid. Het bestaande beleidskader en de onderliggende grondhouding bieden ruimte en flexibiliteit om nieuwe uitdagingen en omstandigheden in het kader te passen. </w:t>
      </w:r>
    </w:p>
    <w:p w:rsidR="003F792F" w:rsidP="00DA11D0" w:rsidRDefault="003F792F" w14:paraId="7D6E9E75" w14:textId="77777777"/>
    <w:p w:rsidR="00DC355C" w:rsidP="00DC355C" w:rsidRDefault="41563305" w14:paraId="17C1E591" w14:textId="77777777">
      <w:r>
        <w:t xml:space="preserve">Of overheidsinterventie via het instrument deelnemingen passend is, wordt beoordeeld aan de hand van het afwegingskader aangaan van een deelneming, uit de Nota Deelnemingenbeleid Rijksoverheid 2022. Het afwegingskader toetst of het ingrijpen in een markt via een deelneming doeltreffend en doelmatig is voor het borgen van de betreffende publieke belangen. Het bestaande afwegingskader en de onderliggende grondhouding kennen geen beperking ten aanzien van het begrip </w:t>
      </w:r>
      <w:proofErr w:type="spellStart"/>
      <w:r>
        <w:t>marktfalen</w:t>
      </w:r>
      <w:proofErr w:type="spellEnd"/>
      <w:r>
        <w:t xml:space="preserve"> en bieden ruimte om de vormen van </w:t>
      </w:r>
      <w:proofErr w:type="spellStart"/>
      <w:r>
        <w:t>marktfalen</w:t>
      </w:r>
      <w:proofErr w:type="spellEnd"/>
      <w:r>
        <w:t xml:space="preserve"> waar sprake is van transitievraagstukken of strategische afhankelijkheden aan te pakken. </w:t>
      </w:r>
    </w:p>
    <w:p w:rsidR="00DC355C" w:rsidP="00DC355C" w:rsidRDefault="00DC355C" w14:paraId="0490B748" w14:textId="77777777"/>
    <w:p w:rsidR="006867BE" w:rsidP="00C469D3" w:rsidRDefault="00DC355C" w14:paraId="3ED40333" w14:textId="77777777">
      <w:r>
        <w:t xml:space="preserve">Na de publicatie van het advies van de </w:t>
      </w:r>
      <w:proofErr w:type="spellStart"/>
      <w:r>
        <w:t>Rli</w:t>
      </w:r>
      <w:proofErr w:type="spellEnd"/>
      <w:r>
        <w:t xml:space="preserve"> is het </w:t>
      </w:r>
      <w:r w:rsidRPr="41563305" w:rsidR="00701DC4">
        <w:rPr>
          <w:i/>
          <w:iCs/>
        </w:rPr>
        <w:t>H</w:t>
      </w:r>
      <w:r w:rsidRPr="41563305">
        <w:rPr>
          <w:i/>
          <w:iCs/>
        </w:rPr>
        <w:t>andboek aangaan</w:t>
      </w:r>
      <w:r w:rsidRPr="41563305" w:rsidR="00701DC4">
        <w:rPr>
          <w:i/>
          <w:iCs/>
        </w:rPr>
        <w:t xml:space="preserve"> deelnemingen</w:t>
      </w:r>
      <w:r w:rsidRPr="41563305" w:rsidR="00134111">
        <w:rPr>
          <w:rStyle w:val="Voetnootmarkering"/>
          <w:i/>
          <w:iCs/>
        </w:rPr>
        <w:footnoteReference w:id="5"/>
      </w:r>
      <w:r w:rsidRPr="41563305">
        <w:rPr>
          <w:i/>
          <w:iCs/>
        </w:rPr>
        <w:t xml:space="preserve"> </w:t>
      </w:r>
      <w:r w:rsidR="00134111">
        <w:t>als uitwerking van de Nota Deelnemingenbeleid Rijksoverheid 2022</w:t>
      </w:r>
      <w:r w:rsidR="00701DC4">
        <w:t xml:space="preserve"> </w:t>
      </w:r>
      <w:r>
        <w:t xml:space="preserve">gepubliceerd. </w:t>
      </w:r>
      <w:r w:rsidRPr="00F36061">
        <w:t xml:space="preserve">In het </w:t>
      </w:r>
      <w:r w:rsidRPr="41563305">
        <w:rPr>
          <w:i/>
          <w:iCs/>
        </w:rPr>
        <w:t>handboek aangaan</w:t>
      </w:r>
      <w:r w:rsidRPr="41563305" w:rsidR="00701DC4">
        <w:rPr>
          <w:i/>
          <w:iCs/>
        </w:rPr>
        <w:t xml:space="preserve"> deelnemingen</w:t>
      </w:r>
      <w:r w:rsidRPr="00F36061">
        <w:t xml:space="preserve"> wordt </w:t>
      </w:r>
      <w:r w:rsidR="00694ECC">
        <w:t>het</w:t>
      </w:r>
      <w:r w:rsidRPr="00F36061">
        <w:t xml:space="preserve"> afwegingskader verder uitgewerkt</w:t>
      </w:r>
      <w:r>
        <w:t xml:space="preserve">. Hierin geeft het kabinet ook een verdere toelichting en handvatten rondom het begrip </w:t>
      </w:r>
      <w:proofErr w:type="spellStart"/>
      <w:r>
        <w:t>marktfalen</w:t>
      </w:r>
      <w:proofErr w:type="spellEnd"/>
      <w:r>
        <w:t xml:space="preserve"> en </w:t>
      </w:r>
      <w:r w:rsidR="00134111">
        <w:t>hier</w:t>
      </w:r>
      <w:r w:rsidR="00694ECC">
        <w:t>bij</w:t>
      </w:r>
      <w:r w:rsidR="00134111">
        <w:t xml:space="preserve"> zijn</w:t>
      </w:r>
      <w:r>
        <w:t xml:space="preserve"> de aanbevelingen vanuit het </w:t>
      </w:r>
      <w:proofErr w:type="spellStart"/>
      <w:r>
        <w:t>Rli</w:t>
      </w:r>
      <w:proofErr w:type="spellEnd"/>
      <w:r>
        <w:t xml:space="preserve">-advies </w:t>
      </w:r>
      <w:r w:rsidR="00134111">
        <w:t>verwerkt</w:t>
      </w:r>
      <w:r>
        <w:t xml:space="preserve">. Het </w:t>
      </w:r>
      <w:r w:rsidRPr="41563305">
        <w:rPr>
          <w:i/>
          <w:iCs/>
        </w:rPr>
        <w:t xml:space="preserve">handboek </w:t>
      </w:r>
      <w:r w:rsidRPr="41563305" w:rsidR="00134111">
        <w:rPr>
          <w:i/>
          <w:iCs/>
        </w:rPr>
        <w:t>aangaan deelnemingen</w:t>
      </w:r>
      <w:r w:rsidRPr="41563305" w:rsidR="00F2471F">
        <w:rPr>
          <w:i/>
          <w:iCs/>
        </w:rPr>
        <w:t xml:space="preserve"> </w:t>
      </w:r>
      <w:r>
        <w:t>gaat in op de verschillende vormen van</w:t>
      </w:r>
      <w:r w:rsidR="00134111">
        <w:t xml:space="preserve"> klassiek</w:t>
      </w:r>
      <w:r>
        <w:t xml:space="preserve"> </w:t>
      </w:r>
      <w:proofErr w:type="spellStart"/>
      <w:r>
        <w:t>marktfalen</w:t>
      </w:r>
      <w:proofErr w:type="spellEnd"/>
      <w:r>
        <w:t xml:space="preserve">, zoals marktmacht </w:t>
      </w:r>
      <w:r w:rsidR="00134111">
        <w:t xml:space="preserve">en externe effecten, </w:t>
      </w:r>
      <w:r>
        <w:t xml:space="preserve">maar </w:t>
      </w:r>
      <w:r w:rsidR="00134111">
        <w:t>ook op dynamische barrières</w:t>
      </w:r>
      <w:r w:rsidR="00A91927">
        <w:t>. Onder dynamische barrières worden onder meer investeringsbarrières, institutionele barrières, coördinatieproblemen en gedragsbarrières verstaan. Daarnaast worden ook bedrijfsspecifieke risico’s, zoals ondernemingen met grote strategische waarde, meegenomen.</w:t>
      </w:r>
      <w:r w:rsidR="00ED2CFA">
        <w:t xml:space="preserve"> </w:t>
      </w:r>
      <w:r w:rsidRPr="00160C4E">
        <w:t xml:space="preserve">Aan de hand van de (sub)vragen uit het handboek </w:t>
      </w:r>
      <w:r>
        <w:t>kan</w:t>
      </w:r>
      <w:r w:rsidRPr="00160C4E">
        <w:t xml:space="preserve"> vervolgens per </w:t>
      </w:r>
      <w:r>
        <w:t>beleidsvraagstuk</w:t>
      </w:r>
      <w:r w:rsidRPr="00160C4E">
        <w:t xml:space="preserve"> beoordeeld </w:t>
      </w:r>
      <w:r>
        <w:t xml:space="preserve">worden </w:t>
      </w:r>
      <w:r w:rsidRPr="00160C4E">
        <w:t xml:space="preserve">of het aangaan van een deelneming in de gegeven omstandigheden gerechtvaardigd en geschikt is </w:t>
      </w:r>
      <w:r>
        <w:t>als beleidsinstrument.</w:t>
      </w:r>
      <w:r w:rsidRPr="00160C4E">
        <w:t xml:space="preserve"> </w:t>
      </w:r>
    </w:p>
    <w:p w:rsidRPr="00900755" w:rsidR="00323D4E" w:rsidP="41563305" w:rsidRDefault="41563305" w14:paraId="668B7E49" w14:textId="77777777">
      <w:pPr>
        <w:pStyle w:val="StandaardSlotzin"/>
        <w:rPr>
          <w:i/>
          <w:iCs/>
        </w:rPr>
      </w:pPr>
      <w:bookmarkStart w:name="_Hlk227155032" w:id="0"/>
      <w:r w:rsidRPr="41563305">
        <w:rPr>
          <w:i/>
          <w:iCs/>
        </w:rPr>
        <w:t>5. Benut deelnemingen als een gelijkwaardig instrument naast andere financieel-economische instrumenten</w:t>
      </w:r>
    </w:p>
    <w:p w:rsidR="00134111" w:rsidP="00323D4E" w:rsidRDefault="41563305" w14:paraId="1078B0A8" w14:textId="77777777">
      <w:pPr>
        <w:pStyle w:val="StandaardSlotzin"/>
      </w:pPr>
      <w:r>
        <w:t xml:space="preserve">Volgens de </w:t>
      </w:r>
      <w:proofErr w:type="spellStart"/>
      <w:r>
        <w:t>Rli</w:t>
      </w:r>
      <w:proofErr w:type="spellEnd"/>
      <w:r>
        <w:t xml:space="preserve"> verdient het instrument deelnemingen een gelijkwaardige plek in de gereedschapskist van financieel-economische instrumenten van de overheid. De </w:t>
      </w:r>
      <w:proofErr w:type="spellStart"/>
      <w:r>
        <w:t>Rli</w:t>
      </w:r>
      <w:proofErr w:type="spellEnd"/>
      <w:r>
        <w:t xml:space="preserve"> stelt dat de huidige traditie is dat deelnemingen als “uiterste maatregel” gelden, met een voorkeur voor subsidies, leningen of garanties. De </w:t>
      </w:r>
      <w:proofErr w:type="spellStart"/>
      <w:r>
        <w:t>Rli</w:t>
      </w:r>
      <w:proofErr w:type="spellEnd"/>
      <w:r>
        <w:t xml:space="preserve"> adviseert </w:t>
      </w:r>
      <w:r>
        <w:lastRenderedPageBreak/>
        <w:t xml:space="preserve">een benadering waarbij deelnemingen niet op voorhand minder kansrijk worden geacht dan subsidies, leningen of garanties. </w:t>
      </w:r>
    </w:p>
    <w:p w:rsidR="006C2CD4" w:rsidP="00900755" w:rsidRDefault="00323D4E" w14:paraId="011DD35C" w14:textId="77777777">
      <w:pPr>
        <w:pStyle w:val="StandaardSlotzin"/>
      </w:pPr>
      <w:r w:rsidRPr="00323D4E">
        <w:t xml:space="preserve">Het kabinet onderkent dat deelnemingen maatschappelijke meerwaarde kunnen leveren. </w:t>
      </w:r>
      <w:r w:rsidR="00712CE4">
        <w:t xml:space="preserve">Het </w:t>
      </w:r>
      <w:r w:rsidR="000C2C19">
        <w:t xml:space="preserve">kabinet </w:t>
      </w:r>
      <w:r w:rsidR="00712CE4">
        <w:t xml:space="preserve">ziet </w:t>
      </w:r>
      <w:r w:rsidR="00134111">
        <w:t xml:space="preserve">echter </w:t>
      </w:r>
      <w:r w:rsidR="000C2C19">
        <w:t xml:space="preserve">geen reden om een deelneming gelijk te stellen aan </w:t>
      </w:r>
      <w:r w:rsidR="004E2B8F">
        <w:t>de financierings</w:t>
      </w:r>
      <w:r w:rsidR="000C2C19">
        <w:t>instrument</w:t>
      </w:r>
      <w:r w:rsidR="004E2B8F">
        <w:t>en</w:t>
      </w:r>
      <w:r w:rsidR="000C2C19">
        <w:t xml:space="preserve"> subsidie, lening of garantie</w:t>
      </w:r>
      <w:r w:rsidR="00E977F1">
        <w:t xml:space="preserve"> omdat het instrument deelneming een ander doel kent</w:t>
      </w:r>
      <w:r w:rsidR="001D6800">
        <w:t>.</w:t>
      </w:r>
      <w:r w:rsidR="000C2C19">
        <w:t xml:space="preserve"> Een subsidie, lening of garantie </w:t>
      </w:r>
      <w:r w:rsidR="004E2B8F">
        <w:t xml:space="preserve">wordt ingezet </w:t>
      </w:r>
      <w:r w:rsidR="000C2C19">
        <w:t>om een financi</w:t>
      </w:r>
      <w:r w:rsidR="00134111">
        <w:t>ële</w:t>
      </w:r>
      <w:r w:rsidR="000C4DCA">
        <w:t xml:space="preserve"> </w:t>
      </w:r>
      <w:r w:rsidR="00134111">
        <w:t xml:space="preserve">barrière </w:t>
      </w:r>
      <w:r w:rsidR="000C2C19">
        <w:t xml:space="preserve">op te lossen. Een deelneming is </w:t>
      </w:r>
      <w:r w:rsidR="00494446">
        <w:t>een</w:t>
      </w:r>
      <w:r w:rsidR="000C2C19">
        <w:t xml:space="preserve"> fundamenteel ander</w:t>
      </w:r>
      <w:r w:rsidR="00494446">
        <w:t xml:space="preserve"> instrument waar de staat via het aandeelhouderschap en de bijbehorende zeggenschapsrechten invloed uitoefent op de koers van de ondernemingen om de publieke belangen te borgen</w:t>
      </w:r>
      <w:r w:rsidR="000C2C19">
        <w:t xml:space="preserve">. </w:t>
      </w:r>
      <w:r w:rsidRPr="00BF7FDC" w:rsidR="00BF7FDC">
        <w:t xml:space="preserve">Waar instrumenten zoals subsidies, leningen en garanties vooral het gedrag van de markt beïnvloeden, grijpt een deelneming direct in op de verhoudingen in de markt </w:t>
      </w:r>
      <w:r w:rsidR="00D22BEF">
        <w:t>do</w:t>
      </w:r>
      <w:r w:rsidR="00B91B7B">
        <w:t xml:space="preserve">or </w:t>
      </w:r>
      <w:r w:rsidR="00021B61">
        <w:t>tegen dezelfde voorwaarden als marktspelers</w:t>
      </w:r>
      <w:r w:rsidR="00631BED">
        <w:t xml:space="preserve"> zelf te participere</w:t>
      </w:r>
      <w:r w:rsidR="00D22BEF">
        <w:t>n. M</w:t>
      </w:r>
      <w:r w:rsidRPr="004E2B8F" w:rsidR="00631BED">
        <w:t xml:space="preserve">ede </w:t>
      </w:r>
      <w:r w:rsidRPr="004E2B8F" w:rsidR="004E2B8F">
        <w:t>daarom</w:t>
      </w:r>
      <w:r w:rsidR="004E2B8F">
        <w:t xml:space="preserve"> is een deelneming</w:t>
      </w:r>
      <w:r w:rsidRPr="004E2B8F" w:rsidR="004E2B8F">
        <w:t xml:space="preserve"> in beginsel geen financieringsinstrument.</w:t>
      </w:r>
      <w:r w:rsidR="00134111">
        <w:rPr>
          <w:rStyle w:val="Voetnootmarkering"/>
        </w:rPr>
        <w:footnoteReference w:id="6"/>
      </w:r>
      <w:r w:rsidR="004E2B8F">
        <w:t xml:space="preserve"> </w:t>
      </w:r>
    </w:p>
    <w:bookmarkEnd w:id="0"/>
    <w:p w:rsidRPr="00900755" w:rsidR="00323D4E" w:rsidP="41563305" w:rsidRDefault="41563305" w14:paraId="704217FB" w14:textId="77777777">
      <w:pPr>
        <w:pStyle w:val="StandaardSlotzin"/>
        <w:rPr>
          <w:i/>
          <w:iCs/>
        </w:rPr>
      </w:pPr>
      <w:r w:rsidRPr="41563305">
        <w:rPr>
          <w:i/>
          <w:iCs/>
        </w:rPr>
        <w:t>6. Expliciteer deelnemingenbeleid bij de eerstvolgende herijking</w:t>
      </w:r>
    </w:p>
    <w:p w:rsidRPr="00792635" w:rsidR="00792635" w:rsidP="00427923" w:rsidRDefault="41563305" w14:paraId="329EF4CB" w14:textId="77777777">
      <w:pPr>
        <w:pStyle w:val="StandaardSlotzin"/>
      </w:pPr>
      <w:r>
        <w:t xml:space="preserve">De Raad adviseert om bovenstaande aanbevelingen te expliciteren bij de eerstvolgende herijking van het beleidskader deelnemingen, en decentrale overheden te ondersteunen met een modelkader. Het kabinet onderschrijft deze oproep en neemt, voor zover het kabinet deze positief apprecieert, over. Zoals aangegeven in de bovenstaande reactie op de aanbevelingen is een aantal aanbevelingen al verwerkt of zijn we er al mee aan de slag. Na de volgende periodieke rapportage, voorzien voor 2027, zullen aanbevelingen 1 en 2 worden geformaliseerd in beleid.   </w:t>
      </w:r>
    </w:p>
    <w:p w:rsidR="00134F73" w:rsidP="41563305" w:rsidRDefault="41563305" w14:paraId="1721D176" w14:textId="77777777">
      <w:pPr>
        <w:pStyle w:val="StandaardSlotzin"/>
        <w:numPr>
          <w:ilvl w:val="0"/>
          <w:numId w:val="10"/>
        </w:numPr>
        <w:rPr>
          <w:b/>
          <w:bCs/>
        </w:rPr>
      </w:pPr>
      <w:r w:rsidRPr="41563305">
        <w:rPr>
          <w:b/>
          <w:bCs/>
        </w:rPr>
        <w:t xml:space="preserve">Samenhang integrale besluitvorming en governance bij staatsdeelnemingen </w:t>
      </w:r>
    </w:p>
    <w:p w:rsidR="00771052" w:rsidP="00F4567E" w:rsidRDefault="00771052" w14:paraId="076D5AD0" w14:textId="77777777"/>
    <w:p w:rsidR="00DE7578" w:rsidP="00F4567E" w:rsidRDefault="00DE7578" w14:paraId="094180DB" w14:textId="77777777">
      <w:r w:rsidRPr="00DE7578">
        <w:t xml:space="preserve">Op </w:t>
      </w:r>
      <w:r>
        <w:t>24</w:t>
      </w:r>
      <w:r w:rsidRPr="00DE7578">
        <w:t xml:space="preserve"> </w:t>
      </w:r>
      <w:r>
        <w:t>februari</w:t>
      </w:r>
      <w:r w:rsidRPr="00DE7578">
        <w:t xml:space="preserve"> 202</w:t>
      </w:r>
      <w:r>
        <w:t xml:space="preserve">6 heeft </w:t>
      </w:r>
      <w:r w:rsidR="00654F58">
        <w:t xml:space="preserve">de </w:t>
      </w:r>
      <w:r w:rsidR="0030690F">
        <w:t>c</w:t>
      </w:r>
      <w:r>
        <w:t xml:space="preserve">ommissie voor Financiën van de Eerste Kamer verzocht om bij de appreciatie van het </w:t>
      </w:r>
      <w:proofErr w:type="spellStart"/>
      <w:r>
        <w:t>Rli</w:t>
      </w:r>
      <w:proofErr w:type="spellEnd"/>
      <w:r>
        <w:t>-</w:t>
      </w:r>
      <w:r w:rsidR="00631BED">
        <w:t>advies</w:t>
      </w:r>
      <w:r>
        <w:t xml:space="preserve"> </w:t>
      </w:r>
      <w:r w:rsidR="0030690F">
        <w:t>‘</w:t>
      </w:r>
      <w:r>
        <w:t>Deelnemen zonder dogma’s</w:t>
      </w:r>
      <w:r w:rsidR="0030690F">
        <w:t>’</w:t>
      </w:r>
      <w:r>
        <w:t xml:space="preserve"> ook in te gaan </w:t>
      </w:r>
      <w:r w:rsidRPr="00DE7578">
        <w:t xml:space="preserve">op de integrale besluitvorming in samenhang met de governance </w:t>
      </w:r>
      <w:r w:rsidR="00E12D65">
        <w:t>specifiek ten aanzien van</w:t>
      </w:r>
      <w:r w:rsidRPr="00DE7578">
        <w:t xml:space="preserve"> staatsdeelnemingen.</w:t>
      </w:r>
      <w:r w:rsidR="00F64019">
        <w:rPr>
          <w:rStyle w:val="Voetnootmarkering"/>
        </w:rPr>
        <w:footnoteReference w:id="7"/>
      </w:r>
    </w:p>
    <w:p w:rsidR="00DE7578" w:rsidP="00F4567E" w:rsidRDefault="00DE7578" w14:paraId="30F91A3E" w14:textId="77777777"/>
    <w:p w:rsidR="00F4567E" w:rsidP="00F4567E" w:rsidRDefault="41563305" w14:paraId="5F707757" w14:textId="77777777">
      <w:r>
        <w:t xml:space="preserve">De staat is aandeelhouder in ondernemingen om publieke belangen te borgen. Het handelingsperspectief om publieke belangen te borgen bij deelnemingen is ingekaderd door het vennootschapsrecht en de uit het vennootschapsrecht voortkomende aandeelhoudersbevoegdheden. De belangrijkste aandeelhoudersbevoegdheden die de staat hiertoe inzet betreffen (goedkeurings-)rechten ten aanzien van benoemingen, beloningen, investeringen, strategie en de financiële positie van de onderneming. </w:t>
      </w:r>
    </w:p>
    <w:p w:rsidRPr="00F4567E" w:rsidR="00F4567E" w:rsidP="00F4567E" w:rsidRDefault="00F4567E" w14:paraId="789F34FF" w14:textId="77777777"/>
    <w:p w:rsidR="009013FE" w:rsidP="00F4567E" w:rsidRDefault="009013FE" w14:paraId="0EC1062A" w14:textId="77777777">
      <w:r w:rsidRPr="00183774">
        <w:t xml:space="preserve">Het scheiden van de rollen van beleidsmaker en aandeelhouder creëert een systeem van </w:t>
      </w:r>
      <w:r w:rsidRPr="41563305">
        <w:rPr>
          <w:i/>
          <w:iCs/>
        </w:rPr>
        <w:t xml:space="preserve">checks </w:t>
      </w:r>
      <w:proofErr w:type="spellStart"/>
      <w:r w:rsidRPr="41563305">
        <w:rPr>
          <w:i/>
          <w:iCs/>
        </w:rPr>
        <w:t>and</w:t>
      </w:r>
      <w:proofErr w:type="spellEnd"/>
      <w:r w:rsidRPr="41563305">
        <w:rPr>
          <w:i/>
          <w:iCs/>
        </w:rPr>
        <w:t xml:space="preserve"> </w:t>
      </w:r>
      <w:proofErr w:type="spellStart"/>
      <w:r w:rsidRPr="41563305">
        <w:rPr>
          <w:i/>
          <w:iCs/>
        </w:rPr>
        <w:t>balances</w:t>
      </w:r>
      <w:proofErr w:type="spellEnd"/>
      <w:r w:rsidRPr="00183774">
        <w:t xml:space="preserve"> en bevordert transparante afwegingen, omdat de aandeelhouder en de beleidsmaker een duidelijk afgebakende</w:t>
      </w:r>
      <w:r>
        <w:t xml:space="preserve"> </w:t>
      </w:r>
      <w:r w:rsidRPr="00183774">
        <w:t>verantwoordelijkheid hebben</w:t>
      </w:r>
      <w:r>
        <w:t>.</w:t>
      </w:r>
      <w:r w:rsidR="00A91927">
        <w:rPr>
          <w:rStyle w:val="Voetnootmarkering"/>
        </w:rPr>
        <w:footnoteReference w:id="8"/>
      </w:r>
      <w:r>
        <w:t xml:space="preserve"> Het scheiden van rollen betekent echter niet dat </w:t>
      </w:r>
      <w:r>
        <w:lastRenderedPageBreak/>
        <w:t>aandeelhouder en beleidsmaker los van elkaar kunnen werken. De aandeelhouder dient bij de invulling van het aandeelhouderschap rekening te houden met de doelen van het beleidsdepartement. Het beleidsdepartement dient in overleg te treden met de aandeelhouder in geval nieuwe beleidsvoorstellen de deelneming raken, zodat ook de gevolgen van die voorstellen voor deelnemingen meegewogen worden bij beslissingen.</w:t>
      </w:r>
    </w:p>
    <w:p w:rsidRPr="00F4567E" w:rsidR="00F4567E" w:rsidP="00F4567E" w:rsidRDefault="00F4567E" w14:paraId="1E161F8C" w14:textId="77777777"/>
    <w:p w:rsidR="00F4567E" w:rsidP="00F4567E" w:rsidRDefault="41563305" w14:paraId="51C510BB" w14:textId="77777777">
      <w:r>
        <w:t xml:space="preserve">Omdat staatsdeelnemingen publieke belangen borgen, is betrokkenheid van het relevante beleidsdepartement dus essentieel. In lijn met de aanbevelingen van de </w:t>
      </w:r>
      <w:proofErr w:type="spellStart"/>
      <w:r>
        <w:t>Rli</w:t>
      </w:r>
      <w:proofErr w:type="spellEnd"/>
      <w:r>
        <w:t xml:space="preserve"> vindt daarom structureel intensieve afstemming plaats tussen het beleidsdepartement en het ministerie van Financiën in zijn rol als aandeelhouder. Deze samenwerking is nader uitgewerkt in de Nota Deelnemingenbeleid Rijksoverheid 2022, waarin is vastgelegd bij welke aandeelhoudersbevoegdheden afstemming met het beleidsdepartement is vereist. In tabel 1 staan de concrete afspraken. Bij aandachtsgebieden die een directe invloed hebben op de borging van de publieke belangen is een grotere rol van het beleidsdepartement van belang. Dit zijn vooral de strategie van deelnemingen en de investeringen die zij doen. Zo wordt bij investeringsbeslissingen beoordeeld in hoeverre deze bijdragen aan de borging van vooraf vastgelegde publieke belangen. </w:t>
      </w:r>
      <w:proofErr w:type="gramStart"/>
      <w:r>
        <w:t>Indien</w:t>
      </w:r>
      <w:proofErr w:type="gramEnd"/>
      <w:r>
        <w:t xml:space="preserve"> een investering hier niet (in)direct bijdraagt aan het borgen van de publieke belangen, zal deze niet worden goedgekeurd door de aandeelhouder. Het kader van de tabel zal mogelijk niet alle situaties afdekken, het is daarom van belang dat aandeelhouder en beleidsmaker alert zijn op belangrijke ontwikkelingen en die met elkaar bespreken. </w:t>
      </w:r>
    </w:p>
    <w:p w:rsidR="009E7DF4" w:rsidP="00F4567E" w:rsidRDefault="009E7DF4" w14:paraId="101FABBB" w14:textId="77777777"/>
    <w:p w:rsidR="00E963B0" w:rsidRDefault="00600883" w14:paraId="2A0BD796" w14:textId="77777777">
      <w:pPr>
        <w:pStyle w:val="Bijschrift"/>
        <w:keepNext/>
        <w:rPr>
          <w:color w:val="auto"/>
        </w:rPr>
      </w:pPr>
      <w:r>
        <w:rPr>
          <w:color w:val="auto"/>
        </w:rPr>
        <w:t xml:space="preserve">Tabel </w:t>
      </w:r>
      <w:r>
        <w:fldChar w:fldCharType="begin"/>
      </w:r>
      <w:r>
        <w:instrText xml:space="preserve"> SEQ Tabel \* ARABIC </w:instrText>
      </w:r>
      <w:r>
        <w:fldChar w:fldCharType="separate"/>
      </w:r>
      <w:r>
        <w:t>1</w:t>
      </w:r>
      <w:r>
        <w:fldChar w:fldCharType="end"/>
      </w:r>
      <w:r>
        <w:rPr>
          <w:color w:val="auto"/>
        </w:rPr>
        <w:t xml:space="preserve"> Kader voor samenwerkingsafspraken tussen ministerie van Financiën en beleidsdepartement met betrekking tot staatsdeelnemingen - Nota Deelnemingenbeleid Rijksoverheid 2022 Kader voor samenwerkingsafspraken tussen ministerie van Financiën en beleidsdepartement met betrekking tot staatsdeelnemingen - Nota Deelnemingenbeleid Rijksoverheid 2022</w:t>
      </w:r>
    </w:p>
    <w:tbl>
      <w:tblPr>
        <w:tblStyle w:val="Tabelraster"/>
        <w:tblW w:w="0" w:type="auto"/>
        <w:tblLook w:val="04A0" w:firstRow="1" w:lastRow="0" w:firstColumn="1" w:lastColumn="0" w:noHBand="0" w:noVBand="1"/>
      </w:tblPr>
      <w:tblGrid>
        <w:gridCol w:w="2196"/>
        <w:gridCol w:w="3191"/>
        <w:gridCol w:w="2092"/>
      </w:tblGrid>
      <w:tr w:rsidR="009E7DF4" w:rsidTr="41563305" w14:paraId="08C8FA5D" w14:textId="77777777">
        <w:tc>
          <w:tcPr>
            <w:tcW w:w="2190" w:type="dxa"/>
            <w:tcBorders>
              <w:top w:val="nil"/>
              <w:left w:val="nil"/>
            </w:tcBorders>
          </w:tcPr>
          <w:p w:rsidRPr="00630D19" w:rsidR="009E7DF4" w:rsidP="00F4567E" w:rsidRDefault="009E7DF4" w14:paraId="235A673E" w14:textId="77777777">
            <w:pPr>
              <w:rPr>
                <w:sz w:val="16"/>
                <w:szCs w:val="16"/>
              </w:rPr>
            </w:pPr>
          </w:p>
        </w:tc>
        <w:tc>
          <w:tcPr>
            <w:tcW w:w="3197" w:type="dxa"/>
          </w:tcPr>
          <w:p w:rsidRPr="00630D19" w:rsidR="009E7DF4" w:rsidP="41563305" w:rsidRDefault="41563305" w14:paraId="5E376F84" w14:textId="77777777">
            <w:pPr>
              <w:rPr>
                <w:b/>
                <w:bCs/>
                <w:sz w:val="16"/>
                <w:szCs w:val="16"/>
              </w:rPr>
            </w:pPr>
            <w:r w:rsidRPr="41563305">
              <w:rPr>
                <w:b/>
                <w:bCs/>
                <w:sz w:val="16"/>
                <w:szCs w:val="16"/>
              </w:rPr>
              <w:t>Aandachtsgebied</w:t>
            </w:r>
          </w:p>
        </w:tc>
        <w:tc>
          <w:tcPr>
            <w:tcW w:w="2092" w:type="dxa"/>
            <w:tcBorders>
              <w:bottom w:val="single" w:color="auto" w:sz="4" w:space="0"/>
            </w:tcBorders>
          </w:tcPr>
          <w:p w:rsidRPr="00630D19" w:rsidR="009E7DF4" w:rsidP="41563305" w:rsidRDefault="41563305" w14:paraId="0FBE0B6C" w14:textId="77777777">
            <w:pPr>
              <w:rPr>
                <w:b/>
                <w:bCs/>
                <w:sz w:val="16"/>
                <w:szCs w:val="16"/>
              </w:rPr>
            </w:pPr>
            <w:r w:rsidRPr="41563305">
              <w:rPr>
                <w:b/>
                <w:bCs/>
                <w:sz w:val="16"/>
                <w:szCs w:val="16"/>
              </w:rPr>
              <w:t>Betrokken beleidsdepartement</w:t>
            </w:r>
          </w:p>
        </w:tc>
      </w:tr>
      <w:tr w:rsidR="00343145" w:rsidTr="41563305" w14:paraId="459996AF" w14:textId="77777777">
        <w:tc>
          <w:tcPr>
            <w:tcW w:w="2190" w:type="dxa"/>
            <w:vMerge w:val="restart"/>
          </w:tcPr>
          <w:p w:rsidRPr="00630D19" w:rsidR="00343145" w:rsidP="41563305" w:rsidRDefault="41563305" w14:paraId="21398A3E" w14:textId="77777777">
            <w:pPr>
              <w:rPr>
                <w:b/>
                <w:bCs/>
                <w:sz w:val="16"/>
                <w:szCs w:val="16"/>
              </w:rPr>
            </w:pPr>
            <w:r w:rsidRPr="41563305">
              <w:rPr>
                <w:b/>
                <w:bCs/>
                <w:sz w:val="16"/>
                <w:szCs w:val="16"/>
              </w:rPr>
              <w:t>Borging publiek belang</w:t>
            </w:r>
          </w:p>
        </w:tc>
        <w:tc>
          <w:tcPr>
            <w:tcW w:w="3197" w:type="dxa"/>
          </w:tcPr>
          <w:p w:rsidRPr="00630D19" w:rsidR="00343145" w:rsidP="41563305" w:rsidRDefault="41563305" w14:paraId="377938CD" w14:textId="77777777">
            <w:pPr>
              <w:rPr>
                <w:sz w:val="16"/>
                <w:szCs w:val="16"/>
              </w:rPr>
            </w:pPr>
            <w:r w:rsidRPr="41563305">
              <w:rPr>
                <w:sz w:val="16"/>
                <w:szCs w:val="16"/>
              </w:rPr>
              <w:t>Strategie</w:t>
            </w:r>
          </w:p>
        </w:tc>
        <w:tc>
          <w:tcPr>
            <w:tcW w:w="2092" w:type="dxa"/>
            <w:tcBorders>
              <w:top w:val="single" w:color="auto" w:sz="4" w:space="0"/>
              <w:bottom w:val="single" w:color="auto" w:sz="4" w:space="0"/>
            </w:tcBorders>
          </w:tcPr>
          <w:p w:rsidRPr="00630D19" w:rsidR="00343145" w:rsidP="41563305" w:rsidRDefault="41563305" w14:paraId="4084E6DE" w14:textId="77777777">
            <w:pPr>
              <w:rPr>
                <w:sz w:val="16"/>
                <w:szCs w:val="16"/>
              </w:rPr>
            </w:pPr>
            <w:r w:rsidRPr="41563305">
              <w:rPr>
                <w:sz w:val="16"/>
                <w:szCs w:val="16"/>
              </w:rPr>
              <w:t>Consulteren</w:t>
            </w:r>
          </w:p>
        </w:tc>
      </w:tr>
      <w:tr w:rsidR="00343145" w:rsidTr="41563305" w14:paraId="447B9B5F" w14:textId="77777777">
        <w:tc>
          <w:tcPr>
            <w:tcW w:w="2190" w:type="dxa"/>
            <w:vMerge/>
          </w:tcPr>
          <w:p w:rsidRPr="00630D19" w:rsidR="00343145" w:rsidP="00F4567E" w:rsidRDefault="00343145" w14:paraId="30368EB8" w14:textId="77777777">
            <w:pPr>
              <w:rPr>
                <w:sz w:val="16"/>
                <w:szCs w:val="16"/>
              </w:rPr>
            </w:pPr>
          </w:p>
        </w:tc>
        <w:tc>
          <w:tcPr>
            <w:tcW w:w="3197" w:type="dxa"/>
          </w:tcPr>
          <w:p w:rsidRPr="00630D19" w:rsidR="00343145" w:rsidP="41563305" w:rsidRDefault="41563305" w14:paraId="380DE5D6" w14:textId="77777777">
            <w:pPr>
              <w:rPr>
                <w:sz w:val="16"/>
                <w:szCs w:val="16"/>
              </w:rPr>
            </w:pPr>
            <w:r w:rsidRPr="41563305">
              <w:rPr>
                <w:sz w:val="16"/>
                <w:szCs w:val="16"/>
              </w:rPr>
              <w:t>Investeringen</w:t>
            </w:r>
          </w:p>
        </w:tc>
        <w:tc>
          <w:tcPr>
            <w:tcW w:w="2092" w:type="dxa"/>
            <w:tcBorders>
              <w:top w:val="single" w:color="auto" w:sz="4" w:space="0"/>
            </w:tcBorders>
          </w:tcPr>
          <w:p w:rsidRPr="00630D19" w:rsidR="00343145" w:rsidP="41563305" w:rsidRDefault="41563305" w14:paraId="0837170A" w14:textId="77777777">
            <w:pPr>
              <w:rPr>
                <w:sz w:val="16"/>
                <w:szCs w:val="16"/>
              </w:rPr>
            </w:pPr>
            <w:r w:rsidRPr="41563305">
              <w:rPr>
                <w:sz w:val="16"/>
                <w:szCs w:val="16"/>
              </w:rPr>
              <w:t>Consulteren</w:t>
            </w:r>
          </w:p>
        </w:tc>
      </w:tr>
      <w:tr w:rsidR="00343145" w:rsidTr="41563305" w14:paraId="46157FDF" w14:textId="77777777">
        <w:tc>
          <w:tcPr>
            <w:tcW w:w="2190" w:type="dxa"/>
            <w:vMerge w:val="restart"/>
          </w:tcPr>
          <w:p w:rsidRPr="00630D19" w:rsidR="00343145" w:rsidP="41563305" w:rsidRDefault="41563305" w14:paraId="550462F4" w14:textId="77777777">
            <w:pPr>
              <w:rPr>
                <w:b/>
                <w:bCs/>
                <w:sz w:val="16"/>
                <w:szCs w:val="16"/>
              </w:rPr>
            </w:pPr>
            <w:r w:rsidRPr="41563305">
              <w:rPr>
                <w:b/>
                <w:bCs/>
                <w:sz w:val="16"/>
                <w:szCs w:val="16"/>
              </w:rPr>
              <w:t>Goed ondernemingsbestuur</w:t>
            </w:r>
          </w:p>
        </w:tc>
        <w:tc>
          <w:tcPr>
            <w:tcW w:w="3197" w:type="dxa"/>
          </w:tcPr>
          <w:p w:rsidRPr="00630D19" w:rsidR="00343145" w:rsidP="41563305" w:rsidRDefault="41563305" w14:paraId="24550382" w14:textId="77777777">
            <w:pPr>
              <w:rPr>
                <w:sz w:val="16"/>
                <w:szCs w:val="16"/>
              </w:rPr>
            </w:pPr>
            <w:r w:rsidRPr="41563305">
              <w:rPr>
                <w:sz w:val="16"/>
                <w:szCs w:val="16"/>
              </w:rPr>
              <w:t>Benoeming voorzitter raad van bestuur/commissarissen</w:t>
            </w:r>
          </w:p>
        </w:tc>
        <w:tc>
          <w:tcPr>
            <w:tcW w:w="2092" w:type="dxa"/>
          </w:tcPr>
          <w:p w:rsidRPr="00630D19" w:rsidR="00343145" w:rsidP="41563305" w:rsidRDefault="41563305" w14:paraId="6C745609" w14:textId="77777777">
            <w:pPr>
              <w:rPr>
                <w:sz w:val="16"/>
                <w:szCs w:val="16"/>
              </w:rPr>
            </w:pPr>
            <w:r w:rsidRPr="41563305">
              <w:rPr>
                <w:sz w:val="16"/>
                <w:szCs w:val="16"/>
              </w:rPr>
              <w:t>Consulteren</w:t>
            </w:r>
          </w:p>
        </w:tc>
      </w:tr>
      <w:tr w:rsidR="00343145" w:rsidTr="41563305" w14:paraId="639DA653" w14:textId="77777777">
        <w:tc>
          <w:tcPr>
            <w:tcW w:w="2190" w:type="dxa"/>
            <w:vMerge/>
          </w:tcPr>
          <w:p w:rsidRPr="00630D19" w:rsidR="00343145" w:rsidP="00F4567E" w:rsidRDefault="00343145" w14:paraId="41D7575E" w14:textId="77777777">
            <w:pPr>
              <w:rPr>
                <w:sz w:val="16"/>
                <w:szCs w:val="16"/>
              </w:rPr>
            </w:pPr>
          </w:p>
        </w:tc>
        <w:tc>
          <w:tcPr>
            <w:tcW w:w="3197" w:type="dxa"/>
          </w:tcPr>
          <w:p w:rsidRPr="00630D19" w:rsidR="00343145" w:rsidP="41563305" w:rsidRDefault="41563305" w14:paraId="7D3F8451" w14:textId="77777777">
            <w:pPr>
              <w:rPr>
                <w:sz w:val="16"/>
                <w:szCs w:val="16"/>
              </w:rPr>
            </w:pPr>
            <w:r w:rsidRPr="41563305">
              <w:rPr>
                <w:sz w:val="16"/>
                <w:szCs w:val="16"/>
              </w:rPr>
              <w:t>Benoeming lid raad van bestuur/commissarissen</w:t>
            </w:r>
          </w:p>
        </w:tc>
        <w:tc>
          <w:tcPr>
            <w:tcW w:w="2092" w:type="dxa"/>
          </w:tcPr>
          <w:p w:rsidRPr="00630D19" w:rsidR="00343145" w:rsidP="41563305" w:rsidRDefault="41563305" w14:paraId="08C40918" w14:textId="77777777">
            <w:pPr>
              <w:rPr>
                <w:sz w:val="16"/>
                <w:szCs w:val="16"/>
              </w:rPr>
            </w:pPr>
            <w:r w:rsidRPr="41563305">
              <w:rPr>
                <w:sz w:val="16"/>
                <w:szCs w:val="16"/>
              </w:rPr>
              <w:t>Informeren</w:t>
            </w:r>
          </w:p>
        </w:tc>
      </w:tr>
      <w:tr w:rsidR="00343145" w:rsidTr="41563305" w14:paraId="15D03494" w14:textId="77777777">
        <w:tc>
          <w:tcPr>
            <w:tcW w:w="2190" w:type="dxa"/>
            <w:vMerge/>
          </w:tcPr>
          <w:p w:rsidRPr="00630D19" w:rsidR="00343145" w:rsidP="00F4567E" w:rsidRDefault="00343145" w14:paraId="3202985E" w14:textId="77777777">
            <w:pPr>
              <w:rPr>
                <w:sz w:val="16"/>
                <w:szCs w:val="16"/>
              </w:rPr>
            </w:pPr>
          </w:p>
        </w:tc>
        <w:tc>
          <w:tcPr>
            <w:tcW w:w="3197" w:type="dxa"/>
          </w:tcPr>
          <w:p w:rsidRPr="00630D19" w:rsidR="00343145" w:rsidP="41563305" w:rsidRDefault="41563305" w14:paraId="289C1C4D" w14:textId="77777777">
            <w:pPr>
              <w:rPr>
                <w:sz w:val="16"/>
                <w:szCs w:val="16"/>
              </w:rPr>
            </w:pPr>
            <w:r w:rsidRPr="41563305">
              <w:rPr>
                <w:sz w:val="16"/>
                <w:szCs w:val="16"/>
              </w:rPr>
              <w:t>MVO</w:t>
            </w:r>
          </w:p>
        </w:tc>
        <w:tc>
          <w:tcPr>
            <w:tcW w:w="2092" w:type="dxa"/>
          </w:tcPr>
          <w:p w:rsidRPr="00630D19" w:rsidR="00343145" w:rsidP="41563305" w:rsidRDefault="41563305" w14:paraId="07F67AC3" w14:textId="77777777">
            <w:pPr>
              <w:rPr>
                <w:sz w:val="16"/>
                <w:szCs w:val="16"/>
              </w:rPr>
            </w:pPr>
            <w:r w:rsidRPr="41563305">
              <w:rPr>
                <w:sz w:val="16"/>
                <w:szCs w:val="16"/>
              </w:rPr>
              <w:t>Informeren</w:t>
            </w:r>
          </w:p>
        </w:tc>
      </w:tr>
      <w:tr w:rsidR="00343145" w:rsidTr="41563305" w14:paraId="655F47BA" w14:textId="77777777">
        <w:tc>
          <w:tcPr>
            <w:tcW w:w="2190" w:type="dxa"/>
            <w:vMerge/>
          </w:tcPr>
          <w:p w:rsidRPr="00630D19" w:rsidR="00343145" w:rsidP="00F4567E" w:rsidRDefault="00343145" w14:paraId="6F7DCBE8" w14:textId="77777777">
            <w:pPr>
              <w:rPr>
                <w:sz w:val="16"/>
                <w:szCs w:val="16"/>
              </w:rPr>
            </w:pPr>
          </w:p>
        </w:tc>
        <w:tc>
          <w:tcPr>
            <w:tcW w:w="3197" w:type="dxa"/>
          </w:tcPr>
          <w:p w:rsidRPr="00630D19" w:rsidR="00343145" w:rsidP="41563305" w:rsidRDefault="41563305" w14:paraId="480481AF" w14:textId="77777777">
            <w:pPr>
              <w:rPr>
                <w:sz w:val="16"/>
                <w:szCs w:val="16"/>
              </w:rPr>
            </w:pPr>
            <w:r w:rsidRPr="41563305">
              <w:rPr>
                <w:sz w:val="16"/>
                <w:szCs w:val="16"/>
              </w:rPr>
              <w:t>Beloningen</w:t>
            </w:r>
          </w:p>
        </w:tc>
        <w:tc>
          <w:tcPr>
            <w:tcW w:w="2092" w:type="dxa"/>
          </w:tcPr>
          <w:p w:rsidRPr="00630D19" w:rsidR="00343145" w:rsidP="41563305" w:rsidRDefault="41563305" w14:paraId="6FF000E5" w14:textId="77777777">
            <w:pPr>
              <w:rPr>
                <w:sz w:val="16"/>
                <w:szCs w:val="16"/>
              </w:rPr>
            </w:pPr>
            <w:r w:rsidRPr="41563305">
              <w:rPr>
                <w:sz w:val="16"/>
                <w:szCs w:val="16"/>
              </w:rPr>
              <w:t>Geen</w:t>
            </w:r>
          </w:p>
        </w:tc>
      </w:tr>
      <w:tr w:rsidR="009E7DF4" w:rsidTr="41563305" w14:paraId="43917F09" w14:textId="77777777">
        <w:tc>
          <w:tcPr>
            <w:tcW w:w="2190" w:type="dxa"/>
          </w:tcPr>
          <w:p w:rsidRPr="00630D19" w:rsidR="009E7DF4" w:rsidP="41563305" w:rsidRDefault="41563305" w14:paraId="134F9233" w14:textId="77777777">
            <w:pPr>
              <w:rPr>
                <w:b/>
                <w:bCs/>
                <w:sz w:val="16"/>
                <w:szCs w:val="16"/>
              </w:rPr>
            </w:pPr>
            <w:r w:rsidRPr="41563305">
              <w:rPr>
                <w:b/>
                <w:bCs/>
                <w:sz w:val="16"/>
                <w:szCs w:val="16"/>
              </w:rPr>
              <w:t>Behoud maatschappelijk vermogen</w:t>
            </w:r>
          </w:p>
        </w:tc>
        <w:tc>
          <w:tcPr>
            <w:tcW w:w="3197" w:type="dxa"/>
          </w:tcPr>
          <w:p w:rsidRPr="00630D19" w:rsidR="009E7DF4" w:rsidP="41563305" w:rsidRDefault="41563305" w14:paraId="6EA86A05" w14:textId="77777777">
            <w:pPr>
              <w:rPr>
                <w:sz w:val="16"/>
                <w:szCs w:val="16"/>
              </w:rPr>
            </w:pPr>
            <w:r w:rsidRPr="41563305">
              <w:rPr>
                <w:sz w:val="16"/>
                <w:szCs w:val="16"/>
              </w:rPr>
              <w:t>Financiële positie</w:t>
            </w:r>
          </w:p>
        </w:tc>
        <w:tc>
          <w:tcPr>
            <w:tcW w:w="2092" w:type="dxa"/>
          </w:tcPr>
          <w:p w:rsidRPr="00630D19" w:rsidR="009E7DF4" w:rsidP="41563305" w:rsidRDefault="41563305" w14:paraId="4DF82432" w14:textId="77777777">
            <w:pPr>
              <w:rPr>
                <w:sz w:val="16"/>
                <w:szCs w:val="16"/>
              </w:rPr>
            </w:pPr>
            <w:r w:rsidRPr="41563305">
              <w:rPr>
                <w:sz w:val="16"/>
                <w:szCs w:val="16"/>
              </w:rPr>
              <w:t>Geen</w:t>
            </w:r>
          </w:p>
        </w:tc>
      </w:tr>
    </w:tbl>
    <w:p w:rsidRPr="00C403D6" w:rsidR="00C403D6" w:rsidP="00C403D6" w:rsidRDefault="00C403D6" w14:paraId="3FC35330" w14:textId="77777777"/>
    <w:p w:rsidRPr="00C403D6" w:rsidR="00C403D6" w:rsidP="00ED2CFA" w:rsidRDefault="41563305" w14:paraId="435B26E3" w14:textId="77777777">
      <w:pPr>
        <w:pStyle w:val="Lijstalinea"/>
        <w:numPr>
          <w:ilvl w:val="0"/>
          <w:numId w:val="13"/>
        </w:numPr>
      </w:pPr>
      <w:r w:rsidRPr="41563305">
        <w:rPr>
          <w:i/>
          <w:iCs/>
        </w:rPr>
        <w:t xml:space="preserve">Financiën (aandeelhouder) consulteert het beleidsdepartement. </w:t>
      </w:r>
      <w:r>
        <w:t xml:space="preserve">De aandeelhouder treedt in overleg en stemt af met het beleidsdepartement. Het beleidsdepartement wordt gevraagd zijn positie te delen over het betreffende onderwerp, waarbij het voornamelijk kijkt naar de bijdrage aan het publiek belang. De aandeelhouder weegt de positie van het beleidsdepartement mee in de besluitvorming. </w:t>
      </w:r>
    </w:p>
    <w:p w:rsidRPr="00C403D6" w:rsidR="00C403D6" w:rsidP="00ED2CFA" w:rsidRDefault="41563305" w14:paraId="1AEFB320" w14:textId="77777777">
      <w:pPr>
        <w:pStyle w:val="Lijstalinea"/>
        <w:numPr>
          <w:ilvl w:val="0"/>
          <w:numId w:val="13"/>
        </w:numPr>
      </w:pPr>
      <w:r w:rsidRPr="41563305">
        <w:rPr>
          <w:i/>
          <w:iCs/>
        </w:rPr>
        <w:lastRenderedPageBreak/>
        <w:t xml:space="preserve">Financiën (aandeelhouder) informeert het beleidsdepartement. </w:t>
      </w:r>
      <w:r>
        <w:t xml:space="preserve">De aandeelhouder informeert het beleidsdepartement over het betreffende aandachtsgebied. </w:t>
      </w:r>
    </w:p>
    <w:p w:rsidRPr="00C403D6" w:rsidR="00C403D6" w:rsidP="00ED2CFA" w:rsidRDefault="41563305" w14:paraId="78B7923C" w14:textId="77777777">
      <w:pPr>
        <w:pStyle w:val="Lijstalinea"/>
        <w:numPr>
          <w:ilvl w:val="0"/>
          <w:numId w:val="13"/>
        </w:numPr>
      </w:pPr>
      <w:r w:rsidRPr="41563305">
        <w:rPr>
          <w:i/>
          <w:iCs/>
        </w:rPr>
        <w:t xml:space="preserve">Geen betrokkenheid beleidsdepartement. </w:t>
      </w:r>
      <w:r>
        <w:t xml:space="preserve">Dit zijn de aandachtsgebieden waar betrokkenheid van het beleidsdepartement niet nodig is. </w:t>
      </w:r>
    </w:p>
    <w:p w:rsidR="00C403D6" w:rsidP="00F4567E" w:rsidRDefault="00C403D6" w14:paraId="3572102B" w14:textId="77777777"/>
    <w:p w:rsidR="001D0A79" w:rsidP="00F4567E" w:rsidRDefault="00F4567E" w14:paraId="73E30B93" w14:textId="77777777">
      <w:r w:rsidRPr="00F4567E">
        <w:t xml:space="preserve">Omgekeerd </w:t>
      </w:r>
      <w:r w:rsidR="00602689">
        <w:t xml:space="preserve">kunnen </w:t>
      </w:r>
      <w:r w:rsidRPr="00F4567E">
        <w:t xml:space="preserve">beleidskeuzes van departementen </w:t>
      </w:r>
      <w:r w:rsidR="00602689">
        <w:t>ook</w:t>
      </w:r>
      <w:r w:rsidRPr="00F4567E">
        <w:t xml:space="preserve"> aanzienlijke impact</w:t>
      </w:r>
      <w:r w:rsidR="00602689">
        <w:t xml:space="preserve"> hebben</w:t>
      </w:r>
      <w:r w:rsidRPr="00F4567E">
        <w:t xml:space="preserve"> op staatsdeelnemingen</w:t>
      </w:r>
      <w:r w:rsidR="008F402F">
        <w:t xml:space="preserve">, zoals ook geconstateerd in het rapport van de Algemene Rekenkamer </w:t>
      </w:r>
      <w:r w:rsidRPr="41563305" w:rsidR="008F402F">
        <w:rPr>
          <w:i/>
          <w:iCs/>
        </w:rPr>
        <w:t>“In publieke handen”</w:t>
      </w:r>
      <w:r w:rsidRPr="41563305" w:rsidR="008F402F">
        <w:rPr>
          <w:rStyle w:val="Voetnootmarkering"/>
          <w:i/>
          <w:iCs/>
        </w:rPr>
        <w:footnoteReference w:id="9"/>
      </w:r>
      <w:r w:rsidR="008F402F">
        <w:t>.</w:t>
      </w:r>
      <w:r w:rsidRPr="00F4567E">
        <w:t xml:space="preserve"> </w:t>
      </w:r>
      <w:r w:rsidRPr="00F4567E" w:rsidR="008F402F">
        <w:t xml:space="preserve">In lijn </w:t>
      </w:r>
      <w:r w:rsidR="008F402F">
        <w:t>met de aanbevelingen uit dit rapport v</w:t>
      </w:r>
      <w:r w:rsidRPr="00F4567E" w:rsidR="008F402F">
        <w:t xml:space="preserve">indt </w:t>
      </w:r>
      <w:proofErr w:type="gramStart"/>
      <w:r w:rsidRPr="00F4567E" w:rsidR="008F402F">
        <w:t>reeds</w:t>
      </w:r>
      <w:proofErr w:type="gramEnd"/>
      <w:r w:rsidRPr="00F4567E" w:rsidR="008F402F">
        <w:t xml:space="preserve"> in een vroeg stadium overleg plaats tussen betrokken </w:t>
      </w:r>
      <w:r w:rsidR="00F64019">
        <w:t>ministeries</w:t>
      </w:r>
      <w:r w:rsidRPr="00F4567E" w:rsidR="008F402F">
        <w:t xml:space="preserve"> wanneer nieuwe taken voor een </w:t>
      </w:r>
      <w:r w:rsidR="00ED2CFA">
        <w:t>staats</w:t>
      </w:r>
      <w:r w:rsidRPr="00F4567E" w:rsidR="008F402F">
        <w:t>deelneming in beeld komen.</w:t>
      </w:r>
      <w:r w:rsidR="008F402F">
        <w:t xml:space="preserve"> </w:t>
      </w:r>
      <w:r w:rsidRPr="00F4567E" w:rsidR="008F402F">
        <w:t xml:space="preserve">Het toebedelen van aanvullende taken kan leiden tot </w:t>
      </w:r>
      <w:r w:rsidR="00080693">
        <w:t>aanpassingen van de na te streven publieke belangen, de strategie en van de</w:t>
      </w:r>
      <w:r w:rsidRPr="00F4567E" w:rsidR="008F402F">
        <w:t xml:space="preserve"> investeringsopgave van een </w:t>
      </w:r>
      <w:r w:rsidR="009B27C9">
        <w:t>staats</w:t>
      </w:r>
      <w:r w:rsidRPr="00F4567E" w:rsidR="008F402F">
        <w:t xml:space="preserve">deelneming. Dit stelt eisen aan de financiële positie van de onderneming. In dergelijke gevallen kan het noodzakelijk zijn dat de </w:t>
      </w:r>
      <w:r w:rsidR="00F64019">
        <w:t>s</w:t>
      </w:r>
      <w:r w:rsidRPr="00F4567E" w:rsidR="008F402F">
        <w:t xml:space="preserve">taat als aandeelhouder voorziet in aanvullende kapitaalverstrekking. Het is daarom van belang dat de financiële consequenties van beleidskeuzes </w:t>
      </w:r>
      <w:r w:rsidR="008F402F">
        <w:t xml:space="preserve">voor </w:t>
      </w:r>
      <w:r w:rsidR="009B27C9">
        <w:t>staats</w:t>
      </w:r>
      <w:r w:rsidR="008F402F">
        <w:t xml:space="preserve">deelnemingen </w:t>
      </w:r>
      <w:r w:rsidRPr="00F4567E" w:rsidR="008F402F">
        <w:t>in een vroeg stadium integraal in kaart worden gebracht.</w:t>
      </w:r>
      <w:r w:rsidR="00F64019">
        <w:t xml:space="preserve"> </w:t>
      </w:r>
      <w:r w:rsidRPr="00F4567E">
        <w:t xml:space="preserve">Dit </w:t>
      </w:r>
      <w:proofErr w:type="gramStart"/>
      <w:r w:rsidRPr="00F4567E">
        <w:t>onderstreept</w:t>
      </w:r>
      <w:proofErr w:type="gramEnd"/>
      <w:r w:rsidRPr="00F4567E">
        <w:t xml:space="preserve"> het belang van </w:t>
      </w:r>
      <w:r w:rsidR="009013FE">
        <w:t>structurele</w:t>
      </w:r>
      <w:r w:rsidRPr="00F4567E" w:rsidR="009013FE">
        <w:t xml:space="preserve"> </w:t>
      </w:r>
      <w:r w:rsidRPr="00F4567E">
        <w:t>en zorgvuldige afstemming tussen het beleidsdepartement en het ministerie van Financiën</w:t>
      </w:r>
      <w:r w:rsidR="00F64019">
        <w:t>.</w:t>
      </w:r>
      <w:r w:rsidRPr="00F4567E">
        <w:t xml:space="preserve"> </w:t>
      </w:r>
    </w:p>
    <w:p w:rsidR="00343145" w:rsidP="00343145" w:rsidRDefault="00343145" w14:paraId="683FEAF4" w14:textId="77777777">
      <w:pPr>
        <w:pStyle w:val="StandaardSlotzin"/>
        <w:spacing w:before="0"/>
        <w:rPr>
          <w:b/>
          <w:bCs/>
        </w:rPr>
      </w:pPr>
    </w:p>
    <w:p w:rsidRPr="00323D4E" w:rsidR="00323D4E" w:rsidP="00900755" w:rsidRDefault="41563305" w14:paraId="772589D9" w14:textId="77777777">
      <w:pPr>
        <w:pStyle w:val="StandaardSlotzin"/>
        <w:numPr>
          <w:ilvl w:val="0"/>
          <w:numId w:val="10"/>
        </w:numPr>
        <w:spacing w:before="0"/>
      </w:pPr>
      <w:r w:rsidRPr="41563305">
        <w:rPr>
          <w:b/>
          <w:bCs/>
        </w:rPr>
        <w:t>Slot</w:t>
      </w:r>
    </w:p>
    <w:p w:rsidRPr="00323D4E" w:rsidR="00323D4E" w:rsidP="00630D19" w:rsidRDefault="41563305" w14:paraId="762649A8" w14:textId="77777777">
      <w:pPr>
        <w:pStyle w:val="StandaardSlotzin"/>
        <w:spacing w:before="0"/>
      </w:pPr>
      <w:r>
        <w:t xml:space="preserve">Het kabinet dankt de Raad voor de leefomgeving en infrastructuur voor het goed onderbouwde advies en de breedte van de analyse. Wij zullen de aanbevelingen waar mogelijk direct toepassen, en bij de komende periodieke rapportage nadrukkelijk meenemen. Waar verdere uitwerking nodig is, zoeken wij samenwerking met </w:t>
      </w:r>
      <w:r w:rsidR="00346DB2">
        <w:t>medeoverheden</w:t>
      </w:r>
      <w:r>
        <w:t>, deskundigen en relevante departementen.</w:t>
      </w:r>
    </w:p>
    <w:p w:rsidR="00F156F4" w:rsidRDefault="41563305" w14:paraId="35E4ADBD" w14:textId="77777777">
      <w:pPr>
        <w:pStyle w:val="StandaardSlotzin"/>
      </w:pPr>
      <w:r>
        <w:t>Hoogachtend,</w:t>
      </w:r>
    </w:p>
    <w:p w:rsidR="00F156F4" w:rsidRDefault="00F156F4" w14:paraId="20EA014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156F4" w:rsidTr="41563305" w14:paraId="7C5AF059" w14:textId="77777777">
        <w:tc>
          <w:tcPr>
            <w:tcW w:w="3592" w:type="dxa"/>
          </w:tcPr>
          <w:p w:rsidR="00F156F4" w:rsidRDefault="007017C1" w14:paraId="4C40D86A" w14:textId="77777777">
            <w:r>
              <w:t>D</w:t>
            </w:r>
            <w:r w:rsidR="41563305">
              <w:t>e minister van Financiën,</w:t>
            </w:r>
            <w:r w:rsidR="000C2C19">
              <w:br/>
            </w:r>
            <w:r w:rsidR="000C2C19">
              <w:br/>
            </w:r>
            <w:r w:rsidR="000C2C19">
              <w:br/>
            </w:r>
            <w:r w:rsidR="000C2C19">
              <w:br/>
            </w:r>
            <w:r w:rsidR="000C2C19">
              <w:br/>
            </w:r>
            <w:r w:rsidR="000C2C19">
              <w:br/>
            </w:r>
            <w:r w:rsidR="000C2C19">
              <w:br/>
            </w:r>
            <w:r w:rsidR="008D494D">
              <w:t>E.</w:t>
            </w:r>
            <w:r w:rsidR="41563305">
              <w:t xml:space="preserve"> Heinen</w:t>
            </w:r>
          </w:p>
        </w:tc>
        <w:tc>
          <w:tcPr>
            <w:tcW w:w="3892" w:type="dxa"/>
          </w:tcPr>
          <w:p w:rsidRPr="00CB6805" w:rsidR="009748E5" w:rsidP="009748E5" w:rsidRDefault="007017C1" w14:paraId="6EBB347F" w14:textId="77777777">
            <w:pPr>
              <w:spacing w:line="276" w:lineRule="auto"/>
            </w:pPr>
            <w:r>
              <w:t>D</w:t>
            </w:r>
            <w:r w:rsidRPr="00CB6805" w:rsidR="009748E5">
              <w:t xml:space="preserve">e minister van </w:t>
            </w:r>
            <w:r w:rsidR="009748E5">
              <w:t>E</w:t>
            </w:r>
            <w:r w:rsidRPr="00CB6805" w:rsidR="009748E5">
              <w:t xml:space="preserve">conomische </w:t>
            </w:r>
            <w:r w:rsidR="009748E5">
              <w:t>Z</w:t>
            </w:r>
            <w:r w:rsidRPr="00CB6805" w:rsidR="009748E5">
              <w:t>aken</w:t>
            </w:r>
            <w:r w:rsidRPr="00CB6805" w:rsidR="009748E5">
              <w:tab/>
            </w:r>
            <w:r w:rsidR="009748E5">
              <w:t xml:space="preserve">           </w:t>
            </w:r>
          </w:p>
          <w:p w:rsidRPr="00CB6805" w:rsidR="009748E5" w:rsidP="009748E5" w:rsidRDefault="009748E5" w14:paraId="1ED9CBBF" w14:textId="77777777">
            <w:pPr>
              <w:spacing w:line="276" w:lineRule="auto"/>
            </w:pPr>
            <w:proofErr w:type="gramStart"/>
            <w:r w:rsidRPr="00CB6805">
              <w:t>en</w:t>
            </w:r>
            <w:proofErr w:type="gramEnd"/>
            <w:r w:rsidRPr="00CB6805">
              <w:t xml:space="preserve"> </w:t>
            </w:r>
            <w:r>
              <w:t>K</w:t>
            </w:r>
            <w:r w:rsidRPr="00CB6805">
              <w:t xml:space="preserve">limaat,      </w:t>
            </w:r>
            <w:r w:rsidRPr="00CB6805">
              <w:tab/>
            </w:r>
            <w:r w:rsidRPr="00CB6805">
              <w:tab/>
              <w:t xml:space="preserve">                      </w:t>
            </w:r>
            <w:r>
              <w:t xml:space="preserve">            </w:t>
            </w:r>
          </w:p>
          <w:p w:rsidR="009748E5" w:rsidP="009748E5" w:rsidRDefault="009748E5" w14:paraId="246A2F89" w14:textId="77777777">
            <w:pPr>
              <w:spacing w:line="276" w:lineRule="auto"/>
              <w:ind w:left="3540" w:firstLine="708"/>
            </w:pPr>
          </w:p>
          <w:p w:rsidRPr="00085388" w:rsidR="009748E5" w:rsidP="009748E5" w:rsidRDefault="009748E5" w14:paraId="18AE69BF" w14:textId="77777777">
            <w:pPr>
              <w:spacing w:line="276" w:lineRule="auto"/>
            </w:pPr>
          </w:p>
          <w:p w:rsidRPr="00085388" w:rsidR="009748E5" w:rsidP="009748E5" w:rsidRDefault="009748E5" w14:paraId="761B8918" w14:textId="77777777">
            <w:pPr>
              <w:spacing w:line="276" w:lineRule="auto"/>
            </w:pPr>
          </w:p>
          <w:p w:rsidRPr="00085388" w:rsidR="009748E5" w:rsidP="009748E5" w:rsidRDefault="009748E5" w14:paraId="19674D37" w14:textId="77777777">
            <w:pPr>
              <w:spacing w:line="276" w:lineRule="auto"/>
            </w:pPr>
          </w:p>
          <w:p w:rsidRPr="00085388" w:rsidR="009748E5" w:rsidP="009748E5" w:rsidRDefault="009748E5" w14:paraId="2B09F53F" w14:textId="77777777">
            <w:pPr>
              <w:spacing w:line="276" w:lineRule="auto"/>
            </w:pPr>
          </w:p>
          <w:p w:rsidRPr="0088024F" w:rsidR="009748E5" w:rsidP="009748E5" w:rsidRDefault="007017C1" w14:paraId="3812498E" w14:textId="77777777">
            <w:pPr>
              <w:spacing w:line="276" w:lineRule="auto"/>
            </w:pPr>
            <w:r>
              <w:t>H.G.</w:t>
            </w:r>
            <w:r w:rsidR="009748E5">
              <w:t xml:space="preserve"> Herbert</w:t>
            </w:r>
            <w:r w:rsidR="009748E5">
              <w:tab/>
            </w:r>
            <w:r w:rsidR="009748E5">
              <w:tab/>
            </w:r>
            <w:r w:rsidR="009748E5">
              <w:tab/>
            </w:r>
            <w:r w:rsidRPr="37EBDE04" w:rsidR="009748E5">
              <w:t xml:space="preserve">  </w:t>
            </w:r>
            <w:r w:rsidR="009748E5">
              <w:tab/>
              <w:t xml:space="preserve">           </w:t>
            </w:r>
          </w:p>
          <w:p w:rsidR="009748E5" w:rsidP="009748E5" w:rsidRDefault="009748E5" w14:paraId="309C93FE" w14:textId="77777777">
            <w:pPr>
              <w:spacing w:line="276" w:lineRule="auto"/>
            </w:pPr>
          </w:p>
          <w:p w:rsidR="00F156F4" w:rsidRDefault="00F156F4" w14:paraId="01E65516" w14:textId="77777777"/>
        </w:tc>
      </w:tr>
      <w:tr w:rsidR="00C8017E" w:rsidTr="41563305" w14:paraId="24E1211A" w14:textId="77777777">
        <w:tc>
          <w:tcPr>
            <w:tcW w:w="3592" w:type="dxa"/>
          </w:tcPr>
          <w:p w:rsidR="00C8017E" w:rsidRDefault="00C8017E" w14:paraId="47C391DA" w14:textId="77777777"/>
        </w:tc>
        <w:tc>
          <w:tcPr>
            <w:tcW w:w="3892" w:type="dxa"/>
          </w:tcPr>
          <w:p w:rsidR="00C8017E" w:rsidRDefault="00C8017E" w14:paraId="34BF2AFE" w14:textId="77777777"/>
        </w:tc>
      </w:tr>
      <w:tr w:rsidR="00C8017E" w:rsidTr="41563305" w14:paraId="4F7B979C" w14:textId="77777777">
        <w:tc>
          <w:tcPr>
            <w:tcW w:w="3592" w:type="dxa"/>
          </w:tcPr>
          <w:p w:rsidRPr="00CB6805" w:rsidR="00C8017E" w:rsidP="009748E5" w:rsidRDefault="007017C1" w14:paraId="6BBF9937" w14:textId="77777777">
            <w:pPr>
              <w:spacing w:line="276" w:lineRule="auto"/>
            </w:pPr>
            <w:r>
              <w:t>D</w:t>
            </w:r>
            <w:r w:rsidRPr="00CB6805" w:rsidR="00C8017E">
              <w:t xml:space="preserve">e minister </w:t>
            </w:r>
            <w:proofErr w:type="gramStart"/>
            <w:r w:rsidRPr="00CB6805" w:rsidR="00C8017E">
              <w:t xml:space="preserve">van  </w:t>
            </w:r>
            <w:r w:rsidRPr="00CB6805" w:rsidR="00C8017E">
              <w:tab/>
            </w:r>
            <w:proofErr w:type="gramEnd"/>
            <w:r w:rsidRPr="00CB6805" w:rsidR="00C8017E">
              <w:tab/>
              <w:t xml:space="preserve">                      </w:t>
            </w:r>
            <w:r w:rsidR="00C8017E">
              <w:t xml:space="preserve">            I</w:t>
            </w:r>
            <w:r w:rsidRPr="00CB6805" w:rsidR="00C8017E">
              <w:t xml:space="preserve">nfrastructuur en </w:t>
            </w:r>
            <w:r w:rsidR="00C8017E">
              <w:t>W</w:t>
            </w:r>
            <w:r w:rsidRPr="00CB6805" w:rsidR="00C8017E">
              <w:t>aterstaat,</w:t>
            </w:r>
          </w:p>
          <w:p w:rsidR="00C8017E" w:rsidP="009748E5" w:rsidRDefault="00C8017E" w14:paraId="3065CAB8" w14:textId="77777777">
            <w:pPr>
              <w:spacing w:line="276" w:lineRule="auto"/>
              <w:ind w:left="3540" w:firstLine="708"/>
            </w:pPr>
          </w:p>
          <w:p w:rsidRPr="00085388" w:rsidR="00C8017E" w:rsidP="009748E5" w:rsidRDefault="00C8017E" w14:paraId="4C1EB282" w14:textId="77777777">
            <w:pPr>
              <w:spacing w:line="276" w:lineRule="auto"/>
            </w:pPr>
          </w:p>
          <w:p w:rsidRPr="00085388" w:rsidR="0004016F" w:rsidP="009748E5" w:rsidRDefault="0004016F" w14:paraId="50B311DF" w14:textId="77777777">
            <w:pPr>
              <w:spacing w:line="276" w:lineRule="auto"/>
            </w:pPr>
          </w:p>
          <w:p w:rsidRPr="00085388" w:rsidR="00C8017E" w:rsidP="009748E5" w:rsidRDefault="00C8017E" w14:paraId="00C18064" w14:textId="77777777">
            <w:pPr>
              <w:spacing w:line="276" w:lineRule="auto"/>
            </w:pPr>
          </w:p>
          <w:p w:rsidRPr="00085388" w:rsidR="00C8017E" w:rsidP="009748E5" w:rsidRDefault="00C8017E" w14:paraId="1A6730C8" w14:textId="77777777">
            <w:pPr>
              <w:spacing w:line="276" w:lineRule="auto"/>
            </w:pPr>
          </w:p>
          <w:p w:rsidRPr="0088024F" w:rsidR="00C8017E" w:rsidP="009748E5" w:rsidRDefault="00C8017E" w14:paraId="03C721D5" w14:textId="77777777">
            <w:pPr>
              <w:spacing w:line="276" w:lineRule="auto"/>
            </w:pPr>
            <w:r>
              <w:t>Vincent Karremans</w:t>
            </w:r>
          </w:p>
          <w:p w:rsidR="00C8017E" w:rsidRDefault="00C8017E" w14:paraId="096997B3" w14:textId="77777777"/>
        </w:tc>
        <w:tc>
          <w:tcPr>
            <w:tcW w:w="3892" w:type="dxa"/>
          </w:tcPr>
          <w:p w:rsidR="00C8017E" w:rsidRDefault="007017C1" w14:paraId="32ED6969" w14:textId="77777777">
            <w:r>
              <w:t>D</w:t>
            </w:r>
            <w:r w:rsidR="00C8017E">
              <w:t>e minister van Klimaat en Groene Groei,</w:t>
            </w:r>
          </w:p>
          <w:p w:rsidRPr="009748E5" w:rsidR="00C8017E" w:rsidP="009748E5" w:rsidRDefault="00C8017E" w14:paraId="58F1A5E4" w14:textId="77777777"/>
          <w:p w:rsidRPr="009748E5" w:rsidR="00C8017E" w:rsidP="009748E5" w:rsidRDefault="00C8017E" w14:paraId="4975FBA0" w14:textId="77777777"/>
          <w:p w:rsidRPr="009748E5" w:rsidR="00C8017E" w:rsidP="009748E5" w:rsidRDefault="00C8017E" w14:paraId="4E42F88C" w14:textId="77777777"/>
          <w:p w:rsidR="00C8017E" w:rsidP="009748E5" w:rsidRDefault="00C8017E" w14:paraId="7A460160" w14:textId="77777777"/>
          <w:p w:rsidRPr="009748E5" w:rsidR="0004016F" w:rsidP="009748E5" w:rsidRDefault="0004016F" w14:paraId="6AAFBD01" w14:textId="77777777"/>
          <w:p w:rsidRPr="009748E5" w:rsidR="00C8017E" w:rsidP="009748E5" w:rsidRDefault="00C8017E" w14:paraId="72F2B663" w14:textId="77777777"/>
          <w:p w:rsidR="00C8017E" w:rsidRDefault="007017C1" w14:paraId="644BEACD" w14:textId="77777777">
            <w:r>
              <w:t>S.</w:t>
            </w:r>
            <w:r w:rsidR="00C8017E">
              <w:t xml:space="preserve"> van Veldhoven-van der Meer</w:t>
            </w:r>
          </w:p>
        </w:tc>
      </w:tr>
    </w:tbl>
    <w:p w:rsidR="00480BBA" w:rsidP="00C8017E" w:rsidRDefault="00480BBA" w14:paraId="53740D0B" w14:textId="77777777"/>
    <w:sectPr w:rsidR="00480BBA">
      <w:headerReference w:type="default" r:id="rId7"/>
      <w:footerReference w:type="even" r:id="rId8"/>
      <w:headerReference w:type="first" r:id="rId9"/>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1213" w14:textId="77777777" w:rsidR="000A3705" w:rsidRDefault="000A3705">
      <w:pPr>
        <w:spacing w:line="240" w:lineRule="auto"/>
      </w:pPr>
      <w:r>
        <w:separator/>
      </w:r>
    </w:p>
  </w:endnote>
  <w:endnote w:type="continuationSeparator" w:id="0">
    <w:p w14:paraId="74906CCA" w14:textId="77777777" w:rsidR="000A3705" w:rsidRDefault="000A3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24C0" w14:textId="77777777" w:rsidR="008F354E" w:rsidRDefault="00712CE4">
    <w:pPr>
      <w:pStyle w:val="Voettekst"/>
    </w:pPr>
    <w:r>
      <w:rPr>
        <w:noProof/>
      </w:rPr>
      <mc:AlternateContent>
        <mc:Choice Requires="wps">
          <w:drawing>
            <wp:anchor distT="0" distB="0" distL="0" distR="0" simplePos="0" relativeHeight="251665408" behindDoc="0" locked="0" layoutInCell="1" allowOverlap="1" wp14:anchorId="59DE9057" wp14:editId="4A543D43">
              <wp:simplePos x="635" y="635"/>
              <wp:positionH relativeFrom="page">
                <wp:align>left</wp:align>
              </wp:positionH>
              <wp:positionV relativeFrom="page">
                <wp:align>bottom</wp:align>
              </wp:positionV>
              <wp:extent cx="1009015" cy="345440"/>
              <wp:effectExtent l="0" t="0" r="635" b="0"/>
              <wp:wrapNone/>
              <wp:docPr id="14689594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07E45DEF" w14:textId="77777777" w:rsidR="00712CE4" w:rsidRPr="00712CE4" w:rsidRDefault="00712CE4" w:rsidP="00712CE4">
                          <w:pPr>
                            <w:rPr>
                              <w:rFonts w:ascii="Aptos" w:eastAsia="Aptos" w:hAnsi="Aptos" w:cs="Aptos"/>
                              <w:noProof/>
                              <w:sz w:val="20"/>
                              <w:szCs w:val="20"/>
                            </w:rPr>
                          </w:pPr>
                          <w:r w:rsidRPr="00712CE4">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DE9057" id="_x0000_t202" coordsize="21600,21600" o:spt="202" path="m,l,21600r21600,l21600,xe">
              <v:stroke joinstyle="miter"/>
              <v:path gradientshapeok="t" o:connecttype="rect"/>
            </v:shapetype>
            <v:shape id="Tekstvak 2" o:spid="_x0000_s1029" type="#_x0000_t202" alt="Intern gebruik" style="position:absolute;margin-left:0;margin-top:0;width:79.4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IEwIAACI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th8HL+C+oRbORgI95ZvWmy9ZT48MYcM4yKo&#10;2vCIh1TQlRTOFiUNuF9v+WM+Ao9RSjpUTEkNSpoS9cMgIbPFPM+jwtIfGm40qmRMb/JFjJuDvgMU&#10;4xTfheXJjMlBjaZ0oF9Q1OvYDUPMcOxZ0mo078KgX3wUXKzXKQnFZFnYmp3lsXTELAL63L8wZ8+o&#10;B+TrAUZNseIV+ENuvOnt+hCQgsRMxHdA8ww7CjERdn40Uel//qes69Ne/QY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EIJgUgT&#10;AgAAIgQAAA4AAAAAAAAAAAAAAAAALgIAAGRycy9lMm9Eb2MueG1sUEsBAi0AFAAGAAgAAAAhAM7N&#10;W5zaAAAABAEAAA8AAAAAAAAAAAAAAAAAbQQAAGRycy9kb3ducmV2LnhtbFBLBQYAAAAABAAEAPMA&#10;AAB0BQAAAAA=&#10;" filled="f" stroked="f">
              <v:textbox style="mso-fit-shape-to-text:t" inset="20pt,0,0,15pt">
                <w:txbxContent>
                  <w:p w14:paraId="07E45DEF" w14:textId="77777777" w:rsidR="00712CE4" w:rsidRPr="00712CE4" w:rsidRDefault="00712CE4" w:rsidP="00712CE4">
                    <w:pPr>
                      <w:rPr>
                        <w:rFonts w:ascii="Aptos" w:eastAsia="Aptos" w:hAnsi="Aptos" w:cs="Aptos"/>
                        <w:noProof/>
                        <w:sz w:val="20"/>
                        <w:szCs w:val="20"/>
                      </w:rPr>
                    </w:pPr>
                    <w:r w:rsidRPr="00712CE4">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9198" w14:textId="77777777" w:rsidR="000A3705" w:rsidRDefault="000A3705">
      <w:pPr>
        <w:spacing w:line="240" w:lineRule="auto"/>
      </w:pPr>
      <w:r>
        <w:separator/>
      </w:r>
    </w:p>
  </w:footnote>
  <w:footnote w:type="continuationSeparator" w:id="0">
    <w:p w14:paraId="575CA956" w14:textId="77777777" w:rsidR="000A3705" w:rsidRDefault="000A3705">
      <w:pPr>
        <w:spacing w:line="240" w:lineRule="auto"/>
      </w:pPr>
      <w:r>
        <w:continuationSeparator/>
      </w:r>
    </w:p>
  </w:footnote>
  <w:footnote w:id="1">
    <w:p w14:paraId="3AEDDB92" w14:textId="77777777" w:rsidR="00771052" w:rsidRPr="00694ECC" w:rsidRDefault="00771052" w:rsidP="41563305">
      <w:pPr>
        <w:pStyle w:val="Voetnoottekst"/>
        <w:rPr>
          <w:sz w:val="16"/>
          <w:szCs w:val="16"/>
        </w:rPr>
      </w:pPr>
      <w:r w:rsidRPr="00694ECC">
        <w:rPr>
          <w:rStyle w:val="Voetnootmarkering"/>
          <w:sz w:val="16"/>
          <w:szCs w:val="16"/>
        </w:rPr>
        <w:footnoteRef/>
      </w:r>
      <w:r w:rsidRPr="00694ECC">
        <w:rPr>
          <w:sz w:val="16"/>
          <w:szCs w:val="16"/>
        </w:rPr>
        <w:t xml:space="preserve"> Toezeggingsnummer: T03941</w:t>
      </w:r>
    </w:p>
  </w:footnote>
  <w:footnote w:id="2">
    <w:p w14:paraId="520D5112" w14:textId="77777777" w:rsidR="00F2471F" w:rsidRPr="00694ECC" w:rsidRDefault="00F2471F" w:rsidP="41563305">
      <w:pPr>
        <w:pStyle w:val="Voetnoottekst"/>
        <w:rPr>
          <w:sz w:val="16"/>
          <w:szCs w:val="16"/>
        </w:rPr>
      </w:pPr>
      <w:r w:rsidRPr="00694ECC">
        <w:rPr>
          <w:rStyle w:val="Voetnootmarkering"/>
          <w:sz w:val="16"/>
          <w:szCs w:val="16"/>
        </w:rPr>
        <w:footnoteRef/>
      </w:r>
      <w:r w:rsidRPr="00694ECC">
        <w:rPr>
          <w:sz w:val="16"/>
          <w:szCs w:val="16"/>
        </w:rPr>
        <w:t xml:space="preserve"> Het uitgangspunt is dat eens per zeven jaar het aandeelhouderschap van elke deelneming wordt geëvalueerd, of eerder wanneer actualiteit daar aanleiding voor geeft.</w:t>
      </w:r>
    </w:p>
  </w:footnote>
  <w:footnote w:id="3">
    <w:p w14:paraId="63EC01FE" w14:textId="77777777" w:rsidR="00F2471F" w:rsidRPr="00694ECC" w:rsidRDefault="00F2471F">
      <w:pPr>
        <w:pStyle w:val="Voetnoottekst"/>
        <w:rPr>
          <w:sz w:val="16"/>
          <w:szCs w:val="16"/>
        </w:rPr>
      </w:pPr>
      <w:r w:rsidRPr="00694ECC">
        <w:rPr>
          <w:rStyle w:val="Voetnootmarkering"/>
          <w:sz w:val="16"/>
          <w:szCs w:val="16"/>
        </w:rPr>
        <w:footnoteRef/>
      </w:r>
      <w:r w:rsidRPr="00694ECC">
        <w:rPr>
          <w:sz w:val="16"/>
          <w:szCs w:val="16"/>
        </w:rPr>
        <w:t xml:space="preserve"> </w:t>
      </w:r>
      <w:hyperlink r:id="rId1" w:history="1">
        <w:r w:rsidRPr="00694ECC">
          <w:rPr>
            <w:rStyle w:val="Hyperlink"/>
            <w:sz w:val="16"/>
            <w:szCs w:val="16"/>
          </w:rPr>
          <w:t>Nota Deelnemingenbeleid Rijksoverheid 2022</w:t>
        </w:r>
      </w:hyperlink>
    </w:p>
  </w:footnote>
  <w:footnote w:id="4">
    <w:p w14:paraId="70156109" w14:textId="77777777" w:rsidR="0049476D" w:rsidRPr="00694ECC" w:rsidRDefault="0049476D">
      <w:pPr>
        <w:pStyle w:val="Voetnoottekst"/>
        <w:rPr>
          <w:sz w:val="16"/>
          <w:szCs w:val="16"/>
        </w:rPr>
      </w:pPr>
      <w:r w:rsidRPr="00694ECC">
        <w:rPr>
          <w:rStyle w:val="Voetnootmarkering"/>
          <w:sz w:val="16"/>
          <w:szCs w:val="16"/>
        </w:rPr>
        <w:footnoteRef/>
      </w:r>
      <w:r w:rsidRPr="00694ECC">
        <w:rPr>
          <w:sz w:val="16"/>
          <w:szCs w:val="16"/>
        </w:rPr>
        <w:t xml:space="preserve"> </w:t>
      </w:r>
      <w:hyperlink r:id="rId2" w:history="1">
        <w:r w:rsidRPr="00694ECC">
          <w:rPr>
            <w:rStyle w:val="Hyperlink"/>
            <w:sz w:val="16"/>
            <w:szCs w:val="16"/>
          </w:rPr>
          <w:t>Handboeken staatsdeelnemingen | Rapport | Rijksoverheid.nl</w:t>
        </w:r>
      </w:hyperlink>
    </w:p>
  </w:footnote>
  <w:footnote w:id="5">
    <w:p w14:paraId="7F388875" w14:textId="77777777" w:rsidR="00134111" w:rsidRPr="00694ECC" w:rsidRDefault="00134111">
      <w:pPr>
        <w:pStyle w:val="Voetnoottekst"/>
        <w:rPr>
          <w:sz w:val="16"/>
          <w:szCs w:val="16"/>
        </w:rPr>
      </w:pPr>
      <w:r w:rsidRPr="00694ECC">
        <w:rPr>
          <w:rStyle w:val="Voetnootmarkering"/>
          <w:sz w:val="16"/>
          <w:szCs w:val="16"/>
        </w:rPr>
        <w:footnoteRef/>
      </w:r>
      <w:r w:rsidRPr="00694ECC">
        <w:rPr>
          <w:sz w:val="16"/>
          <w:szCs w:val="16"/>
        </w:rPr>
        <w:t xml:space="preserve"> </w:t>
      </w:r>
      <w:hyperlink r:id="rId3" w:history="1">
        <w:r w:rsidR="00694ECC" w:rsidRPr="00694ECC">
          <w:rPr>
            <w:rStyle w:val="Hyperlink"/>
            <w:sz w:val="16"/>
            <w:szCs w:val="16"/>
          </w:rPr>
          <w:t>Handboeken staatsdeelnemingen | Rapport | Rijksoverheid.nl</w:t>
        </w:r>
      </w:hyperlink>
    </w:p>
  </w:footnote>
  <w:footnote w:id="6">
    <w:p w14:paraId="36D7E9D0" w14:textId="77777777" w:rsidR="00134111" w:rsidRPr="00694ECC" w:rsidRDefault="00134111" w:rsidP="41563305">
      <w:pPr>
        <w:pStyle w:val="Voetnoottekst"/>
        <w:rPr>
          <w:sz w:val="16"/>
          <w:szCs w:val="16"/>
        </w:rPr>
      </w:pPr>
      <w:r w:rsidRPr="00694ECC">
        <w:rPr>
          <w:rStyle w:val="Voetnootmarkering"/>
          <w:sz w:val="16"/>
          <w:szCs w:val="16"/>
        </w:rPr>
        <w:footnoteRef/>
      </w:r>
      <w:r w:rsidRPr="00694ECC">
        <w:rPr>
          <w:sz w:val="16"/>
          <w:szCs w:val="16"/>
        </w:rPr>
        <w:t xml:space="preserve"> Een kapitaalbehoefte kan een nevenargument vormen bij de beslissing om een deelneming aan te gaan, onder de voorwaarde dat een deelneming rendement kan maken om zichzelf te financieren zonder structurele overheidsbijdrage.</w:t>
      </w:r>
    </w:p>
  </w:footnote>
  <w:footnote w:id="7">
    <w:p w14:paraId="1431AD67" w14:textId="77777777" w:rsidR="00F64019" w:rsidRPr="00694ECC" w:rsidRDefault="00F64019" w:rsidP="41563305">
      <w:pPr>
        <w:pStyle w:val="Voetnoottekst"/>
        <w:rPr>
          <w:sz w:val="16"/>
          <w:szCs w:val="16"/>
        </w:rPr>
      </w:pPr>
      <w:r w:rsidRPr="00694ECC">
        <w:rPr>
          <w:rStyle w:val="Voetnootmarkering"/>
          <w:sz w:val="16"/>
          <w:szCs w:val="16"/>
        </w:rPr>
        <w:footnoteRef/>
      </w:r>
      <w:r w:rsidRPr="00694ECC">
        <w:rPr>
          <w:sz w:val="16"/>
          <w:szCs w:val="16"/>
        </w:rPr>
        <w:t xml:space="preserve"> Korte aantekeningen vergadering commissie Financiën van 24 februari 2026</w:t>
      </w:r>
    </w:p>
  </w:footnote>
  <w:footnote w:id="8">
    <w:p w14:paraId="50D5FDEB" w14:textId="77777777" w:rsidR="00A91927" w:rsidRPr="00694ECC" w:rsidRDefault="00A91927" w:rsidP="41563305">
      <w:pPr>
        <w:pStyle w:val="Voetnoottekst"/>
        <w:rPr>
          <w:sz w:val="16"/>
          <w:szCs w:val="16"/>
        </w:rPr>
      </w:pPr>
      <w:r w:rsidRPr="00694ECC">
        <w:rPr>
          <w:rStyle w:val="Voetnootmarkering"/>
          <w:sz w:val="16"/>
          <w:szCs w:val="16"/>
        </w:rPr>
        <w:footnoteRef/>
      </w:r>
      <w:r w:rsidRPr="00694ECC">
        <w:rPr>
          <w:sz w:val="16"/>
          <w:szCs w:val="16"/>
        </w:rPr>
        <w:t xml:space="preserve"> Ook bij beleidsdeelnemingen zijn de rollen tussen aandeelhouder en beleid binnen het departement gescheiden om de juiste </w:t>
      </w:r>
      <w:r w:rsidRPr="41563305">
        <w:rPr>
          <w:i/>
          <w:iCs/>
          <w:sz w:val="16"/>
          <w:szCs w:val="16"/>
        </w:rPr>
        <w:t xml:space="preserve">checks </w:t>
      </w:r>
      <w:proofErr w:type="spellStart"/>
      <w:r w:rsidRPr="41563305">
        <w:rPr>
          <w:i/>
          <w:iCs/>
          <w:sz w:val="16"/>
          <w:szCs w:val="16"/>
        </w:rPr>
        <w:t>and</w:t>
      </w:r>
      <w:proofErr w:type="spellEnd"/>
      <w:r w:rsidRPr="41563305">
        <w:rPr>
          <w:i/>
          <w:iCs/>
          <w:sz w:val="16"/>
          <w:szCs w:val="16"/>
        </w:rPr>
        <w:t xml:space="preserve"> </w:t>
      </w:r>
      <w:proofErr w:type="spellStart"/>
      <w:r w:rsidRPr="41563305">
        <w:rPr>
          <w:i/>
          <w:iCs/>
          <w:sz w:val="16"/>
          <w:szCs w:val="16"/>
        </w:rPr>
        <w:t>balances</w:t>
      </w:r>
      <w:proofErr w:type="spellEnd"/>
      <w:r w:rsidRPr="00694ECC">
        <w:rPr>
          <w:sz w:val="16"/>
          <w:szCs w:val="16"/>
        </w:rPr>
        <w:t xml:space="preserve"> te borgen. </w:t>
      </w:r>
    </w:p>
  </w:footnote>
  <w:footnote w:id="9">
    <w:p w14:paraId="3C7AEE5F" w14:textId="77777777" w:rsidR="008F402F" w:rsidRPr="00694ECC" w:rsidRDefault="008F402F" w:rsidP="41563305">
      <w:pPr>
        <w:pStyle w:val="Voetnoottekst"/>
        <w:rPr>
          <w:sz w:val="16"/>
          <w:szCs w:val="16"/>
        </w:rPr>
      </w:pPr>
      <w:r w:rsidRPr="00694ECC">
        <w:rPr>
          <w:rStyle w:val="Voetnootmarkering"/>
          <w:sz w:val="16"/>
          <w:szCs w:val="16"/>
        </w:rPr>
        <w:footnoteRef/>
      </w:r>
      <w:r w:rsidRPr="00694ECC">
        <w:rPr>
          <w:sz w:val="16"/>
          <w:szCs w:val="16"/>
        </w:rPr>
        <w:t xml:space="preserve"> Algemene rekenkamer </w:t>
      </w:r>
      <w:r w:rsidR="00F64019" w:rsidRPr="00694ECC">
        <w:rPr>
          <w:sz w:val="16"/>
          <w:szCs w:val="16"/>
        </w:rPr>
        <w:t xml:space="preserve">(2021). </w:t>
      </w:r>
      <w:r w:rsidR="00F64019" w:rsidRPr="41563305">
        <w:rPr>
          <w:i/>
          <w:iCs/>
          <w:sz w:val="16"/>
          <w:szCs w:val="16"/>
        </w:rPr>
        <w:t>In publieke handen</w:t>
      </w:r>
      <w:r w:rsidR="00427923" w:rsidRPr="41563305">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B7BE" w14:textId="77777777" w:rsidR="00F156F4" w:rsidRDefault="000C2C19">
    <w:r>
      <w:rPr>
        <w:noProof/>
      </w:rPr>
      <mc:AlternateContent>
        <mc:Choice Requires="wps">
          <w:drawing>
            <wp:anchor distT="0" distB="0" distL="0" distR="0" simplePos="0" relativeHeight="251652096" behindDoc="0" locked="1" layoutInCell="1" allowOverlap="1" wp14:anchorId="5076E8CB" wp14:editId="7CCD9A1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F1848C" w14:textId="77777777" w:rsidR="00F156F4" w:rsidRDefault="000C2C19">
                          <w:pPr>
                            <w:pStyle w:val="StandaardReferentiegegevensKop"/>
                          </w:pPr>
                          <w:r>
                            <w:t>Ons kenmerk</w:t>
                          </w:r>
                        </w:p>
                        <w:p w14:paraId="5176CE9E" w14:textId="58E6005B" w:rsidR="005110DC" w:rsidRDefault="00760D09">
                          <w:pPr>
                            <w:pStyle w:val="StandaardReferentiegegevens"/>
                          </w:pPr>
                          <w:fldSimple w:instr=" DOCPROPERTY  &quot;Kenmerk&quot;  \* MERGEFORMAT ">
                            <w:r w:rsidR="00600883">
                              <w:t>2026-0000247757</w:t>
                            </w:r>
                          </w:fldSimple>
                        </w:p>
                      </w:txbxContent>
                    </wps:txbx>
                    <wps:bodyPr vert="horz" wrap="square" lIns="0" tIns="0" rIns="0" bIns="0" anchor="t" anchorCtr="0"/>
                  </wps:wsp>
                </a:graphicData>
              </a:graphic>
            </wp:anchor>
          </w:drawing>
        </mc:Choice>
        <mc:Fallback>
          <w:pict>
            <v:shapetype w14:anchorId="5076E8C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9F1848C" w14:textId="77777777" w:rsidR="00F156F4" w:rsidRDefault="000C2C19">
                    <w:pPr>
                      <w:pStyle w:val="StandaardReferentiegegevensKop"/>
                    </w:pPr>
                    <w:r>
                      <w:t>Ons kenmerk</w:t>
                    </w:r>
                  </w:p>
                  <w:p w14:paraId="5176CE9E" w14:textId="58E6005B" w:rsidR="005110DC" w:rsidRDefault="00760D09">
                    <w:pPr>
                      <w:pStyle w:val="StandaardReferentiegegevens"/>
                    </w:pPr>
                    <w:fldSimple w:instr=" DOCPROPERTY  &quot;Kenmerk&quot;  \* MERGEFORMAT ">
                      <w:r w:rsidR="00600883">
                        <w:t>2026-0000247757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69D8F90" wp14:editId="1599897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8BF5C8" w14:textId="77777777" w:rsidR="00E963B0" w:rsidRDefault="0060088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69D8F9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28BF5C8" w14:textId="77777777" w:rsidR="00E963B0" w:rsidRDefault="0060088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E3B6156" wp14:editId="0712088C">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090A3FD" w14:textId="00C8C752" w:rsidR="00E963B0" w:rsidRDefault="006008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E3B615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090A3FD" w14:textId="00C8C752" w:rsidR="00E963B0" w:rsidRDefault="0060088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2ACA" w14:textId="77777777" w:rsidR="00F156F4" w:rsidRDefault="000C2C19">
    <w:pPr>
      <w:spacing w:after="7029" w:line="14" w:lineRule="exact"/>
    </w:pPr>
    <w:r>
      <w:rPr>
        <w:noProof/>
      </w:rPr>
      <mc:AlternateContent>
        <mc:Choice Requires="wps">
          <w:drawing>
            <wp:anchor distT="0" distB="0" distL="0" distR="0" simplePos="0" relativeHeight="251655168" behindDoc="0" locked="1" layoutInCell="1" allowOverlap="1" wp14:anchorId="1CBEFD26" wp14:editId="66024B0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AFBEF07" w14:textId="77777777" w:rsidR="00F156F4" w:rsidRDefault="000C2C19">
                          <w:pPr>
                            <w:spacing w:line="240" w:lineRule="auto"/>
                          </w:pPr>
                          <w:r>
                            <w:rPr>
                              <w:noProof/>
                            </w:rPr>
                            <w:drawing>
                              <wp:inline distT="0" distB="0" distL="0" distR="0" wp14:anchorId="2D920DBB" wp14:editId="57257DF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BEFD26" id="_x0000_t202" coordsize="21600,21600" o:spt="202" path="m,l,21600r21600,l21600,xe">
              <v:stroke joinstyle="miter"/>
              <v:path gradientshapeok="t" o:connecttype="rect"/>
            </v:shapetype>
            <v:shape id="bd4a8ef7-03a6-11ee-8f29-0242ac130005" o:spid="_x0000_s1030"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D1f5B+VAQAAFQMAAA4A&#10;AAAAAAAAAAAAAAAALgIAAGRycy9lMm9Eb2MueG1sUEsBAi0AFAAGAAgAAAAhAEehzSjdAAAACQEA&#10;AA8AAAAAAAAAAAAAAAAA7wMAAGRycy9kb3ducmV2LnhtbFBLBQYAAAAABAAEAPMAAAD5BAAAAAA=&#10;" filled="f" stroked="f">
              <v:textbox inset="0,0,0,0">
                <w:txbxContent>
                  <w:p w14:paraId="5AFBEF07" w14:textId="77777777" w:rsidR="00F156F4" w:rsidRDefault="000C2C19">
                    <w:pPr>
                      <w:spacing w:line="240" w:lineRule="auto"/>
                    </w:pPr>
                    <w:r>
                      <w:rPr>
                        <w:noProof/>
                      </w:rPr>
                      <w:drawing>
                        <wp:inline distT="0" distB="0" distL="0" distR="0" wp14:anchorId="2D920DBB" wp14:editId="57257DF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1065765" wp14:editId="6B53621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EFDFCBD" w14:textId="77777777" w:rsidR="000C2C19" w:rsidRDefault="000C2C19"/>
                      </w:txbxContent>
                    </wps:txbx>
                    <wps:bodyPr vert="horz" wrap="square" lIns="0" tIns="0" rIns="0" bIns="0" anchor="t" anchorCtr="0"/>
                  </wps:wsp>
                </a:graphicData>
              </a:graphic>
            </wp:anchor>
          </w:drawing>
        </mc:Choice>
        <mc:Fallback>
          <w:pict>
            <v:shape w14:anchorId="01065765" id="bd5d5767-03a6-11ee-8f29-0242ac130005" o:spid="_x0000_s1031"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" filled="f" stroked="f">
              <v:textbox inset="0,0,0,0">
                <w:txbxContent>
                  <w:p w14:paraId="3EFDFCBD" w14:textId="77777777" w:rsidR="000C2C19" w:rsidRDefault="000C2C1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8E78A49" wp14:editId="65B10E3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424C061" w14:textId="77777777" w:rsidR="00F156F4" w:rsidRDefault="000C2C19">
                          <w:pPr>
                            <w:pStyle w:val="StandaardReferentiegegevens"/>
                          </w:pPr>
                          <w:r>
                            <w:t>Korte Voorhout 7</w:t>
                          </w:r>
                        </w:p>
                        <w:p w14:paraId="60F50541" w14:textId="77777777" w:rsidR="00F156F4" w:rsidRDefault="000C2C19">
                          <w:pPr>
                            <w:pStyle w:val="StandaardReferentiegegevens"/>
                          </w:pPr>
                          <w:r>
                            <w:t>2511 CW  'S-GRAVENHAGE</w:t>
                          </w:r>
                        </w:p>
                        <w:p w14:paraId="32D77B69" w14:textId="77777777" w:rsidR="00F156F4" w:rsidRDefault="000C2C19">
                          <w:pPr>
                            <w:pStyle w:val="StandaardReferentiegegevens"/>
                          </w:pPr>
                          <w:r>
                            <w:t>POSTBUS 20201</w:t>
                          </w:r>
                        </w:p>
                        <w:p w14:paraId="0FA63B19" w14:textId="77777777" w:rsidR="00F156F4" w:rsidRPr="00323D4E" w:rsidRDefault="000C2C19">
                          <w:pPr>
                            <w:pStyle w:val="StandaardReferentiegegevens"/>
                            <w:rPr>
                              <w:lang w:val="es-ES"/>
                            </w:rPr>
                          </w:pPr>
                          <w:r w:rsidRPr="00323D4E">
                            <w:rPr>
                              <w:lang w:val="es-ES"/>
                            </w:rPr>
                            <w:t xml:space="preserve">2500 </w:t>
                          </w:r>
                          <w:proofErr w:type="gramStart"/>
                          <w:r w:rsidRPr="00323D4E">
                            <w:rPr>
                              <w:lang w:val="es-ES"/>
                            </w:rPr>
                            <w:t>EE  '</w:t>
                          </w:r>
                          <w:proofErr w:type="gramEnd"/>
                          <w:r w:rsidRPr="00323D4E">
                            <w:rPr>
                              <w:lang w:val="es-ES"/>
                            </w:rPr>
                            <w:t>S-GRAVENHAGE</w:t>
                          </w:r>
                        </w:p>
                        <w:p w14:paraId="7735DA49" w14:textId="77777777" w:rsidR="00F156F4" w:rsidRPr="00323D4E" w:rsidRDefault="000C2C19">
                          <w:pPr>
                            <w:pStyle w:val="StandaardReferentiegegevens"/>
                            <w:rPr>
                              <w:lang w:val="es-ES"/>
                            </w:rPr>
                          </w:pPr>
                          <w:r w:rsidRPr="00323D4E">
                            <w:rPr>
                              <w:lang w:val="es-ES"/>
                            </w:rPr>
                            <w:t>www.rijksoverheid.nl/fin</w:t>
                          </w:r>
                        </w:p>
                        <w:p w14:paraId="6804292A" w14:textId="77777777" w:rsidR="00F156F4" w:rsidRPr="00323D4E" w:rsidRDefault="00F156F4">
                          <w:pPr>
                            <w:pStyle w:val="WitregelW2"/>
                            <w:rPr>
                              <w:lang w:val="es-ES"/>
                            </w:rPr>
                          </w:pPr>
                        </w:p>
                        <w:p w14:paraId="02AC19D6" w14:textId="77777777" w:rsidR="00F156F4" w:rsidRDefault="000C2C19">
                          <w:pPr>
                            <w:pStyle w:val="StandaardReferentiegegevensKop"/>
                          </w:pPr>
                          <w:r>
                            <w:t>Ons kenmerk</w:t>
                          </w:r>
                        </w:p>
                        <w:p w14:paraId="1F67D799" w14:textId="79709413" w:rsidR="005110DC" w:rsidRDefault="00760D09">
                          <w:pPr>
                            <w:pStyle w:val="StandaardReferentiegegevens"/>
                          </w:pPr>
                          <w:fldSimple w:instr=" DOCPROPERTY  &quot;Kenmerk&quot;  \* MERGEFORMAT ">
                            <w:r w:rsidR="00600883">
                              <w:t>2026-0000247757</w:t>
                            </w:r>
                          </w:fldSimple>
                        </w:p>
                        <w:p w14:paraId="6DC6CC8B" w14:textId="77777777" w:rsidR="00F156F4" w:rsidRDefault="00F156F4">
                          <w:pPr>
                            <w:pStyle w:val="WitregelW1"/>
                          </w:pPr>
                        </w:p>
                        <w:p w14:paraId="7EA1D7AB" w14:textId="77777777" w:rsidR="00F156F4" w:rsidRDefault="000C2C19">
                          <w:pPr>
                            <w:pStyle w:val="StandaardReferentiegegevensKop"/>
                          </w:pPr>
                          <w:r>
                            <w:t>Uw brief (kenmerk)</w:t>
                          </w:r>
                        </w:p>
                        <w:p w14:paraId="21DBBFF9" w14:textId="28EC81E9" w:rsidR="00E963B0" w:rsidRDefault="00600883">
                          <w:pPr>
                            <w:pStyle w:val="StandaardReferentiegegevens"/>
                          </w:pPr>
                          <w:r>
                            <w:fldChar w:fldCharType="begin"/>
                          </w:r>
                          <w:r>
                            <w:instrText xml:space="preserve"> DOCPROPERTY  "UwKenmerk"  \* MERGEFORMAT </w:instrText>
                          </w:r>
                          <w:r>
                            <w:fldChar w:fldCharType="end"/>
                          </w:r>
                        </w:p>
                        <w:p w14:paraId="066068E2" w14:textId="77777777" w:rsidR="00F156F4" w:rsidRDefault="00F156F4">
                          <w:pPr>
                            <w:pStyle w:val="WitregelW1"/>
                          </w:pPr>
                        </w:p>
                        <w:p w14:paraId="3BA46D22" w14:textId="77777777" w:rsidR="00F156F4" w:rsidRDefault="000C2C19">
                          <w:pPr>
                            <w:pStyle w:val="StandaardReferentiegegevensKop"/>
                          </w:pPr>
                          <w:r>
                            <w:t>Bijlagen</w:t>
                          </w:r>
                        </w:p>
                        <w:p w14:paraId="2DFB92AF" w14:textId="77777777" w:rsidR="00F156F4" w:rsidRDefault="000C2C19">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8E78A49" id="bd4a91e7-03a6-11ee-8f29-0242ac130005" o:spid="_x0000_s1032"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Y7dnpMBAAAVAwAA&#10;DgAAAAAAAAAAAAAAAAAuAgAAZHJzL2Uyb0RvYy54bWxQSwECLQAUAAYACAAAACEA+dbGMuEAAAAM&#10;AQAADwAAAAAAAAAAAAAAAADtAwAAZHJzL2Rvd25yZXYueG1sUEsFBgAAAAAEAAQA8wAAAPsEAAAA&#10;AA==&#10;" filled="f" stroked="f">
              <v:textbox inset="0,0,0,0">
                <w:txbxContent>
                  <w:p w14:paraId="1424C061" w14:textId="77777777" w:rsidR="00F156F4" w:rsidRDefault="000C2C19">
                    <w:pPr>
                      <w:pStyle w:val="StandaardReferentiegegevens"/>
                    </w:pPr>
                    <w:r>
                      <w:t>Korte Voorhout 7</w:t>
                    </w:r>
                  </w:p>
                  <w:p w14:paraId="60F50541" w14:textId="77777777" w:rsidR="00F156F4" w:rsidRDefault="000C2C19">
                    <w:pPr>
                      <w:pStyle w:val="StandaardReferentiegegevens"/>
                    </w:pPr>
                    <w:r>
                      <w:t>2511 CW  'S-GRAVENHAGE</w:t>
                    </w:r>
                  </w:p>
                  <w:p w14:paraId="32D77B69" w14:textId="77777777" w:rsidR="00F156F4" w:rsidRDefault="000C2C19">
                    <w:pPr>
                      <w:pStyle w:val="StandaardReferentiegegevens"/>
                    </w:pPr>
                    <w:r>
                      <w:t>POSTBUS 20201</w:t>
                    </w:r>
                  </w:p>
                  <w:p w14:paraId="0FA63B19" w14:textId="77777777" w:rsidR="00F156F4" w:rsidRPr="00323D4E" w:rsidRDefault="000C2C19">
                    <w:pPr>
                      <w:pStyle w:val="StandaardReferentiegegevens"/>
                      <w:rPr>
                        <w:lang w:val="es-ES"/>
                      </w:rPr>
                    </w:pPr>
                    <w:r w:rsidRPr="00323D4E">
                      <w:rPr>
                        <w:lang w:val="es-ES"/>
                      </w:rPr>
                      <w:t xml:space="preserve">2500 </w:t>
                    </w:r>
                    <w:proofErr w:type="gramStart"/>
                    <w:r w:rsidRPr="00323D4E">
                      <w:rPr>
                        <w:lang w:val="es-ES"/>
                      </w:rPr>
                      <w:t>EE  '</w:t>
                    </w:r>
                    <w:proofErr w:type="gramEnd"/>
                    <w:r w:rsidRPr="00323D4E">
                      <w:rPr>
                        <w:lang w:val="es-ES"/>
                      </w:rPr>
                      <w:t>S-GRAVENHAGE</w:t>
                    </w:r>
                  </w:p>
                  <w:p w14:paraId="7735DA49" w14:textId="77777777" w:rsidR="00F156F4" w:rsidRPr="00323D4E" w:rsidRDefault="000C2C19">
                    <w:pPr>
                      <w:pStyle w:val="StandaardReferentiegegevens"/>
                      <w:rPr>
                        <w:lang w:val="es-ES"/>
                      </w:rPr>
                    </w:pPr>
                    <w:r w:rsidRPr="00323D4E">
                      <w:rPr>
                        <w:lang w:val="es-ES"/>
                      </w:rPr>
                      <w:t>www.rijksoverheid.nl/fin</w:t>
                    </w:r>
                  </w:p>
                  <w:p w14:paraId="6804292A" w14:textId="77777777" w:rsidR="00F156F4" w:rsidRPr="00323D4E" w:rsidRDefault="00F156F4">
                    <w:pPr>
                      <w:pStyle w:val="WitregelW2"/>
                      <w:rPr>
                        <w:lang w:val="es-ES"/>
                      </w:rPr>
                    </w:pPr>
                  </w:p>
                  <w:p w14:paraId="02AC19D6" w14:textId="77777777" w:rsidR="00F156F4" w:rsidRDefault="000C2C19">
                    <w:pPr>
                      <w:pStyle w:val="StandaardReferentiegegevensKop"/>
                    </w:pPr>
                    <w:r>
                      <w:t>Ons kenmerk</w:t>
                    </w:r>
                  </w:p>
                  <w:p w14:paraId="1F67D799" w14:textId="79709413" w:rsidR="005110DC" w:rsidRDefault="00760D09">
                    <w:pPr>
                      <w:pStyle w:val="StandaardReferentiegegevens"/>
                    </w:pPr>
                    <w:fldSimple w:instr=" DOCPROPERTY  &quot;Kenmerk&quot;  \* MERGEFORMAT ">
                      <w:r w:rsidR="00600883">
                        <w:t>2026-0000247757</w:t>
                      </w:r>
                    </w:fldSimple>
                  </w:p>
                  <w:p w14:paraId="6DC6CC8B" w14:textId="77777777" w:rsidR="00F156F4" w:rsidRDefault="00F156F4">
                    <w:pPr>
                      <w:pStyle w:val="WitregelW1"/>
                    </w:pPr>
                  </w:p>
                  <w:p w14:paraId="7EA1D7AB" w14:textId="77777777" w:rsidR="00F156F4" w:rsidRDefault="000C2C19">
                    <w:pPr>
                      <w:pStyle w:val="StandaardReferentiegegevensKop"/>
                    </w:pPr>
                    <w:r>
                      <w:t>Uw brief (kenmerk)</w:t>
                    </w:r>
                  </w:p>
                  <w:p w14:paraId="21DBBFF9" w14:textId="28EC81E9" w:rsidR="00E963B0" w:rsidRDefault="00600883">
                    <w:pPr>
                      <w:pStyle w:val="StandaardReferentiegegevens"/>
                    </w:pPr>
                    <w:r>
                      <w:fldChar w:fldCharType="begin"/>
                    </w:r>
                    <w:r>
                      <w:instrText xml:space="preserve"> DOCPROPERTY  "UwKenmerk"  \* MERGEFORMAT </w:instrText>
                    </w:r>
                    <w:r>
                      <w:fldChar w:fldCharType="end"/>
                    </w:r>
                  </w:p>
                  <w:p w14:paraId="066068E2" w14:textId="77777777" w:rsidR="00F156F4" w:rsidRDefault="00F156F4">
                    <w:pPr>
                      <w:pStyle w:val="WitregelW1"/>
                    </w:pPr>
                  </w:p>
                  <w:p w14:paraId="3BA46D22" w14:textId="77777777" w:rsidR="00F156F4" w:rsidRDefault="000C2C19">
                    <w:pPr>
                      <w:pStyle w:val="StandaardReferentiegegevensKop"/>
                    </w:pPr>
                    <w:r>
                      <w:t>Bijlagen</w:t>
                    </w:r>
                  </w:p>
                  <w:p w14:paraId="2DFB92AF" w14:textId="77777777" w:rsidR="00F156F4" w:rsidRDefault="000C2C19">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47B9CB6" wp14:editId="2537E39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828606B" w14:textId="77777777" w:rsidR="00F156F4" w:rsidRDefault="000C2C1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47B9CB6" id="bd4a901e-03a6-11ee-8f29-0242ac130005" o:spid="_x0000_s1033"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gKD9nZQBAAAUAwAA&#10;DgAAAAAAAAAAAAAAAAAuAgAAZHJzL2Uyb0RvYy54bWxQSwECLQAUAAYACAAAACEAprh/WuAAAAAL&#10;AQAADwAAAAAAAAAAAAAAAADuAwAAZHJzL2Rvd25yZXYueG1sUEsFBgAAAAAEAAQA8wAAAPsEAAAA&#10;AA==&#10;" filled="f" stroked="f">
              <v:textbox inset="0,0,0,0">
                <w:txbxContent>
                  <w:p w14:paraId="0828606B" w14:textId="77777777" w:rsidR="00F156F4" w:rsidRDefault="000C2C1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C21BEF0" wp14:editId="65A6DCCB">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D25C99B" w14:textId="09725DEB" w:rsidR="00E963B0" w:rsidRDefault="00600883">
                          <w:pPr>
                            <w:pStyle w:val="Rubricering"/>
                          </w:pPr>
                          <w:r>
                            <w:fldChar w:fldCharType="begin"/>
                          </w:r>
                          <w:r>
                            <w:instrText xml:space="preserve"> DOCPROPERTY  "Rubricering"  \* MERGEFORMAT </w:instrText>
                          </w:r>
                          <w:r>
                            <w:fldChar w:fldCharType="end"/>
                          </w:r>
                        </w:p>
                        <w:p w14:paraId="56A847C7" w14:textId="77777777" w:rsidR="00600883" w:rsidRDefault="00D87659">
                          <w:r>
                            <w:fldChar w:fldCharType="begin"/>
                          </w:r>
                          <w:r>
                            <w:instrText xml:space="preserve"> DOCPROPERTY  "Aan"  \* MERGEFORMAT </w:instrText>
                          </w:r>
                          <w:r>
                            <w:fldChar w:fldCharType="separate"/>
                          </w:r>
                          <w:r w:rsidR="00600883">
                            <w:t>Voorzitter van de Tweede Kamer der Staten-Generaal</w:t>
                          </w:r>
                        </w:p>
                        <w:p w14:paraId="0E4EE8E8" w14:textId="77777777" w:rsidR="00600883" w:rsidRDefault="00600883">
                          <w:r>
                            <w:t>Postbus 20018</w:t>
                          </w:r>
                        </w:p>
                        <w:p w14:paraId="1D84B92F" w14:textId="77777777" w:rsidR="00600883" w:rsidRDefault="00600883">
                          <w:r>
                            <w:t>2500 EA  DEN HAAG</w:t>
                          </w:r>
                        </w:p>
                        <w:p w14:paraId="1285604B" w14:textId="77777777" w:rsidR="00600883" w:rsidRDefault="00600883"/>
                        <w:p w14:paraId="35968CE8" w14:textId="77777777" w:rsidR="0054670F" w:rsidRDefault="00D87659">
                          <w:r>
                            <w:fldChar w:fldCharType="end"/>
                          </w:r>
                        </w:p>
                      </w:txbxContent>
                    </wps:txbx>
                    <wps:bodyPr vert="horz" wrap="square" lIns="0" tIns="0" rIns="0" bIns="0" anchor="t" anchorCtr="0"/>
                  </wps:wsp>
                </a:graphicData>
              </a:graphic>
            </wp:anchor>
          </w:drawing>
        </mc:Choice>
        <mc:Fallback>
          <w:pict>
            <v:shape w14:anchorId="6C21BEF0" id="bd4a90ba-03a6-11ee-8f29-0242ac130005" o:spid="_x0000_s1034"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YBtr/pQBAAAVAwAA&#10;DgAAAAAAAAAAAAAAAAAuAgAAZHJzL2Uyb0RvYy54bWxQSwECLQAUAAYACAAAACEA7CvJyOAAAAAL&#10;AQAADwAAAAAAAAAAAAAAAADuAwAAZHJzL2Rvd25yZXYueG1sUEsFBgAAAAAEAAQA8wAAAPsEAAAA&#10;AA==&#10;" filled="f" stroked="f">
              <v:textbox inset="0,0,0,0">
                <w:txbxContent>
                  <w:p w14:paraId="0D25C99B" w14:textId="09725DEB" w:rsidR="00E963B0" w:rsidRDefault="00600883">
                    <w:pPr>
                      <w:pStyle w:val="Rubricering"/>
                    </w:pPr>
                    <w:r>
                      <w:fldChar w:fldCharType="begin"/>
                    </w:r>
                    <w:r>
                      <w:instrText xml:space="preserve"> DOCPROPERTY  "Rubricering"  \* MERGEFORMAT </w:instrText>
                    </w:r>
                    <w:r>
                      <w:fldChar w:fldCharType="end"/>
                    </w:r>
                  </w:p>
                  <w:p w14:paraId="56A847C7" w14:textId="77777777" w:rsidR="00600883" w:rsidRDefault="00D87659">
                    <w:r>
                      <w:fldChar w:fldCharType="begin"/>
                    </w:r>
                    <w:r>
                      <w:instrText xml:space="preserve"> DOCPROPERTY  "Aan"  \* MERGEFORMAT </w:instrText>
                    </w:r>
                    <w:r>
                      <w:fldChar w:fldCharType="separate"/>
                    </w:r>
                    <w:r w:rsidR="00600883">
                      <w:t>Voorzitter van de Tweede Kamer der Staten-Generaal</w:t>
                    </w:r>
                  </w:p>
                  <w:p w14:paraId="0E4EE8E8" w14:textId="77777777" w:rsidR="00600883" w:rsidRDefault="00600883">
                    <w:r>
                      <w:t>Postbus 20018</w:t>
                    </w:r>
                  </w:p>
                  <w:p w14:paraId="1D84B92F" w14:textId="77777777" w:rsidR="00600883" w:rsidRDefault="00600883">
                    <w:r>
                      <w:t>2500 EA  DEN HAAG</w:t>
                    </w:r>
                  </w:p>
                  <w:p w14:paraId="1285604B" w14:textId="77777777" w:rsidR="00600883" w:rsidRDefault="00600883"/>
                  <w:p w14:paraId="35968CE8" w14:textId="77777777" w:rsidR="0054670F" w:rsidRDefault="00D8765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D714F42" wp14:editId="0EFA65F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978C7E6" w14:textId="77777777" w:rsidR="00E963B0" w:rsidRDefault="0060088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714F42" id="bd4a9275-03a6-11ee-8f29-0242ac130005" o:spid="_x0000_s1035"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3978C7E6" w14:textId="77777777" w:rsidR="00E963B0" w:rsidRDefault="0060088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726065A" wp14:editId="48CE73D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156F4" w14:paraId="6BE07F5C" w14:textId="77777777">
                            <w:trPr>
                              <w:trHeight w:val="200"/>
                            </w:trPr>
                            <w:tc>
                              <w:tcPr>
                                <w:tcW w:w="1140" w:type="dxa"/>
                              </w:tcPr>
                              <w:p w14:paraId="45D51792" w14:textId="77777777" w:rsidR="00F156F4" w:rsidRDefault="00F156F4"/>
                            </w:tc>
                            <w:tc>
                              <w:tcPr>
                                <w:tcW w:w="5400" w:type="dxa"/>
                              </w:tcPr>
                              <w:p w14:paraId="1AF609BE" w14:textId="77777777" w:rsidR="00F156F4" w:rsidRDefault="00F156F4"/>
                            </w:tc>
                          </w:tr>
                          <w:tr w:rsidR="00F156F4" w14:paraId="38E4487C" w14:textId="77777777">
                            <w:trPr>
                              <w:trHeight w:val="240"/>
                            </w:trPr>
                            <w:tc>
                              <w:tcPr>
                                <w:tcW w:w="1140" w:type="dxa"/>
                              </w:tcPr>
                              <w:p w14:paraId="1E82D540" w14:textId="77777777" w:rsidR="00F156F4" w:rsidRDefault="000C2C19">
                                <w:r>
                                  <w:t>Datum</w:t>
                                </w:r>
                              </w:p>
                            </w:tc>
                            <w:tc>
                              <w:tcPr>
                                <w:tcW w:w="5400" w:type="dxa"/>
                              </w:tcPr>
                              <w:p w14:paraId="1C3BB039" w14:textId="7B215B73" w:rsidR="00F156F4" w:rsidRDefault="00713C09">
                                <w:r>
                                  <w:t>8 juni 2026</w:t>
                                </w:r>
                              </w:p>
                            </w:tc>
                          </w:tr>
                          <w:tr w:rsidR="00F156F4" w14:paraId="0115D1B1" w14:textId="77777777">
                            <w:trPr>
                              <w:trHeight w:val="240"/>
                            </w:trPr>
                            <w:tc>
                              <w:tcPr>
                                <w:tcW w:w="1140" w:type="dxa"/>
                              </w:tcPr>
                              <w:p w14:paraId="28BD855B" w14:textId="77777777" w:rsidR="00F156F4" w:rsidRDefault="000C2C19">
                                <w:r>
                                  <w:t>Betreft</w:t>
                                </w:r>
                              </w:p>
                            </w:tc>
                            <w:tc>
                              <w:tcPr>
                                <w:tcW w:w="5400" w:type="dxa"/>
                              </w:tcPr>
                              <w:p w14:paraId="09B1B267" w14:textId="21752D81" w:rsidR="005110DC" w:rsidRDefault="00760D09">
                                <w:fldSimple w:instr=" DOCPROPERTY  &quot;Onderwerp&quot;  \* MERGEFORMAT ">
                                  <w:r w:rsidR="00600883">
                                    <w:t>Kabinetsreactie op het RLI-advies "Deelnemen zonder dogma's"</w:t>
                                  </w:r>
                                </w:fldSimple>
                              </w:p>
                            </w:tc>
                          </w:tr>
                          <w:tr w:rsidR="00F156F4" w14:paraId="53803C83" w14:textId="77777777">
                            <w:trPr>
                              <w:trHeight w:val="200"/>
                            </w:trPr>
                            <w:tc>
                              <w:tcPr>
                                <w:tcW w:w="1140" w:type="dxa"/>
                              </w:tcPr>
                              <w:p w14:paraId="3D1A3696" w14:textId="77777777" w:rsidR="00F156F4" w:rsidRDefault="00F156F4"/>
                            </w:tc>
                            <w:tc>
                              <w:tcPr>
                                <w:tcW w:w="4738" w:type="dxa"/>
                              </w:tcPr>
                              <w:p w14:paraId="31ACF6AE" w14:textId="77777777" w:rsidR="00F156F4" w:rsidRDefault="00F156F4"/>
                            </w:tc>
                          </w:tr>
                        </w:tbl>
                        <w:p w14:paraId="799E5C7B" w14:textId="77777777" w:rsidR="000C2C19" w:rsidRDefault="000C2C19"/>
                      </w:txbxContent>
                    </wps:txbx>
                    <wps:bodyPr vert="horz" wrap="square" lIns="0" tIns="0" rIns="0" bIns="0" anchor="t" anchorCtr="0"/>
                  </wps:wsp>
                </a:graphicData>
              </a:graphic>
            </wp:anchor>
          </w:drawing>
        </mc:Choice>
        <mc:Fallback>
          <w:pict>
            <v:shape w14:anchorId="3726065A" id="bd4aaf7a-03a6-11ee-8f29-0242ac130005" o:spid="_x0000_s1036"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JzSNQGVAQAAFQ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156F4" w14:paraId="6BE07F5C" w14:textId="77777777">
                      <w:trPr>
                        <w:trHeight w:val="200"/>
                      </w:trPr>
                      <w:tc>
                        <w:tcPr>
                          <w:tcW w:w="1140" w:type="dxa"/>
                        </w:tcPr>
                        <w:p w14:paraId="45D51792" w14:textId="77777777" w:rsidR="00F156F4" w:rsidRDefault="00F156F4"/>
                      </w:tc>
                      <w:tc>
                        <w:tcPr>
                          <w:tcW w:w="5400" w:type="dxa"/>
                        </w:tcPr>
                        <w:p w14:paraId="1AF609BE" w14:textId="77777777" w:rsidR="00F156F4" w:rsidRDefault="00F156F4"/>
                      </w:tc>
                    </w:tr>
                    <w:tr w:rsidR="00F156F4" w14:paraId="38E4487C" w14:textId="77777777">
                      <w:trPr>
                        <w:trHeight w:val="240"/>
                      </w:trPr>
                      <w:tc>
                        <w:tcPr>
                          <w:tcW w:w="1140" w:type="dxa"/>
                        </w:tcPr>
                        <w:p w14:paraId="1E82D540" w14:textId="77777777" w:rsidR="00F156F4" w:rsidRDefault="000C2C19">
                          <w:r>
                            <w:t>Datum</w:t>
                          </w:r>
                        </w:p>
                      </w:tc>
                      <w:tc>
                        <w:tcPr>
                          <w:tcW w:w="5400" w:type="dxa"/>
                        </w:tcPr>
                        <w:p w14:paraId="1C3BB039" w14:textId="7B215B73" w:rsidR="00F156F4" w:rsidRDefault="00713C09">
                          <w:r>
                            <w:t>8 juni 2026</w:t>
                          </w:r>
                        </w:p>
                      </w:tc>
                    </w:tr>
                    <w:tr w:rsidR="00F156F4" w14:paraId="0115D1B1" w14:textId="77777777">
                      <w:trPr>
                        <w:trHeight w:val="240"/>
                      </w:trPr>
                      <w:tc>
                        <w:tcPr>
                          <w:tcW w:w="1140" w:type="dxa"/>
                        </w:tcPr>
                        <w:p w14:paraId="28BD855B" w14:textId="77777777" w:rsidR="00F156F4" w:rsidRDefault="000C2C19">
                          <w:r>
                            <w:t>Betreft</w:t>
                          </w:r>
                        </w:p>
                      </w:tc>
                      <w:tc>
                        <w:tcPr>
                          <w:tcW w:w="5400" w:type="dxa"/>
                        </w:tcPr>
                        <w:p w14:paraId="09B1B267" w14:textId="21752D81" w:rsidR="005110DC" w:rsidRDefault="00760D09">
                          <w:fldSimple w:instr=" DOCPROPERTY  &quot;Onderwerp&quot;  \* MERGEFORMAT ">
                            <w:r w:rsidR="00600883">
                              <w:t>Kabinetsreactie op het RLI-advies "Deelnemen zonder dogma's"</w:t>
                            </w:r>
                          </w:fldSimple>
                        </w:p>
                      </w:tc>
                    </w:tr>
                    <w:tr w:rsidR="00F156F4" w14:paraId="53803C83" w14:textId="77777777">
                      <w:trPr>
                        <w:trHeight w:val="200"/>
                      </w:trPr>
                      <w:tc>
                        <w:tcPr>
                          <w:tcW w:w="1140" w:type="dxa"/>
                        </w:tcPr>
                        <w:p w14:paraId="3D1A3696" w14:textId="77777777" w:rsidR="00F156F4" w:rsidRDefault="00F156F4"/>
                      </w:tc>
                      <w:tc>
                        <w:tcPr>
                          <w:tcW w:w="4738" w:type="dxa"/>
                        </w:tcPr>
                        <w:p w14:paraId="31ACF6AE" w14:textId="77777777" w:rsidR="00F156F4" w:rsidRDefault="00F156F4"/>
                      </w:tc>
                    </w:tr>
                  </w:tbl>
                  <w:p w14:paraId="799E5C7B" w14:textId="77777777" w:rsidR="000C2C19" w:rsidRDefault="000C2C1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33E4A48" wp14:editId="77B483D2">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A331398" w14:textId="13C6BA05" w:rsidR="00E963B0" w:rsidRDefault="006008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33E4A48" id="bd5d814d-03a6-11ee-8f29-0242ac130005" o:spid="_x0000_s1037"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zSMii5IBAAAVAwAA&#10;DgAAAAAAAAAAAAAAAAAuAgAAZHJzL2Uyb0RvYy54bWxQSwECLQAUAAYACAAAACEA9VX0feIAAAAN&#10;AQAADwAAAAAAAAAAAAAAAADsAwAAZHJzL2Rvd25yZXYueG1sUEsFBgAAAAAEAAQA8wAAAPsEAAAA&#10;AA==&#10;" filled="f" stroked="f">
              <v:textbox inset="0,0,0,0">
                <w:txbxContent>
                  <w:p w14:paraId="2A331398" w14:textId="13C6BA05" w:rsidR="00E963B0" w:rsidRDefault="0060088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331FD0F" wp14:editId="0FC6065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2DCB215" w14:textId="77777777" w:rsidR="000C2C19" w:rsidRDefault="000C2C19"/>
                      </w:txbxContent>
                    </wps:txbx>
                    <wps:bodyPr vert="horz" wrap="square" lIns="0" tIns="0" rIns="0" bIns="0" anchor="t" anchorCtr="0"/>
                  </wps:wsp>
                </a:graphicData>
              </a:graphic>
            </wp:anchor>
          </w:drawing>
        </mc:Choice>
        <mc:Fallback>
          <w:pict>
            <v:shape w14:anchorId="6331FD0F" id="bd5a43b8-03a6-11ee-8f29-0242ac130005" o:spid="_x0000_s1038"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v3kw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jiquZ5x66E9PnDWTcHvC3FCNPs5X061GhkWL4EliuPPrZwdnZz44K&#10;mlNbmaQ4u59SWZGZAWtf2nnakzzcv++F53Wbd38A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2wb95MBAAAVAwAA&#10;DgAAAAAAAAAAAAAAAAAuAgAAZHJzL2Uyb0RvYy54bWxQSwECLQAUAAYACAAAACEAaMMfuuEAAAAM&#10;AQAADwAAAAAAAAAAAAAAAADtAwAAZHJzL2Rvd25yZXYueG1sUEsFBgAAAAAEAAQA8wAAAPsEAAAA&#10;AA==&#10;" filled="f" stroked="f">
              <v:textbox inset="0,0,0,0">
                <w:txbxContent>
                  <w:p w14:paraId="42DCB215" w14:textId="77777777" w:rsidR="000C2C19" w:rsidRDefault="000C2C1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718"/>
    <w:multiLevelType w:val="hybridMultilevel"/>
    <w:tmpl w:val="3EA24094"/>
    <w:lvl w:ilvl="0" w:tplc="04130001">
      <w:start w:val="1"/>
      <w:numFmt w:val="bullet"/>
      <w:lvlText w:val=""/>
      <w:lvlJc w:val="left"/>
      <w:pPr>
        <w:ind w:left="720" w:hanging="360"/>
      </w:pPr>
      <w:rPr>
        <w:rFonts w:ascii="Symbol" w:hAnsi="Symbol" w:hint="default"/>
      </w:rPr>
    </w:lvl>
    <w:lvl w:ilvl="1" w:tplc="C9DA3C5C">
      <w:numFmt w:val="bullet"/>
      <w:lvlText w:val="-"/>
      <w:lvlJc w:val="left"/>
      <w:pPr>
        <w:ind w:left="1440" w:hanging="360"/>
      </w:pPr>
      <w:rPr>
        <w:rFonts w:ascii="Verdana" w:eastAsia="DejaVu Sans" w:hAnsi="Verdana" w:cs="Lohit Hindi" w:hint="default"/>
        <w:i/>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EC1F8C"/>
    <w:multiLevelType w:val="hybridMultilevel"/>
    <w:tmpl w:val="8DA2F8B6"/>
    <w:lvl w:ilvl="0" w:tplc="36DAAEB2">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85442B4"/>
    <w:multiLevelType w:val="multilevel"/>
    <w:tmpl w:val="0526F94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F367B"/>
    <w:multiLevelType w:val="hybridMultilevel"/>
    <w:tmpl w:val="805A9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943D80"/>
    <w:multiLevelType w:val="multilevel"/>
    <w:tmpl w:val="6DC8B2E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A4879F"/>
    <w:multiLevelType w:val="multilevel"/>
    <w:tmpl w:val="E9C313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10C452A"/>
    <w:multiLevelType w:val="hybridMultilevel"/>
    <w:tmpl w:val="13B45F36"/>
    <w:lvl w:ilvl="0" w:tplc="96C8252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266A3E"/>
    <w:multiLevelType w:val="multilevel"/>
    <w:tmpl w:val="0D39D17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D9071E"/>
    <w:multiLevelType w:val="hybridMultilevel"/>
    <w:tmpl w:val="9FD41106"/>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2B3ECF"/>
    <w:multiLevelType w:val="hybridMultilevel"/>
    <w:tmpl w:val="FA041ADA"/>
    <w:lvl w:ilvl="0" w:tplc="88768F3C">
      <w:start w:val="2"/>
      <w:numFmt w:val="lowerLetter"/>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5A925B4"/>
    <w:multiLevelType w:val="multilevel"/>
    <w:tmpl w:val="6B54A5C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DECAB4"/>
    <w:multiLevelType w:val="multilevel"/>
    <w:tmpl w:val="0D5CBF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7A613CF1"/>
    <w:multiLevelType w:val="hybridMultilevel"/>
    <w:tmpl w:val="AFE0A58C"/>
    <w:lvl w:ilvl="0" w:tplc="54EEA7DC">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70332567">
    <w:abstractNumId w:val="7"/>
  </w:num>
  <w:num w:numId="2" w16cid:durableId="141045803">
    <w:abstractNumId w:val="2"/>
  </w:num>
  <w:num w:numId="3" w16cid:durableId="924415082">
    <w:abstractNumId w:val="11"/>
  </w:num>
  <w:num w:numId="4" w16cid:durableId="1389382519">
    <w:abstractNumId w:val="5"/>
  </w:num>
  <w:num w:numId="5" w16cid:durableId="1072235626">
    <w:abstractNumId w:val="4"/>
  </w:num>
  <w:num w:numId="6" w16cid:durableId="718094684">
    <w:abstractNumId w:val="10"/>
  </w:num>
  <w:num w:numId="7" w16cid:durableId="1327787042">
    <w:abstractNumId w:val="3"/>
  </w:num>
  <w:num w:numId="8" w16cid:durableId="1092361259">
    <w:abstractNumId w:val="6"/>
  </w:num>
  <w:num w:numId="9" w16cid:durableId="398402981">
    <w:abstractNumId w:val="8"/>
  </w:num>
  <w:num w:numId="10" w16cid:durableId="1882091340">
    <w:abstractNumId w:val="12"/>
  </w:num>
  <w:num w:numId="11" w16cid:durableId="1380085524">
    <w:abstractNumId w:val="1"/>
  </w:num>
  <w:num w:numId="12" w16cid:durableId="1004357348">
    <w:abstractNumId w:val="9"/>
  </w:num>
  <w:num w:numId="13" w16cid:durableId="134620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F4"/>
    <w:rsid w:val="00003531"/>
    <w:rsid w:val="00021778"/>
    <w:rsid w:val="00021B61"/>
    <w:rsid w:val="00037AFA"/>
    <w:rsid w:val="0004016F"/>
    <w:rsid w:val="000434EA"/>
    <w:rsid w:val="00080693"/>
    <w:rsid w:val="00080A2F"/>
    <w:rsid w:val="00091C7E"/>
    <w:rsid w:val="000A260D"/>
    <w:rsid w:val="000A26B1"/>
    <w:rsid w:val="000A3705"/>
    <w:rsid w:val="000C2C19"/>
    <w:rsid w:val="000C4DCA"/>
    <w:rsid w:val="000F7792"/>
    <w:rsid w:val="001243CA"/>
    <w:rsid w:val="00126ABF"/>
    <w:rsid w:val="00134111"/>
    <w:rsid w:val="00134F73"/>
    <w:rsid w:val="00140FD6"/>
    <w:rsid w:val="00141509"/>
    <w:rsid w:val="001424CB"/>
    <w:rsid w:val="0015144B"/>
    <w:rsid w:val="00160C4E"/>
    <w:rsid w:val="00186686"/>
    <w:rsid w:val="001913BE"/>
    <w:rsid w:val="001C4D93"/>
    <w:rsid w:val="001C6CF0"/>
    <w:rsid w:val="001D02B0"/>
    <w:rsid w:val="001D0A79"/>
    <w:rsid w:val="001D4FB0"/>
    <w:rsid w:val="001D6800"/>
    <w:rsid w:val="001E06ED"/>
    <w:rsid w:val="001F435F"/>
    <w:rsid w:val="001F5DEB"/>
    <w:rsid w:val="0022142F"/>
    <w:rsid w:val="00223B58"/>
    <w:rsid w:val="002317E5"/>
    <w:rsid w:val="00235C7E"/>
    <w:rsid w:val="00240B83"/>
    <w:rsid w:val="0024480F"/>
    <w:rsid w:val="00251EA7"/>
    <w:rsid w:val="00280D53"/>
    <w:rsid w:val="00290918"/>
    <w:rsid w:val="002A282B"/>
    <w:rsid w:val="002A30B7"/>
    <w:rsid w:val="002A40AE"/>
    <w:rsid w:val="002A4707"/>
    <w:rsid w:val="002B1B6A"/>
    <w:rsid w:val="002D302A"/>
    <w:rsid w:val="0030690F"/>
    <w:rsid w:val="00314707"/>
    <w:rsid w:val="00315595"/>
    <w:rsid w:val="00323D4E"/>
    <w:rsid w:val="00343145"/>
    <w:rsid w:val="00345C15"/>
    <w:rsid w:val="00346DB2"/>
    <w:rsid w:val="00384770"/>
    <w:rsid w:val="00391CC3"/>
    <w:rsid w:val="003A40EC"/>
    <w:rsid w:val="003B5D45"/>
    <w:rsid w:val="003C2672"/>
    <w:rsid w:val="003D4F6D"/>
    <w:rsid w:val="003D7972"/>
    <w:rsid w:val="003F792F"/>
    <w:rsid w:val="004013A6"/>
    <w:rsid w:val="00404F3E"/>
    <w:rsid w:val="00405DF8"/>
    <w:rsid w:val="00417D9B"/>
    <w:rsid w:val="00421C00"/>
    <w:rsid w:val="00427923"/>
    <w:rsid w:val="00431E7A"/>
    <w:rsid w:val="00480BBA"/>
    <w:rsid w:val="004856F3"/>
    <w:rsid w:val="0049208E"/>
    <w:rsid w:val="00494446"/>
    <w:rsid w:val="0049476D"/>
    <w:rsid w:val="004A4A59"/>
    <w:rsid w:val="004A7DAD"/>
    <w:rsid w:val="004B5CAA"/>
    <w:rsid w:val="004C7932"/>
    <w:rsid w:val="004E2B8F"/>
    <w:rsid w:val="004F13B0"/>
    <w:rsid w:val="00503AB7"/>
    <w:rsid w:val="005110DC"/>
    <w:rsid w:val="00525990"/>
    <w:rsid w:val="00526B00"/>
    <w:rsid w:val="00546667"/>
    <w:rsid w:val="0054670F"/>
    <w:rsid w:val="00550D50"/>
    <w:rsid w:val="005522F5"/>
    <w:rsid w:val="005752FB"/>
    <w:rsid w:val="00575946"/>
    <w:rsid w:val="005913BA"/>
    <w:rsid w:val="005A5EE0"/>
    <w:rsid w:val="00600883"/>
    <w:rsid w:val="00602689"/>
    <w:rsid w:val="00605303"/>
    <w:rsid w:val="00606BB8"/>
    <w:rsid w:val="00630D19"/>
    <w:rsid w:val="00631BED"/>
    <w:rsid w:val="006361DE"/>
    <w:rsid w:val="00640C54"/>
    <w:rsid w:val="00641AD2"/>
    <w:rsid w:val="00645712"/>
    <w:rsid w:val="00654F58"/>
    <w:rsid w:val="00660561"/>
    <w:rsid w:val="0068330A"/>
    <w:rsid w:val="006867BE"/>
    <w:rsid w:val="00694ECC"/>
    <w:rsid w:val="006B5113"/>
    <w:rsid w:val="006C2CD4"/>
    <w:rsid w:val="006F789F"/>
    <w:rsid w:val="007017C1"/>
    <w:rsid w:val="00701DC4"/>
    <w:rsid w:val="00712CE4"/>
    <w:rsid w:val="00713C09"/>
    <w:rsid w:val="00741EB9"/>
    <w:rsid w:val="00746F27"/>
    <w:rsid w:val="00760D09"/>
    <w:rsid w:val="0076612E"/>
    <w:rsid w:val="00771052"/>
    <w:rsid w:val="00781735"/>
    <w:rsid w:val="00782F54"/>
    <w:rsid w:val="00792635"/>
    <w:rsid w:val="007C5BC0"/>
    <w:rsid w:val="007E3E10"/>
    <w:rsid w:val="007F58A9"/>
    <w:rsid w:val="00801ECD"/>
    <w:rsid w:val="00833ADC"/>
    <w:rsid w:val="00857500"/>
    <w:rsid w:val="00871C94"/>
    <w:rsid w:val="00877658"/>
    <w:rsid w:val="00897714"/>
    <w:rsid w:val="008C2644"/>
    <w:rsid w:val="008D494D"/>
    <w:rsid w:val="008F354E"/>
    <w:rsid w:val="008F402F"/>
    <w:rsid w:val="008F6307"/>
    <w:rsid w:val="00900755"/>
    <w:rsid w:val="009013FE"/>
    <w:rsid w:val="00906FD9"/>
    <w:rsid w:val="009254A7"/>
    <w:rsid w:val="009276CF"/>
    <w:rsid w:val="00942B61"/>
    <w:rsid w:val="00965BA5"/>
    <w:rsid w:val="009723C3"/>
    <w:rsid w:val="009748E5"/>
    <w:rsid w:val="00976C82"/>
    <w:rsid w:val="0099352F"/>
    <w:rsid w:val="00994B12"/>
    <w:rsid w:val="009B27C9"/>
    <w:rsid w:val="009D7353"/>
    <w:rsid w:val="009E2CF3"/>
    <w:rsid w:val="009E5BB5"/>
    <w:rsid w:val="009E7DF4"/>
    <w:rsid w:val="009F4111"/>
    <w:rsid w:val="00A032BB"/>
    <w:rsid w:val="00A10B51"/>
    <w:rsid w:val="00A2579E"/>
    <w:rsid w:val="00A26DBC"/>
    <w:rsid w:val="00A32D28"/>
    <w:rsid w:val="00A46B5F"/>
    <w:rsid w:val="00A60779"/>
    <w:rsid w:val="00A70964"/>
    <w:rsid w:val="00A7258C"/>
    <w:rsid w:val="00A75336"/>
    <w:rsid w:val="00A75414"/>
    <w:rsid w:val="00A91927"/>
    <w:rsid w:val="00AA0E71"/>
    <w:rsid w:val="00AB03C9"/>
    <w:rsid w:val="00B0261E"/>
    <w:rsid w:val="00B07DB1"/>
    <w:rsid w:val="00B41233"/>
    <w:rsid w:val="00B535E1"/>
    <w:rsid w:val="00B6143C"/>
    <w:rsid w:val="00B73349"/>
    <w:rsid w:val="00B91B7B"/>
    <w:rsid w:val="00BA638A"/>
    <w:rsid w:val="00BE0189"/>
    <w:rsid w:val="00BF0BDA"/>
    <w:rsid w:val="00BF7FDC"/>
    <w:rsid w:val="00C02D4C"/>
    <w:rsid w:val="00C17CCC"/>
    <w:rsid w:val="00C216CF"/>
    <w:rsid w:val="00C278CC"/>
    <w:rsid w:val="00C3059E"/>
    <w:rsid w:val="00C403D6"/>
    <w:rsid w:val="00C469D3"/>
    <w:rsid w:val="00C8017E"/>
    <w:rsid w:val="00CA521E"/>
    <w:rsid w:val="00D22BEF"/>
    <w:rsid w:val="00D27A5B"/>
    <w:rsid w:val="00D40AC6"/>
    <w:rsid w:val="00D42067"/>
    <w:rsid w:val="00D57D73"/>
    <w:rsid w:val="00D83F14"/>
    <w:rsid w:val="00D87659"/>
    <w:rsid w:val="00D87924"/>
    <w:rsid w:val="00DA11D0"/>
    <w:rsid w:val="00DA777F"/>
    <w:rsid w:val="00DB1085"/>
    <w:rsid w:val="00DB4B84"/>
    <w:rsid w:val="00DC355C"/>
    <w:rsid w:val="00DD2DA8"/>
    <w:rsid w:val="00DD52DB"/>
    <w:rsid w:val="00DE7578"/>
    <w:rsid w:val="00DF6FBE"/>
    <w:rsid w:val="00E006D9"/>
    <w:rsid w:val="00E102FB"/>
    <w:rsid w:val="00E12D65"/>
    <w:rsid w:val="00E160AA"/>
    <w:rsid w:val="00E25A19"/>
    <w:rsid w:val="00E42DED"/>
    <w:rsid w:val="00E6263C"/>
    <w:rsid w:val="00E81A30"/>
    <w:rsid w:val="00E836BE"/>
    <w:rsid w:val="00E860DC"/>
    <w:rsid w:val="00E911B1"/>
    <w:rsid w:val="00E963B0"/>
    <w:rsid w:val="00E977F1"/>
    <w:rsid w:val="00ED2CFA"/>
    <w:rsid w:val="00F122EA"/>
    <w:rsid w:val="00F156F4"/>
    <w:rsid w:val="00F2471F"/>
    <w:rsid w:val="00F328F7"/>
    <w:rsid w:val="00F36061"/>
    <w:rsid w:val="00F4567E"/>
    <w:rsid w:val="00F50BEA"/>
    <w:rsid w:val="00F64019"/>
    <w:rsid w:val="00FC7914"/>
    <w:rsid w:val="41563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DBEE0"/>
  <w15:docId w15:val="{F03B051F-008E-4A95-952B-DCE0F4B4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323D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3D4E"/>
    <w:rPr>
      <w:rFonts w:ascii="Verdana" w:hAnsi="Verdana"/>
      <w:color w:val="000000"/>
      <w:sz w:val="18"/>
      <w:szCs w:val="18"/>
    </w:rPr>
  </w:style>
  <w:style w:type="paragraph" w:styleId="Voettekst">
    <w:name w:val="footer"/>
    <w:basedOn w:val="Standaard"/>
    <w:link w:val="VoettekstChar"/>
    <w:uiPriority w:val="99"/>
    <w:unhideWhenUsed/>
    <w:rsid w:val="00323D4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23D4E"/>
    <w:rPr>
      <w:rFonts w:ascii="Verdana" w:hAnsi="Verdana"/>
      <w:color w:val="000000"/>
      <w:sz w:val="18"/>
      <w:szCs w:val="18"/>
    </w:rPr>
  </w:style>
  <w:style w:type="character" w:styleId="Verwijzingopmerking">
    <w:name w:val="annotation reference"/>
    <w:basedOn w:val="Standaardalinea-lettertype"/>
    <w:uiPriority w:val="99"/>
    <w:semiHidden/>
    <w:unhideWhenUsed/>
    <w:rsid w:val="001D6800"/>
    <w:rPr>
      <w:sz w:val="16"/>
      <w:szCs w:val="16"/>
    </w:rPr>
  </w:style>
  <w:style w:type="paragraph" w:styleId="Tekstopmerking">
    <w:name w:val="annotation text"/>
    <w:basedOn w:val="Standaard"/>
    <w:link w:val="TekstopmerkingChar"/>
    <w:uiPriority w:val="99"/>
    <w:unhideWhenUsed/>
    <w:rsid w:val="001D6800"/>
    <w:pPr>
      <w:spacing w:line="240" w:lineRule="auto"/>
    </w:pPr>
    <w:rPr>
      <w:sz w:val="20"/>
      <w:szCs w:val="20"/>
    </w:rPr>
  </w:style>
  <w:style w:type="character" w:customStyle="1" w:styleId="TekstopmerkingChar">
    <w:name w:val="Tekst opmerking Char"/>
    <w:basedOn w:val="Standaardalinea-lettertype"/>
    <w:link w:val="Tekstopmerking"/>
    <w:uiPriority w:val="99"/>
    <w:rsid w:val="001D680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D6800"/>
    <w:rPr>
      <w:b/>
      <w:bCs/>
    </w:rPr>
  </w:style>
  <w:style w:type="character" w:customStyle="1" w:styleId="OnderwerpvanopmerkingChar">
    <w:name w:val="Onderwerp van opmerking Char"/>
    <w:basedOn w:val="TekstopmerkingChar"/>
    <w:link w:val="Onderwerpvanopmerking"/>
    <w:uiPriority w:val="99"/>
    <w:semiHidden/>
    <w:rsid w:val="001D6800"/>
    <w:rPr>
      <w:rFonts w:ascii="Verdana" w:hAnsi="Verdana"/>
      <w:b/>
      <w:bCs/>
      <w:color w:val="000000"/>
    </w:rPr>
  </w:style>
  <w:style w:type="paragraph" w:styleId="Revisie">
    <w:name w:val="Revision"/>
    <w:hidden/>
    <w:uiPriority w:val="99"/>
    <w:semiHidden/>
    <w:rsid w:val="008F354E"/>
    <w:pPr>
      <w:autoSpaceDN/>
      <w:textAlignment w:val="auto"/>
    </w:pPr>
    <w:rPr>
      <w:rFonts w:ascii="Verdana" w:hAnsi="Verdana"/>
      <w:color w:val="000000"/>
      <w:sz w:val="18"/>
      <w:szCs w:val="18"/>
    </w:rPr>
  </w:style>
  <w:style w:type="table" w:styleId="Tabelraster">
    <w:name w:val="Table Grid"/>
    <w:basedOn w:val="Standaardtabel"/>
    <w:uiPriority w:val="39"/>
    <w:rsid w:val="009E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343145"/>
    <w:pPr>
      <w:spacing w:after="200" w:line="240" w:lineRule="auto"/>
    </w:pPr>
    <w:rPr>
      <w:i/>
      <w:iCs/>
      <w:color w:val="0E2841" w:themeColor="text2"/>
    </w:rPr>
  </w:style>
  <w:style w:type="paragraph" w:styleId="Voetnoottekst">
    <w:name w:val="footnote text"/>
    <w:basedOn w:val="Standaard"/>
    <w:link w:val="VoetnoottekstChar"/>
    <w:uiPriority w:val="99"/>
    <w:semiHidden/>
    <w:unhideWhenUsed/>
    <w:rsid w:val="0030690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0690F"/>
    <w:rPr>
      <w:rFonts w:ascii="Verdana" w:hAnsi="Verdana"/>
      <w:color w:val="000000"/>
    </w:rPr>
  </w:style>
  <w:style w:type="character" w:styleId="Voetnootmarkering">
    <w:name w:val="footnote reference"/>
    <w:basedOn w:val="Standaardalinea-lettertype"/>
    <w:uiPriority w:val="99"/>
    <w:semiHidden/>
    <w:unhideWhenUsed/>
    <w:rsid w:val="0030690F"/>
    <w:rPr>
      <w:vertAlign w:val="superscript"/>
    </w:rPr>
  </w:style>
  <w:style w:type="character" w:styleId="Onopgelostemelding">
    <w:name w:val="Unresolved Mention"/>
    <w:basedOn w:val="Standaardalinea-lettertype"/>
    <w:uiPriority w:val="99"/>
    <w:semiHidden/>
    <w:unhideWhenUsed/>
    <w:rsid w:val="0049476D"/>
    <w:rPr>
      <w:color w:val="605E5C"/>
      <w:shd w:val="clear" w:color="auto" w:fill="E1DFDD"/>
    </w:rPr>
  </w:style>
  <w:style w:type="paragraph" w:styleId="Lijstalinea">
    <w:name w:val="List Paragraph"/>
    <w:basedOn w:val="Standaard"/>
    <w:uiPriority w:val="34"/>
    <w:semiHidden/>
    <w:rsid w:val="00ED2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8032">
      <w:bodyDiv w:val="1"/>
      <w:marLeft w:val="0"/>
      <w:marRight w:val="0"/>
      <w:marTop w:val="0"/>
      <w:marBottom w:val="0"/>
      <w:divBdr>
        <w:top w:val="none" w:sz="0" w:space="0" w:color="auto"/>
        <w:left w:val="none" w:sz="0" w:space="0" w:color="auto"/>
        <w:bottom w:val="none" w:sz="0" w:space="0" w:color="auto"/>
        <w:right w:val="none" w:sz="0" w:space="0" w:color="auto"/>
      </w:divBdr>
    </w:div>
    <w:div w:id="677541803">
      <w:bodyDiv w:val="1"/>
      <w:marLeft w:val="0"/>
      <w:marRight w:val="0"/>
      <w:marTop w:val="0"/>
      <w:marBottom w:val="0"/>
      <w:divBdr>
        <w:top w:val="none" w:sz="0" w:space="0" w:color="auto"/>
        <w:left w:val="none" w:sz="0" w:space="0" w:color="auto"/>
        <w:bottom w:val="none" w:sz="0" w:space="0" w:color="auto"/>
        <w:right w:val="none" w:sz="0" w:space="0" w:color="auto"/>
      </w:divBdr>
    </w:div>
    <w:div w:id="894319400">
      <w:bodyDiv w:val="1"/>
      <w:marLeft w:val="0"/>
      <w:marRight w:val="0"/>
      <w:marTop w:val="0"/>
      <w:marBottom w:val="0"/>
      <w:divBdr>
        <w:top w:val="none" w:sz="0" w:space="0" w:color="auto"/>
        <w:left w:val="none" w:sz="0" w:space="0" w:color="auto"/>
        <w:bottom w:val="none" w:sz="0" w:space="0" w:color="auto"/>
        <w:right w:val="none" w:sz="0" w:space="0" w:color="auto"/>
      </w:divBdr>
    </w:div>
    <w:div w:id="1275676356">
      <w:bodyDiv w:val="1"/>
      <w:marLeft w:val="0"/>
      <w:marRight w:val="0"/>
      <w:marTop w:val="0"/>
      <w:marBottom w:val="0"/>
      <w:divBdr>
        <w:top w:val="none" w:sz="0" w:space="0" w:color="auto"/>
        <w:left w:val="none" w:sz="0" w:space="0" w:color="auto"/>
        <w:bottom w:val="none" w:sz="0" w:space="0" w:color="auto"/>
        <w:right w:val="none" w:sz="0" w:space="0" w:color="auto"/>
      </w:divBdr>
    </w:div>
    <w:div w:id="1657222110">
      <w:bodyDiv w:val="1"/>
      <w:marLeft w:val="0"/>
      <w:marRight w:val="0"/>
      <w:marTop w:val="0"/>
      <w:marBottom w:val="0"/>
      <w:divBdr>
        <w:top w:val="none" w:sz="0" w:space="0" w:color="auto"/>
        <w:left w:val="none" w:sz="0" w:space="0" w:color="auto"/>
        <w:bottom w:val="none" w:sz="0" w:space="0" w:color="auto"/>
        <w:right w:val="none" w:sz="0" w:space="0" w:color="auto"/>
      </w:divBdr>
    </w:div>
    <w:div w:id="1844664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staatsdeelnemingen/documenten/rapporten/2023/04/14/handboeken-staatsdeelnemingen" TargetMode="External"/><Relationship Id="rId2" Type="http://schemas.openxmlformats.org/officeDocument/2006/relationships/hyperlink" Target="https://www.rijksoverheid.nl/onderwerpen/staatsdeelnemingen/documenten/rapporten/2023/04/14/handboeken-staatsdeelnemingen" TargetMode="External"/><Relationship Id="rId1" Type="http://schemas.openxmlformats.org/officeDocument/2006/relationships/hyperlink" Target="https://open.overheid.nl/documenten/ronl-3b431afa41e0773c014a016ef77b2b51bea67bf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2945</ap:Words>
  <ap:Characters>16200</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op het RLI-advies "Deelnemen zonder dogma's"</vt:lpstr>
    </vt:vector>
  </ap:TitlesOfParts>
  <ap:LinksUpToDate>false</ap:LinksUpToDate>
  <ap:CharactersWithSpaces>19107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2026-06-08T14:38:00.0000000Z</dcterms:created>
  <dcterms:modified xsi:type="dcterms:W3CDTF">2026-06-08T14:38:00.0000000Z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op het RLI-advies "Deelnemen zonder dogma's"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2026-0000247757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op het RLI-advies "Deelnemen zonder dogma's"</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2026-03-13T07:37:48Z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f194c1c1-9b4c-4ee6-bf5d-54eb98edb463</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y fmtid="{D5CDD505-2E9C-101B-9397-08002B2CF9AE}" pid="39" name="ClassificationContentMarkingFooterShapeIds">
    <vt:lpwstr>714098e1,8c1744b,40988f8a</vt:lpwstr>
  </property>
  <property fmtid="{D5CDD505-2E9C-101B-9397-08002B2CF9AE}" pid="40" name="ClassificationContentMarkingFooterFontProps">
    <vt:lpwstr>#000000,10,Aptos</vt:lpwstr>
  </property>
  <property fmtid="{D5CDD505-2E9C-101B-9397-08002B2CF9AE}" pid="41" name="ClassificationContentMarkingFooterText">
    <vt:lpwstr>Intern gebruik</vt:lpwstr>
  </property>
</Properties>
</file>