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C15" w:rsidR="00547926" w:rsidP="006338CF" w:rsidRDefault="00547926" w14:paraId="4ACC48A6" w14:textId="65DDF9A3">
      <w:pPr>
        <w:rPr>
          <w:rFonts w:ascii="Verdana" w:hAnsi="Verdana" w:eastAsia="Verdana" w:cs="Verdana"/>
          <w:b/>
          <w:bCs/>
          <w:color w:val="0066A4"/>
          <w:sz w:val="20"/>
          <w:lang w:eastAsia="nl-NL"/>
        </w:rPr>
      </w:pPr>
      <w:r w:rsidRPr="007F3C15">
        <w:rPr>
          <w:rFonts w:ascii="Verdana" w:hAnsi="Verdana" w:eastAsia="Verdana" w:cs="Verdana"/>
          <w:b/>
          <w:bCs/>
          <w:color w:val="0066A4"/>
          <w:sz w:val="20"/>
          <w:lang w:eastAsia="nl-NL"/>
        </w:rPr>
        <w:t xml:space="preserve">BELEIDSOPTIE </w:t>
      </w:r>
      <w:r w:rsidR="00FC6E24">
        <w:rPr>
          <w:rFonts w:ascii="Verdana" w:hAnsi="Verdana" w:eastAsia="Verdana" w:cs="Verdana"/>
          <w:b/>
          <w:bCs/>
          <w:color w:val="0066A4"/>
          <w:sz w:val="20"/>
          <w:lang w:eastAsia="nl-NL"/>
        </w:rPr>
        <w:t>1</w:t>
      </w:r>
      <w:r w:rsidRPr="007F3C15">
        <w:rPr>
          <w:rFonts w:ascii="Verdana" w:hAnsi="Verdana" w:eastAsia="Verdana" w:cs="Verdana"/>
          <w:b/>
          <w:bCs/>
          <w:color w:val="0066A4"/>
          <w:sz w:val="20"/>
          <w:lang w:eastAsia="nl-NL"/>
        </w:rPr>
        <w:t xml:space="preserve">: </w:t>
      </w:r>
      <w:r w:rsidRPr="00FE6026">
        <w:rPr>
          <w:rFonts w:ascii="Verdana" w:hAnsi="Verdana" w:eastAsia="Verdana" w:cs="Verdana"/>
          <w:b/>
          <w:bCs/>
          <w:color w:val="0066A4"/>
          <w:sz w:val="20"/>
          <w:lang w:eastAsia="nl-NL"/>
        </w:rPr>
        <w:t>Introductie van een concernbegrip bij de toepassing van de drempel in de earnings</w:t>
      </w:r>
      <w:r w:rsidR="00D717E0">
        <w:rPr>
          <w:rFonts w:ascii="Verdana" w:hAnsi="Verdana" w:eastAsia="Verdana" w:cs="Verdana"/>
          <w:b/>
          <w:bCs/>
          <w:color w:val="0066A4"/>
          <w:sz w:val="20"/>
          <w:lang w:eastAsia="nl-NL"/>
        </w:rPr>
        <w:t>s</w:t>
      </w:r>
      <w:r w:rsidRPr="00FE6026">
        <w:rPr>
          <w:rFonts w:ascii="Verdana" w:hAnsi="Verdana" w:eastAsia="Verdana" w:cs="Verdana"/>
          <w:b/>
          <w:bCs/>
          <w:color w:val="0066A4"/>
          <w:sz w:val="20"/>
          <w:lang w:eastAsia="nl-NL"/>
        </w:rPr>
        <w:t>trippingmaatregel</w:t>
      </w:r>
      <w:r w:rsidRPr="008962E0">
        <w:rPr>
          <w:i/>
          <w:iCs/>
        </w:rPr>
        <w:t xml:space="preserve"> </w:t>
      </w:r>
    </w:p>
    <w:p w:rsidRPr="0005317A" w:rsidR="00547926" w:rsidP="00547926" w:rsidRDefault="00547926" w14:paraId="1A0BDCC0" w14:textId="77777777">
      <w:pPr>
        <w:spacing w:after="0"/>
        <w:ind w:left="458"/>
        <w:rPr>
          <w:rFonts w:ascii="Verdana" w:hAnsi="Verdana" w:eastAsia="Verdana" w:cs="Verdana"/>
          <w:color w:val="000000"/>
          <w:sz w:val="18"/>
          <w:lang w:eastAsia="nl-NL"/>
        </w:rPr>
      </w:pPr>
      <w:r w:rsidRPr="0005317A">
        <w:rPr>
          <w:rFonts w:ascii="Verdana" w:hAnsi="Verdana" w:eastAsia="Verdana" w:cs="Verdana"/>
          <w:color w:val="000000"/>
          <w:sz w:val="18"/>
          <w:lang w:eastAsia="nl-NL"/>
        </w:rPr>
        <w:t xml:space="preserve"> </w:t>
      </w:r>
    </w:p>
    <w:tbl>
      <w:tblPr>
        <w:tblStyle w:val="TableGrid"/>
        <w:tblW w:w="8755" w:type="dxa"/>
        <w:tblInd w:w="-108" w:type="dxa"/>
        <w:tblLayout w:type="fixed"/>
        <w:tblCellMar>
          <w:top w:w="160" w:type="dxa"/>
        </w:tblCellMar>
        <w:tblLook w:val="04A0" w:firstRow="1" w:lastRow="0" w:firstColumn="1" w:lastColumn="0" w:noHBand="0" w:noVBand="1"/>
      </w:tblPr>
      <w:tblGrid>
        <w:gridCol w:w="1809"/>
        <w:gridCol w:w="6946"/>
      </w:tblGrid>
      <w:tr w:rsidRPr="0005317A" w:rsidR="00547926" w:rsidTr="005229A6" w14:paraId="3A1D22BD" w14:textId="77777777">
        <w:trPr>
          <w:trHeight w:val="1179"/>
        </w:trPr>
        <w:tc>
          <w:tcPr>
            <w:tcW w:w="1809" w:type="dxa"/>
            <w:tcBorders>
              <w:top w:val="single" w:color="0066A4" w:sz="4" w:space="0"/>
              <w:left w:val="nil"/>
              <w:bottom w:val="single" w:color="0066A4" w:sz="4" w:space="0"/>
              <w:right w:val="nil"/>
            </w:tcBorders>
          </w:tcPr>
          <w:p w:rsidRPr="0005317A" w:rsidR="00547926" w:rsidP="005229A6" w:rsidRDefault="00547926" w14:paraId="5420806C" w14:textId="77777777">
            <w:pPr>
              <w:ind w:left="108"/>
              <w:rPr>
                <w:rFonts w:ascii="Verdana" w:hAnsi="Verdana" w:eastAsia="Verdana" w:cs="Verdana"/>
                <w:color w:val="000000"/>
                <w:sz w:val="18"/>
              </w:rPr>
            </w:pPr>
            <w:r w:rsidRPr="0005317A">
              <w:rPr>
                <w:rFonts w:ascii="Verdana" w:hAnsi="Verdana" w:eastAsia="Verdana" w:cs="Verdana"/>
                <w:color w:val="0066A4"/>
                <w:sz w:val="18"/>
              </w:rPr>
              <w:t xml:space="preserve">OMSCHRIJVING </w:t>
            </w:r>
          </w:p>
        </w:tc>
        <w:tc>
          <w:tcPr>
            <w:tcW w:w="6946" w:type="dxa"/>
            <w:tcBorders>
              <w:top w:val="single" w:color="0066A4" w:sz="4" w:space="0"/>
              <w:left w:val="nil"/>
              <w:bottom w:val="single" w:color="0066A4" w:sz="4" w:space="0"/>
              <w:right w:val="nil"/>
            </w:tcBorders>
            <w:vAlign w:val="center"/>
          </w:tcPr>
          <w:p w:rsidRPr="00A43FDE" w:rsidR="00A43FDE" w:rsidP="00144A9C" w:rsidRDefault="00511F2A" w14:paraId="200CF2F2" w14:textId="21EF25DF">
            <w:pPr>
              <w:pStyle w:val="Lijstalinea"/>
              <w:numPr>
                <w:ilvl w:val="0"/>
                <w:numId w:val="14"/>
              </w:numPr>
              <w:rPr>
                <w:rFonts w:ascii="Verdana" w:hAnsi="Verdana"/>
                <w:b/>
                <w:bCs/>
                <w:sz w:val="18"/>
                <w:szCs w:val="18"/>
              </w:rPr>
            </w:pPr>
            <w:r>
              <w:rPr>
                <w:rFonts w:ascii="Verdana" w:hAnsi="Verdana"/>
                <w:sz w:val="18"/>
                <w:szCs w:val="18"/>
              </w:rPr>
              <w:t xml:space="preserve">Deze beleidsoptie betreft een maatregel waarbij </w:t>
            </w:r>
            <w:r w:rsidR="0057406E">
              <w:rPr>
                <w:rFonts w:ascii="Verdana" w:hAnsi="Verdana"/>
                <w:sz w:val="18"/>
                <w:szCs w:val="18"/>
              </w:rPr>
              <w:t xml:space="preserve">een </w:t>
            </w:r>
            <w:r>
              <w:rPr>
                <w:rFonts w:ascii="Verdana" w:hAnsi="Verdana"/>
                <w:sz w:val="18"/>
                <w:szCs w:val="18"/>
              </w:rPr>
              <w:t>belastingplichtige de drempel van € 1 miljoen in de earningsstrippingmaatregel van artikel 15b</w:t>
            </w:r>
            <w:r w:rsidR="00E757B0">
              <w:rPr>
                <w:rFonts w:ascii="Verdana" w:hAnsi="Verdana"/>
                <w:sz w:val="18"/>
                <w:szCs w:val="18"/>
              </w:rPr>
              <w:t xml:space="preserve"> van de Wet op de vennootschapsbelasting 1969</w:t>
            </w:r>
            <w:r>
              <w:rPr>
                <w:rFonts w:ascii="Verdana" w:hAnsi="Verdana"/>
                <w:sz w:val="18"/>
                <w:szCs w:val="18"/>
              </w:rPr>
              <w:t xml:space="preserve"> </w:t>
            </w:r>
            <w:r w:rsidR="00E757B0">
              <w:rPr>
                <w:rFonts w:ascii="Verdana" w:hAnsi="Verdana"/>
                <w:sz w:val="18"/>
                <w:szCs w:val="18"/>
              </w:rPr>
              <w:t>(</w:t>
            </w:r>
            <w:r>
              <w:rPr>
                <w:rFonts w:ascii="Verdana" w:hAnsi="Verdana"/>
                <w:sz w:val="18"/>
                <w:szCs w:val="18"/>
              </w:rPr>
              <w:t>Wet Vpb 1969</w:t>
            </w:r>
            <w:r w:rsidR="00E757B0">
              <w:rPr>
                <w:rFonts w:ascii="Verdana" w:hAnsi="Verdana"/>
                <w:sz w:val="18"/>
                <w:szCs w:val="18"/>
              </w:rPr>
              <w:t>)</w:t>
            </w:r>
            <w:r>
              <w:rPr>
                <w:rFonts w:ascii="Verdana" w:hAnsi="Verdana"/>
                <w:sz w:val="18"/>
                <w:szCs w:val="18"/>
              </w:rPr>
              <w:t xml:space="preserve"> niet mag toepassen, </w:t>
            </w:r>
            <w:proofErr w:type="gramStart"/>
            <w:r>
              <w:rPr>
                <w:rFonts w:ascii="Verdana" w:hAnsi="Verdana"/>
                <w:sz w:val="18"/>
                <w:szCs w:val="18"/>
              </w:rPr>
              <w:t>indien</w:t>
            </w:r>
            <w:proofErr w:type="gramEnd"/>
            <w:r>
              <w:rPr>
                <w:rFonts w:ascii="Verdana" w:hAnsi="Verdana"/>
                <w:sz w:val="18"/>
                <w:szCs w:val="18"/>
              </w:rPr>
              <w:t xml:space="preserve"> die belastingplichtige </w:t>
            </w:r>
            <w:r w:rsidR="0057406E">
              <w:rPr>
                <w:rFonts w:ascii="Verdana" w:hAnsi="Verdana"/>
                <w:sz w:val="18"/>
                <w:szCs w:val="18"/>
              </w:rPr>
              <w:t xml:space="preserve">in een jaar hoofdzakelijk deel </w:t>
            </w:r>
            <w:r>
              <w:rPr>
                <w:rFonts w:ascii="Verdana" w:hAnsi="Verdana"/>
                <w:sz w:val="18"/>
                <w:szCs w:val="18"/>
              </w:rPr>
              <w:t xml:space="preserve">heeft </w:t>
            </w:r>
            <w:r w:rsidR="0057406E">
              <w:rPr>
                <w:rFonts w:ascii="Verdana" w:hAnsi="Verdana"/>
                <w:sz w:val="18"/>
                <w:szCs w:val="18"/>
              </w:rPr>
              <w:t>uitgemaakt van een concern</w:t>
            </w:r>
            <w:r w:rsidR="00232724">
              <w:rPr>
                <w:rFonts w:ascii="Verdana" w:hAnsi="Verdana"/>
                <w:sz w:val="18"/>
                <w:szCs w:val="18"/>
              </w:rPr>
              <w:t>.</w:t>
            </w:r>
            <w:r w:rsidR="0057406E">
              <w:rPr>
                <w:rFonts w:ascii="Verdana" w:hAnsi="Verdana"/>
                <w:sz w:val="18"/>
                <w:szCs w:val="18"/>
              </w:rPr>
              <w:t xml:space="preserve"> </w:t>
            </w:r>
            <w:r>
              <w:rPr>
                <w:rFonts w:ascii="Verdana" w:hAnsi="Verdana"/>
                <w:sz w:val="18"/>
                <w:szCs w:val="18"/>
              </w:rPr>
              <w:t xml:space="preserve">De </w:t>
            </w:r>
            <w:r w:rsidR="0057406E">
              <w:rPr>
                <w:rFonts w:ascii="Verdana" w:hAnsi="Verdana"/>
                <w:sz w:val="18"/>
                <w:szCs w:val="18"/>
              </w:rPr>
              <w:t xml:space="preserve">desbetreffende </w:t>
            </w:r>
            <w:r>
              <w:rPr>
                <w:rFonts w:ascii="Verdana" w:hAnsi="Verdana"/>
                <w:sz w:val="18"/>
                <w:szCs w:val="18"/>
              </w:rPr>
              <w:t xml:space="preserve">belastingplichtige kan </w:t>
            </w:r>
            <w:r w:rsidRPr="0057406E" w:rsidR="0057406E">
              <w:rPr>
                <w:rFonts w:ascii="Verdana" w:hAnsi="Verdana"/>
                <w:sz w:val="18"/>
                <w:szCs w:val="18"/>
              </w:rPr>
              <w:t xml:space="preserve">het saldo aan renten </w:t>
            </w:r>
            <w:r>
              <w:rPr>
                <w:rFonts w:ascii="Verdana" w:hAnsi="Verdana"/>
                <w:sz w:val="18"/>
                <w:szCs w:val="18"/>
              </w:rPr>
              <w:t xml:space="preserve">nog wel </w:t>
            </w:r>
            <w:r w:rsidRPr="0057406E" w:rsidR="0057406E">
              <w:rPr>
                <w:rFonts w:ascii="Verdana" w:hAnsi="Verdana"/>
                <w:sz w:val="18"/>
                <w:szCs w:val="18"/>
              </w:rPr>
              <w:t>in aftrek</w:t>
            </w:r>
            <w:r w:rsidR="00232724">
              <w:rPr>
                <w:rFonts w:ascii="Verdana" w:hAnsi="Verdana"/>
                <w:sz w:val="18"/>
                <w:szCs w:val="18"/>
              </w:rPr>
              <w:t xml:space="preserve"> brengen</w:t>
            </w:r>
            <w:r w:rsidRPr="0057406E" w:rsidR="0057406E">
              <w:rPr>
                <w:rFonts w:ascii="Verdana" w:hAnsi="Verdana"/>
                <w:sz w:val="18"/>
                <w:szCs w:val="18"/>
              </w:rPr>
              <w:t xml:space="preserve"> voor zover dat </w:t>
            </w:r>
            <w:r w:rsidR="0057406E">
              <w:rPr>
                <w:rFonts w:ascii="Verdana" w:hAnsi="Verdana"/>
                <w:sz w:val="18"/>
                <w:szCs w:val="18"/>
              </w:rPr>
              <w:t xml:space="preserve">niet </w:t>
            </w:r>
            <w:r w:rsidRPr="0057406E" w:rsidR="0057406E">
              <w:rPr>
                <w:rFonts w:ascii="Verdana" w:hAnsi="Verdana"/>
                <w:sz w:val="18"/>
                <w:szCs w:val="18"/>
              </w:rPr>
              <w:t>meer bedraagt dan</w:t>
            </w:r>
            <w:r w:rsidR="0057406E">
              <w:rPr>
                <w:rFonts w:ascii="Verdana" w:hAnsi="Verdana"/>
                <w:sz w:val="18"/>
                <w:szCs w:val="18"/>
              </w:rPr>
              <w:t xml:space="preserve"> </w:t>
            </w:r>
            <w:r w:rsidRPr="0057406E" w:rsidR="0057406E">
              <w:rPr>
                <w:rFonts w:ascii="Verdana" w:hAnsi="Verdana"/>
                <w:sz w:val="18"/>
                <w:szCs w:val="18"/>
              </w:rPr>
              <w:t>24,5% van de gecorrigeerde winst</w:t>
            </w:r>
            <w:r w:rsidR="00A43FDE">
              <w:rPr>
                <w:rFonts w:ascii="Verdana" w:hAnsi="Verdana"/>
                <w:sz w:val="18"/>
                <w:szCs w:val="18"/>
              </w:rPr>
              <w:t xml:space="preserve">. </w:t>
            </w:r>
          </w:p>
          <w:p w:rsidRPr="00705877" w:rsidR="00144A9C" w:rsidP="00144A9C" w:rsidRDefault="00144A9C" w14:paraId="559AE0CC" w14:textId="07B0DFE4">
            <w:pPr>
              <w:pStyle w:val="Lijstalinea"/>
              <w:numPr>
                <w:ilvl w:val="0"/>
                <w:numId w:val="14"/>
              </w:numPr>
              <w:rPr>
                <w:rFonts w:ascii="Verdana" w:hAnsi="Verdana"/>
                <w:b/>
                <w:bCs/>
                <w:sz w:val="18"/>
                <w:szCs w:val="18"/>
              </w:rPr>
            </w:pPr>
            <w:r>
              <w:rPr>
                <w:rFonts w:ascii="Verdana" w:hAnsi="Verdana"/>
                <w:sz w:val="18"/>
                <w:szCs w:val="18"/>
              </w:rPr>
              <w:t xml:space="preserve">Voor toepassing van deze maatregel wordt een </w:t>
            </w:r>
            <w:proofErr w:type="gramStart"/>
            <w:r>
              <w:rPr>
                <w:rFonts w:ascii="Verdana" w:hAnsi="Verdana"/>
                <w:sz w:val="18"/>
                <w:szCs w:val="18"/>
              </w:rPr>
              <w:t>belastingplichtige</w:t>
            </w:r>
            <w:proofErr w:type="gramEnd"/>
            <w:r>
              <w:rPr>
                <w:rFonts w:ascii="Verdana" w:hAnsi="Verdana"/>
                <w:sz w:val="18"/>
                <w:szCs w:val="18"/>
              </w:rPr>
              <w:t xml:space="preserve"> geacht onderdeel te zijn van een concern</w:t>
            </w:r>
            <w:r w:rsidR="000D67AC">
              <w:rPr>
                <w:rFonts w:ascii="Verdana" w:hAnsi="Verdana"/>
                <w:sz w:val="18"/>
                <w:szCs w:val="18"/>
              </w:rPr>
              <w:t>,</w:t>
            </w:r>
            <w:r>
              <w:rPr>
                <w:rFonts w:ascii="Verdana" w:hAnsi="Verdana"/>
                <w:sz w:val="18"/>
                <w:szCs w:val="18"/>
              </w:rPr>
              <w:t xml:space="preserve"> indien die belastingplichtige minimaal 5 verbonden lichamen heeft.</w:t>
            </w:r>
          </w:p>
          <w:p w:rsidR="00A43FDE" w:rsidP="00144A9C" w:rsidRDefault="00144A9C" w14:paraId="5634E4E7" w14:textId="70C11C54">
            <w:pPr>
              <w:pStyle w:val="Lijstalinea"/>
              <w:numPr>
                <w:ilvl w:val="0"/>
                <w:numId w:val="14"/>
              </w:numPr>
              <w:rPr>
                <w:rFonts w:ascii="Verdana" w:hAnsi="Verdana"/>
                <w:sz w:val="18"/>
                <w:szCs w:val="18"/>
              </w:rPr>
            </w:pPr>
            <w:r>
              <w:rPr>
                <w:rFonts w:ascii="Verdana" w:hAnsi="Verdana"/>
                <w:sz w:val="18"/>
                <w:szCs w:val="18"/>
              </w:rPr>
              <w:t>Voor de definitie van een verbonden lichaam ligt het voor de hand om aan te sluiten bij de definitie van verbonden lichaam, inclusief de definitie van samenwerkende groep, als bedoeld in artikel 10a Wet Vpb 1969.</w:t>
            </w:r>
          </w:p>
          <w:p w:rsidRPr="00144A9C" w:rsidR="00144A9C" w:rsidP="00144A9C" w:rsidRDefault="00144A9C" w14:paraId="71D2ABFE" w14:textId="72589D5E">
            <w:pPr>
              <w:rPr>
                <w:rFonts w:ascii="Verdana" w:hAnsi="Verdana"/>
                <w:sz w:val="18"/>
                <w:szCs w:val="18"/>
              </w:rPr>
            </w:pPr>
          </w:p>
        </w:tc>
      </w:tr>
      <w:tr w:rsidRPr="002D798B" w:rsidR="00547926" w:rsidTr="005229A6" w14:paraId="08FF72C7" w14:textId="77777777">
        <w:trPr>
          <w:trHeight w:val="1479"/>
        </w:trPr>
        <w:tc>
          <w:tcPr>
            <w:tcW w:w="1809" w:type="dxa"/>
            <w:tcBorders>
              <w:top w:val="single" w:color="0066A4" w:sz="4" w:space="0"/>
              <w:left w:val="nil"/>
              <w:bottom w:val="single" w:color="0066A4" w:sz="4" w:space="0"/>
              <w:right w:val="nil"/>
            </w:tcBorders>
          </w:tcPr>
          <w:p w:rsidRPr="0005317A" w:rsidR="00547926" w:rsidP="005229A6" w:rsidRDefault="00547926" w14:paraId="0ACA830E" w14:textId="77777777">
            <w:pPr>
              <w:ind w:left="108"/>
              <w:rPr>
                <w:rFonts w:ascii="Verdana" w:hAnsi="Verdana" w:eastAsia="Verdana" w:cs="Verdana"/>
                <w:color w:val="000000"/>
                <w:sz w:val="18"/>
              </w:rPr>
            </w:pPr>
            <w:r w:rsidRPr="0005317A">
              <w:rPr>
                <w:rFonts w:ascii="Verdana" w:hAnsi="Verdana" w:eastAsia="Verdana" w:cs="Verdana"/>
                <w:color w:val="0066A4"/>
                <w:sz w:val="18"/>
              </w:rPr>
              <w:t>UITVOERING</w:t>
            </w:r>
          </w:p>
        </w:tc>
        <w:tc>
          <w:tcPr>
            <w:tcW w:w="6946" w:type="dxa"/>
            <w:tcBorders>
              <w:top w:val="single" w:color="0066A4" w:sz="4" w:space="0"/>
              <w:left w:val="nil"/>
              <w:bottom w:val="single" w:color="0066A4" w:sz="4" w:space="0"/>
              <w:right w:val="nil"/>
            </w:tcBorders>
            <w:vAlign w:val="center"/>
          </w:tcPr>
          <w:p w:rsidR="00260CF5" w:rsidP="00260CF5" w:rsidRDefault="00260CF5" w14:paraId="6E5EDB84" w14:textId="72EF0B72">
            <w:pPr>
              <w:pStyle w:val="Lijstalinea"/>
              <w:numPr>
                <w:ilvl w:val="0"/>
                <w:numId w:val="9"/>
              </w:numPr>
              <w:rPr>
                <w:rFonts w:ascii="Verdana" w:hAnsi="Verdana"/>
                <w:sz w:val="18"/>
                <w:szCs w:val="18"/>
              </w:rPr>
            </w:pPr>
            <w:r>
              <w:rPr>
                <w:rFonts w:ascii="Verdana" w:hAnsi="Verdana"/>
                <w:sz w:val="18"/>
                <w:szCs w:val="18"/>
              </w:rPr>
              <w:t xml:space="preserve">De maatregel introduceert een nieuw </w:t>
            </w:r>
            <w:r w:rsidR="00C7222A">
              <w:rPr>
                <w:rFonts w:ascii="Verdana" w:hAnsi="Verdana"/>
                <w:sz w:val="18"/>
                <w:szCs w:val="18"/>
              </w:rPr>
              <w:t>concern</w:t>
            </w:r>
            <w:r>
              <w:rPr>
                <w:rFonts w:ascii="Verdana" w:hAnsi="Verdana"/>
                <w:sz w:val="18"/>
                <w:szCs w:val="18"/>
              </w:rPr>
              <w:t xml:space="preserve">begrip. De Belastingdienst beschikt niet over contra-informatie om dit nieuwe </w:t>
            </w:r>
            <w:r w:rsidR="00C7222A">
              <w:rPr>
                <w:rFonts w:ascii="Verdana" w:hAnsi="Verdana"/>
                <w:sz w:val="18"/>
                <w:szCs w:val="18"/>
              </w:rPr>
              <w:t>concern</w:t>
            </w:r>
            <w:r>
              <w:rPr>
                <w:rFonts w:ascii="Verdana" w:hAnsi="Verdana"/>
                <w:sz w:val="18"/>
                <w:szCs w:val="18"/>
              </w:rPr>
              <w:t xml:space="preserve">begrip te toetsen. Er is op dit moment geen registratie ten aanzien van “verbonden lichamen” of anderszins. </w:t>
            </w:r>
          </w:p>
          <w:p w:rsidR="00260CF5" w:rsidP="00260CF5" w:rsidRDefault="00260CF5" w14:paraId="5E392213" w14:textId="59562991">
            <w:pPr>
              <w:pStyle w:val="Lijstalinea"/>
              <w:numPr>
                <w:ilvl w:val="0"/>
                <w:numId w:val="9"/>
              </w:numPr>
              <w:rPr>
                <w:rFonts w:ascii="Verdana" w:hAnsi="Verdana"/>
                <w:sz w:val="18"/>
                <w:szCs w:val="18"/>
              </w:rPr>
            </w:pPr>
            <w:r>
              <w:rPr>
                <w:rFonts w:ascii="Verdana" w:hAnsi="Verdana"/>
                <w:sz w:val="18"/>
                <w:szCs w:val="18"/>
              </w:rPr>
              <w:t xml:space="preserve">Ten aanzien van de handhaving is de Belastingdienst afhankelijk van het doen van een juiste aangifte door belastingplichtigen. </w:t>
            </w:r>
          </w:p>
          <w:p w:rsidRPr="00A259E6" w:rsidR="00260CF5" w:rsidP="00A259E6" w:rsidRDefault="00260CF5" w14:paraId="4BE55F32" w14:textId="3008C5DA">
            <w:pPr>
              <w:pStyle w:val="Lijstalinea"/>
              <w:numPr>
                <w:ilvl w:val="0"/>
                <w:numId w:val="9"/>
              </w:numPr>
              <w:rPr>
                <w:rFonts w:ascii="Verdana" w:hAnsi="Verdana"/>
                <w:sz w:val="18"/>
                <w:szCs w:val="18"/>
              </w:rPr>
            </w:pPr>
            <w:r w:rsidRPr="00A259E6">
              <w:rPr>
                <w:rFonts w:ascii="Verdana" w:hAnsi="Verdana"/>
                <w:sz w:val="18"/>
                <w:szCs w:val="18"/>
              </w:rPr>
              <w:t>Alleen aan de hand van nadere controle kan vaak (maar niet altijd) achterhaald worden of sprake is van een concern</w:t>
            </w:r>
            <w:r w:rsidR="00C7222A">
              <w:rPr>
                <w:rFonts w:ascii="Verdana" w:hAnsi="Verdana"/>
                <w:sz w:val="18"/>
                <w:szCs w:val="18"/>
              </w:rPr>
              <w:t>. D</w:t>
            </w:r>
            <w:r w:rsidRPr="00A259E6">
              <w:rPr>
                <w:rFonts w:ascii="Verdana" w:hAnsi="Verdana"/>
                <w:sz w:val="18"/>
                <w:szCs w:val="18"/>
              </w:rPr>
              <w:t xml:space="preserve">it is </w:t>
            </w:r>
            <w:r w:rsidR="00C7222A">
              <w:rPr>
                <w:rFonts w:ascii="Verdana" w:hAnsi="Verdana"/>
                <w:sz w:val="18"/>
                <w:szCs w:val="18"/>
              </w:rPr>
              <w:t xml:space="preserve">echter bijzonder arbeidsintensief en </w:t>
            </w:r>
            <w:r w:rsidRPr="00A259E6">
              <w:rPr>
                <w:rFonts w:ascii="Verdana" w:hAnsi="Verdana"/>
                <w:sz w:val="18"/>
                <w:szCs w:val="18"/>
              </w:rPr>
              <w:t>geen toezicht dat op grote schaal uitgeoefend kan worden</w:t>
            </w:r>
            <w:r w:rsidR="00C7222A">
              <w:rPr>
                <w:rFonts w:ascii="Verdana" w:hAnsi="Verdana"/>
                <w:sz w:val="18"/>
                <w:szCs w:val="18"/>
              </w:rPr>
              <w:t xml:space="preserve">. </w:t>
            </w:r>
          </w:p>
          <w:p w:rsidRPr="00D32310" w:rsidR="00260CF5" w:rsidP="00260CF5" w:rsidRDefault="00260CF5" w14:paraId="3981D1B6" w14:textId="1630FC30">
            <w:pPr>
              <w:pStyle w:val="Lijstalinea"/>
              <w:numPr>
                <w:ilvl w:val="0"/>
                <w:numId w:val="9"/>
              </w:numPr>
              <w:rPr>
                <w:rFonts w:ascii="Verdana" w:hAnsi="Verdana"/>
                <w:sz w:val="18"/>
                <w:szCs w:val="18"/>
              </w:rPr>
            </w:pPr>
            <w:r>
              <w:rPr>
                <w:rFonts w:ascii="Verdana" w:hAnsi="Verdana"/>
                <w:sz w:val="18"/>
                <w:szCs w:val="18"/>
              </w:rPr>
              <w:t xml:space="preserve">IV-ondersteuning zal beperkt zijn tot uitvraag of sprake is van een concern in het aangifteprogramma. Het is niet mogelijk om gegevens te valideren met betrouwbare derden-informatie. </w:t>
            </w:r>
          </w:p>
          <w:p w:rsidR="00547926" w:rsidP="00625855" w:rsidRDefault="00260CF5" w14:paraId="5598F6CE" w14:textId="77777777">
            <w:pPr>
              <w:pStyle w:val="Lijstalinea"/>
              <w:numPr>
                <w:ilvl w:val="0"/>
                <w:numId w:val="9"/>
              </w:numPr>
              <w:rPr>
                <w:rFonts w:ascii="Verdana" w:hAnsi="Verdana"/>
                <w:sz w:val="18"/>
                <w:szCs w:val="18"/>
              </w:rPr>
            </w:pPr>
            <w:r w:rsidRPr="00D32310">
              <w:rPr>
                <w:rFonts w:ascii="Verdana" w:hAnsi="Verdana"/>
                <w:sz w:val="18"/>
                <w:szCs w:val="18"/>
              </w:rPr>
              <w:t xml:space="preserve">Voor belastingplichtigen, adviseurs en de Belastingdienst betekent </w:t>
            </w:r>
            <w:r>
              <w:rPr>
                <w:rFonts w:ascii="Verdana" w:hAnsi="Verdana"/>
                <w:sz w:val="18"/>
                <w:szCs w:val="18"/>
              </w:rPr>
              <w:t xml:space="preserve">deze maatregel </w:t>
            </w:r>
            <w:r w:rsidRPr="00D32310">
              <w:rPr>
                <w:rFonts w:ascii="Verdana" w:hAnsi="Verdana"/>
                <w:sz w:val="18"/>
                <w:szCs w:val="18"/>
              </w:rPr>
              <w:t xml:space="preserve">veel </w:t>
            </w:r>
            <w:r>
              <w:rPr>
                <w:rFonts w:ascii="Verdana" w:hAnsi="Verdana"/>
                <w:sz w:val="18"/>
                <w:szCs w:val="18"/>
              </w:rPr>
              <w:t xml:space="preserve">(handmatig) </w:t>
            </w:r>
            <w:r w:rsidRPr="00D32310">
              <w:rPr>
                <w:rFonts w:ascii="Verdana" w:hAnsi="Verdana"/>
                <w:sz w:val="18"/>
                <w:szCs w:val="18"/>
              </w:rPr>
              <w:t>werk en waarschijnlijk meer discussie. Dat kost capaciteit.</w:t>
            </w:r>
          </w:p>
          <w:p w:rsidRPr="00FC6E24" w:rsidR="00FC6E24" w:rsidP="00FC6E24" w:rsidRDefault="00FC6E24" w14:paraId="5CFDA067" w14:textId="67389AC7">
            <w:pPr>
              <w:rPr>
                <w:rFonts w:ascii="Verdana" w:hAnsi="Verdana"/>
                <w:sz w:val="18"/>
                <w:szCs w:val="18"/>
              </w:rPr>
            </w:pPr>
          </w:p>
        </w:tc>
      </w:tr>
      <w:tr w:rsidRPr="0005317A" w:rsidR="00547926" w:rsidTr="005229A6" w14:paraId="299B03C9" w14:textId="77777777">
        <w:trPr>
          <w:trHeight w:val="1142"/>
        </w:trPr>
        <w:tc>
          <w:tcPr>
            <w:tcW w:w="1809" w:type="dxa"/>
            <w:tcBorders>
              <w:top w:val="single" w:color="0066A4" w:sz="4" w:space="0"/>
              <w:left w:val="nil"/>
              <w:bottom w:val="single" w:color="0066A4" w:sz="4" w:space="0"/>
              <w:right w:val="nil"/>
            </w:tcBorders>
          </w:tcPr>
          <w:p w:rsidRPr="0005317A" w:rsidR="00547926" w:rsidP="005229A6" w:rsidRDefault="00547926" w14:paraId="4AE2EA39" w14:textId="77777777">
            <w:pPr>
              <w:ind w:left="108"/>
              <w:rPr>
                <w:rFonts w:ascii="Verdana" w:hAnsi="Verdana" w:eastAsia="Verdana" w:cs="Verdana"/>
                <w:color w:val="000000"/>
                <w:sz w:val="18"/>
              </w:rPr>
            </w:pPr>
            <w:r w:rsidRPr="000B1EA2">
              <w:rPr>
                <w:rFonts w:ascii="Verdana" w:hAnsi="Verdana" w:eastAsia="Verdana" w:cs="Verdana"/>
                <w:color w:val="0066A4"/>
                <w:sz w:val="17"/>
                <w:szCs w:val="17"/>
              </w:rPr>
              <w:t>COMPLEXITEIT/ ADMINISTRATIEVE LASTEN</w:t>
            </w:r>
          </w:p>
        </w:tc>
        <w:tc>
          <w:tcPr>
            <w:tcW w:w="6946" w:type="dxa"/>
            <w:tcBorders>
              <w:top w:val="single" w:color="0066A4" w:sz="4" w:space="0"/>
              <w:left w:val="nil"/>
              <w:bottom w:val="single" w:color="0066A4" w:sz="4" w:space="0"/>
              <w:right w:val="nil"/>
            </w:tcBorders>
            <w:vAlign w:val="center"/>
          </w:tcPr>
          <w:p w:rsidRPr="003C517E" w:rsidR="00861E58" w:rsidP="00861E58" w:rsidRDefault="00861E58" w14:paraId="45373E9E" w14:textId="11D4B677">
            <w:pPr>
              <w:pStyle w:val="Lijstalinea"/>
              <w:numPr>
                <w:ilvl w:val="0"/>
                <w:numId w:val="1"/>
              </w:numPr>
              <w:rPr>
                <w:rFonts w:ascii="Verdana" w:hAnsi="Verdana"/>
                <w:sz w:val="18"/>
                <w:szCs w:val="18"/>
              </w:rPr>
            </w:pPr>
            <w:r>
              <w:rPr>
                <w:rFonts w:ascii="Verdana" w:hAnsi="Verdana"/>
                <w:sz w:val="18"/>
                <w:szCs w:val="18"/>
              </w:rPr>
              <w:t xml:space="preserve">De groep belastingplichtigen die naar verwachting wordt geconfronteerd met een toename in complexiteit en administratieve lasten bestaat uit ongeveer </w:t>
            </w:r>
            <w:r w:rsidR="000E775B">
              <w:rPr>
                <w:rFonts w:ascii="Verdana" w:hAnsi="Verdana"/>
                <w:sz w:val="18"/>
                <w:szCs w:val="18"/>
              </w:rPr>
              <w:t xml:space="preserve">15.000 </w:t>
            </w:r>
            <w:r>
              <w:rPr>
                <w:rFonts w:ascii="Verdana" w:hAnsi="Verdana"/>
                <w:sz w:val="18"/>
                <w:szCs w:val="18"/>
              </w:rPr>
              <w:t>belastingplichtigen.</w:t>
            </w:r>
            <w:r w:rsidR="00D845C8">
              <w:rPr>
                <w:rFonts w:ascii="Verdana" w:hAnsi="Verdana"/>
                <w:sz w:val="18"/>
                <w:szCs w:val="18"/>
              </w:rPr>
              <w:t xml:space="preserve"> Het betreft belastingplichtigen met (een saldo aan) rentekosten</w:t>
            </w:r>
            <w:r w:rsidR="00195A4E">
              <w:rPr>
                <w:rFonts w:ascii="Verdana" w:hAnsi="Verdana"/>
                <w:sz w:val="18"/>
                <w:szCs w:val="18"/>
              </w:rPr>
              <w:t xml:space="preserve"> met relatief weinig </w:t>
            </w:r>
            <w:r w:rsidR="00700EB0">
              <w:rPr>
                <w:rFonts w:ascii="Verdana" w:hAnsi="Verdana"/>
                <w:sz w:val="18"/>
                <w:szCs w:val="18"/>
              </w:rPr>
              <w:t>EBITDA</w:t>
            </w:r>
            <w:r w:rsidR="0054270A">
              <w:rPr>
                <w:rFonts w:ascii="Verdana" w:hAnsi="Verdana"/>
                <w:sz w:val="18"/>
                <w:szCs w:val="18"/>
              </w:rPr>
              <w:t xml:space="preserve"> en </w:t>
            </w:r>
            <w:r w:rsidR="00195A4E">
              <w:rPr>
                <w:rFonts w:ascii="Verdana" w:hAnsi="Verdana"/>
                <w:sz w:val="18"/>
                <w:szCs w:val="18"/>
              </w:rPr>
              <w:t xml:space="preserve">die </w:t>
            </w:r>
            <w:r w:rsidR="0054270A">
              <w:rPr>
                <w:rFonts w:ascii="Verdana" w:hAnsi="Verdana"/>
                <w:sz w:val="18"/>
                <w:szCs w:val="18"/>
              </w:rPr>
              <w:t xml:space="preserve">onderdeel zijn van een concern met meer dan </w:t>
            </w:r>
            <w:r w:rsidR="00700EB0">
              <w:rPr>
                <w:rFonts w:ascii="Verdana" w:hAnsi="Verdana"/>
                <w:sz w:val="18"/>
                <w:szCs w:val="18"/>
              </w:rPr>
              <w:t>5</w:t>
            </w:r>
            <w:r w:rsidR="0054270A">
              <w:rPr>
                <w:rFonts w:ascii="Verdana" w:hAnsi="Verdana"/>
                <w:sz w:val="18"/>
                <w:szCs w:val="18"/>
              </w:rPr>
              <w:t xml:space="preserve"> entiteiten</w:t>
            </w:r>
            <w:r w:rsidR="000D67AC">
              <w:rPr>
                <w:rFonts w:ascii="Verdana" w:hAnsi="Verdana"/>
                <w:sz w:val="18"/>
                <w:szCs w:val="18"/>
              </w:rPr>
              <w:t>.</w:t>
            </w:r>
          </w:p>
          <w:p w:rsidR="000D67AC" w:rsidP="000D67AC" w:rsidRDefault="004368E8" w14:paraId="1E913334" w14:textId="57319F5A">
            <w:pPr>
              <w:pStyle w:val="Lijstalinea"/>
              <w:numPr>
                <w:ilvl w:val="0"/>
                <w:numId w:val="1"/>
              </w:numPr>
              <w:rPr>
                <w:rFonts w:ascii="Verdana" w:hAnsi="Verdana"/>
                <w:sz w:val="18"/>
                <w:szCs w:val="18"/>
              </w:rPr>
            </w:pPr>
            <w:r>
              <w:rPr>
                <w:rFonts w:ascii="Verdana" w:hAnsi="Verdana"/>
                <w:sz w:val="18"/>
                <w:szCs w:val="18"/>
              </w:rPr>
              <w:t xml:space="preserve">Van belastingplichtigen wordt </w:t>
            </w:r>
            <w:r w:rsidR="00091145">
              <w:rPr>
                <w:rFonts w:ascii="Verdana" w:hAnsi="Verdana"/>
                <w:sz w:val="18"/>
                <w:szCs w:val="18"/>
              </w:rPr>
              <w:t xml:space="preserve">met deze optie </w:t>
            </w:r>
            <w:r>
              <w:rPr>
                <w:rFonts w:ascii="Verdana" w:hAnsi="Verdana"/>
                <w:sz w:val="18"/>
                <w:szCs w:val="18"/>
              </w:rPr>
              <w:t>verwacht</w:t>
            </w:r>
            <w:r w:rsidR="00091145">
              <w:rPr>
                <w:rFonts w:ascii="Verdana" w:hAnsi="Verdana"/>
                <w:sz w:val="18"/>
                <w:szCs w:val="18"/>
              </w:rPr>
              <w:t xml:space="preserve"> dat ze</w:t>
            </w:r>
            <w:r>
              <w:rPr>
                <w:rFonts w:ascii="Verdana" w:hAnsi="Verdana"/>
                <w:sz w:val="18"/>
                <w:szCs w:val="18"/>
              </w:rPr>
              <w:t xml:space="preserve"> inzichtelijk hebben </w:t>
            </w:r>
            <w:r w:rsidR="00D02145">
              <w:rPr>
                <w:rFonts w:ascii="Verdana" w:hAnsi="Verdana"/>
                <w:sz w:val="18"/>
                <w:szCs w:val="18"/>
              </w:rPr>
              <w:t>of en in welke periode ze deel uitmaken van “een concern”</w:t>
            </w:r>
            <w:r>
              <w:rPr>
                <w:rFonts w:ascii="Verdana" w:hAnsi="Verdana"/>
                <w:sz w:val="18"/>
                <w:szCs w:val="18"/>
              </w:rPr>
              <w:t>.</w:t>
            </w:r>
            <w:r w:rsidR="00667B4C">
              <w:rPr>
                <w:rFonts w:ascii="Verdana" w:hAnsi="Verdana"/>
                <w:sz w:val="18"/>
                <w:szCs w:val="18"/>
              </w:rPr>
              <w:t xml:space="preserve"> </w:t>
            </w:r>
          </w:p>
          <w:p w:rsidR="00547926" w:rsidP="000D67AC" w:rsidRDefault="00A43FDE" w14:paraId="2F9CA8D3" w14:textId="0E28579D">
            <w:pPr>
              <w:pStyle w:val="Lijstalinea"/>
              <w:numPr>
                <w:ilvl w:val="0"/>
                <w:numId w:val="1"/>
              </w:numPr>
              <w:rPr>
                <w:rFonts w:ascii="Verdana" w:hAnsi="Verdana"/>
                <w:sz w:val="18"/>
                <w:szCs w:val="18"/>
              </w:rPr>
            </w:pPr>
            <w:r w:rsidRPr="000D67AC">
              <w:rPr>
                <w:rFonts w:ascii="Verdana" w:hAnsi="Verdana"/>
                <w:sz w:val="18"/>
                <w:szCs w:val="18"/>
              </w:rPr>
              <w:t xml:space="preserve">Bedrijven of hun adviseurs zullen informatie moeten uitvragen om erachter te komen of </w:t>
            </w:r>
            <w:r w:rsidRPr="000D67AC" w:rsidR="00D02145">
              <w:rPr>
                <w:rFonts w:ascii="Verdana" w:hAnsi="Verdana"/>
                <w:sz w:val="18"/>
                <w:szCs w:val="18"/>
              </w:rPr>
              <w:t xml:space="preserve">en voor welke periode </w:t>
            </w:r>
            <w:r w:rsidRPr="000D67AC">
              <w:rPr>
                <w:rFonts w:ascii="Verdana" w:hAnsi="Verdana"/>
                <w:sz w:val="18"/>
                <w:szCs w:val="18"/>
              </w:rPr>
              <w:t xml:space="preserve">zij onderdeel </w:t>
            </w:r>
            <w:r w:rsidRPr="000D67AC" w:rsidR="00D02145">
              <w:rPr>
                <w:rFonts w:ascii="Verdana" w:hAnsi="Verdana"/>
                <w:sz w:val="18"/>
                <w:szCs w:val="18"/>
              </w:rPr>
              <w:t>uit</w:t>
            </w:r>
            <w:r w:rsidRPr="000D67AC">
              <w:rPr>
                <w:rFonts w:ascii="Verdana" w:hAnsi="Verdana"/>
                <w:sz w:val="18"/>
                <w:szCs w:val="18"/>
              </w:rPr>
              <w:t xml:space="preserve">maken van een concern. </w:t>
            </w:r>
          </w:p>
          <w:p w:rsidRPr="000D67AC" w:rsidR="000D67AC" w:rsidP="000D67AC" w:rsidRDefault="000D67AC" w14:paraId="3CDD0DD4" w14:textId="7716FCA3">
            <w:pPr>
              <w:pStyle w:val="Lijstalinea"/>
              <w:numPr>
                <w:ilvl w:val="0"/>
                <w:numId w:val="1"/>
              </w:numPr>
              <w:rPr>
                <w:rFonts w:ascii="Verdana" w:hAnsi="Verdana"/>
                <w:sz w:val="18"/>
                <w:szCs w:val="18"/>
              </w:rPr>
            </w:pPr>
            <w:r>
              <w:rPr>
                <w:rFonts w:ascii="Verdana" w:hAnsi="Verdana"/>
                <w:sz w:val="18"/>
                <w:szCs w:val="18"/>
              </w:rPr>
              <w:t xml:space="preserve">Dit heeft een toename van regeldrukkosten tot gevolg. </w:t>
            </w:r>
          </w:p>
          <w:p w:rsidRPr="00060950" w:rsidR="00060950" w:rsidP="000D67AC" w:rsidRDefault="00060950" w14:paraId="69F9A77B" w14:textId="02429723">
            <w:pPr>
              <w:pStyle w:val="Lijstalinea"/>
            </w:pPr>
          </w:p>
        </w:tc>
      </w:tr>
      <w:tr w:rsidRPr="0005317A" w:rsidR="00547926" w:rsidTr="00D70B53" w14:paraId="4814DD93" w14:textId="77777777">
        <w:trPr>
          <w:trHeight w:val="2391"/>
        </w:trPr>
        <w:tc>
          <w:tcPr>
            <w:tcW w:w="1809" w:type="dxa"/>
            <w:tcBorders>
              <w:top w:val="single" w:color="0066A4" w:sz="4" w:space="0"/>
              <w:left w:val="nil"/>
              <w:bottom w:val="single" w:color="0066A4" w:sz="4" w:space="0"/>
              <w:right w:val="nil"/>
            </w:tcBorders>
          </w:tcPr>
          <w:p w:rsidRPr="000B1EA2" w:rsidR="00547926" w:rsidP="005229A6" w:rsidRDefault="00547926" w14:paraId="3AECF14A" w14:textId="77777777">
            <w:pPr>
              <w:ind w:left="108"/>
              <w:rPr>
                <w:rFonts w:ascii="Verdana" w:hAnsi="Verdana" w:eastAsia="Verdana" w:cs="Verdana"/>
                <w:color w:val="0066A4"/>
                <w:sz w:val="17"/>
                <w:szCs w:val="17"/>
              </w:rPr>
            </w:pPr>
            <w:r>
              <w:rPr>
                <w:rFonts w:ascii="Verdana" w:hAnsi="Verdana" w:eastAsia="Verdana" w:cs="Verdana"/>
                <w:color w:val="0066A4"/>
                <w:sz w:val="18"/>
              </w:rPr>
              <w:lastRenderedPageBreak/>
              <w:t>DOELTREFFEND-&amp; DOELMATTIGHEID</w:t>
            </w:r>
          </w:p>
        </w:tc>
        <w:tc>
          <w:tcPr>
            <w:tcW w:w="6946" w:type="dxa"/>
            <w:tcBorders>
              <w:top w:val="single" w:color="0066A4" w:sz="4" w:space="0"/>
              <w:left w:val="nil"/>
              <w:bottom w:val="single" w:color="0066A4" w:sz="4" w:space="0"/>
              <w:right w:val="nil"/>
            </w:tcBorders>
            <w:vAlign w:val="center"/>
          </w:tcPr>
          <w:p w:rsidRPr="00E74BC7" w:rsidR="00547926" w:rsidP="00EC5878" w:rsidRDefault="00547926" w14:paraId="51E6982B" w14:textId="28465F88">
            <w:pPr>
              <w:pStyle w:val="Lijstalinea"/>
              <w:ind w:left="360"/>
              <w:rPr>
                <w:rFonts w:ascii="Verdana" w:hAnsi="Verdana"/>
                <w:i/>
                <w:iCs/>
                <w:sz w:val="18"/>
                <w:szCs w:val="18"/>
              </w:rPr>
            </w:pPr>
            <w:r w:rsidRPr="00E74BC7">
              <w:rPr>
                <w:rFonts w:ascii="Verdana" w:hAnsi="Verdana"/>
                <w:i/>
                <w:iCs/>
                <w:sz w:val="18"/>
                <w:szCs w:val="18"/>
              </w:rPr>
              <w:t xml:space="preserve">Doeltreffendheid </w:t>
            </w:r>
          </w:p>
          <w:p w:rsidR="005C0D7C" w:rsidP="00625855" w:rsidRDefault="00FA7090" w14:paraId="5B904C1F" w14:textId="1DA2BA41">
            <w:pPr>
              <w:pStyle w:val="Lijstalinea"/>
              <w:numPr>
                <w:ilvl w:val="0"/>
                <w:numId w:val="8"/>
              </w:numPr>
              <w:rPr>
                <w:rFonts w:ascii="Verdana" w:hAnsi="Verdana"/>
                <w:sz w:val="18"/>
                <w:szCs w:val="18"/>
              </w:rPr>
            </w:pPr>
            <w:r>
              <w:rPr>
                <w:rFonts w:ascii="Verdana" w:hAnsi="Verdana"/>
                <w:sz w:val="18"/>
                <w:szCs w:val="18"/>
              </w:rPr>
              <w:t xml:space="preserve">Deze beleidsoptie betreft een maatregel die het probleem </w:t>
            </w:r>
            <w:r w:rsidRPr="00C8132E">
              <w:rPr>
                <w:rFonts w:ascii="Verdana" w:hAnsi="Verdana"/>
                <w:sz w:val="18"/>
                <w:szCs w:val="18"/>
              </w:rPr>
              <w:t xml:space="preserve">van fragmentatie adresseert, maar als doel heeft om de drempel in </w:t>
            </w:r>
            <w:r>
              <w:rPr>
                <w:rFonts w:ascii="Verdana" w:hAnsi="Verdana"/>
                <w:sz w:val="18"/>
                <w:szCs w:val="18"/>
              </w:rPr>
              <w:t>de earningsstrippingmaatregel</w:t>
            </w:r>
            <w:r w:rsidRPr="00C8132E">
              <w:rPr>
                <w:rFonts w:ascii="Verdana" w:hAnsi="Verdana"/>
                <w:sz w:val="18"/>
                <w:szCs w:val="18"/>
              </w:rPr>
              <w:t xml:space="preserve"> doelgerichter te maken. </w:t>
            </w:r>
            <w:r w:rsidR="005C0D7C">
              <w:rPr>
                <w:rFonts w:ascii="Verdana" w:hAnsi="Verdana"/>
                <w:sz w:val="18"/>
                <w:szCs w:val="18"/>
              </w:rPr>
              <w:t xml:space="preserve">Het doel van de drempel is </w:t>
            </w:r>
            <w:r>
              <w:rPr>
                <w:rFonts w:ascii="Verdana" w:hAnsi="Verdana"/>
                <w:sz w:val="18"/>
                <w:szCs w:val="18"/>
              </w:rPr>
              <w:t xml:space="preserve">namelijk </w:t>
            </w:r>
            <w:r w:rsidR="005C0D7C">
              <w:rPr>
                <w:rFonts w:ascii="Verdana" w:hAnsi="Verdana"/>
                <w:sz w:val="18"/>
                <w:szCs w:val="18"/>
              </w:rPr>
              <w:t>o</w:t>
            </w:r>
            <w:r w:rsidR="003E5AEA">
              <w:rPr>
                <w:rFonts w:ascii="Verdana" w:hAnsi="Verdana"/>
                <w:sz w:val="18"/>
                <w:szCs w:val="18"/>
              </w:rPr>
              <w:t xml:space="preserve">m de met de earningsstrippingmaatregel gepaard gaande administratieve en nalevingslasten terug te dringen zonder het fiscale effect ervan aanmerkelijk te verminderen. </w:t>
            </w:r>
            <w:r>
              <w:rPr>
                <w:rFonts w:ascii="Verdana" w:hAnsi="Verdana"/>
                <w:sz w:val="18"/>
                <w:szCs w:val="18"/>
              </w:rPr>
              <w:t>In het licht van die doelstelling beperkt d</w:t>
            </w:r>
            <w:r w:rsidR="003E5AEA">
              <w:rPr>
                <w:rFonts w:ascii="Verdana" w:hAnsi="Verdana"/>
                <w:sz w:val="18"/>
                <w:szCs w:val="18"/>
              </w:rPr>
              <w:t xml:space="preserve">eze maatregel de drempel ten aanzien van belastingplichtigen die als groep bezien geacht worden de administratieve lasten te kunnen dragen. </w:t>
            </w:r>
          </w:p>
          <w:p w:rsidR="00B37F69" w:rsidP="00FA7090" w:rsidRDefault="005C0D7C" w14:paraId="244DDEB3" w14:textId="04B7E959">
            <w:pPr>
              <w:pStyle w:val="Lijstalinea"/>
              <w:numPr>
                <w:ilvl w:val="0"/>
                <w:numId w:val="8"/>
              </w:numPr>
              <w:rPr>
                <w:rFonts w:ascii="Verdana" w:hAnsi="Verdana"/>
                <w:sz w:val="18"/>
                <w:szCs w:val="18"/>
              </w:rPr>
            </w:pPr>
            <w:r>
              <w:rPr>
                <w:rFonts w:ascii="Verdana" w:hAnsi="Verdana"/>
                <w:sz w:val="18"/>
                <w:szCs w:val="18"/>
              </w:rPr>
              <w:t xml:space="preserve">Een bijgevolg van deze maatregel is dat het niet langer </w:t>
            </w:r>
            <w:r w:rsidR="0078206A">
              <w:rPr>
                <w:rFonts w:ascii="Verdana" w:hAnsi="Verdana"/>
                <w:sz w:val="18"/>
                <w:szCs w:val="18"/>
              </w:rPr>
              <w:t>voordelig</w:t>
            </w:r>
            <w:r>
              <w:rPr>
                <w:rFonts w:ascii="Verdana" w:hAnsi="Verdana"/>
                <w:sz w:val="18"/>
                <w:szCs w:val="18"/>
              </w:rPr>
              <w:t xml:space="preserve"> is om vastgoed en de daarmee samenhangende (gestructureerde) rentelast te fragmenteren over verschillende vennootschappen. Deze verschillende vennootschappen zullen immers in de regel tot een concern behoren waardoor zij niet afzonderlijk de drempel kunnen gebruiken.</w:t>
            </w:r>
            <w:r w:rsidR="004166C2">
              <w:rPr>
                <w:rFonts w:ascii="Verdana" w:hAnsi="Verdana"/>
                <w:sz w:val="18"/>
                <w:szCs w:val="18"/>
              </w:rPr>
              <w:t xml:space="preserve"> Daarmee is de maatregel </w:t>
            </w:r>
            <w:r w:rsidR="00E74BC7">
              <w:rPr>
                <w:rFonts w:ascii="Verdana" w:hAnsi="Verdana"/>
                <w:sz w:val="18"/>
                <w:szCs w:val="18"/>
              </w:rPr>
              <w:t xml:space="preserve">naar verwachting </w:t>
            </w:r>
            <w:r w:rsidR="004166C2">
              <w:rPr>
                <w:rFonts w:ascii="Verdana" w:hAnsi="Verdana"/>
                <w:sz w:val="18"/>
                <w:szCs w:val="18"/>
              </w:rPr>
              <w:t xml:space="preserve">doeltreffend ten aanzien van het fragmentatie probleem. </w:t>
            </w:r>
          </w:p>
          <w:p w:rsidRPr="00861E58" w:rsidR="001E2493" w:rsidP="00861E58" w:rsidRDefault="001E26D8" w14:paraId="48759FA8" w14:textId="00764C8C">
            <w:pPr>
              <w:pStyle w:val="Lijstalinea"/>
              <w:numPr>
                <w:ilvl w:val="0"/>
                <w:numId w:val="8"/>
              </w:numPr>
              <w:rPr>
                <w:rFonts w:ascii="Verdana" w:hAnsi="Verdana"/>
                <w:sz w:val="18"/>
                <w:szCs w:val="18"/>
              </w:rPr>
            </w:pPr>
            <w:r w:rsidRPr="007A1A1F">
              <w:rPr>
                <w:rFonts w:ascii="Verdana" w:hAnsi="Verdana"/>
                <w:sz w:val="18"/>
                <w:szCs w:val="18"/>
              </w:rPr>
              <w:t xml:space="preserve">Deze maatregel ziet niet specifiek op het tegengaan van het omzetten van eigen vermogen in vreemd vermogen binnen een concern. </w:t>
            </w:r>
            <w:r>
              <w:rPr>
                <w:rFonts w:ascii="Verdana" w:hAnsi="Verdana"/>
                <w:sz w:val="18"/>
                <w:szCs w:val="18"/>
              </w:rPr>
              <w:t xml:space="preserve">De grondslaguitholling die het gevolg is van dit fenomeen, wordt met deze maatregel niet </w:t>
            </w:r>
            <w:r w:rsidR="00E74BC7">
              <w:rPr>
                <w:rFonts w:ascii="Verdana" w:hAnsi="Verdana"/>
                <w:sz w:val="18"/>
                <w:szCs w:val="18"/>
              </w:rPr>
              <w:t xml:space="preserve">volledig </w:t>
            </w:r>
            <w:r>
              <w:rPr>
                <w:rFonts w:ascii="Verdana" w:hAnsi="Verdana"/>
                <w:sz w:val="18"/>
                <w:szCs w:val="18"/>
              </w:rPr>
              <w:t xml:space="preserve">tegengegaan. </w:t>
            </w:r>
            <w:r w:rsidR="00861E58">
              <w:rPr>
                <w:rFonts w:ascii="Verdana" w:hAnsi="Verdana"/>
                <w:sz w:val="18"/>
                <w:szCs w:val="18"/>
              </w:rPr>
              <w:t>Daarmee is deze beleidsoptie gedeeltelijk doeltreffend.</w:t>
            </w:r>
          </w:p>
          <w:p w:rsidRPr="00EC5878" w:rsidR="00547926" w:rsidP="00FA7090" w:rsidRDefault="005369D5" w14:paraId="604BC5D3" w14:textId="5E4C317D">
            <w:pPr>
              <w:pStyle w:val="Lijstalinea"/>
              <w:numPr>
                <w:ilvl w:val="0"/>
                <w:numId w:val="8"/>
              </w:numPr>
              <w:rPr>
                <w:rFonts w:ascii="Verdana" w:hAnsi="Verdana"/>
                <w:sz w:val="18"/>
                <w:szCs w:val="18"/>
              </w:rPr>
            </w:pPr>
            <w:r>
              <w:rPr>
                <w:rFonts w:ascii="Verdana" w:hAnsi="Verdana"/>
                <w:sz w:val="18"/>
                <w:szCs w:val="18"/>
              </w:rPr>
              <w:t>In voorkomende gevallen is</w:t>
            </w:r>
            <w:r w:rsidR="00EC5878">
              <w:rPr>
                <w:rFonts w:ascii="Verdana" w:hAnsi="Verdana"/>
                <w:sz w:val="18"/>
                <w:szCs w:val="18"/>
              </w:rPr>
              <w:t xml:space="preserve"> </w:t>
            </w:r>
            <w:r w:rsidRPr="00EC5878" w:rsidR="00EC5878">
              <w:rPr>
                <w:rFonts w:ascii="Verdana" w:hAnsi="Verdana"/>
                <w:sz w:val="18"/>
                <w:szCs w:val="18"/>
              </w:rPr>
              <w:t xml:space="preserve">nog steeds renteaftrek mogelijk op leningen aan een verbonden lichaam (het fonds). Het fonds heeft deze leningen uit eigen vermogen bijeengebracht door investeerders. </w:t>
            </w:r>
            <w:r w:rsidRPr="00EC5878" w:rsidR="00E74BC7">
              <w:rPr>
                <w:rFonts w:ascii="Verdana" w:hAnsi="Verdana"/>
                <w:sz w:val="18"/>
                <w:szCs w:val="18"/>
              </w:rPr>
              <w:t xml:space="preserve">De </w:t>
            </w:r>
            <w:r w:rsidRPr="00EC5878" w:rsidR="007B4AC4">
              <w:rPr>
                <w:rFonts w:ascii="Verdana" w:hAnsi="Verdana"/>
                <w:sz w:val="18"/>
                <w:szCs w:val="18"/>
              </w:rPr>
              <w:t>rente</w:t>
            </w:r>
            <w:r w:rsidR="007B4AC4">
              <w:rPr>
                <w:rFonts w:ascii="Verdana" w:hAnsi="Verdana"/>
                <w:sz w:val="18"/>
                <w:szCs w:val="18"/>
              </w:rPr>
              <w:t>-inkomsten</w:t>
            </w:r>
            <w:r w:rsidRPr="00EC5878" w:rsidR="00E74BC7">
              <w:rPr>
                <w:rFonts w:ascii="Verdana" w:hAnsi="Verdana"/>
                <w:sz w:val="18"/>
                <w:szCs w:val="18"/>
              </w:rPr>
              <w:t xml:space="preserve"> op deze leningen </w:t>
            </w:r>
            <w:r w:rsidR="00E74BC7">
              <w:rPr>
                <w:rFonts w:ascii="Verdana" w:hAnsi="Verdana"/>
                <w:sz w:val="18"/>
                <w:szCs w:val="18"/>
              </w:rPr>
              <w:t xml:space="preserve">zijn niet onderworpen aan een </w:t>
            </w:r>
            <w:r w:rsidRPr="00EC5878" w:rsidR="00E74BC7">
              <w:rPr>
                <w:rFonts w:ascii="Verdana" w:hAnsi="Verdana"/>
                <w:sz w:val="18"/>
                <w:szCs w:val="18"/>
              </w:rPr>
              <w:t>naar Nederlandse maatstaven redelijke heffing</w:t>
            </w:r>
            <w:r w:rsidR="00E74BC7">
              <w:rPr>
                <w:rFonts w:ascii="Verdana" w:hAnsi="Verdana"/>
                <w:sz w:val="18"/>
                <w:szCs w:val="18"/>
              </w:rPr>
              <w:t xml:space="preserve">, waardoor het omzetten van eigen vermogen in vreemd vermogen – ondanks deze maatregel – nog steeds loont. </w:t>
            </w:r>
            <w:r w:rsidRPr="00EC5878" w:rsidR="00E74BC7">
              <w:rPr>
                <w:rFonts w:ascii="Verdana" w:hAnsi="Verdana"/>
                <w:sz w:val="18"/>
                <w:szCs w:val="18"/>
              </w:rPr>
              <w:t xml:space="preserve">  </w:t>
            </w:r>
          </w:p>
          <w:p w:rsidR="00547926" w:rsidP="005229A6" w:rsidRDefault="00547926" w14:paraId="55F12045" w14:textId="77777777">
            <w:pPr>
              <w:rPr>
                <w:rFonts w:ascii="Verdana" w:hAnsi="Verdana"/>
                <w:sz w:val="18"/>
                <w:szCs w:val="18"/>
              </w:rPr>
            </w:pPr>
          </w:p>
          <w:p w:rsidRPr="00E74BC7" w:rsidR="00442589" w:rsidP="00EC5878" w:rsidRDefault="00E74BC7" w14:paraId="32B404AC" w14:textId="06E94CFD">
            <w:pPr>
              <w:rPr>
                <w:rFonts w:ascii="Verdana" w:hAnsi="Verdana"/>
                <w:i/>
                <w:iCs/>
                <w:sz w:val="18"/>
                <w:szCs w:val="18"/>
              </w:rPr>
            </w:pPr>
            <w:r w:rsidRPr="00E74BC7">
              <w:rPr>
                <w:rFonts w:ascii="Verdana" w:hAnsi="Verdana"/>
                <w:i/>
                <w:iCs/>
                <w:sz w:val="18"/>
                <w:szCs w:val="18"/>
              </w:rPr>
              <w:t xml:space="preserve">      </w:t>
            </w:r>
            <w:r w:rsidRPr="00E74BC7" w:rsidR="00547926">
              <w:rPr>
                <w:rFonts w:ascii="Verdana" w:hAnsi="Verdana"/>
                <w:i/>
                <w:iCs/>
                <w:sz w:val="18"/>
                <w:szCs w:val="18"/>
              </w:rPr>
              <w:t xml:space="preserve">Doelmatigheid </w:t>
            </w:r>
          </w:p>
          <w:p w:rsidR="00EC5878" w:rsidP="00FA7090" w:rsidRDefault="00F05C3E" w14:paraId="03E3CFCA" w14:textId="06D01813">
            <w:pPr>
              <w:pStyle w:val="Lijstalinea"/>
              <w:numPr>
                <w:ilvl w:val="0"/>
                <w:numId w:val="8"/>
              </w:numPr>
              <w:rPr>
                <w:rFonts w:ascii="Verdana" w:hAnsi="Verdana"/>
                <w:sz w:val="18"/>
                <w:szCs w:val="18"/>
              </w:rPr>
            </w:pPr>
            <w:r>
              <w:rPr>
                <w:rFonts w:ascii="Verdana" w:hAnsi="Verdana"/>
                <w:sz w:val="18"/>
                <w:szCs w:val="18"/>
              </w:rPr>
              <w:t>Deze beleidsoptie richt zi</w:t>
            </w:r>
            <w:r w:rsidR="00032412">
              <w:rPr>
                <w:rFonts w:ascii="Verdana" w:hAnsi="Verdana"/>
                <w:sz w:val="18"/>
                <w:szCs w:val="18"/>
              </w:rPr>
              <w:t xml:space="preserve">ch </w:t>
            </w:r>
            <w:r>
              <w:rPr>
                <w:rFonts w:ascii="Verdana" w:hAnsi="Verdana"/>
                <w:sz w:val="18"/>
                <w:szCs w:val="18"/>
              </w:rPr>
              <w:t xml:space="preserve">in de eerste plaats op een ander probleem, namelijk dat er potentieel vennootschappen gebruik maken van de drempel terwijl het administratieve voordeel van de drempel niet voor deze vennootschappen bedoeld is. Lastig is echter om </w:t>
            </w:r>
            <w:r w:rsidR="00EC5878">
              <w:rPr>
                <w:rFonts w:ascii="Verdana" w:hAnsi="Verdana"/>
                <w:sz w:val="18"/>
                <w:szCs w:val="18"/>
              </w:rPr>
              <w:t>deze</w:t>
            </w:r>
            <w:r>
              <w:rPr>
                <w:rFonts w:ascii="Verdana" w:hAnsi="Verdana"/>
                <w:sz w:val="18"/>
                <w:szCs w:val="18"/>
              </w:rPr>
              <w:t xml:space="preserve"> maatregel </w:t>
            </w:r>
            <w:r w:rsidR="00EC5878">
              <w:rPr>
                <w:rFonts w:ascii="Verdana" w:hAnsi="Verdana"/>
                <w:sz w:val="18"/>
                <w:szCs w:val="18"/>
              </w:rPr>
              <w:t>specifieker te</w:t>
            </w:r>
            <w:r>
              <w:rPr>
                <w:rFonts w:ascii="Verdana" w:hAnsi="Verdana"/>
                <w:sz w:val="18"/>
                <w:szCs w:val="18"/>
              </w:rPr>
              <w:t xml:space="preserve"> maken met als gevolg dat overkill waarschijnlijk lijkt. </w:t>
            </w:r>
          </w:p>
          <w:p w:rsidRPr="00B37F69" w:rsidR="00EC5878" w:rsidP="00FA7090" w:rsidRDefault="00EC5878" w14:paraId="036EB3E1" w14:textId="60D5CECE">
            <w:pPr>
              <w:pStyle w:val="Lijstalinea"/>
              <w:numPr>
                <w:ilvl w:val="0"/>
                <w:numId w:val="8"/>
              </w:numPr>
              <w:rPr>
                <w:rFonts w:ascii="Verdana" w:hAnsi="Verdana"/>
                <w:sz w:val="18"/>
                <w:szCs w:val="18"/>
              </w:rPr>
            </w:pPr>
            <w:r w:rsidRPr="00B37F69">
              <w:rPr>
                <w:rFonts w:ascii="Verdana" w:hAnsi="Verdana"/>
                <w:sz w:val="18"/>
                <w:szCs w:val="18"/>
              </w:rPr>
              <w:t xml:space="preserve">De maatregel </w:t>
            </w:r>
            <w:r w:rsidR="00BA718D">
              <w:rPr>
                <w:rFonts w:ascii="Verdana" w:hAnsi="Verdana"/>
                <w:sz w:val="18"/>
                <w:szCs w:val="18"/>
              </w:rPr>
              <w:t>zal</w:t>
            </w:r>
            <w:r>
              <w:rPr>
                <w:rFonts w:ascii="Verdana" w:hAnsi="Verdana"/>
                <w:sz w:val="18"/>
                <w:szCs w:val="18"/>
              </w:rPr>
              <w:t xml:space="preserve"> </w:t>
            </w:r>
            <w:r w:rsidRPr="00B37F69">
              <w:rPr>
                <w:rFonts w:ascii="Verdana" w:hAnsi="Verdana"/>
                <w:sz w:val="18"/>
                <w:szCs w:val="18"/>
              </w:rPr>
              <w:t xml:space="preserve">ook toepassing vinden ten aanzien van belastingplichtigen die </w:t>
            </w:r>
            <w:r>
              <w:rPr>
                <w:rFonts w:ascii="Verdana" w:hAnsi="Verdana"/>
                <w:sz w:val="18"/>
                <w:szCs w:val="18"/>
              </w:rPr>
              <w:t>niet betrokken zijn bij</w:t>
            </w:r>
            <w:r w:rsidRPr="00B37F69">
              <w:rPr>
                <w:rFonts w:ascii="Verdana" w:hAnsi="Verdana"/>
                <w:sz w:val="18"/>
                <w:szCs w:val="18"/>
              </w:rPr>
              <w:t xml:space="preserve"> grondslaguitholling met betrekking tot inkomen uit in Nederland gelegen </w:t>
            </w:r>
            <w:r>
              <w:rPr>
                <w:rFonts w:ascii="Verdana" w:hAnsi="Verdana"/>
                <w:sz w:val="18"/>
                <w:szCs w:val="18"/>
              </w:rPr>
              <w:t xml:space="preserve">aan derden verhuurd </w:t>
            </w:r>
            <w:r w:rsidRPr="00B37F69">
              <w:rPr>
                <w:rFonts w:ascii="Verdana" w:hAnsi="Verdana"/>
                <w:sz w:val="18"/>
                <w:szCs w:val="18"/>
              </w:rPr>
              <w:t xml:space="preserve">vastgoed. </w:t>
            </w:r>
            <w:r>
              <w:rPr>
                <w:rFonts w:ascii="Verdana" w:hAnsi="Verdana"/>
                <w:sz w:val="18"/>
                <w:szCs w:val="18"/>
              </w:rPr>
              <w:t>D</w:t>
            </w:r>
            <w:r w:rsidRPr="00B37F69">
              <w:rPr>
                <w:rFonts w:ascii="Verdana" w:hAnsi="Verdana"/>
                <w:sz w:val="18"/>
                <w:szCs w:val="18"/>
              </w:rPr>
              <w:t>eze belastingplichtigen</w:t>
            </w:r>
            <w:r>
              <w:rPr>
                <w:rFonts w:ascii="Verdana" w:hAnsi="Verdana"/>
                <w:sz w:val="18"/>
                <w:szCs w:val="18"/>
              </w:rPr>
              <w:t xml:space="preserve"> zullen door de maatregel meer </w:t>
            </w:r>
            <w:r w:rsidRPr="00B37F69">
              <w:rPr>
                <w:rFonts w:ascii="Verdana" w:hAnsi="Verdana"/>
                <w:sz w:val="18"/>
                <w:szCs w:val="18"/>
              </w:rPr>
              <w:t xml:space="preserve">regeldruk </w:t>
            </w:r>
            <w:r>
              <w:rPr>
                <w:rFonts w:ascii="Verdana" w:hAnsi="Verdana"/>
                <w:sz w:val="18"/>
                <w:szCs w:val="18"/>
              </w:rPr>
              <w:t>ervaren</w:t>
            </w:r>
            <w:r w:rsidRPr="00B37F69">
              <w:rPr>
                <w:rFonts w:ascii="Verdana" w:hAnsi="Verdana"/>
                <w:sz w:val="18"/>
                <w:szCs w:val="18"/>
              </w:rPr>
              <w:t xml:space="preserve"> en mogelijk minder rente in aftrek kunnen brengen dan onder de huidige regeling het geval is. </w:t>
            </w:r>
          </w:p>
          <w:p w:rsidR="00861E58" w:rsidP="00861E58" w:rsidRDefault="00F05C3E" w14:paraId="4D67C5F6" w14:textId="77777777">
            <w:pPr>
              <w:pStyle w:val="Lijstalinea"/>
              <w:numPr>
                <w:ilvl w:val="0"/>
                <w:numId w:val="8"/>
              </w:numPr>
              <w:rPr>
                <w:rFonts w:ascii="Verdana" w:hAnsi="Verdana"/>
                <w:sz w:val="18"/>
                <w:szCs w:val="18"/>
              </w:rPr>
            </w:pPr>
            <w:r>
              <w:rPr>
                <w:rFonts w:ascii="Verdana" w:hAnsi="Verdana"/>
                <w:sz w:val="18"/>
                <w:szCs w:val="18"/>
              </w:rPr>
              <w:t xml:space="preserve">Daarmee wordt geen optimale </w:t>
            </w:r>
            <w:r w:rsidR="000B4003">
              <w:rPr>
                <w:rFonts w:ascii="Verdana" w:hAnsi="Verdana"/>
                <w:sz w:val="18"/>
                <w:szCs w:val="18"/>
              </w:rPr>
              <w:t xml:space="preserve">verhouding gerealiseerd tussen het </w:t>
            </w:r>
            <w:proofErr w:type="gramStart"/>
            <w:r w:rsidR="000B4003">
              <w:rPr>
                <w:rFonts w:ascii="Verdana" w:hAnsi="Verdana"/>
                <w:sz w:val="18"/>
                <w:szCs w:val="18"/>
              </w:rPr>
              <w:t>beoogde doel</w:t>
            </w:r>
            <w:proofErr w:type="gramEnd"/>
            <w:r w:rsidR="00442589">
              <w:rPr>
                <w:rFonts w:ascii="Verdana" w:hAnsi="Verdana"/>
                <w:sz w:val="18"/>
                <w:szCs w:val="18"/>
              </w:rPr>
              <w:t xml:space="preserve"> (voorkoming grondslaguitholling </w:t>
            </w:r>
            <w:r w:rsidRPr="00442589" w:rsidR="00442589">
              <w:rPr>
                <w:rFonts w:ascii="Verdana" w:hAnsi="Verdana"/>
                <w:sz w:val="18"/>
                <w:szCs w:val="18"/>
              </w:rPr>
              <w:t xml:space="preserve">met betrekking tot inkomen uit Nederlands </w:t>
            </w:r>
            <w:r w:rsidR="00032412">
              <w:rPr>
                <w:rFonts w:ascii="Verdana" w:hAnsi="Verdana"/>
                <w:sz w:val="18"/>
                <w:szCs w:val="18"/>
              </w:rPr>
              <w:t xml:space="preserve">aan derden verhuurd </w:t>
            </w:r>
            <w:r w:rsidRPr="00442589" w:rsidR="00442589">
              <w:rPr>
                <w:rFonts w:ascii="Verdana" w:hAnsi="Verdana"/>
                <w:sz w:val="18"/>
                <w:szCs w:val="18"/>
              </w:rPr>
              <w:t>vastgoed)</w:t>
            </w:r>
            <w:r w:rsidR="000B4003">
              <w:rPr>
                <w:rFonts w:ascii="Verdana" w:hAnsi="Verdana"/>
                <w:sz w:val="18"/>
                <w:szCs w:val="18"/>
              </w:rPr>
              <w:t xml:space="preserve"> en de negatieve neveneffecten.</w:t>
            </w:r>
          </w:p>
          <w:p w:rsidRPr="00861E58" w:rsidR="00861E58" w:rsidP="00861E58" w:rsidRDefault="00861E58" w14:paraId="4E3AFD51" w14:textId="3595FE39">
            <w:pPr>
              <w:pStyle w:val="Lijstalinea"/>
              <w:ind w:left="360"/>
              <w:rPr>
                <w:rFonts w:ascii="Verdana" w:hAnsi="Verdana"/>
                <w:sz w:val="18"/>
                <w:szCs w:val="18"/>
              </w:rPr>
            </w:pPr>
          </w:p>
        </w:tc>
      </w:tr>
      <w:tr w:rsidRPr="0005317A" w:rsidR="00547926" w:rsidTr="005229A6" w14:paraId="3CE1B2F8" w14:textId="77777777">
        <w:trPr>
          <w:trHeight w:val="1037"/>
        </w:trPr>
        <w:tc>
          <w:tcPr>
            <w:tcW w:w="1809" w:type="dxa"/>
            <w:tcBorders>
              <w:top w:val="single" w:color="0066A4" w:sz="4" w:space="0"/>
              <w:left w:val="nil"/>
              <w:bottom w:val="single" w:color="0066A4" w:sz="4" w:space="0"/>
              <w:right w:val="nil"/>
            </w:tcBorders>
          </w:tcPr>
          <w:p w:rsidRPr="00841B04" w:rsidR="00547926" w:rsidP="005229A6" w:rsidRDefault="00547926" w14:paraId="2BA81169" w14:textId="77777777">
            <w:pPr>
              <w:ind w:left="108"/>
              <w:rPr>
                <w:rFonts w:ascii="Verdana" w:hAnsi="Verdana" w:eastAsia="Verdana" w:cs="Verdana"/>
                <w:color w:val="0066A4"/>
                <w:sz w:val="18"/>
                <w:szCs w:val="18"/>
              </w:rPr>
            </w:pPr>
            <w:r w:rsidRPr="00841B04">
              <w:rPr>
                <w:rFonts w:ascii="Verdana" w:hAnsi="Verdana" w:eastAsia="Verdana" w:cs="Verdana"/>
                <w:color w:val="0066A4"/>
                <w:sz w:val="18"/>
                <w:szCs w:val="18"/>
              </w:rPr>
              <w:t>JURIDISCHE HOUDBAARHEID</w:t>
            </w:r>
          </w:p>
        </w:tc>
        <w:tc>
          <w:tcPr>
            <w:tcW w:w="6946" w:type="dxa"/>
            <w:tcBorders>
              <w:top w:val="single" w:color="0066A4" w:sz="4" w:space="0"/>
              <w:left w:val="nil"/>
              <w:bottom w:val="single" w:color="0066A4" w:sz="4" w:space="0"/>
              <w:right w:val="nil"/>
            </w:tcBorders>
            <w:vAlign w:val="center"/>
          </w:tcPr>
          <w:p w:rsidRPr="00911864" w:rsidR="00547926" w:rsidP="005229A6" w:rsidRDefault="001E2493" w14:paraId="69B0C0CF" w14:textId="552B566E">
            <w:pPr>
              <w:pStyle w:val="Lijstalinea"/>
              <w:numPr>
                <w:ilvl w:val="0"/>
                <w:numId w:val="1"/>
              </w:numPr>
              <w:rPr>
                <w:rFonts w:ascii="Verdana" w:hAnsi="Verdana"/>
                <w:sz w:val="18"/>
                <w:szCs w:val="18"/>
              </w:rPr>
            </w:pPr>
            <w:r>
              <w:rPr>
                <w:rFonts w:ascii="Verdana" w:hAnsi="Verdana"/>
                <w:sz w:val="18"/>
                <w:szCs w:val="18"/>
              </w:rPr>
              <w:t xml:space="preserve">Er worden geen </w:t>
            </w:r>
            <w:r w:rsidR="00442589">
              <w:rPr>
                <w:rFonts w:ascii="Verdana" w:hAnsi="Verdana"/>
                <w:sz w:val="18"/>
                <w:szCs w:val="18"/>
              </w:rPr>
              <w:t xml:space="preserve">aanzienlijke </w:t>
            </w:r>
            <w:r>
              <w:rPr>
                <w:rFonts w:ascii="Verdana" w:hAnsi="Verdana"/>
                <w:sz w:val="18"/>
                <w:szCs w:val="18"/>
              </w:rPr>
              <w:t xml:space="preserve">risico’s verwacht ten aanzien van de juridische houdbaarheid van deze beleidsoptie. </w:t>
            </w:r>
          </w:p>
        </w:tc>
      </w:tr>
      <w:tr w:rsidRPr="0005317A" w:rsidR="00547926" w:rsidTr="005229A6" w14:paraId="455E7CBB" w14:textId="77777777">
        <w:trPr>
          <w:trHeight w:val="1037"/>
        </w:trPr>
        <w:tc>
          <w:tcPr>
            <w:tcW w:w="1809" w:type="dxa"/>
            <w:tcBorders>
              <w:top w:val="single" w:color="0066A4" w:sz="4" w:space="0"/>
              <w:left w:val="nil"/>
              <w:bottom w:val="single" w:color="0066A4" w:sz="4" w:space="0"/>
              <w:right w:val="nil"/>
            </w:tcBorders>
          </w:tcPr>
          <w:p w:rsidR="00547926" w:rsidP="005229A6" w:rsidRDefault="00D32310" w14:paraId="399BB1E8" w14:textId="3CCB6752">
            <w:pPr>
              <w:ind w:left="108"/>
              <w:rPr>
                <w:rFonts w:ascii="Verdana" w:hAnsi="Verdana" w:eastAsia="Verdana" w:cs="Verdana"/>
                <w:color w:val="0066A4"/>
                <w:sz w:val="18"/>
              </w:rPr>
            </w:pPr>
            <w:r>
              <w:rPr>
                <w:rFonts w:ascii="Verdana" w:hAnsi="Verdana" w:eastAsia="Verdana" w:cs="Verdana"/>
                <w:color w:val="0066A4"/>
                <w:sz w:val="18"/>
              </w:rPr>
              <w:t>KRACHTENVELD</w:t>
            </w:r>
          </w:p>
        </w:tc>
        <w:tc>
          <w:tcPr>
            <w:tcW w:w="6946" w:type="dxa"/>
            <w:tcBorders>
              <w:top w:val="single" w:color="0066A4" w:sz="4" w:space="0"/>
              <w:left w:val="nil"/>
              <w:bottom w:val="single" w:color="0066A4" w:sz="4" w:space="0"/>
              <w:right w:val="nil"/>
            </w:tcBorders>
            <w:vAlign w:val="center"/>
          </w:tcPr>
          <w:p w:rsidR="00D32310" w:rsidP="005229A6" w:rsidRDefault="000B4003" w14:paraId="6FDB3547" w14:textId="54AC12C3">
            <w:pPr>
              <w:pStyle w:val="Lijstalinea"/>
              <w:numPr>
                <w:ilvl w:val="0"/>
                <w:numId w:val="2"/>
              </w:numPr>
              <w:rPr>
                <w:rFonts w:ascii="Verdana" w:hAnsi="Verdana"/>
                <w:sz w:val="18"/>
                <w:szCs w:val="18"/>
              </w:rPr>
            </w:pPr>
            <w:r>
              <w:rPr>
                <w:rFonts w:ascii="Verdana" w:hAnsi="Verdana"/>
                <w:sz w:val="18"/>
                <w:szCs w:val="18"/>
              </w:rPr>
              <w:t>Deze generieke</w:t>
            </w:r>
            <w:r w:rsidR="00442589">
              <w:rPr>
                <w:rFonts w:ascii="Verdana" w:hAnsi="Verdana"/>
                <w:sz w:val="18"/>
                <w:szCs w:val="18"/>
              </w:rPr>
              <w:t xml:space="preserve"> en </w:t>
            </w:r>
            <w:r>
              <w:rPr>
                <w:rFonts w:ascii="Verdana" w:hAnsi="Verdana"/>
                <w:sz w:val="18"/>
                <w:szCs w:val="18"/>
              </w:rPr>
              <w:t xml:space="preserve">voorwaardelijke verlaging van de drempel heeft </w:t>
            </w:r>
            <w:r w:rsidR="00442589">
              <w:rPr>
                <w:rFonts w:ascii="Verdana" w:hAnsi="Verdana"/>
                <w:sz w:val="18"/>
                <w:szCs w:val="18"/>
              </w:rPr>
              <w:t xml:space="preserve">potentieel </w:t>
            </w:r>
            <w:r>
              <w:rPr>
                <w:rFonts w:ascii="Verdana" w:hAnsi="Verdana"/>
                <w:sz w:val="18"/>
                <w:szCs w:val="18"/>
              </w:rPr>
              <w:t>negatieve gevolgen voor het vestigings</w:t>
            </w:r>
            <w:r w:rsidR="00D70B53">
              <w:rPr>
                <w:rFonts w:ascii="Verdana" w:hAnsi="Verdana"/>
                <w:sz w:val="18"/>
                <w:szCs w:val="18"/>
              </w:rPr>
              <w:t>- en investerings</w:t>
            </w:r>
            <w:r>
              <w:rPr>
                <w:rFonts w:ascii="Verdana" w:hAnsi="Verdana"/>
                <w:sz w:val="18"/>
                <w:szCs w:val="18"/>
              </w:rPr>
              <w:t>klimaat</w:t>
            </w:r>
            <w:r w:rsidR="00442589">
              <w:rPr>
                <w:rFonts w:ascii="Verdana" w:hAnsi="Verdana"/>
                <w:sz w:val="18"/>
                <w:szCs w:val="18"/>
              </w:rPr>
              <w:t xml:space="preserve"> omdat deze beleidsoptie een st</w:t>
            </w:r>
            <w:r w:rsidR="007B4AC4">
              <w:rPr>
                <w:rFonts w:ascii="Verdana" w:hAnsi="Verdana"/>
                <w:sz w:val="18"/>
                <w:szCs w:val="18"/>
              </w:rPr>
              <w:t>r</w:t>
            </w:r>
            <w:r w:rsidR="00442589">
              <w:rPr>
                <w:rFonts w:ascii="Verdana" w:hAnsi="Verdana"/>
                <w:sz w:val="18"/>
                <w:szCs w:val="18"/>
              </w:rPr>
              <w:t>engere implementatie van ATAD1 impliceert</w:t>
            </w:r>
            <w:r w:rsidR="007B4AC4">
              <w:rPr>
                <w:rFonts w:ascii="Verdana" w:hAnsi="Verdana"/>
                <w:sz w:val="18"/>
                <w:szCs w:val="18"/>
              </w:rPr>
              <w:t xml:space="preserve"> (een nationale kop). </w:t>
            </w:r>
            <w:r w:rsidR="00442589">
              <w:rPr>
                <w:rFonts w:ascii="Verdana" w:hAnsi="Verdana"/>
                <w:sz w:val="18"/>
                <w:szCs w:val="18"/>
              </w:rPr>
              <w:t xml:space="preserve"> </w:t>
            </w:r>
          </w:p>
          <w:p w:rsidR="00547926" w:rsidP="00D32310" w:rsidRDefault="00BA693B" w14:paraId="2B803AE3" w14:textId="3AEF95B3">
            <w:pPr>
              <w:pStyle w:val="Lijstalinea"/>
              <w:numPr>
                <w:ilvl w:val="0"/>
                <w:numId w:val="2"/>
              </w:numPr>
              <w:rPr>
                <w:rFonts w:ascii="Verdana" w:hAnsi="Verdana"/>
                <w:sz w:val="18"/>
                <w:szCs w:val="18"/>
              </w:rPr>
            </w:pPr>
            <w:r>
              <w:rPr>
                <w:rFonts w:ascii="Verdana" w:hAnsi="Verdana"/>
                <w:sz w:val="18"/>
                <w:szCs w:val="18"/>
              </w:rPr>
              <w:t>D</w:t>
            </w:r>
            <w:r w:rsidRPr="00BA693B">
              <w:rPr>
                <w:rFonts w:ascii="Verdana" w:hAnsi="Verdana"/>
                <w:sz w:val="18"/>
                <w:szCs w:val="18"/>
              </w:rPr>
              <w:t xml:space="preserve">eze </w:t>
            </w:r>
            <w:r>
              <w:rPr>
                <w:rFonts w:ascii="Verdana" w:hAnsi="Verdana"/>
                <w:sz w:val="18"/>
                <w:szCs w:val="18"/>
              </w:rPr>
              <w:t xml:space="preserve">beleidsoptie </w:t>
            </w:r>
            <w:r w:rsidRPr="00BA693B">
              <w:rPr>
                <w:rFonts w:ascii="Verdana" w:hAnsi="Verdana"/>
                <w:sz w:val="18"/>
                <w:szCs w:val="18"/>
              </w:rPr>
              <w:t xml:space="preserve">treft niet alleen de beoogde doelgroep </w:t>
            </w:r>
            <w:r>
              <w:rPr>
                <w:rFonts w:ascii="Verdana" w:hAnsi="Verdana"/>
                <w:sz w:val="18"/>
                <w:szCs w:val="18"/>
              </w:rPr>
              <w:t>(</w:t>
            </w:r>
            <w:r w:rsidRPr="00BA693B">
              <w:rPr>
                <w:rFonts w:ascii="Verdana" w:hAnsi="Verdana"/>
                <w:sz w:val="18"/>
                <w:szCs w:val="18"/>
              </w:rPr>
              <w:t xml:space="preserve">investeerders </w:t>
            </w:r>
            <w:r w:rsidR="00D46B6D">
              <w:rPr>
                <w:rFonts w:ascii="Verdana" w:hAnsi="Verdana"/>
                <w:sz w:val="18"/>
                <w:szCs w:val="18"/>
              </w:rPr>
              <w:t xml:space="preserve">met aan derden verhuurd vastgoed </w:t>
            </w:r>
            <w:r w:rsidRPr="00BA693B">
              <w:rPr>
                <w:rFonts w:ascii="Verdana" w:hAnsi="Verdana"/>
                <w:sz w:val="18"/>
                <w:szCs w:val="18"/>
              </w:rPr>
              <w:t>met gestructureerde rentelasten</w:t>
            </w:r>
            <w:r>
              <w:rPr>
                <w:rFonts w:ascii="Verdana" w:hAnsi="Verdana"/>
                <w:sz w:val="18"/>
                <w:szCs w:val="18"/>
              </w:rPr>
              <w:t>)</w:t>
            </w:r>
            <w:r w:rsidRPr="00BA693B">
              <w:rPr>
                <w:rFonts w:ascii="Verdana" w:hAnsi="Verdana"/>
                <w:sz w:val="18"/>
                <w:szCs w:val="18"/>
              </w:rPr>
              <w:t xml:space="preserve"> maar </w:t>
            </w:r>
            <w:r w:rsidR="00BA718D">
              <w:rPr>
                <w:rFonts w:ascii="Verdana" w:hAnsi="Verdana"/>
                <w:sz w:val="18"/>
                <w:szCs w:val="18"/>
              </w:rPr>
              <w:t>treft</w:t>
            </w:r>
            <w:r w:rsidR="00625855">
              <w:rPr>
                <w:rFonts w:ascii="Verdana" w:hAnsi="Verdana"/>
                <w:sz w:val="18"/>
                <w:szCs w:val="18"/>
              </w:rPr>
              <w:t xml:space="preserve"> </w:t>
            </w:r>
            <w:r w:rsidRPr="00BA693B">
              <w:rPr>
                <w:rFonts w:ascii="Verdana" w:hAnsi="Verdana"/>
                <w:sz w:val="18"/>
                <w:szCs w:val="18"/>
              </w:rPr>
              <w:t>ook het midden- en kleinbedrijf dat zich niet bezighoudt met het uithollen van de Nederlandse belastinggrondslag voor inkomsten uit Nederlands</w:t>
            </w:r>
            <w:r w:rsidR="00032412">
              <w:rPr>
                <w:rFonts w:ascii="Verdana" w:hAnsi="Verdana"/>
                <w:sz w:val="18"/>
                <w:szCs w:val="18"/>
              </w:rPr>
              <w:t xml:space="preserve"> aan derden verhuurd</w:t>
            </w:r>
            <w:r w:rsidRPr="00BA693B">
              <w:rPr>
                <w:rFonts w:ascii="Verdana" w:hAnsi="Verdana"/>
                <w:sz w:val="18"/>
                <w:szCs w:val="18"/>
              </w:rPr>
              <w:t xml:space="preserve"> vastgoed.</w:t>
            </w:r>
            <w:r>
              <w:rPr>
                <w:rFonts w:ascii="Verdana" w:hAnsi="Verdana"/>
                <w:sz w:val="18"/>
                <w:szCs w:val="18"/>
              </w:rPr>
              <w:t xml:space="preserve"> </w:t>
            </w:r>
          </w:p>
          <w:p w:rsidRPr="00D70B53" w:rsidR="00D70B53" w:rsidP="00D70B53" w:rsidRDefault="00D70B53" w14:paraId="5C2C03DB" w14:textId="67983971">
            <w:pPr>
              <w:pStyle w:val="Lijstalinea"/>
              <w:numPr>
                <w:ilvl w:val="0"/>
                <w:numId w:val="2"/>
              </w:numPr>
              <w:rPr>
                <w:rFonts w:ascii="Verdana" w:hAnsi="Verdana"/>
                <w:sz w:val="18"/>
                <w:szCs w:val="18"/>
              </w:rPr>
            </w:pPr>
            <w:r>
              <w:rPr>
                <w:rFonts w:ascii="Verdana" w:hAnsi="Verdana"/>
                <w:sz w:val="18"/>
                <w:szCs w:val="18"/>
              </w:rPr>
              <w:lastRenderedPageBreak/>
              <w:t xml:space="preserve">Deze beleidsoptie leidt tot een toename van de complexiteit en administratieve lasten. Dit </w:t>
            </w:r>
            <w:r w:rsidRPr="000976B8">
              <w:rPr>
                <w:rFonts w:ascii="Verdana" w:hAnsi="Verdana"/>
                <w:sz w:val="18"/>
                <w:szCs w:val="18"/>
              </w:rPr>
              <w:t>past niet in de algemene (politieke) wens om te komen tot minder complexe maatregelen (en een vereenvoudiging van het belastingstelsel).</w:t>
            </w:r>
          </w:p>
          <w:p w:rsidR="00BA693B" w:rsidP="00D32310" w:rsidRDefault="00BA693B" w14:paraId="67016178" w14:textId="1F9BC652">
            <w:pPr>
              <w:pStyle w:val="Lijstalinea"/>
              <w:numPr>
                <w:ilvl w:val="0"/>
                <w:numId w:val="2"/>
              </w:numPr>
              <w:rPr>
                <w:rFonts w:ascii="Verdana" w:hAnsi="Verdana"/>
                <w:sz w:val="18"/>
                <w:szCs w:val="18"/>
              </w:rPr>
            </w:pPr>
            <w:r>
              <w:rPr>
                <w:rFonts w:ascii="Verdana" w:hAnsi="Verdana"/>
                <w:sz w:val="18"/>
                <w:szCs w:val="18"/>
              </w:rPr>
              <w:t xml:space="preserve">Dit kan vragen oproepen </w:t>
            </w:r>
            <w:r w:rsidRPr="00BA693B">
              <w:rPr>
                <w:rFonts w:ascii="Verdana" w:hAnsi="Verdana"/>
                <w:sz w:val="18"/>
                <w:szCs w:val="18"/>
              </w:rPr>
              <w:t>over</w:t>
            </w:r>
            <w:r>
              <w:rPr>
                <w:rFonts w:ascii="Verdana" w:hAnsi="Verdana"/>
                <w:sz w:val="18"/>
                <w:szCs w:val="18"/>
              </w:rPr>
              <w:t xml:space="preserve"> zowel de</w:t>
            </w:r>
            <w:r w:rsidRPr="00BA693B">
              <w:rPr>
                <w:rFonts w:ascii="Verdana" w:hAnsi="Verdana"/>
                <w:sz w:val="18"/>
                <w:szCs w:val="18"/>
              </w:rPr>
              <w:t xml:space="preserve"> proportionaliteit van </w:t>
            </w:r>
            <w:r>
              <w:rPr>
                <w:rFonts w:ascii="Verdana" w:hAnsi="Verdana"/>
                <w:sz w:val="18"/>
                <w:szCs w:val="18"/>
              </w:rPr>
              <w:t>de maatregel</w:t>
            </w:r>
            <w:r w:rsidRPr="00BA693B">
              <w:rPr>
                <w:rFonts w:ascii="Verdana" w:hAnsi="Verdana"/>
                <w:sz w:val="18"/>
                <w:szCs w:val="18"/>
              </w:rPr>
              <w:t xml:space="preserve"> </w:t>
            </w:r>
            <w:r>
              <w:rPr>
                <w:rFonts w:ascii="Verdana" w:hAnsi="Verdana"/>
                <w:sz w:val="18"/>
                <w:szCs w:val="18"/>
              </w:rPr>
              <w:t xml:space="preserve">als </w:t>
            </w:r>
            <w:r w:rsidRPr="00BA693B">
              <w:rPr>
                <w:rFonts w:ascii="Verdana" w:hAnsi="Verdana"/>
                <w:sz w:val="18"/>
                <w:szCs w:val="18"/>
              </w:rPr>
              <w:t xml:space="preserve">de balans tussen het bestrijden van ongewenste fiscale constructies en het waarborgen van een aantrekkelijk </w:t>
            </w:r>
            <w:r>
              <w:rPr>
                <w:rFonts w:ascii="Verdana" w:hAnsi="Verdana"/>
                <w:sz w:val="18"/>
                <w:szCs w:val="18"/>
              </w:rPr>
              <w:t>investerings- en vestigingsklimaat.</w:t>
            </w:r>
          </w:p>
          <w:p w:rsidRPr="000B4003" w:rsidR="00D32310" w:rsidP="00E74BC7" w:rsidRDefault="00D32310" w14:paraId="2504D4A5" w14:textId="4797CA52">
            <w:pPr>
              <w:pStyle w:val="Lijstalinea"/>
              <w:ind w:left="360"/>
              <w:rPr>
                <w:rFonts w:ascii="Verdana" w:hAnsi="Verdana"/>
                <w:sz w:val="18"/>
                <w:szCs w:val="18"/>
              </w:rPr>
            </w:pPr>
          </w:p>
        </w:tc>
      </w:tr>
      <w:tr w:rsidRPr="0005317A" w:rsidR="00547926" w:rsidTr="005229A6" w14:paraId="714C509A" w14:textId="77777777">
        <w:trPr>
          <w:trHeight w:val="1037"/>
        </w:trPr>
        <w:tc>
          <w:tcPr>
            <w:tcW w:w="1809" w:type="dxa"/>
            <w:tcBorders>
              <w:top w:val="single" w:color="0066A4" w:sz="4" w:space="0"/>
              <w:left w:val="nil"/>
              <w:bottom w:val="single" w:color="0066A4" w:sz="4" w:space="0"/>
              <w:right w:val="nil"/>
            </w:tcBorders>
          </w:tcPr>
          <w:p w:rsidR="00547926" w:rsidP="005229A6" w:rsidRDefault="00547926" w14:paraId="54E3F404" w14:textId="77777777">
            <w:pPr>
              <w:ind w:left="108"/>
              <w:rPr>
                <w:rFonts w:ascii="Verdana" w:hAnsi="Verdana" w:eastAsia="Verdana" w:cs="Verdana"/>
                <w:color w:val="0066A4"/>
                <w:sz w:val="18"/>
              </w:rPr>
            </w:pPr>
            <w:r>
              <w:rPr>
                <w:rFonts w:ascii="Verdana" w:hAnsi="Verdana" w:eastAsia="Verdana" w:cs="Verdana"/>
                <w:color w:val="0066A4"/>
                <w:sz w:val="18"/>
              </w:rPr>
              <w:lastRenderedPageBreak/>
              <w:t>BUDGETTAIRE GEVOLGEN</w:t>
            </w:r>
          </w:p>
        </w:tc>
        <w:tc>
          <w:tcPr>
            <w:tcW w:w="6946" w:type="dxa"/>
            <w:tcBorders>
              <w:top w:val="single" w:color="0066A4" w:sz="4" w:space="0"/>
              <w:left w:val="nil"/>
              <w:bottom w:val="single" w:color="0066A4" w:sz="4" w:space="0"/>
              <w:right w:val="nil"/>
            </w:tcBorders>
            <w:vAlign w:val="center"/>
          </w:tcPr>
          <w:p w:rsidRPr="00FC6E24" w:rsidR="00547926" w:rsidP="00FC6E24" w:rsidRDefault="00DE5E78" w14:paraId="1F8CA2C0" w14:textId="524B5A60">
            <w:pPr>
              <w:pStyle w:val="Lijstalinea"/>
              <w:numPr>
                <w:ilvl w:val="0"/>
                <w:numId w:val="2"/>
              </w:numPr>
              <w:spacing w:line="244" w:lineRule="auto"/>
              <w:rPr>
                <w:rFonts w:ascii="Verdana" w:hAnsi="Verdana" w:eastAsia="Verdana" w:cs="Verdana"/>
                <w:color w:val="000000"/>
                <w:sz w:val="18"/>
              </w:rPr>
            </w:pPr>
            <w:r w:rsidRPr="00FC6E24">
              <w:rPr>
                <w:rFonts w:ascii="Verdana" w:hAnsi="Verdana" w:eastAsia="Verdana" w:cs="Verdana"/>
                <w:color w:val="000000"/>
                <w:sz w:val="18"/>
              </w:rPr>
              <w:t>Deze beleidsoptie heeft naar verwachting een opbrengst in ordegrootte van € 200 miljoen.</w:t>
            </w:r>
          </w:p>
        </w:tc>
      </w:tr>
    </w:tbl>
    <w:p w:rsidR="002F4501" w:rsidP="00304A68" w:rsidRDefault="002F4501" w14:paraId="7483354A" w14:textId="77777777">
      <w:pPr>
        <w:rPr>
          <w:rFonts w:ascii="Verdana" w:hAnsi="Verdana" w:eastAsia="Verdana" w:cs="Verdana"/>
          <w:b/>
          <w:bCs/>
          <w:color w:val="0066A4"/>
          <w:sz w:val="20"/>
          <w:lang w:eastAsia="nl-NL"/>
        </w:rPr>
      </w:pPr>
    </w:p>
    <w:p w:rsidRPr="0005317A" w:rsidR="007B75C6" w:rsidP="00304A68" w:rsidRDefault="002F4501" w14:paraId="65E79CD4" w14:textId="68A04DBE">
      <w:pPr>
        <w:rPr>
          <w:rFonts w:ascii="Verdana" w:hAnsi="Verdana" w:eastAsia="Verdana" w:cs="Verdana"/>
          <w:color w:val="000000"/>
          <w:sz w:val="18"/>
          <w:lang w:eastAsia="nl-NL"/>
        </w:rPr>
      </w:pPr>
      <w:r>
        <w:rPr>
          <w:rFonts w:ascii="Verdana" w:hAnsi="Verdana" w:eastAsia="Verdana" w:cs="Verdana"/>
          <w:b/>
          <w:bCs/>
          <w:color w:val="0066A4"/>
          <w:sz w:val="20"/>
          <w:lang w:eastAsia="nl-NL"/>
        </w:rPr>
        <w:br w:type="column"/>
      </w:r>
      <w:r w:rsidRPr="007F3C15" w:rsidR="007B75C6">
        <w:rPr>
          <w:rFonts w:ascii="Verdana" w:hAnsi="Verdana" w:eastAsia="Verdana" w:cs="Verdana"/>
          <w:b/>
          <w:bCs/>
          <w:color w:val="0066A4"/>
          <w:sz w:val="20"/>
          <w:lang w:eastAsia="nl-NL"/>
        </w:rPr>
        <w:lastRenderedPageBreak/>
        <w:t>BELEIDSOPTIE</w:t>
      </w:r>
      <w:r w:rsidRPr="007F3C15" w:rsidR="00AE5DBA">
        <w:rPr>
          <w:rFonts w:ascii="Verdana" w:hAnsi="Verdana" w:eastAsia="Verdana" w:cs="Verdana"/>
          <w:b/>
          <w:bCs/>
          <w:color w:val="0066A4"/>
          <w:sz w:val="20"/>
          <w:lang w:eastAsia="nl-NL"/>
        </w:rPr>
        <w:t xml:space="preserve"> </w:t>
      </w:r>
      <w:r w:rsidR="00FC6E24">
        <w:rPr>
          <w:rFonts w:ascii="Verdana" w:hAnsi="Verdana" w:eastAsia="Verdana" w:cs="Verdana"/>
          <w:b/>
          <w:bCs/>
          <w:color w:val="0066A4"/>
          <w:sz w:val="20"/>
          <w:lang w:eastAsia="nl-NL"/>
        </w:rPr>
        <w:t>2</w:t>
      </w:r>
      <w:r w:rsidRPr="007F3C15" w:rsidR="00B83B10">
        <w:rPr>
          <w:rFonts w:ascii="Verdana" w:hAnsi="Verdana" w:eastAsia="Verdana" w:cs="Verdana"/>
          <w:b/>
          <w:bCs/>
          <w:color w:val="0066A4"/>
          <w:sz w:val="20"/>
          <w:lang w:eastAsia="nl-NL"/>
        </w:rPr>
        <w:t xml:space="preserve">: </w:t>
      </w:r>
      <w:r w:rsidR="001147D9">
        <w:rPr>
          <w:rFonts w:ascii="Verdana" w:hAnsi="Verdana" w:eastAsia="Verdana" w:cs="Verdana"/>
          <w:b/>
          <w:bCs/>
          <w:color w:val="0066A4"/>
          <w:sz w:val="20"/>
          <w:lang w:eastAsia="nl-NL"/>
        </w:rPr>
        <w:t>Beperking drempel bij groepsfinanciering van vastgoedlichamen</w:t>
      </w:r>
    </w:p>
    <w:tbl>
      <w:tblPr>
        <w:tblStyle w:val="TableGrid"/>
        <w:tblW w:w="8755" w:type="dxa"/>
        <w:tblInd w:w="-108" w:type="dxa"/>
        <w:tblLayout w:type="fixed"/>
        <w:tblCellMar>
          <w:top w:w="160" w:type="dxa"/>
        </w:tblCellMar>
        <w:tblLook w:val="04A0" w:firstRow="1" w:lastRow="0" w:firstColumn="1" w:lastColumn="0" w:noHBand="0" w:noVBand="1"/>
      </w:tblPr>
      <w:tblGrid>
        <w:gridCol w:w="1809"/>
        <w:gridCol w:w="6946"/>
      </w:tblGrid>
      <w:tr w:rsidRPr="0005317A" w:rsidR="007B75C6" w:rsidTr="00943B47" w14:paraId="10D5E7D4" w14:textId="77777777">
        <w:trPr>
          <w:trHeight w:val="1179"/>
        </w:trPr>
        <w:tc>
          <w:tcPr>
            <w:tcW w:w="1809" w:type="dxa"/>
            <w:tcBorders>
              <w:top w:val="single" w:color="0066A4" w:sz="4" w:space="0"/>
              <w:left w:val="nil"/>
              <w:bottom w:val="single" w:color="0066A4" w:sz="4" w:space="0"/>
              <w:right w:val="nil"/>
            </w:tcBorders>
          </w:tcPr>
          <w:p w:rsidRPr="0005317A" w:rsidR="007B75C6" w:rsidP="00F84520" w:rsidRDefault="007B75C6" w14:paraId="01784C5B" w14:textId="77777777">
            <w:pPr>
              <w:ind w:left="108"/>
              <w:rPr>
                <w:rFonts w:ascii="Verdana" w:hAnsi="Verdana" w:eastAsia="Verdana" w:cs="Verdana"/>
                <w:color w:val="000000"/>
                <w:sz w:val="18"/>
              </w:rPr>
            </w:pPr>
            <w:r w:rsidRPr="0005317A">
              <w:rPr>
                <w:rFonts w:ascii="Verdana" w:hAnsi="Verdana" w:eastAsia="Verdana" w:cs="Verdana"/>
                <w:color w:val="0066A4"/>
                <w:sz w:val="18"/>
              </w:rPr>
              <w:t xml:space="preserve">OMSCHRIJVING </w:t>
            </w:r>
          </w:p>
        </w:tc>
        <w:tc>
          <w:tcPr>
            <w:tcW w:w="6946" w:type="dxa"/>
            <w:tcBorders>
              <w:top w:val="single" w:color="0066A4" w:sz="4" w:space="0"/>
              <w:left w:val="nil"/>
              <w:bottom w:val="single" w:color="0066A4" w:sz="4" w:space="0"/>
              <w:right w:val="nil"/>
            </w:tcBorders>
            <w:vAlign w:val="center"/>
          </w:tcPr>
          <w:p w:rsidR="00FD675B" w:rsidP="00140A7B" w:rsidRDefault="00585C3B" w14:paraId="5DEC706D" w14:textId="699780F1">
            <w:pPr>
              <w:pStyle w:val="Lijstalinea"/>
              <w:numPr>
                <w:ilvl w:val="0"/>
                <w:numId w:val="1"/>
              </w:numPr>
              <w:rPr>
                <w:rFonts w:ascii="Verdana" w:hAnsi="Verdana"/>
                <w:sz w:val="18"/>
                <w:szCs w:val="18"/>
              </w:rPr>
            </w:pPr>
            <w:r>
              <w:rPr>
                <w:rFonts w:ascii="Verdana" w:hAnsi="Verdana"/>
                <w:sz w:val="18"/>
                <w:szCs w:val="18"/>
              </w:rPr>
              <w:t>Deze beleidsoptie betreft een maatregel waarin</w:t>
            </w:r>
            <w:r w:rsidR="00032412">
              <w:rPr>
                <w:rFonts w:ascii="Verdana" w:hAnsi="Verdana"/>
                <w:sz w:val="18"/>
                <w:szCs w:val="18"/>
              </w:rPr>
              <w:t xml:space="preserve"> de</w:t>
            </w:r>
            <w:r w:rsidR="001147D9">
              <w:rPr>
                <w:rFonts w:ascii="Verdana" w:hAnsi="Verdana"/>
                <w:sz w:val="18"/>
                <w:szCs w:val="18"/>
              </w:rPr>
              <w:t xml:space="preserve"> drempel van € 1 miljoen in de earningsstrippingmaatregel </w:t>
            </w:r>
            <w:r w:rsidR="00E74BC7">
              <w:rPr>
                <w:rFonts w:ascii="Verdana" w:hAnsi="Verdana"/>
                <w:sz w:val="18"/>
                <w:szCs w:val="18"/>
              </w:rPr>
              <w:t xml:space="preserve">van artikel 15b Wet Vpb 1969 </w:t>
            </w:r>
            <w:r w:rsidR="00FD675B">
              <w:rPr>
                <w:rFonts w:ascii="Verdana" w:hAnsi="Verdana"/>
                <w:sz w:val="18"/>
                <w:szCs w:val="18"/>
              </w:rPr>
              <w:t>wordt verlaagd tot € 200.000 voor belastingplichtigen die</w:t>
            </w:r>
            <w:r w:rsidR="006D4B98">
              <w:rPr>
                <w:rFonts w:ascii="Verdana" w:hAnsi="Verdana"/>
                <w:sz w:val="18"/>
                <w:szCs w:val="18"/>
              </w:rPr>
              <w:t xml:space="preserve"> (1) kwalificeren </w:t>
            </w:r>
            <w:r w:rsidR="00FD675B">
              <w:rPr>
                <w:rFonts w:ascii="Verdana" w:hAnsi="Verdana"/>
                <w:sz w:val="18"/>
                <w:szCs w:val="18"/>
              </w:rPr>
              <w:t xml:space="preserve">als vastgoedlichaam </w:t>
            </w:r>
            <w:r w:rsidR="006D4B98">
              <w:rPr>
                <w:rFonts w:ascii="Verdana" w:hAnsi="Verdana"/>
                <w:sz w:val="18"/>
                <w:szCs w:val="18"/>
              </w:rPr>
              <w:t xml:space="preserve">en (2) </w:t>
            </w:r>
            <w:r w:rsidR="00600732">
              <w:rPr>
                <w:rFonts w:ascii="Verdana" w:hAnsi="Verdana"/>
                <w:sz w:val="18"/>
                <w:szCs w:val="18"/>
              </w:rPr>
              <w:t xml:space="preserve">in bepaalde mate </w:t>
            </w:r>
            <w:r w:rsidR="00FD675B">
              <w:rPr>
                <w:rFonts w:ascii="Verdana" w:hAnsi="Verdana"/>
                <w:sz w:val="18"/>
                <w:szCs w:val="18"/>
              </w:rPr>
              <w:t xml:space="preserve">gefinancierd </w:t>
            </w:r>
            <w:r w:rsidR="006D4B98">
              <w:rPr>
                <w:rFonts w:ascii="Verdana" w:hAnsi="Verdana"/>
                <w:sz w:val="18"/>
                <w:szCs w:val="18"/>
              </w:rPr>
              <w:t xml:space="preserve">zijn </w:t>
            </w:r>
            <w:r w:rsidR="00EE7CB9">
              <w:rPr>
                <w:rFonts w:ascii="Verdana" w:hAnsi="Verdana"/>
                <w:sz w:val="18"/>
                <w:szCs w:val="18"/>
              </w:rPr>
              <w:t xml:space="preserve">met </w:t>
            </w:r>
            <w:r w:rsidR="00391D83">
              <w:rPr>
                <w:rFonts w:ascii="Verdana" w:hAnsi="Verdana"/>
                <w:sz w:val="18"/>
                <w:szCs w:val="18"/>
              </w:rPr>
              <w:t>leningen van verbonden lichamen</w:t>
            </w:r>
            <w:r w:rsidR="00EE7CB9">
              <w:rPr>
                <w:rFonts w:ascii="Verdana" w:hAnsi="Verdana"/>
                <w:sz w:val="18"/>
                <w:szCs w:val="18"/>
              </w:rPr>
              <w:t>.</w:t>
            </w:r>
          </w:p>
          <w:p w:rsidR="006D4B98" w:rsidP="00140A7B" w:rsidRDefault="006D4B98" w14:paraId="3C1C9F29" w14:textId="2F1B1C7B">
            <w:pPr>
              <w:pStyle w:val="Lijstalinea"/>
              <w:numPr>
                <w:ilvl w:val="0"/>
                <w:numId w:val="1"/>
              </w:numPr>
              <w:rPr>
                <w:rFonts w:ascii="Verdana" w:hAnsi="Verdana"/>
                <w:sz w:val="18"/>
                <w:szCs w:val="18"/>
              </w:rPr>
            </w:pPr>
            <w:r>
              <w:rPr>
                <w:rFonts w:ascii="Verdana" w:hAnsi="Verdana"/>
                <w:sz w:val="18"/>
                <w:szCs w:val="18"/>
              </w:rPr>
              <w:t xml:space="preserve">Voor belastingplichtigen die niet aan beide voorwaarden </w:t>
            </w:r>
            <w:r w:rsidR="00582F93">
              <w:rPr>
                <w:rFonts w:ascii="Verdana" w:hAnsi="Verdana"/>
                <w:sz w:val="18"/>
                <w:szCs w:val="18"/>
              </w:rPr>
              <w:t>voldoen</w:t>
            </w:r>
            <w:r w:rsidR="00EB41BC">
              <w:rPr>
                <w:rFonts w:ascii="Verdana" w:hAnsi="Verdana"/>
                <w:sz w:val="18"/>
                <w:szCs w:val="18"/>
              </w:rPr>
              <w:t>,</w:t>
            </w:r>
            <w:r w:rsidR="00582F93">
              <w:rPr>
                <w:rFonts w:ascii="Verdana" w:hAnsi="Verdana"/>
                <w:sz w:val="18"/>
                <w:szCs w:val="18"/>
              </w:rPr>
              <w:t xml:space="preserve"> </w:t>
            </w:r>
            <w:r>
              <w:rPr>
                <w:rFonts w:ascii="Verdana" w:hAnsi="Verdana"/>
                <w:sz w:val="18"/>
                <w:szCs w:val="18"/>
              </w:rPr>
              <w:t>blijft de drempel van € 1 miljoen van toepassing.</w:t>
            </w:r>
          </w:p>
          <w:p w:rsidRPr="00585C3B" w:rsidR="00FD675B" w:rsidP="00585C3B" w:rsidRDefault="00EE7CB9" w14:paraId="29D9FCC5" w14:textId="4F9C3A32">
            <w:pPr>
              <w:pStyle w:val="Lijstalinea"/>
              <w:numPr>
                <w:ilvl w:val="0"/>
                <w:numId w:val="1"/>
              </w:numPr>
              <w:rPr>
                <w:rFonts w:ascii="Verdana" w:hAnsi="Verdana"/>
                <w:sz w:val="18"/>
                <w:szCs w:val="18"/>
              </w:rPr>
            </w:pPr>
            <w:r>
              <w:rPr>
                <w:rFonts w:ascii="Verdana" w:hAnsi="Verdana"/>
                <w:sz w:val="18"/>
                <w:szCs w:val="18"/>
              </w:rPr>
              <w:t xml:space="preserve">Voor toepassing van deze maatregel is sprake van een vastgoedlichaam </w:t>
            </w:r>
            <w:proofErr w:type="gramStart"/>
            <w:r>
              <w:rPr>
                <w:rFonts w:ascii="Verdana" w:hAnsi="Verdana"/>
                <w:sz w:val="18"/>
                <w:szCs w:val="18"/>
              </w:rPr>
              <w:t>indien</w:t>
            </w:r>
            <w:proofErr w:type="gramEnd"/>
            <w:r>
              <w:rPr>
                <w:rFonts w:ascii="Verdana" w:hAnsi="Verdana"/>
                <w:sz w:val="18"/>
                <w:szCs w:val="18"/>
              </w:rPr>
              <w:t xml:space="preserve"> de bezittingen van de belastingplichtige gedurende minimaal de helft van het jaar hoofdzakelijk bestaan uit </w:t>
            </w:r>
            <w:r w:rsidR="00032412">
              <w:rPr>
                <w:rFonts w:ascii="Verdana" w:hAnsi="Verdana"/>
                <w:sz w:val="18"/>
                <w:szCs w:val="18"/>
              </w:rPr>
              <w:t xml:space="preserve">aan derden </w:t>
            </w:r>
            <w:r>
              <w:rPr>
                <w:rFonts w:ascii="Verdana" w:hAnsi="Verdana"/>
                <w:sz w:val="18"/>
                <w:szCs w:val="18"/>
              </w:rPr>
              <w:t>verhuurd vastgoed.</w:t>
            </w:r>
            <w:r w:rsidR="009B3A3C">
              <w:rPr>
                <w:rFonts w:ascii="Verdana" w:hAnsi="Verdana"/>
                <w:sz w:val="18"/>
                <w:szCs w:val="18"/>
              </w:rPr>
              <w:t xml:space="preserve"> </w:t>
            </w:r>
            <w:r w:rsidR="00177F4C">
              <w:rPr>
                <w:rFonts w:ascii="Verdana" w:hAnsi="Verdana"/>
                <w:sz w:val="18"/>
                <w:szCs w:val="18"/>
              </w:rPr>
              <w:t>D</w:t>
            </w:r>
            <w:r w:rsidRPr="00585C3B" w:rsidR="00585C3B">
              <w:rPr>
                <w:rFonts w:ascii="Verdana" w:hAnsi="Verdana"/>
                <w:sz w:val="18"/>
                <w:szCs w:val="18"/>
              </w:rPr>
              <w:t xml:space="preserve">eze definitie </w:t>
            </w:r>
            <w:r w:rsidR="00177F4C">
              <w:rPr>
                <w:rFonts w:ascii="Verdana" w:hAnsi="Verdana"/>
                <w:sz w:val="18"/>
                <w:szCs w:val="18"/>
              </w:rPr>
              <w:t>sluit aan</w:t>
            </w:r>
            <w:r w:rsidRPr="00585C3B">
              <w:rPr>
                <w:rFonts w:ascii="Verdana" w:hAnsi="Verdana"/>
                <w:sz w:val="18"/>
                <w:szCs w:val="18"/>
              </w:rPr>
              <w:t xml:space="preserve"> bij de</w:t>
            </w:r>
            <w:r w:rsidR="00177F4C">
              <w:rPr>
                <w:rFonts w:ascii="Verdana" w:hAnsi="Verdana"/>
                <w:sz w:val="18"/>
                <w:szCs w:val="18"/>
              </w:rPr>
              <w:t xml:space="preserve"> definitie </w:t>
            </w:r>
            <w:r w:rsidR="00BA718D">
              <w:rPr>
                <w:rFonts w:ascii="Verdana" w:hAnsi="Verdana"/>
                <w:sz w:val="18"/>
                <w:szCs w:val="18"/>
              </w:rPr>
              <w:t>van de</w:t>
            </w:r>
            <w:r w:rsidR="005C0D7C">
              <w:rPr>
                <w:rFonts w:ascii="Verdana" w:hAnsi="Verdana"/>
                <w:sz w:val="18"/>
                <w:szCs w:val="18"/>
              </w:rPr>
              <w:t xml:space="preserve"> </w:t>
            </w:r>
            <w:r w:rsidR="00D46B6D">
              <w:rPr>
                <w:rFonts w:ascii="Verdana" w:hAnsi="Verdana"/>
                <w:sz w:val="18"/>
                <w:szCs w:val="18"/>
              </w:rPr>
              <w:t xml:space="preserve">uit het Belastingplan 2025 geamendeerde </w:t>
            </w:r>
            <w:r w:rsidRPr="00585C3B">
              <w:rPr>
                <w:rFonts w:ascii="Verdana" w:hAnsi="Verdana"/>
                <w:sz w:val="18"/>
                <w:szCs w:val="18"/>
              </w:rPr>
              <w:t>antifragmentatiemaatregel.</w:t>
            </w:r>
          </w:p>
          <w:p w:rsidR="00EE1482" w:rsidP="00EE7CB9" w:rsidRDefault="00EE7CB9" w14:paraId="09A18465" w14:textId="66DD4C48">
            <w:pPr>
              <w:pStyle w:val="Lijstalinea"/>
              <w:numPr>
                <w:ilvl w:val="0"/>
                <w:numId w:val="1"/>
              </w:numPr>
              <w:rPr>
                <w:rFonts w:ascii="Verdana" w:hAnsi="Verdana"/>
                <w:sz w:val="18"/>
                <w:szCs w:val="18"/>
              </w:rPr>
            </w:pPr>
            <w:r>
              <w:rPr>
                <w:rFonts w:ascii="Verdana" w:hAnsi="Verdana"/>
                <w:sz w:val="18"/>
                <w:szCs w:val="18"/>
              </w:rPr>
              <w:t xml:space="preserve">Een belastingplichtige wordt geacht </w:t>
            </w:r>
            <w:r w:rsidR="00600732">
              <w:rPr>
                <w:rFonts w:ascii="Verdana" w:hAnsi="Verdana"/>
                <w:sz w:val="18"/>
                <w:szCs w:val="18"/>
              </w:rPr>
              <w:t xml:space="preserve">in bepaalde mate </w:t>
            </w:r>
            <w:r>
              <w:rPr>
                <w:rFonts w:ascii="Verdana" w:hAnsi="Verdana"/>
                <w:sz w:val="18"/>
                <w:szCs w:val="18"/>
              </w:rPr>
              <w:t xml:space="preserve">gefinancierd te zijn met </w:t>
            </w:r>
            <w:r w:rsidR="002D798B">
              <w:rPr>
                <w:rFonts w:ascii="Verdana" w:hAnsi="Verdana"/>
                <w:sz w:val="18"/>
                <w:szCs w:val="18"/>
              </w:rPr>
              <w:t>leningen van verbonden lichamen</w:t>
            </w:r>
            <w:r>
              <w:rPr>
                <w:rFonts w:ascii="Verdana" w:hAnsi="Verdana"/>
                <w:sz w:val="18"/>
                <w:szCs w:val="18"/>
              </w:rPr>
              <w:t xml:space="preserve"> </w:t>
            </w:r>
            <w:proofErr w:type="gramStart"/>
            <w:r>
              <w:rPr>
                <w:rFonts w:ascii="Verdana" w:hAnsi="Verdana"/>
                <w:sz w:val="18"/>
                <w:szCs w:val="18"/>
              </w:rPr>
              <w:t>indien</w:t>
            </w:r>
            <w:proofErr w:type="gramEnd"/>
            <w:r w:rsidR="008F3A9C">
              <w:rPr>
                <w:rFonts w:ascii="Verdana" w:hAnsi="Verdana"/>
                <w:sz w:val="18"/>
                <w:szCs w:val="18"/>
              </w:rPr>
              <w:t xml:space="preserve"> de totale rentelasten op leningen aan verbonden lichamen</w:t>
            </w:r>
            <w:r w:rsidR="00D46B6D">
              <w:rPr>
                <w:rFonts w:ascii="Verdana" w:hAnsi="Verdana"/>
                <w:sz w:val="18"/>
                <w:szCs w:val="18"/>
              </w:rPr>
              <w:t xml:space="preserve"> meer bedraagt dan</w:t>
            </w:r>
            <w:r w:rsidR="008F3A9C">
              <w:rPr>
                <w:rFonts w:ascii="Verdana" w:hAnsi="Verdana"/>
                <w:sz w:val="18"/>
                <w:szCs w:val="18"/>
              </w:rPr>
              <w:t xml:space="preserve"> €</w:t>
            </w:r>
            <w:r w:rsidR="00E71585">
              <w:rPr>
                <w:rFonts w:ascii="Verdana" w:hAnsi="Verdana"/>
                <w:sz w:val="18"/>
                <w:szCs w:val="18"/>
              </w:rPr>
              <w:t> </w:t>
            </w:r>
            <w:r w:rsidR="008F3A9C">
              <w:rPr>
                <w:rFonts w:ascii="Verdana" w:hAnsi="Verdana"/>
                <w:sz w:val="18"/>
                <w:szCs w:val="18"/>
              </w:rPr>
              <w:t>200.000.</w:t>
            </w:r>
            <w:r>
              <w:rPr>
                <w:rFonts w:ascii="Verdana" w:hAnsi="Verdana"/>
                <w:sz w:val="18"/>
                <w:szCs w:val="18"/>
              </w:rPr>
              <w:t xml:space="preserve"> </w:t>
            </w:r>
          </w:p>
          <w:p w:rsidR="002D798B" w:rsidP="00EE7CB9" w:rsidRDefault="002D798B" w14:paraId="19D50D79" w14:textId="6A251C07">
            <w:pPr>
              <w:pStyle w:val="Lijstalinea"/>
              <w:numPr>
                <w:ilvl w:val="0"/>
                <w:numId w:val="1"/>
              </w:numPr>
              <w:rPr>
                <w:rFonts w:ascii="Verdana" w:hAnsi="Verdana"/>
                <w:sz w:val="18"/>
                <w:szCs w:val="18"/>
              </w:rPr>
            </w:pPr>
            <w:r>
              <w:rPr>
                <w:rFonts w:ascii="Verdana" w:hAnsi="Verdana"/>
                <w:sz w:val="18"/>
                <w:szCs w:val="18"/>
              </w:rPr>
              <w:t>Voor de definitie van een verbonden lichaam</w:t>
            </w:r>
            <w:r w:rsidR="004B6113">
              <w:rPr>
                <w:rFonts w:ascii="Verdana" w:hAnsi="Verdana"/>
                <w:sz w:val="18"/>
                <w:szCs w:val="18"/>
              </w:rPr>
              <w:t xml:space="preserve"> </w:t>
            </w:r>
            <w:r>
              <w:rPr>
                <w:rFonts w:ascii="Verdana" w:hAnsi="Verdana"/>
                <w:sz w:val="18"/>
                <w:szCs w:val="18"/>
              </w:rPr>
              <w:t>voor de toepassing van deze maatregel ligt het voor de hand om aan te sluiten bij de definitie van verbonden lichaam, inclusief de definitie van samenwerkende groep, als bedoeld in artikel 10a Wet Vpb 1969.</w:t>
            </w:r>
          </w:p>
          <w:p w:rsidRPr="00EE7CB9" w:rsidR="00EE7CB9" w:rsidP="00EE7CB9" w:rsidRDefault="00EE7CB9" w14:paraId="1079198D" w14:textId="5FBDF837">
            <w:pPr>
              <w:rPr>
                <w:rFonts w:ascii="Verdana" w:hAnsi="Verdana"/>
                <w:sz w:val="18"/>
                <w:szCs w:val="18"/>
              </w:rPr>
            </w:pPr>
          </w:p>
        </w:tc>
      </w:tr>
      <w:tr w:rsidRPr="0005317A" w:rsidR="007B75C6" w:rsidTr="00943B47" w14:paraId="2796469C" w14:textId="77777777">
        <w:trPr>
          <w:trHeight w:val="1479"/>
        </w:trPr>
        <w:tc>
          <w:tcPr>
            <w:tcW w:w="1809" w:type="dxa"/>
            <w:tcBorders>
              <w:top w:val="single" w:color="0066A4" w:sz="4" w:space="0"/>
              <w:left w:val="nil"/>
              <w:bottom w:val="single" w:color="0066A4" w:sz="4" w:space="0"/>
              <w:right w:val="nil"/>
            </w:tcBorders>
          </w:tcPr>
          <w:p w:rsidRPr="0005317A" w:rsidR="007B75C6" w:rsidP="00F84520" w:rsidRDefault="007F3C15" w14:paraId="792B6CEE" w14:textId="031AFEE4">
            <w:pPr>
              <w:ind w:left="108"/>
              <w:rPr>
                <w:rFonts w:ascii="Verdana" w:hAnsi="Verdana" w:eastAsia="Verdana" w:cs="Verdana"/>
                <w:color w:val="000000"/>
                <w:sz w:val="18"/>
              </w:rPr>
            </w:pPr>
            <w:r w:rsidRPr="0005317A">
              <w:rPr>
                <w:rFonts w:ascii="Verdana" w:hAnsi="Verdana" w:eastAsia="Verdana" w:cs="Verdana"/>
                <w:color w:val="0066A4"/>
                <w:sz w:val="18"/>
              </w:rPr>
              <w:t>UITVOERING</w:t>
            </w:r>
          </w:p>
        </w:tc>
        <w:tc>
          <w:tcPr>
            <w:tcW w:w="6946" w:type="dxa"/>
            <w:tcBorders>
              <w:top w:val="single" w:color="0066A4" w:sz="4" w:space="0"/>
              <w:left w:val="nil"/>
              <w:bottom w:val="single" w:color="0066A4" w:sz="4" w:space="0"/>
              <w:right w:val="nil"/>
            </w:tcBorders>
            <w:vAlign w:val="center"/>
          </w:tcPr>
          <w:p w:rsidR="00260CF5" w:rsidP="00260CF5" w:rsidRDefault="00260CF5" w14:paraId="238C6688" w14:textId="77777777">
            <w:pPr>
              <w:pStyle w:val="Lijstalinea"/>
              <w:numPr>
                <w:ilvl w:val="0"/>
                <w:numId w:val="9"/>
              </w:numPr>
              <w:rPr>
                <w:rFonts w:ascii="Verdana" w:hAnsi="Verdana"/>
                <w:sz w:val="18"/>
                <w:szCs w:val="18"/>
              </w:rPr>
            </w:pPr>
            <w:r>
              <w:rPr>
                <w:rFonts w:ascii="Verdana" w:hAnsi="Verdana"/>
                <w:sz w:val="18"/>
                <w:szCs w:val="18"/>
              </w:rPr>
              <w:t xml:space="preserve">Qua </w:t>
            </w:r>
            <w:proofErr w:type="gramStart"/>
            <w:r>
              <w:rPr>
                <w:rFonts w:ascii="Verdana" w:hAnsi="Verdana"/>
                <w:sz w:val="18"/>
                <w:szCs w:val="18"/>
              </w:rPr>
              <w:t>IV ondersteuning</w:t>
            </w:r>
            <w:proofErr w:type="gramEnd"/>
            <w:r>
              <w:rPr>
                <w:rFonts w:ascii="Verdana" w:hAnsi="Verdana"/>
                <w:sz w:val="18"/>
                <w:szCs w:val="18"/>
              </w:rPr>
              <w:t xml:space="preserve"> zal worden volstaan met toepassen van enkele vragen in de aangifte. </w:t>
            </w:r>
            <w:r w:rsidRPr="00E94DA1">
              <w:rPr>
                <w:rFonts w:ascii="Verdana" w:hAnsi="Verdana"/>
                <w:sz w:val="18"/>
                <w:szCs w:val="18"/>
              </w:rPr>
              <w:t xml:space="preserve">Ten behoeve van het toezicht kan </w:t>
            </w:r>
            <w:proofErr w:type="gramStart"/>
            <w:r w:rsidRPr="00E94DA1">
              <w:rPr>
                <w:rFonts w:ascii="Verdana" w:hAnsi="Verdana"/>
                <w:sz w:val="18"/>
                <w:szCs w:val="18"/>
              </w:rPr>
              <w:t>tevens</w:t>
            </w:r>
            <w:proofErr w:type="gramEnd"/>
            <w:r w:rsidRPr="00E94DA1">
              <w:rPr>
                <w:rFonts w:ascii="Verdana" w:hAnsi="Verdana"/>
                <w:sz w:val="18"/>
                <w:szCs w:val="18"/>
              </w:rPr>
              <w:t xml:space="preserve"> worden gevraagd naar onroerend goed op de balans, dit kan het toezicht helpen in het risicogericht toezicht.</w:t>
            </w:r>
            <w:r>
              <w:rPr>
                <w:rFonts w:ascii="Verdana" w:hAnsi="Verdana"/>
                <w:sz w:val="18"/>
                <w:szCs w:val="18"/>
              </w:rPr>
              <w:t xml:space="preserve"> </w:t>
            </w:r>
          </w:p>
          <w:p w:rsidR="00260CF5" w:rsidP="00260CF5" w:rsidRDefault="00260CF5" w14:paraId="5C46274D" w14:textId="68ED497D">
            <w:pPr>
              <w:pStyle w:val="Lijstalinea"/>
              <w:numPr>
                <w:ilvl w:val="0"/>
                <w:numId w:val="9"/>
              </w:numPr>
              <w:rPr>
                <w:rFonts w:ascii="Verdana" w:hAnsi="Verdana"/>
                <w:sz w:val="18"/>
                <w:szCs w:val="18"/>
              </w:rPr>
            </w:pPr>
            <w:r>
              <w:rPr>
                <w:rFonts w:ascii="Verdana" w:hAnsi="Verdana"/>
                <w:sz w:val="18"/>
                <w:szCs w:val="18"/>
              </w:rPr>
              <w:t xml:space="preserve">De vraag of sprake is van leningen van verbonden lichamen is </w:t>
            </w:r>
            <w:r w:rsidR="003F517B">
              <w:rPr>
                <w:rFonts w:ascii="Verdana" w:hAnsi="Verdana"/>
                <w:sz w:val="18"/>
                <w:szCs w:val="18"/>
              </w:rPr>
              <w:t>moeilijk</w:t>
            </w:r>
            <w:r>
              <w:rPr>
                <w:rFonts w:ascii="Verdana" w:hAnsi="Verdana"/>
                <w:sz w:val="18"/>
                <w:szCs w:val="18"/>
              </w:rPr>
              <w:t xml:space="preserve"> extern te valideren en daarmee in hoge mate afhankelijk van juiste informatieverstrekking door belastingplichtigen. Voordeel van </w:t>
            </w:r>
            <w:r w:rsidR="006D14D8">
              <w:rPr>
                <w:rFonts w:ascii="Verdana" w:hAnsi="Verdana"/>
                <w:sz w:val="18"/>
                <w:szCs w:val="18"/>
              </w:rPr>
              <w:t xml:space="preserve">deze maatregel </w:t>
            </w:r>
            <w:r>
              <w:rPr>
                <w:rFonts w:ascii="Verdana" w:hAnsi="Verdana"/>
                <w:sz w:val="18"/>
                <w:szCs w:val="18"/>
              </w:rPr>
              <w:t>is wel dat lichamen die vooral extern gefinancierd zijn, zoals woningcorporaties, buiten het toepassingsbereik vallen</w:t>
            </w:r>
            <w:r w:rsidR="009911B2">
              <w:rPr>
                <w:rFonts w:ascii="Verdana" w:hAnsi="Verdana"/>
                <w:sz w:val="18"/>
                <w:szCs w:val="18"/>
              </w:rPr>
              <w:t xml:space="preserve"> </w:t>
            </w:r>
            <w:r w:rsidR="001C5FBB">
              <w:rPr>
                <w:rFonts w:ascii="Verdana" w:hAnsi="Verdana"/>
                <w:sz w:val="18"/>
                <w:szCs w:val="18"/>
              </w:rPr>
              <w:t>w</w:t>
            </w:r>
            <w:r w:rsidR="009911B2">
              <w:rPr>
                <w:rFonts w:ascii="Verdana" w:hAnsi="Verdana"/>
                <w:sz w:val="18"/>
                <w:szCs w:val="18"/>
              </w:rPr>
              <w:t xml:space="preserve">aardoor </w:t>
            </w:r>
            <w:r w:rsidR="001C5FBB">
              <w:rPr>
                <w:rFonts w:ascii="Verdana" w:hAnsi="Verdana"/>
                <w:sz w:val="18"/>
                <w:szCs w:val="18"/>
              </w:rPr>
              <w:t>het</w:t>
            </w:r>
            <w:r w:rsidR="009911B2">
              <w:rPr>
                <w:rFonts w:ascii="Verdana" w:hAnsi="Verdana"/>
                <w:sz w:val="18"/>
                <w:szCs w:val="18"/>
              </w:rPr>
              <w:t xml:space="preserve"> toezicht </w:t>
            </w:r>
            <w:r w:rsidR="001C5FBB">
              <w:rPr>
                <w:rFonts w:ascii="Verdana" w:hAnsi="Verdana"/>
                <w:sz w:val="18"/>
                <w:szCs w:val="18"/>
              </w:rPr>
              <w:t>gericht kan worden op een relatief kleine groep</w:t>
            </w:r>
            <w:r>
              <w:rPr>
                <w:rFonts w:ascii="Verdana" w:hAnsi="Verdana"/>
                <w:sz w:val="18"/>
                <w:szCs w:val="18"/>
              </w:rPr>
              <w:t xml:space="preserve">. </w:t>
            </w:r>
          </w:p>
          <w:p w:rsidRPr="004D1389" w:rsidR="00260CF5" w:rsidP="00260CF5" w:rsidRDefault="00260CF5" w14:paraId="09A8F5FB" w14:textId="277C618A">
            <w:pPr>
              <w:pStyle w:val="Lijstalinea"/>
              <w:numPr>
                <w:ilvl w:val="0"/>
                <w:numId w:val="9"/>
              </w:numPr>
              <w:rPr>
                <w:rFonts w:ascii="Verdana" w:hAnsi="Verdana"/>
                <w:sz w:val="18"/>
                <w:szCs w:val="18"/>
              </w:rPr>
            </w:pPr>
            <w:r>
              <w:rPr>
                <w:rFonts w:ascii="Verdana" w:hAnsi="Verdana"/>
                <w:sz w:val="18"/>
                <w:szCs w:val="18"/>
              </w:rPr>
              <w:t xml:space="preserve">In de overgangsfase zal de maatregel werk kosten voor de Belastingdienst, omdat belastingplichtigen </w:t>
            </w:r>
            <w:r w:rsidR="009911B2">
              <w:rPr>
                <w:rFonts w:ascii="Verdana" w:hAnsi="Verdana"/>
                <w:sz w:val="18"/>
                <w:szCs w:val="18"/>
              </w:rPr>
              <w:t xml:space="preserve">wellicht </w:t>
            </w:r>
            <w:r>
              <w:rPr>
                <w:rFonts w:ascii="Verdana" w:hAnsi="Verdana"/>
                <w:sz w:val="18"/>
                <w:szCs w:val="18"/>
              </w:rPr>
              <w:t xml:space="preserve">in overleg willen treden met de Belastingdienst over juiste toepassing van de maatregel. Ook zal bij twijfel of behoefte aan zekerheid contact gezocht worden. Handhaving van de maatregel in de structurele situatie zal waarschijnlijk voor een beperkte aanvullende werklast zorgen, nu het aanpakken van structuren waarschijnlijk minder nodig zal zijn. </w:t>
            </w:r>
            <w:r w:rsidRPr="004D1389">
              <w:rPr>
                <w:rFonts w:ascii="Verdana" w:hAnsi="Verdana"/>
                <w:sz w:val="18"/>
                <w:szCs w:val="18"/>
              </w:rPr>
              <w:t xml:space="preserve"> </w:t>
            </w:r>
          </w:p>
          <w:p w:rsidRPr="002D798B" w:rsidR="00D90CA4" w:rsidP="004D1389" w:rsidRDefault="00D90CA4" w14:paraId="43B23B35" w14:textId="660CBE54">
            <w:pPr>
              <w:pStyle w:val="Lijstalinea"/>
              <w:ind w:left="360"/>
              <w:rPr>
                <w:rFonts w:ascii="Verdana" w:hAnsi="Verdana"/>
                <w:sz w:val="18"/>
                <w:szCs w:val="18"/>
              </w:rPr>
            </w:pPr>
          </w:p>
        </w:tc>
      </w:tr>
      <w:tr w:rsidRPr="0005317A" w:rsidR="007F3C15" w:rsidTr="00607320" w14:paraId="251F029A" w14:textId="77777777">
        <w:trPr>
          <w:trHeight w:val="681"/>
        </w:trPr>
        <w:tc>
          <w:tcPr>
            <w:tcW w:w="1809" w:type="dxa"/>
            <w:tcBorders>
              <w:top w:val="single" w:color="0066A4" w:sz="4" w:space="0"/>
              <w:left w:val="nil"/>
              <w:bottom w:val="single" w:color="0066A4" w:sz="4" w:space="0"/>
              <w:right w:val="nil"/>
            </w:tcBorders>
          </w:tcPr>
          <w:p w:rsidRPr="0005317A" w:rsidR="007F3C15" w:rsidP="007F3C15" w:rsidRDefault="007F3C15" w14:paraId="4B1F86CB" w14:textId="2D0C14CF">
            <w:pPr>
              <w:ind w:left="108"/>
              <w:rPr>
                <w:rFonts w:ascii="Verdana" w:hAnsi="Verdana" w:eastAsia="Verdana" w:cs="Verdana"/>
                <w:color w:val="000000"/>
                <w:sz w:val="18"/>
              </w:rPr>
            </w:pPr>
            <w:r w:rsidRPr="000B1EA2">
              <w:rPr>
                <w:rFonts w:ascii="Verdana" w:hAnsi="Verdana" w:eastAsia="Verdana" w:cs="Verdana"/>
                <w:color w:val="0066A4"/>
                <w:sz w:val="17"/>
                <w:szCs w:val="17"/>
              </w:rPr>
              <w:t>COMPLEXITEIT/ ADMINISTRATIEVE LASTEN</w:t>
            </w:r>
          </w:p>
        </w:tc>
        <w:tc>
          <w:tcPr>
            <w:tcW w:w="6946" w:type="dxa"/>
            <w:tcBorders>
              <w:top w:val="single" w:color="0066A4" w:sz="4" w:space="0"/>
              <w:left w:val="nil"/>
              <w:bottom w:val="single" w:color="0066A4" w:sz="4" w:space="0"/>
              <w:right w:val="nil"/>
            </w:tcBorders>
            <w:vAlign w:val="center"/>
          </w:tcPr>
          <w:p w:rsidRPr="003C517E" w:rsidR="001074BB" w:rsidP="001074BB" w:rsidRDefault="001074BB" w14:paraId="0AD6CEBB" w14:textId="14D20E5B">
            <w:pPr>
              <w:pStyle w:val="Lijstalinea"/>
              <w:numPr>
                <w:ilvl w:val="0"/>
                <w:numId w:val="1"/>
              </w:numPr>
              <w:rPr>
                <w:rFonts w:ascii="Verdana" w:hAnsi="Verdana"/>
                <w:sz w:val="18"/>
                <w:szCs w:val="18"/>
              </w:rPr>
            </w:pPr>
            <w:r>
              <w:rPr>
                <w:rFonts w:ascii="Verdana" w:hAnsi="Verdana"/>
                <w:sz w:val="18"/>
                <w:szCs w:val="18"/>
              </w:rPr>
              <w:t xml:space="preserve">De groep belastingplichtigen die naar verwachting wordt geconfronteerd met een toename in complexiteit en administratieve lasten bestaat uit ongeveer </w:t>
            </w:r>
            <w:r w:rsidR="00260585">
              <w:rPr>
                <w:rFonts w:ascii="Verdana" w:hAnsi="Verdana"/>
                <w:sz w:val="18"/>
                <w:szCs w:val="18"/>
              </w:rPr>
              <w:t xml:space="preserve">1.000 </w:t>
            </w:r>
            <w:r>
              <w:rPr>
                <w:rFonts w:ascii="Verdana" w:hAnsi="Verdana"/>
                <w:sz w:val="18"/>
                <w:szCs w:val="18"/>
              </w:rPr>
              <w:t>belastingplichtigen</w:t>
            </w:r>
            <w:r w:rsidR="00861E58">
              <w:rPr>
                <w:rFonts w:ascii="Verdana" w:hAnsi="Verdana"/>
                <w:sz w:val="18"/>
                <w:szCs w:val="18"/>
              </w:rPr>
              <w:t>.</w:t>
            </w:r>
            <w:r w:rsidR="00D845C8">
              <w:rPr>
                <w:rFonts w:ascii="Verdana" w:hAnsi="Verdana"/>
                <w:sz w:val="18"/>
                <w:szCs w:val="18"/>
              </w:rPr>
              <w:t xml:space="preserve"> Het betreft belastingplichtigen met € 200.000 of meer aan</w:t>
            </w:r>
            <w:r w:rsidR="00FC6E24">
              <w:rPr>
                <w:rFonts w:ascii="Verdana" w:hAnsi="Verdana"/>
                <w:sz w:val="18"/>
                <w:szCs w:val="18"/>
              </w:rPr>
              <w:t xml:space="preserve"> rentelasten</w:t>
            </w:r>
            <w:r w:rsidR="002F4501">
              <w:rPr>
                <w:rFonts w:ascii="Verdana" w:hAnsi="Verdana"/>
                <w:sz w:val="18"/>
                <w:szCs w:val="18"/>
              </w:rPr>
              <w:t xml:space="preserve"> op leningen aan verbonden lichamen</w:t>
            </w:r>
            <w:r w:rsidR="00D845C8">
              <w:rPr>
                <w:rFonts w:ascii="Verdana" w:hAnsi="Verdana"/>
                <w:sz w:val="18"/>
                <w:szCs w:val="18"/>
              </w:rPr>
              <w:t xml:space="preserve"> </w:t>
            </w:r>
            <w:r w:rsidR="002F4501">
              <w:rPr>
                <w:rFonts w:ascii="Verdana" w:hAnsi="Verdana"/>
                <w:sz w:val="18"/>
                <w:szCs w:val="18"/>
              </w:rPr>
              <w:t>die</w:t>
            </w:r>
            <w:r w:rsidR="00314275">
              <w:rPr>
                <w:rFonts w:ascii="Verdana" w:hAnsi="Verdana"/>
                <w:sz w:val="18"/>
                <w:szCs w:val="18"/>
              </w:rPr>
              <w:t xml:space="preserve"> kwalificeren als vastgoedlichaam.</w:t>
            </w:r>
            <w:r w:rsidR="00C42E21">
              <w:rPr>
                <w:rFonts w:ascii="Verdana" w:hAnsi="Verdana"/>
                <w:sz w:val="18"/>
                <w:szCs w:val="18"/>
              </w:rPr>
              <w:t xml:space="preserve"> </w:t>
            </w:r>
          </w:p>
          <w:p w:rsidR="00E74BC7" w:rsidP="003C517E" w:rsidRDefault="00C549B1" w14:paraId="7209402D" w14:textId="28611793">
            <w:pPr>
              <w:pStyle w:val="Lijstalinea"/>
              <w:numPr>
                <w:ilvl w:val="0"/>
                <w:numId w:val="1"/>
              </w:numPr>
              <w:rPr>
                <w:rFonts w:ascii="Verdana" w:hAnsi="Verdana"/>
                <w:sz w:val="18"/>
                <w:szCs w:val="18"/>
              </w:rPr>
            </w:pPr>
            <w:r>
              <w:rPr>
                <w:rFonts w:ascii="Verdana" w:hAnsi="Verdana"/>
                <w:sz w:val="18"/>
                <w:szCs w:val="18"/>
              </w:rPr>
              <w:t xml:space="preserve">Om invulling te geven aan de criteria van deze maatregel is de introductie van twee nieuwe </w:t>
            </w:r>
            <w:r w:rsidR="00600732">
              <w:rPr>
                <w:rFonts w:ascii="Verdana" w:hAnsi="Verdana"/>
                <w:sz w:val="18"/>
                <w:szCs w:val="18"/>
              </w:rPr>
              <w:t>(</w:t>
            </w:r>
            <w:r>
              <w:rPr>
                <w:rFonts w:ascii="Verdana" w:hAnsi="Verdana"/>
                <w:sz w:val="18"/>
                <w:szCs w:val="18"/>
              </w:rPr>
              <w:t>balans</w:t>
            </w:r>
            <w:r w:rsidR="00600732">
              <w:rPr>
                <w:rFonts w:ascii="Verdana" w:hAnsi="Verdana"/>
                <w:sz w:val="18"/>
                <w:szCs w:val="18"/>
              </w:rPr>
              <w:t>)</w:t>
            </w:r>
            <w:r>
              <w:rPr>
                <w:rFonts w:ascii="Verdana" w:hAnsi="Verdana"/>
                <w:sz w:val="18"/>
                <w:szCs w:val="18"/>
              </w:rPr>
              <w:t>toetsen vereist</w:t>
            </w:r>
            <w:r w:rsidR="00D90CA4">
              <w:rPr>
                <w:rFonts w:ascii="Verdana" w:hAnsi="Verdana"/>
                <w:sz w:val="18"/>
                <w:szCs w:val="18"/>
              </w:rPr>
              <w:t xml:space="preserve"> op basis van nieuwe definities. </w:t>
            </w:r>
          </w:p>
          <w:p w:rsidR="001074BB" w:rsidP="001074BB" w:rsidRDefault="001074BB" w14:paraId="1DA0A41E" w14:textId="77777777">
            <w:pPr>
              <w:pStyle w:val="Lijstalinea"/>
              <w:numPr>
                <w:ilvl w:val="0"/>
                <w:numId w:val="1"/>
              </w:numPr>
              <w:rPr>
                <w:rFonts w:ascii="Verdana" w:hAnsi="Verdana"/>
                <w:sz w:val="18"/>
                <w:szCs w:val="18"/>
              </w:rPr>
            </w:pPr>
            <w:r>
              <w:rPr>
                <w:rFonts w:ascii="Verdana" w:hAnsi="Verdana"/>
                <w:sz w:val="18"/>
                <w:szCs w:val="18"/>
              </w:rPr>
              <w:t xml:space="preserve">Deze complexiteit voor </w:t>
            </w:r>
            <w:r w:rsidRPr="009B3A3C">
              <w:rPr>
                <w:rFonts w:ascii="Verdana" w:hAnsi="Verdana"/>
                <w:sz w:val="18"/>
                <w:szCs w:val="18"/>
              </w:rPr>
              <w:t xml:space="preserve">bedrijven </w:t>
            </w:r>
            <w:r>
              <w:rPr>
                <w:rFonts w:ascii="Verdana" w:hAnsi="Verdana"/>
                <w:sz w:val="18"/>
                <w:szCs w:val="18"/>
              </w:rPr>
              <w:t>(</w:t>
            </w:r>
            <w:r w:rsidRPr="009B3A3C">
              <w:rPr>
                <w:rFonts w:ascii="Verdana" w:hAnsi="Verdana"/>
                <w:sz w:val="18"/>
                <w:szCs w:val="18"/>
              </w:rPr>
              <w:t>en uitvoering</w:t>
            </w:r>
            <w:r>
              <w:rPr>
                <w:rFonts w:ascii="Verdana" w:hAnsi="Verdana"/>
                <w:sz w:val="18"/>
                <w:szCs w:val="18"/>
              </w:rPr>
              <w:t>)</w:t>
            </w:r>
            <w:r w:rsidRPr="009B3A3C">
              <w:rPr>
                <w:rFonts w:ascii="Verdana" w:hAnsi="Verdana"/>
                <w:sz w:val="18"/>
                <w:szCs w:val="18"/>
              </w:rPr>
              <w:t xml:space="preserve"> </w:t>
            </w:r>
            <w:r>
              <w:rPr>
                <w:rFonts w:ascii="Verdana" w:hAnsi="Verdana"/>
                <w:sz w:val="18"/>
                <w:szCs w:val="18"/>
              </w:rPr>
              <w:t xml:space="preserve">wordt </w:t>
            </w:r>
            <w:r w:rsidRPr="009B3A3C">
              <w:rPr>
                <w:rFonts w:ascii="Verdana" w:hAnsi="Verdana"/>
                <w:sz w:val="18"/>
                <w:szCs w:val="18"/>
              </w:rPr>
              <w:t xml:space="preserve">zoveel mogelijk beperkt door aan te sluiten bij </w:t>
            </w:r>
            <w:r>
              <w:rPr>
                <w:rFonts w:ascii="Verdana" w:hAnsi="Verdana"/>
                <w:sz w:val="18"/>
                <w:szCs w:val="18"/>
              </w:rPr>
              <w:t>(</w:t>
            </w:r>
            <w:r w:rsidRPr="009B3A3C">
              <w:rPr>
                <w:rFonts w:ascii="Verdana" w:hAnsi="Verdana"/>
                <w:sz w:val="18"/>
                <w:szCs w:val="18"/>
              </w:rPr>
              <w:t>bestaande</w:t>
            </w:r>
            <w:r>
              <w:rPr>
                <w:rFonts w:ascii="Verdana" w:hAnsi="Verdana"/>
                <w:sz w:val="18"/>
                <w:szCs w:val="18"/>
              </w:rPr>
              <w:t>)</w:t>
            </w:r>
            <w:r w:rsidRPr="009B3A3C">
              <w:rPr>
                <w:rFonts w:ascii="Verdana" w:hAnsi="Verdana"/>
                <w:sz w:val="18"/>
                <w:szCs w:val="18"/>
              </w:rPr>
              <w:t xml:space="preserve"> kwantitatieve criteria</w:t>
            </w:r>
            <w:r>
              <w:rPr>
                <w:rFonts w:ascii="Verdana" w:hAnsi="Verdana"/>
                <w:sz w:val="18"/>
                <w:szCs w:val="18"/>
              </w:rPr>
              <w:t xml:space="preserve">. Dit neemt niet weg dat er discussies kunnen ontstaan over de invulling van de niet-kwantitatieve definities, zoals de vraag wanneer er sprake is van een verbonden lichaam of vastgoedlichaam. </w:t>
            </w:r>
          </w:p>
          <w:p w:rsidRPr="00607320" w:rsidR="00607320" w:rsidP="00607320" w:rsidRDefault="00E74BC7" w14:paraId="542556F1" w14:textId="5453B3E9">
            <w:pPr>
              <w:pStyle w:val="Lijstalinea"/>
              <w:numPr>
                <w:ilvl w:val="0"/>
                <w:numId w:val="1"/>
              </w:numPr>
              <w:rPr>
                <w:rFonts w:ascii="Verdana" w:hAnsi="Verdana"/>
                <w:sz w:val="18"/>
                <w:szCs w:val="18"/>
              </w:rPr>
            </w:pPr>
            <w:r>
              <w:rPr>
                <w:rFonts w:ascii="Verdana" w:hAnsi="Verdana"/>
                <w:sz w:val="18"/>
                <w:szCs w:val="18"/>
              </w:rPr>
              <w:t xml:space="preserve">De maatregel heeft tot gevolg dat toepassing van de drempel in de earningsstrippingmaatregel gaat afwijken ten aanzien specifieke groep belastingplichtigen afhankelijk van aanwezigheid van aan derden verhuurd vastgoed en </w:t>
            </w:r>
            <w:r w:rsidR="00600732">
              <w:rPr>
                <w:rFonts w:ascii="Verdana" w:hAnsi="Verdana"/>
                <w:sz w:val="18"/>
                <w:szCs w:val="18"/>
              </w:rPr>
              <w:t xml:space="preserve">rente op </w:t>
            </w:r>
            <w:r>
              <w:rPr>
                <w:rFonts w:ascii="Verdana" w:hAnsi="Verdana"/>
                <w:sz w:val="18"/>
                <w:szCs w:val="18"/>
              </w:rPr>
              <w:t>leningen</w:t>
            </w:r>
            <w:r w:rsidR="00600732">
              <w:rPr>
                <w:rFonts w:ascii="Verdana" w:hAnsi="Verdana"/>
                <w:sz w:val="18"/>
                <w:szCs w:val="18"/>
              </w:rPr>
              <w:t xml:space="preserve"> aan verbonden lichamen</w:t>
            </w:r>
            <w:r>
              <w:rPr>
                <w:rFonts w:ascii="Verdana" w:hAnsi="Verdana"/>
                <w:sz w:val="18"/>
                <w:szCs w:val="18"/>
              </w:rPr>
              <w:t>.</w:t>
            </w:r>
          </w:p>
          <w:p w:rsidR="00C549B1" w:rsidP="00607320" w:rsidRDefault="00E74BC7" w14:paraId="3BB6CB71" w14:textId="4E880B46">
            <w:pPr>
              <w:pStyle w:val="Lijstalinea"/>
              <w:numPr>
                <w:ilvl w:val="0"/>
                <w:numId w:val="1"/>
              </w:numPr>
              <w:rPr>
                <w:rFonts w:ascii="Verdana" w:hAnsi="Verdana"/>
                <w:sz w:val="18"/>
                <w:szCs w:val="18"/>
              </w:rPr>
            </w:pPr>
            <w:r>
              <w:rPr>
                <w:rFonts w:ascii="Verdana" w:hAnsi="Verdana"/>
                <w:sz w:val="18"/>
                <w:szCs w:val="18"/>
              </w:rPr>
              <w:t xml:space="preserve">Hiermee wordt afgeweken van de generieke norm aan de hand waarvan wordt vastgesteld of de per saldo verschuldigde rente aftrekbaar is. </w:t>
            </w:r>
            <w:r w:rsidRPr="0083122F">
              <w:rPr>
                <w:rFonts w:ascii="Verdana" w:hAnsi="Verdana"/>
                <w:sz w:val="18"/>
                <w:szCs w:val="18"/>
              </w:rPr>
              <w:t xml:space="preserve">Dit </w:t>
            </w:r>
            <w:r>
              <w:rPr>
                <w:rFonts w:ascii="Verdana" w:hAnsi="Verdana"/>
                <w:sz w:val="18"/>
                <w:szCs w:val="18"/>
              </w:rPr>
              <w:lastRenderedPageBreak/>
              <w:t>wijkt af van het</w:t>
            </w:r>
            <w:r w:rsidRPr="0083122F">
              <w:rPr>
                <w:rFonts w:ascii="Verdana" w:hAnsi="Verdana"/>
                <w:sz w:val="18"/>
                <w:szCs w:val="18"/>
              </w:rPr>
              <w:t xml:space="preserve"> generieke karakter en is niet in lijn met de toelichting bij invoering van de earningsstrippingmaatregel.</w:t>
            </w:r>
            <w:r>
              <w:rPr>
                <w:rStyle w:val="Voetnootmarkering"/>
                <w:rFonts w:ascii="Verdana" w:hAnsi="Verdana"/>
                <w:sz w:val="18"/>
                <w:szCs w:val="18"/>
              </w:rPr>
              <w:footnoteReference w:id="2"/>
            </w:r>
            <w:r w:rsidRPr="0083122F">
              <w:rPr>
                <w:rFonts w:ascii="Verdana" w:hAnsi="Verdana"/>
                <w:sz w:val="18"/>
                <w:szCs w:val="18"/>
              </w:rPr>
              <w:t xml:space="preserve"> </w:t>
            </w:r>
          </w:p>
          <w:p w:rsidRPr="00607320" w:rsidR="00607320" w:rsidP="00607320" w:rsidRDefault="00607320" w14:paraId="4545E2EA" w14:textId="3950B547">
            <w:pPr>
              <w:pStyle w:val="Lijstalinea"/>
              <w:ind w:left="360"/>
              <w:rPr>
                <w:rFonts w:ascii="Verdana" w:hAnsi="Verdana"/>
                <w:sz w:val="18"/>
                <w:szCs w:val="18"/>
              </w:rPr>
            </w:pPr>
          </w:p>
        </w:tc>
      </w:tr>
      <w:tr w:rsidRPr="0005317A" w:rsidR="007F3C15" w:rsidTr="00943B47" w14:paraId="37D83C82" w14:textId="77777777">
        <w:trPr>
          <w:trHeight w:val="1142"/>
        </w:trPr>
        <w:tc>
          <w:tcPr>
            <w:tcW w:w="1809" w:type="dxa"/>
            <w:tcBorders>
              <w:top w:val="single" w:color="0066A4" w:sz="4" w:space="0"/>
              <w:left w:val="nil"/>
              <w:bottom w:val="single" w:color="0066A4" w:sz="4" w:space="0"/>
              <w:right w:val="nil"/>
            </w:tcBorders>
          </w:tcPr>
          <w:p w:rsidRPr="000B1EA2" w:rsidR="007F3C15" w:rsidP="007F3C15" w:rsidRDefault="007F3C15" w14:paraId="558C586C" w14:textId="6BCED531">
            <w:pPr>
              <w:ind w:left="108"/>
              <w:rPr>
                <w:rFonts w:ascii="Verdana" w:hAnsi="Verdana" w:eastAsia="Verdana" w:cs="Verdana"/>
                <w:color w:val="0066A4"/>
                <w:sz w:val="17"/>
                <w:szCs w:val="17"/>
              </w:rPr>
            </w:pPr>
            <w:r>
              <w:rPr>
                <w:rFonts w:ascii="Verdana" w:hAnsi="Verdana" w:eastAsia="Verdana" w:cs="Verdana"/>
                <w:color w:val="0066A4"/>
                <w:sz w:val="18"/>
              </w:rPr>
              <w:lastRenderedPageBreak/>
              <w:t>DOELTREFFEND-&amp; DOELMATTIGHEID</w:t>
            </w:r>
          </w:p>
        </w:tc>
        <w:tc>
          <w:tcPr>
            <w:tcW w:w="6946" w:type="dxa"/>
            <w:tcBorders>
              <w:top w:val="single" w:color="0066A4" w:sz="4" w:space="0"/>
              <w:left w:val="nil"/>
              <w:bottom w:val="single" w:color="0066A4" w:sz="4" w:space="0"/>
              <w:right w:val="nil"/>
            </w:tcBorders>
            <w:vAlign w:val="center"/>
          </w:tcPr>
          <w:p w:rsidRPr="0063167D" w:rsidR="005C6E3B" w:rsidP="00304A68" w:rsidRDefault="00B46C00" w14:paraId="19920C00" w14:textId="1362CB10">
            <w:pPr>
              <w:pStyle w:val="Lijstalinea"/>
              <w:ind w:left="360"/>
            </w:pPr>
            <w:r>
              <w:rPr>
                <w:rFonts w:ascii="Verdana" w:hAnsi="Verdana"/>
                <w:i/>
                <w:iCs/>
                <w:sz w:val="18"/>
                <w:szCs w:val="18"/>
              </w:rPr>
              <w:t>Doeltreffendheid</w:t>
            </w:r>
          </w:p>
          <w:p w:rsidR="00E74BC7" w:rsidP="00E74BC7" w:rsidRDefault="004B6113" w14:paraId="2D78FD81" w14:textId="764E0CDA">
            <w:pPr>
              <w:pStyle w:val="Lijstalinea"/>
              <w:numPr>
                <w:ilvl w:val="0"/>
                <w:numId w:val="8"/>
              </w:numPr>
              <w:rPr>
                <w:rFonts w:ascii="Verdana" w:hAnsi="Verdana"/>
                <w:sz w:val="18"/>
                <w:szCs w:val="18"/>
              </w:rPr>
            </w:pPr>
            <w:r>
              <w:rPr>
                <w:rFonts w:ascii="Verdana" w:hAnsi="Verdana"/>
                <w:sz w:val="18"/>
                <w:szCs w:val="18"/>
              </w:rPr>
              <w:t>Deze beleidsoptie</w:t>
            </w:r>
            <w:r w:rsidR="00C549B1">
              <w:rPr>
                <w:rFonts w:ascii="Verdana" w:hAnsi="Verdana"/>
                <w:sz w:val="18"/>
                <w:szCs w:val="18"/>
              </w:rPr>
              <w:t xml:space="preserve"> heeft tot gevolg dat fragmentatie van vennootschappen v</w:t>
            </w:r>
            <w:r w:rsidR="0021098B">
              <w:rPr>
                <w:rFonts w:ascii="Verdana" w:hAnsi="Verdana"/>
                <w:sz w:val="18"/>
                <w:szCs w:val="18"/>
              </w:rPr>
              <w:t xml:space="preserve">an </w:t>
            </w:r>
            <w:r w:rsidR="00600732">
              <w:rPr>
                <w:rFonts w:ascii="Verdana" w:hAnsi="Verdana"/>
                <w:sz w:val="18"/>
                <w:szCs w:val="18"/>
              </w:rPr>
              <w:t xml:space="preserve">in bepaalde mate </w:t>
            </w:r>
            <w:r w:rsidR="00C549B1">
              <w:rPr>
                <w:rFonts w:ascii="Verdana" w:hAnsi="Verdana"/>
                <w:sz w:val="18"/>
                <w:szCs w:val="18"/>
              </w:rPr>
              <w:t xml:space="preserve">binnen de groep gefinancierde vastgoedlichamen naar verwachting niet langer </w:t>
            </w:r>
            <w:r w:rsidR="002F4501">
              <w:rPr>
                <w:rFonts w:ascii="Verdana" w:hAnsi="Verdana"/>
                <w:sz w:val="18"/>
                <w:szCs w:val="18"/>
              </w:rPr>
              <w:t>voordelig</w:t>
            </w:r>
            <w:r w:rsidR="00C549B1">
              <w:rPr>
                <w:rFonts w:ascii="Verdana" w:hAnsi="Verdana"/>
                <w:sz w:val="18"/>
                <w:szCs w:val="18"/>
              </w:rPr>
              <w:t xml:space="preserve"> is. Dit betekent dat deze maatregel fragmentatie voorkomt</w:t>
            </w:r>
            <w:r w:rsidR="009C235D">
              <w:rPr>
                <w:rFonts w:ascii="Verdana" w:hAnsi="Verdana"/>
                <w:sz w:val="18"/>
                <w:szCs w:val="18"/>
              </w:rPr>
              <w:t xml:space="preserve"> en preventief werkt</w:t>
            </w:r>
            <w:r w:rsidR="00C549B1">
              <w:rPr>
                <w:rFonts w:ascii="Verdana" w:hAnsi="Verdana"/>
                <w:sz w:val="18"/>
                <w:szCs w:val="18"/>
              </w:rPr>
              <w:t>, specifiek ten aanzien van de groep belastingplichtigen waar het omschreven probleem van fragmentatie wordt geconstateerd.</w:t>
            </w:r>
            <w:r>
              <w:rPr>
                <w:rFonts w:ascii="Verdana" w:hAnsi="Verdana"/>
                <w:sz w:val="18"/>
                <w:szCs w:val="18"/>
              </w:rPr>
              <w:t xml:space="preserve"> </w:t>
            </w:r>
            <w:r w:rsidR="00E74BC7">
              <w:rPr>
                <w:rFonts w:ascii="Verdana" w:hAnsi="Verdana"/>
                <w:sz w:val="18"/>
                <w:szCs w:val="18"/>
              </w:rPr>
              <w:t xml:space="preserve">Daarmee is de maatregel naar verwachting doeltreffend ten aanzien van het fragmentatie probleem. </w:t>
            </w:r>
          </w:p>
          <w:p w:rsidR="00E74BC7" w:rsidP="00E74BC7" w:rsidRDefault="00E74BC7" w14:paraId="15A1F756" w14:textId="215B87B8">
            <w:pPr>
              <w:pStyle w:val="Lijstalinea"/>
              <w:numPr>
                <w:ilvl w:val="0"/>
                <w:numId w:val="8"/>
              </w:numPr>
              <w:rPr>
                <w:rFonts w:ascii="Verdana" w:hAnsi="Verdana"/>
                <w:sz w:val="18"/>
                <w:szCs w:val="18"/>
              </w:rPr>
            </w:pPr>
            <w:r w:rsidRPr="007A1A1F">
              <w:rPr>
                <w:rFonts w:ascii="Verdana" w:hAnsi="Verdana"/>
                <w:sz w:val="18"/>
                <w:szCs w:val="18"/>
              </w:rPr>
              <w:t xml:space="preserve">Deze maatregel ziet niet specifiek op het tegengaan van het omzetten van eigen vermogen in vreemd vermogen binnen een concern. </w:t>
            </w:r>
            <w:r>
              <w:rPr>
                <w:rFonts w:ascii="Verdana" w:hAnsi="Verdana"/>
                <w:sz w:val="18"/>
                <w:szCs w:val="18"/>
              </w:rPr>
              <w:t xml:space="preserve">De grondslaguitholling die het gevolg is van dit fenomeen, wordt met deze maatregel niet volledig tegengegaan. </w:t>
            </w:r>
            <w:r w:rsidR="00600732">
              <w:rPr>
                <w:rFonts w:ascii="Verdana" w:hAnsi="Verdana"/>
                <w:sz w:val="18"/>
                <w:szCs w:val="18"/>
              </w:rPr>
              <w:t>Daarmee is deze beleidsoptie gedeeltelijk doeltreffend.</w:t>
            </w:r>
          </w:p>
          <w:p w:rsidRPr="00EC5878" w:rsidR="00E74BC7" w:rsidP="00E74BC7" w:rsidRDefault="005369D5" w14:paraId="019A5DEF" w14:textId="68AA6583">
            <w:pPr>
              <w:pStyle w:val="Lijstalinea"/>
              <w:numPr>
                <w:ilvl w:val="0"/>
                <w:numId w:val="8"/>
              </w:numPr>
              <w:rPr>
                <w:rFonts w:ascii="Verdana" w:hAnsi="Verdana"/>
                <w:sz w:val="18"/>
                <w:szCs w:val="18"/>
              </w:rPr>
            </w:pPr>
            <w:r>
              <w:rPr>
                <w:rFonts w:ascii="Verdana" w:hAnsi="Verdana"/>
                <w:sz w:val="18"/>
                <w:szCs w:val="18"/>
              </w:rPr>
              <w:t>In voorkomende gevallen is</w:t>
            </w:r>
            <w:r w:rsidR="00E74BC7">
              <w:rPr>
                <w:rFonts w:ascii="Verdana" w:hAnsi="Verdana"/>
                <w:sz w:val="18"/>
                <w:szCs w:val="18"/>
              </w:rPr>
              <w:t xml:space="preserve"> </w:t>
            </w:r>
            <w:r w:rsidRPr="00EC5878" w:rsidR="00E74BC7">
              <w:rPr>
                <w:rFonts w:ascii="Verdana" w:hAnsi="Verdana"/>
                <w:sz w:val="18"/>
                <w:szCs w:val="18"/>
              </w:rPr>
              <w:t xml:space="preserve">nog steeds </w:t>
            </w:r>
            <w:r w:rsidR="00335C36">
              <w:rPr>
                <w:rFonts w:ascii="Verdana" w:hAnsi="Verdana"/>
                <w:sz w:val="18"/>
                <w:szCs w:val="18"/>
              </w:rPr>
              <w:t xml:space="preserve">(beperkte) </w:t>
            </w:r>
            <w:r w:rsidRPr="00EC5878" w:rsidR="00E74BC7">
              <w:rPr>
                <w:rFonts w:ascii="Verdana" w:hAnsi="Verdana"/>
                <w:sz w:val="18"/>
                <w:szCs w:val="18"/>
              </w:rPr>
              <w:t>renteaftrek mogelijk op leningen aan een verbonden lichaam (het fonds)</w:t>
            </w:r>
            <w:r w:rsidR="001A35D7">
              <w:rPr>
                <w:rFonts w:ascii="Verdana" w:hAnsi="Verdana"/>
                <w:sz w:val="18"/>
                <w:szCs w:val="18"/>
              </w:rPr>
              <w:t xml:space="preserve"> tot € 200.000 dan wel 24,5% van de gecorrigeerde winst</w:t>
            </w:r>
            <w:r w:rsidRPr="00EC5878" w:rsidR="00E74BC7">
              <w:rPr>
                <w:rFonts w:ascii="Verdana" w:hAnsi="Verdana"/>
                <w:sz w:val="18"/>
                <w:szCs w:val="18"/>
              </w:rPr>
              <w:t xml:space="preserve">. Het fonds heeft deze leningen uit eigen vermogen bijeengebracht door investeerders. De </w:t>
            </w:r>
            <w:r w:rsidRPr="00EC5878" w:rsidR="00177F4C">
              <w:rPr>
                <w:rFonts w:ascii="Verdana" w:hAnsi="Verdana"/>
                <w:sz w:val="18"/>
                <w:szCs w:val="18"/>
              </w:rPr>
              <w:t>rente</w:t>
            </w:r>
            <w:r w:rsidR="00177F4C">
              <w:rPr>
                <w:rFonts w:ascii="Verdana" w:hAnsi="Verdana"/>
                <w:sz w:val="18"/>
                <w:szCs w:val="18"/>
              </w:rPr>
              <w:t>-inkomsten</w:t>
            </w:r>
            <w:r w:rsidRPr="00EC5878" w:rsidR="00E74BC7">
              <w:rPr>
                <w:rFonts w:ascii="Verdana" w:hAnsi="Verdana"/>
                <w:sz w:val="18"/>
                <w:szCs w:val="18"/>
              </w:rPr>
              <w:t xml:space="preserve"> op deze leningen </w:t>
            </w:r>
            <w:r w:rsidR="00E74BC7">
              <w:rPr>
                <w:rFonts w:ascii="Verdana" w:hAnsi="Verdana"/>
                <w:sz w:val="18"/>
                <w:szCs w:val="18"/>
              </w:rPr>
              <w:t xml:space="preserve">zijn niet onderworpen aan een </w:t>
            </w:r>
            <w:r w:rsidRPr="00EC5878" w:rsidR="00E74BC7">
              <w:rPr>
                <w:rFonts w:ascii="Verdana" w:hAnsi="Verdana"/>
                <w:sz w:val="18"/>
                <w:szCs w:val="18"/>
              </w:rPr>
              <w:t>naar Nederlandse maatstaven redelijke heffing</w:t>
            </w:r>
            <w:r w:rsidR="00E74BC7">
              <w:rPr>
                <w:rFonts w:ascii="Verdana" w:hAnsi="Verdana"/>
                <w:sz w:val="18"/>
                <w:szCs w:val="18"/>
              </w:rPr>
              <w:t xml:space="preserve">, waardoor het omzetten van eigen vermogen in vreemd vermogen – ondanks deze maatregel – nog steeds loont. </w:t>
            </w:r>
            <w:r w:rsidRPr="00EC5878" w:rsidR="00E74BC7">
              <w:rPr>
                <w:rFonts w:ascii="Verdana" w:hAnsi="Verdana"/>
                <w:sz w:val="18"/>
                <w:szCs w:val="18"/>
              </w:rPr>
              <w:t xml:space="preserve">  </w:t>
            </w:r>
          </w:p>
          <w:p w:rsidR="007F3C15" w:rsidP="007F3C15" w:rsidRDefault="007F3C15" w14:paraId="0727B422" w14:textId="77777777">
            <w:pPr>
              <w:pStyle w:val="Lijstalinea"/>
              <w:ind w:left="360"/>
              <w:rPr>
                <w:rFonts w:ascii="Verdana" w:hAnsi="Verdana"/>
                <w:i/>
                <w:iCs/>
                <w:sz w:val="18"/>
                <w:szCs w:val="18"/>
              </w:rPr>
            </w:pPr>
          </w:p>
          <w:p w:rsidRPr="007F3C15" w:rsidR="007F3C15" w:rsidP="007F3C15" w:rsidRDefault="007F3C15" w14:paraId="519E899D" w14:textId="27A4C17D">
            <w:pPr>
              <w:pStyle w:val="Lijstalinea"/>
              <w:ind w:left="360"/>
              <w:rPr>
                <w:rFonts w:ascii="Verdana" w:hAnsi="Verdana"/>
                <w:i/>
                <w:iCs/>
                <w:sz w:val="18"/>
                <w:szCs w:val="18"/>
              </w:rPr>
            </w:pPr>
            <w:r w:rsidRPr="00B83B10">
              <w:rPr>
                <w:rFonts w:ascii="Verdana" w:hAnsi="Verdana"/>
                <w:i/>
                <w:iCs/>
                <w:sz w:val="18"/>
                <w:szCs w:val="18"/>
              </w:rPr>
              <w:t>Doelmatigheid</w:t>
            </w:r>
          </w:p>
          <w:p w:rsidR="00AB3DFB" w:rsidP="00C549B1" w:rsidRDefault="00C549B1" w14:paraId="20926014" w14:textId="69B07A60">
            <w:pPr>
              <w:pStyle w:val="Lijstalinea"/>
              <w:numPr>
                <w:ilvl w:val="0"/>
                <w:numId w:val="2"/>
              </w:numPr>
              <w:rPr>
                <w:rFonts w:ascii="Verdana" w:hAnsi="Verdana"/>
                <w:sz w:val="18"/>
                <w:szCs w:val="18"/>
              </w:rPr>
            </w:pPr>
            <w:r>
              <w:rPr>
                <w:rFonts w:ascii="Verdana" w:hAnsi="Verdana"/>
                <w:sz w:val="18"/>
                <w:szCs w:val="18"/>
              </w:rPr>
              <w:t>Deze maatregel vertoont sterke gelijkenis met de niet ingevoerde antifragmentatiemaatregel</w:t>
            </w:r>
            <w:r w:rsidR="004B6113">
              <w:rPr>
                <w:rFonts w:ascii="Verdana" w:hAnsi="Verdana"/>
                <w:sz w:val="18"/>
                <w:szCs w:val="18"/>
              </w:rPr>
              <w:t xml:space="preserve"> in het B</w:t>
            </w:r>
            <w:r w:rsidR="00E71585">
              <w:rPr>
                <w:rFonts w:ascii="Verdana" w:hAnsi="Verdana"/>
                <w:sz w:val="18"/>
                <w:szCs w:val="18"/>
              </w:rPr>
              <w:t>elastingplan 2</w:t>
            </w:r>
            <w:r w:rsidR="004B6113">
              <w:rPr>
                <w:rFonts w:ascii="Verdana" w:hAnsi="Verdana"/>
                <w:sz w:val="18"/>
                <w:szCs w:val="18"/>
              </w:rPr>
              <w:t>025</w:t>
            </w:r>
            <w:r>
              <w:rPr>
                <w:rFonts w:ascii="Verdana" w:hAnsi="Verdana"/>
                <w:sz w:val="18"/>
                <w:szCs w:val="18"/>
              </w:rPr>
              <w:t xml:space="preserve">. In tegenstelling tot die maatregel wordt deze maatregel </w:t>
            </w:r>
            <w:r w:rsidR="00D845C8">
              <w:rPr>
                <w:rFonts w:ascii="Verdana" w:hAnsi="Verdana"/>
                <w:sz w:val="18"/>
                <w:szCs w:val="18"/>
              </w:rPr>
              <w:t>ook</w:t>
            </w:r>
            <w:r>
              <w:rPr>
                <w:rFonts w:ascii="Verdana" w:hAnsi="Verdana"/>
                <w:sz w:val="18"/>
                <w:szCs w:val="18"/>
              </w:rPr>
              <w:t xml:space="preserve"> gericht op groepsfinanciering en wordt voorgesteld om de drempel niet te verlagen tot nihil maar tot € 200.000. Hierdoor worden kleinere vastgoedbeleggers</w:t>
            </w:r>
            <w:r w:rsidR="000F6671">
              <w:rPr>
                <w:rFonts w:ascii="Verdana" w:hAnsi="Verdana"/>
                <w:sz w:val="18"/>
                <w:szCs w:val="18"/>
              </w:rPr>
              <w:t xml:space="preserve"> </w:t>
            </w:r>
            <w:r>
              <w:rPr>
                <w:rFonts w:ascii="Verdana" w:hAnsi="Verdana"/>
                <w:sz w:val="18"/>
                <w:szCs w:val="18"/>
              </w:rPr>
              <w:t>en woningcorporaties grotendeels ontzien</w:t>
            </w:r>
            <w:r w:rsidR="000F6671">
              <w:rPr>
                <w:rFonts w:ascii="Verdana" w:hAnsi="Verdana"/>
                <w:sz w:val="18"/>
                <w:szCs w:val="18"/>
              </w:rPr>
              <w:t xml:space="preserve">, omdat deze belastingplichtigen doorgaans geen rentesaldo hebben van meer dan € 200.000 respectievelijk niet </w:t>
            </w:r>
            <w:r w:rsidR="00D46B6D">
              <w:rPr>
                <w:rFonts w:ascii="Verdana" w:hAnsi="Verdana"/>
                <w:sz w:val="18"/>
                <w:szCs w:val="18"/>
              </w:rPr>
              <w:t>worden</w:t>
            </w:r>
            <w:r w:rsidR="000F6671">
              <w:rPr>
                <w:rFonts w:ascii="Verdana" w:hAnsi="Verdana"/>
                <w:sz w:val="18"/>
                <w:szCs w:val="18"/>
              </w:rPr>
              <w:t xml:space="preserve"> gefinancierd met leningen van verbonden lichamen</w:t>
            </w:r>
            <w:r w:rsidR="00BC3A3F">
              <w:rPr>
                <w:rFonts w:ascii="Verdana" w:hAnsi="Verdana"/>
                <w:sz w:val="18"/>
                <w:szCs w:val="18"/>
              </w:rPr>
              <w:t xml:space="preserve"> dan wel een fiscale eenheid vormen met deze verbonden lichamen</w:t>
            </w:r>
            <w:r>
              <w:rPr>
                <w:rFonts w:ascii="Verdana" w:hAnsi="Verdana"/>
                <w:sz w:val="18"/>
                <w:szCs w:val="18"/>
              </w:rPr>
              <w:t>.</w:t>
            </w:r>
          </w:p>
          <w:p w:rsidR="00C549B1" w:rsidP="00C549B1" w:rsidRDefault="009A5115" w14:paraId="207476B0" w14:textId="2AA14F80">
            <w:pPr>
              <w:pStyle w:val="Lijstalinea"/>
              <w:numPr>
                <w:ilvl w:val="0"/>
                <w:numId w:val="2"/>
              </w:numPr>
              <w:rPr>
                <w:rFonts w:ascii="Verdana" w:hAnsi="Verdana"/>
                <w:sz w:val="18"/>
                <w:szCs w:val="18"/>
              </w:rPr>
            </w:pPr>
            <w:r>
              <w:rPr>
                <w:rFonts w:ascii="Verdana" w:hAnsi="Verdana"/>
                <w:sz w:val="18"/>
                <w:szCs w:val="18"/>
              </w:rPr>
              <w:t xml:space="preserve">Dat laat echter onverlet dat deze maatregel negatieve neveneffecten kan hebben voor overige vastgoedbeleggers. Het gebrek aan een mogelijkheid om tegenbewijs te leveren, kan ertoe leiden dat deze maatregel </w:t>
            </w:r>
            <w:r w:rsidR="00BC3A3F">
              <w:rPr>
                <w:rFonts w:ascii="Verdana" w:hAnsi="Verdana"/>
                <w:sz w:val="18"/>
                <w:szCs w:val="18"/>
              </w:rPr>
              <w:t>in</w:t>
            </w:r>
            <w:r w:rsidR="00335C36">
              <w:rPr>
                <w:rFonts w:ascii="Verdana" w:hAnsi="Verdana"/>
                <w:sz w:val="18"/>
                <w:szCs w:val="18"/>
              </w:rPr>
              <w:t xml:space="preserve"> een aantal</w:t>
            </w:r>
            <w:r w:rsidR="00BC3A3F">
              <w:rPr>
                <w:rFonts w:ascii="Verdana" w:hAnsi="Verdana"/>
                <w:sz w:val="18"/>
                <w:szCs w:val="18"/>
              </w:rPr>
              <w:t xml:space="preserve"> </w:t>
            </w:r>
            <w:r>
              <w:rPr>
                <w:rFonts w:ascii="Verdana" w:hAnsi="Verdana"/>
                <w:sz w:val="18"/>
                <w:szCs w:val="18"/>
              </w:rPr>
              <w:t>gevallen te streng uitpakt.</w:t>
            </w:r>
          </w:p>
          <w:p w:rsidRPr="009A5115" w:rsidR="007F3C15" w:rsidP="009A5115" w:rsidRDefault="007F3C15" w14:paraId="04291A07" w14:textId="57D40D5F">
            <w:pPr>
              <w:rPr>
                <w:rFonts w:ascii="Verdana" w:hAnsi="Verdana"/>
                <w:sz w:val="18"/>
                <w:szCs w:val="18"/>
              </w:rPr>
            </w:pPr>
          </w:p>
        </w:tc>
      </w:tr>
      <w:tr w:rsidRPr="0005317A" w:rsidR="007F3C15" w:rsidTr="00943B47" w14:paraId="04194CCF" w14:textId="77777777">
        <w:trPr>
          <w:trHeight w:val="1037"/>
        </w:trPr>
        <w:tc>
          <w:tcPr>
            <w:tcW w:w="1809" w:type="dxa"/>
            <w:tcBorders>
              <w:top w:val="single" w:color="0066A4" w:sz="4" w:space="0"/>
              <w:left w:val="nil"/>
              <w:bottom w:val="single" w:color="0066A4" w:sz="4" w:space="0"/>
              <w:right w:val="nil"/>
            </w:tcBorders>
          </w:tcPr>
          <w:p w:rsidRPr="00841B04" w:rsidR="007F3C15" w:rsidP="007F3C15" w:rsidRDefault="007F3C15" w14:paraId="31B38E63" w14:textId="0364E58E">
            <w:pPr>
              <w:ind w:left="108"/>
              <w:rPr>
                <w:rFonts w:ascii="Verdana" w:hAnsi="Verdana" w:eastAsia="Verdana" w:cs="Verdana"/>
                <w:color w:val="0066A4"/>
                <w:sz w:val="18"/>
                <w:szCs w:val="18"/>
              </w:rPr>
            </w:pPr>
            <w:r w:rsidRPr="00841B04">
              <w:rPr>
                <w:rFonts w:ascii="Verdana" w:hAnsi="Verdana" w:eastAsia="Verdana" w:cs="Verdana"/>
                <w:color w:val="0066A4"/>
                <w:sz w:val="18"/>
                <w:szCs w:val="18"/>
              </w:rPr>
              <w:t>JURIDISCHE HOUDBAARHEID</w:t>
            </w:r>
          </w:p>
        </w:tc>
        <w:tc>
          <w:tcPr>
            <w:tcW w:w="6946" w:type="dxa"/>
            <w:tcBorders>
              <w:top w:val="single" w:color="0066A4" w:sz="4" w:space="0"/>
              <w:left w:val="nil"/>
              <w:bottom w:val="single" w:color="0066A4" w:sz="4" w:space="0"/>
              <w:right w:val="nil"/>
            </w:tcBorders>
            <w:vAlign w:val="center"/>
          </w:tcPr>
          <w:p w:rsidR="0021098B" w:rsidP="008024E9" w:rsidRDefault="008024E9" w14:paraId="62B3F080" w14:textId="77777777">
            <w:pPr>
              <w:pStyle w:val="Lijstalinea"/>
              <w:numPr>
                <w:ilvl w:val="0"/>
                <w:numId w:val="1"/>
              </w:numPr>
              <w:rPr>
                <w:rFonts w:ascii="Verdana" w:hAnsi="Verdana"/>
                <w:sz w:val="18"/>
                <w:szCs w:val="18"/>
              </w:rPr>
            </w:pPr>
            <w:r>
              <w:rPr>
                <w:rFonts w:ascii="Verdana" w:hAnsi="Verdana"/>
                <w:sz w:val="18"/>
                <w:szCs w:val="18"/>
              </w:rPr>
              <w:t xml:space="preserve">Het feit dat de maatregel uitsluitend gevolgen heeft voor een specifieke groep belastingplichtigen binnen de vastgoedsector brengt in beginsel juridische risico’s (waaronder staatssteunrisico’s) met zich. </w:t>
            </w:r>
          </w:p>
          <w:p w:rsidR="008024E9" w:rsidP="008024E9" w:rsidRDefault="008024E9" w14:paraId="70BC621A" w14:textId="0FE10C47">
            <w:pPr>
              <w:pStyle w:val="Lijstalinea"/>
              <w:numPr>
                <w:ilvl w:val="0"/>
                <w:numId w:val="1"/>
              </w:numPr>
              <w:rPr>
                <w:rFonts w:ascii="Verdana" w:hAnsi="Verdana"/>
                <w:sz w:val="18"/>
                <w:szCs w:val="18"/>
              </w:rPr>
            </w:pPr>
            <w:r>
              <w:rPr>
                <w:rFonts w:ascii="Verdana" w:hAnsi="Verdana"/>
                <w:sz w:val="18"/>
                <w:szCs w:val="18"/>
              </w:rPr>
              <w:t>Ditzelfde gold voor de antifragmentatiemaatregel die onderdeel was van het Belastingplan 2025. Over deze maatregel is informeel overleg gevoerd met de Europese Commissie. Na dit informel</w:t>
            </w:r>
            <w:r w:rsidR="00E71585">
              <w:rPr>
                <w:rFonts w:ascii="Verdana" w:hAnsi="Verdana"/>
                <w:sz w:val="18"/>
                <w:szCs w:val="18"/>
              </w:rPr>
              <w:t>e</w:t>
            </w:r>
            <w:r>
              <w:rPr>
                <w:rFonts w:ascii="Verdana" w:hAnsi="Verdana"/>
                <w:sz w:val="18"/>
                <w:szCs w:val="18"/>
              </w:rPr>
              <w:t xml:space="preserve"> overleg is destijds besloten om die maatregel door te zetten.</w:t>
            </w:r>
          </w:p>
          <w:p w:rsidRPr="00607320" w:rsidR="00D845C8" w:rsidP="008024E9" w:rsidRDefault="000F64C5" w14:paraId="41241781" w14:textId="4C32F242">
            <w:pPr>
              <w:pStyle w:val="Lijstalinea"/>
              <w:numPr>
                <w:ilvl w:val="0"/>
                <w:numId w:val="1"/>
              </w:numPr>
              <w:rPr>
                <w:rFonts w:ascii="Verdana" w:hAnsi="Verdana"/>
                <w:sz w:val="18"/>
                <w:szCs w:val="18"/>
              </w:rPr>
            </w:pPr>
            <w:r>
              <w:rPr>
                <w:rFonts w:ascii="Verdana" w:hAnsi="Verdana"/>
                <w:sz w:val="18"/>
                <w:szCs w:val="18"/>
              </w:rPr>
              <w:t xml:space="preserve">Een nadere uitwerking van deze beleidsoptie vergt een onderzoek naar </w:t>
            </w:r>
            <w:r w:rsidR="006366AD">
              <w:rPr>
                <w:rFonts w:ascii="Verdana" w:hAnsi="Verdana"/>
                <w:sz w:val="18"/>
                <w:szCs w:val="18"/>
              </w:rPr>
              <w:t>de houdbaarheid van</w:t>
            </w:r>
            <w:r w:rsidRPr="00607320" w:rsidR="00335C36">
              <w:rPr>
                <w:rFonts w:ascii="Verdana" w:hAnsi="Verdana"/>
                <w:sz w:val="18"/>
                <w:szCs w:val="18"/>
              </w:rPr>
              <w:t xml:space="preserve"> de</w:t>
            </w:r>
            <w:r w:rsidRPr="00607320" w:rsidR="00D845C8">
              <w:rPr>
                <w:rFonts w:ascii="Verdana" w:hAnsi="Verdana"/>
                <w:sz w:val="18"/>
                <w:szCs w:val="18"/>
              </w:rPr>
              <w:t xml:space="preserve"> toepassingsvoorwaarde met betrekking tot rentelasten op leningen aan verbonden lichamen</w:t>
            </w:r>
            <w:r w:rsidRPr="00607320" w:rsidR="00D15457">
              <w:rPr>
                <w:rFonts w:ascii="Verdana" w:hAnsi="Verdana"/>
                <w:sz w:val="18"/>
                <w:szCs w:val="18"/>
              </w:rPr>
              <w:t>.</w:t>
            </w:r>
            <w:r w:rsidRPr="00607320" w:rsidDel="0034614B" w:rsidR="0034614B">
              <w:rPr>
                <w:rStyle w:val="Voetnootmarkering"/>
                <w:rFonts w:ascii="Verdana" w:hAnsi="Verdana"/>
                <w:sz w:val="18"/>
                <w:szCs w:val="18"/>
              </w:rPr>
              <w:t xml:space="preserve"> </w:t>
            </w:r>
          </w:p>
          <w:p w:rsidRPr="008024E9" w:rsidR="008024E9" w:rsidP="008024E9" w:rsidRDefault="008024E9" w14:paraId="6B24F6B4" w14:textId="3740F863">
            <w:pPr>
              <w:rPr>
                <w:rFonts w:ascii="Verdana" w:hAnsi="Verdana"/>
                <w:sz w:val="18"/>
                <w:szCs w:val="18"/>
              </w:rPr>
            </w:pPr>
          </w:p>
        </w:tc>
      </w:tr>
      <w:tr w:rsidRPr="0005317A" w:rsidR="007F3C15" w:rsidTr="00943B47" w14:paraId="53A65F77" w14:textId="77777777">
        <w:trPr>
          <w:trHeight w:val="1037"/>
        </w:trPr>
        <w:tc>
          <w:tcPr>
            <w:tcW w:w="1809" w:type="dxa"/>
            <w:tcBorders>
              <w:top w:val="single" w:color="0066A4" w:sz="4" w:space="0"/>
              <w:left w:val="nil"/>
              <w:bottom w:val="single" w:color="0066A4" w:sz="4" w:space="0"/>
              <w:right w:val="nil"/>
            </w:tcBorders>
          </w:tcPr>
          <w:p w:rsidR="007F3C15" w:rsidP="007F3C15" w:rsidRDefault="00386E05" w14:paraId="3E7A7E6F" w14:textId="0C29164E">
            <w:pPr>
              <w:ind w:left="108"/>
              <w:rPr>
                <w:rFonts w:ascii="Verdana" w:hAnsi="Verdana" w:eastAsia="Verdana" w:cs="Verdana"/>
                <w:color w:val="0066A4"/>
                <w:sz w:val="18"/>
              </w:rPr>
            </w:pPr>
            <w:r>
              <w:rPr>
                <w:rFonts w:ascii="Verdana" w:hAnsi="Verdana" w:eastAsia="Verdana" w:cs="Verdana"/>
                <w:color w:val="0066A4"/>
                <w:sz w:val="18"/>
              </w:rPr>
              <w:t>KRACHTENVELD</w:t>
            </w:r>
          </w:p>
        </w:tc>
        <w:tc>
          <w:tcPr>
            <w:tcW w:w="6946" w:type="dxa"/>
            <w:tcBorders>
              <w:top w:val="single" w:color="0066A4" w:sz="4" w:space="0"/>
              <w:left w:val="nil"/>
              <w:bottom w:val="single" w:color="0066A4" w:sz="4" w:space="0"/>
              <w:right w:val="nil"/>
            </w:tcBorders>
            <w:vAlign w:val="center"/>
          </w:tcPr>
          <w:p w:rsidR="005A27B5" w:rsidP="000976B8" w:rsidRDefault="00D17125" w14:paraId="2D180749" w14:textId="017A1B42">
            <w:pPr>
              <w:pStyle w:val="Lijstalinea"/>
              <w:numPr>
                <w:ilvl w:val="0"/>
                <w:numId w:val="2"/>
              </w:numPr>
              <w:rPr>
                <w:rFonts w:ascii="Verdana" w:hAnsi="Verdana"/>
                <w:sz w:val="18"/>
                <w:szCs w:val="18"/>
              </w:rPr>
            </w:pPr>
            <w:r>
              <w:rPr>
                <w:rFonts w:ascii="Verdana" w:hAnsi="Verdana"/>
                <w:sz w:val="18"/>
                <w:szCs w:val="18"/>
              </w:rPr>
              <w:t>Door</w:t>
            </w:r>
            <w:r w:rsidR="005A27B5">
              <w:rPr>
                <w:rFonts w:ascii="Verdana" w:hAnsi="Verdana"/>
                <w:sz w:val="18"/>
                <w:szCs w:val="18"/>
              </w:rPr>
              <w:t xml:space="preserve"> verschillende (vastgoed)partijen</w:t>
            </w:r>
            <w:r>
              <w:rPr>
                <w:rFonts w:ascii="Verdana" w:hAnsi="Verdana"/>
                <w:sz w:val="18"/>
                <w:szCs w:val="18"/>
              </w:rPr>
              <w:t xml:space="preserve"> wordt in toenemende mate</w:t>
            </w:r>
            <w:r w:rsidR="005A27B5">
              <w:rPr>
                <w:rFonts w:ascii="Verdana" w:hAnsi="Verdana"/>
                <w:sz w:val="18"/>
                <w:szCs w:val="18"/>
              </w:rPr>
              <w:t xml:space="preserve"> aandacht gevraagd voor de strenge implementatie van de earningsstrippingmaatregel.</w:t>
            </w:r>
          </w:p>
          <w:p w:rsidR="005A27B5" w:rsidP="000976B8" w:rsidRDefault="0034614B" w14:paraId="65773F51" w14:textId="0C5FC443">
            <w:pPr>
              <w:pStyle w:val="Lijstalinea"/>
              <w:numPr>
                <w:ilvl w:val="0"/>
                <w:numId w:val="2"/>
              </w:numPr>
              <w:rPr>
                <w:rFonts w:ascii="Verdana" w:hAnsi="Verdana"/>
                <w:sz w:val="18"/>
                <w:szCs w:val="18"/>
              </w:rPr>
            </w:pPr>
            <w:r>
              <w:rPr>
                <w:rFonts w:ascii="Verdana" w:hAnsi="Verdana"/>
                <w:sz w:val="18"/>
                <w:szCs w:val="18"/>
              </w:rPr>
              <w:t xml:space="preserve">Hoewel </w:t>
            </w:r>
            <w:r w:rsidR="005A27B5">
              <w:rPr>
                <w:rFonts w:ascii="Verdana" w:hAnsi="Verdana"/>
                <w:sz w:val="18"/>
                <w:szCs w:val="18"/>
              </w:rPr>
              <w:t xml:space="preserve">deze maatregel meer gericht is dan de niet ingevoerde antifragmentatiemaatregel – en daardoor kleinere vastgoedbeleggers en </w:t>
            </w:r>
            <w:r w:rsidR="005A27B5">
              <w:rPr>
                <w:rFonts w:ascii="Verdana" w:hAnsi="Verdana"/>
                <w:sz w:val="18"/>
                <w:szCs w:val="18"/>
              </w:rPr>
              <w:lastRenderedPageBreak/>
              <w:t>woningcorporaties grotendeels ontziet –</w:t>
            </w:r>
            <w:r w:rsidR="0005532D">
              <w:rPr>
                <w:rFonts w:ascii="Verdana" w:hAnsi="Verdana"/>
                <w:sz w:val="18"/>
                <w:szCs w:val="18"/>
              </w:rPr>
              <w:t xml:space="preserve">kan </w:t>
            </w:r>
            <w:r w:rsidR="009A5115">
              <w:rPr>
                <w:rFonts w:ascii="Verdana" w:hAnsi="Verdana"/>
                <w:sz w:val="18"/>
                <w:szCs w:val="18"/>
              </w:rPr>
              <w:t>deze maatregel ook</w:t>
            </w:r>
            <w:r w:rsidR="00607320">
              <w:rPr>
                <w:rFonts w:ascii="Verdana" w:hAnsi="Verdana"/>
                <w:sz w:val="18"/>
                <w:szCs w:val="18"/>
              </w:rPr>
              <w:t xml:space="preserve"> </w:t>
            </w:r>
            <w:r w:rsidR="009A5115">
              <w:rPr>
                <w:rFonts w:ascii="Verdana" w:hAnsi="Verdana"/>
                <w:sz w:val="18"/>
                <w:szCs w:val="18"/>
              </w:rPr>
              <w:t>neveneffecten kan hebben voor overige vastgoedbeleggers.</w:t>
            </w:r>
          </w:p>
          <w:p w:rsidR="000976B8" w:rsidP="000976B8" w:rsidRDefault="000976B8" w14:paraId="40D3E2D7" w14:textId="421AACCD">
            <w:pPr>
              <w:pStyle w:val="Lijstalinea"/>
              <w:numPr>
                <w:ilvl w:val="0"/>
                <w:numId w:val="2"/>
              </w:numPr>
              <w:rPr>
                <w:rFonts w:ascii="Verdana" w:hAnsi="Verdana"/>
                <w:sz w:val="18"/>
                <w:szCs w:val="18"/>
              </w:rPr>
            </w:pPr>
            <w:r>
              <w:rPr>
                <w:rFonts w:ascii="Verdana" w:hAnsi="Verdana"/>
                <w:sz w:val="18"/>
                <w:szCs w:val="18"/>
              </w:rPr>
              <w:t xml:space="preserve">Deze beleidsoptie leidt voor een specifieke groep belastingplichtigen tot een aanzienlijke toename van de complexiteit en administratieve lasten. Dit </w:t>
            </w:r>
            <w:r w:rsidRPr="000976B8">
              <w:rPr>
                <w:rFonts w:ascii="Verdana" w:hAnsi="Verdana"/>
                <w:sz w:val="18"/>
                <w:szCs w:val="18"/>
              </w:rPr>
              <w:t>past niet in de algemene (politieke) wens om te komen tot minder complexe maatregelen (en een vereenvoudiging van het belastingstelsel).</w:t>
            </w:r>
          </w:p>
          <w:p w:rsidRPr="009A5115" w:rsidR="009A5115" w:rsidP="009A5115" w:rsidRDefault="009A5115" w14:paraId="556CF96E" w14:textId="1C9328F2">
            <w:pPr>
              <w:pStyle w:val="Lijstalinea"/>
              <w:numPr>
                <w:ilvl w:val="0"/>
                <w:numId w:val="2"/>
              </w:numPr>
              <w:rPr>
                <w:rFonts w:ascii="Verdana" w:hAnsi="Verdana"/>
                <w:sz w:val="18"/>
                <w:szCs w:val="18"/>
              </w:rPr>
            </w:pPr>
            <w:r>
              <w:rPr>
                <w:rFonts w:ascii="Verdana" w:hAnsi="Verdana"/>
                <w:sz w:val="18"/>
                <w:szCs w:val="18"/>
              </w:rPr>
              <w:t xml:space="preserve">Dit kan vragen oproepen </w:t>
            </w:r>
            <w:r w:rsidRPr="00BA693B">
              <w:rPr>
                <w:rFonts w:ascii="Verdana" w:hAnsi="Verdana"/>
                <w:sz w:val="18"/>
                <w:szCs w:val="18"/>
              </w:rPr>
              <w:t>over</w:t>
            </w:r>
            <w:r>
              <w:rPr>
                <w:rFonts w:ascii="Verdana" w:hAnsi="Verdana"/>
                <w:sz w:val="18"/>
                <w:szCs w:val="18"/>
              </w:rPr>
              <w:t xml:space="preserve"> zowel de</w:t>
            </w:r>
            <w:r w:rsidRPr="00BA693B">
              <w:rPr>
                <w:rFonts w:ascii="Verdana" w:hAnsi="Verdana"/>
                <w:sz w:val="18"/>
                <w:szCs w:val="18"/>
              </w:rPr>
              <w:t xml:space="preserve"> proportionaliteit van </w:t>
            </w:r>
            <w:r>
              <w:rPr>
                <w:rFonts w:ascii="Verdana" w:hAnsi="Verdana"/>
                <w:sz w:val="18"/>
                <w:szCs w:val="18"/>
              </w:rPr>
              <w:t>de maatregel</w:t>
            </w:r>
            <w:r w:rsidRPr="00BA693B">
              <w:rPr>
                <w:rFonts w:ascii="Verdana" w:hAnsi="Verdana"/>
                <w:sz w:val="18"/>
                <w:szCs w:val="18"/>
              </w:rPr>
              <w:t xml:space="preserve"> </w:t>
            </w:r>
            <w:r>
              <w:rPr>
                <w:rFonts w:ascii="Verdana" w:hAnsi="Verdana"/>
                <w:sz w:val="18"/>
                <w:szCs w:val="18"/>
              </w:rPr>
              <w:t xml:space="preserve">als </w:t>
            </w:r>
            <w:r w:rsidRPr="00BA693B">
              <w:rPr>
                <w:rFonts w:ascii="Verdana" w:hAnsi="Verdana"/>
                <w:sz w:val="18"/>
                <w:szCs w:val="18"/>
              </w:rPr>
              <w:t xml:space="preserve">de balans tussen het bestrijden van ongewenste fiscale constructies en het waarborgen van een aantrekkelijk </w:t>
            </w:r>
            <w:r>
              <w:rPr>
                <w:rFonts w:ascii="Verdana" w:hAnsi="Verdana"/>
                <w:sz w:val="18"/>
                <w:szCs w:val="18"/>
              </w:rPr>
              <w:t>investerings- en vestigingsklimaat.</w:t>
            </w:r>
          </w:p>
          <w:p w:rsidRPr="00B46C00" w:rsidR="000976B8" w:rsidP="000976B8" w:rsidRDefault="000976B8" w14:paraId="7C513D37" w14:textId="129B4403">
            <w:pPr>
              <w:pStyle w:val="Lijstalinea"/>
              <w:ind w:left="360"/>
              <w:rPr>
                <w:rFonts w:ascii="Verdana" w:hAnsi="Verdana"/>
                <w:sz w:val="18"/>
                <w:szCs w:val="18"/>
              </w:rPr>
            </w:pPr>
          </w:p>
        </w:tc>
      </w:tr>
      <w:tr w:rsidRPr="0005317A" w:rsidR="007F3C15" w:rsidTr="00943B47" w14:paraId="2094BF43" w14:textId="77777777">
        <w:trPr>
          <w:trHeight w:val="1037"/>
        </w:trPr>
        <w:tc>
          <w:tcPr>
            <w:tcW w:w="1809" w:type="dxa"/>
            <w:tcBorders>
              <w:top w:val="single" w:color="0066A4" w:sz="4" w:space="0"/>
              <w:left w:val="nil"/>
              <w:bottom w:val="single" w:color="0066A4" w:sz="4" w:space="0"/>
              <w:right w:val="nil"/>
            </w:tcBorders>
          </w:tcPr>
          <w:p w:rsidR="007F3C15" w:rsidP="007F3C15" w:rsidRDefault="007F3C15" w14:paraId="59A45D84" w14:textId="77777777">
            <w:pPr>
              <w:ind w:left="108"/>
              <w:rPr>
                <w:rFonts w:ascii="Verdana" w:hAnsi="Verdana" w:eastAsia="Verdana" w:cs="Verdana"/>
                <w:color w:val="0066A4"/>
                <w:sz w:val="18"/>
              </w:rPr>
            </w:pPr>
            <w:r>
              <w:rPr>
                <w:rFonts w:ascii="Verdana" w:hAnsi="Verdana" w:eastAsia="Verdana" w:cs="Verdana"/>
                <w:color w:val="0066A4"/>
                <w:sz w:val="18"/>
              </w:rPr>
              <w:lastRenderedPageBreak/>
              <w:t>BUDGETTAIRE GEVOLGEN</w:t>
            </w:r>
          </w:p>
        </w:tc>
        <w:tc>
          <w:tcPr>
            <w:tcW w:w="6946" w:type="dxa"/>
            <w:tcBorders>
              <w:top w:val="single" w:color="0066A4" w:sz="4" w:space="0"/>
              <w:left w:val="nil"/>
              <w:bottom w:val="single" w:color="0066A4" w:sz="4" w:space="0"/>
              <w:right w:val="nil"/>
            </w:tcBorders>
            <w:vAlign w:val="center"/>
          </w:tcPr>
          <w:p w:rsidRPr="00700EB0" w:rsidR="007F3C15" w:rsidP="00700EB0" w:rsidRDefault="00DE5E78" w14:paraId="68EB291A" w14:textId="13D531AE">
            <w:pPr>
              <w:pStyle w:val="Lijstalinea"/>
              <w:numPr>
                <w:ilvl w:val="0"/>
                <w:numId w:val="2"/>
              </w:numPr>
              <w:spacing w:line="244" w:lineRule="auto"/>
              <w:rPr>
                <w:rFonts w:ascii="Verdana" w:hAnsi="Verdana" w:eastAsia="Verdana" w:cs="Verdana"/>
                <w:color w:val="000000"/>
                <w:sz w:val="18"/>
              </w:rPr>
            </w:pPr>
            <w:r w:rsidRPr="00700EB0">
              <w:rPr>
                <w:rFonts w:ascii="Verdana" w:hAnsi="Verdana" w:eastAsia="Verdana" w:cs="Verdana"/>
                <w:color w:val="000000"/>
                <w:sz w:val="18"/>
              </w:rPr>
              <w:t>Deze beleidsoptie heeft naar verwachting een opbrengst in ordegrootte van € 50 miljoen.</w:t>
            </w:r>
          </w:p>
        </w:tc>
      </w:tr>
    </w:tbl>
    <w:p w:rsidR="00547926" w:rsidP="00C260B6" w:rsidRDefault="00547926" w14:paraId="065B260A" w14:textId="54B25BC7">
      <w:pPr>
        <w:keepNext/>
        <w:keepLines/>
        <w:spacing w:after="4" w:line="250" w:lineRule="auto"/>
        <w:ind w:right="559"/>
        <w:outlineLvl w:val="2"/>
        <w:rPr>
          <w:rFonts w:ascii="Verdana" w:hAnsi="Verdana" w:eastAsia="Verdana" w:cs="Verdana"/>
          <w:i/>
          <w:color w:val="000000"/>
          <w:sz w:val="18"/>
          <w:lang w:eastAsia="nl-NL"/>
        </w:rPr>
      </w:pPr>
    </w:p>
    <w:p w:rsidRPr="006338CF" w:rsidR="007306BB" w:rsidP="00304A68" w:rsidRDefault="002F4501" w14:paraId="69384210" w14:textId="68D36795">
      <w:pPr>
        <w:rPr>
          <w:rFonts w:ascii="Verdana" w:hAnsi="Verdana" w:eastAsia="Verdana" w:cs="Verdana"/>
          <w:b/>
          <w:bCs/>
          <w:color w:val="0066A4"/>
          <w:sz w:val="20"/>
          <w:lang w:eastAsia="nl-NL"/>
        </w:rPr>
      </w:pPr>
      <w:r>
        <w:rPr>
          <w:rFonts w:ascii="Verdana" w:hAnsi="Verdana" w:eastAsia="Verdana" w:cs="Verdana"/>
          <w:b/>
          <w:bCs/>
          <w:color w:val="0066A4"/>
          <w:sz w:val="20"/>
          <w:lang w:eastAsia="nl-NL"/>
        </w:rPr>
        <w:br w:type="column"/>
      </w:r>
      <w:r w:rsidRPr="007F3C15" w:rsidR="007306BB">
        <w:rPr>
          <w:rFonts w:ascii="Verdana" w:hAnsi="Verdana" w:eastAsia="Verdana" w:cs="Verdana"/>
          <w:b/>
          <w:bCs/>
          <w:color w:val="0066A4"/>
          <w:sz w:val="20"/>
          <w:lang w:eastAsia="nl-NL"/>
        </w:rPr>
        <w:lastRenderedPageBreak/>
        <w:t xml:space="preserve">BELEIDSOPTIE </w:t>
      </w:r>
      <w:r w:rsidR="00FC6E24">
        <w:rPr>
          <w:rFonts w:ascii="Verdana" w:hAnsi="Verdana" w:eastAsia="Verdana" w:cs="Verdana"/>
          <w:b/>
          <w:bCs/>
          <w:color w:val="0066A4"/>
          <w:sz w:val="20"/>
          <w:lang w:eastAsia="nl-NL"/>
        </w:rPr>
        <w:t>3</w:t>
      </w:r>
      <w:r w:rsidRPr="007F3C15" w:rsidR="007306BB">
        <w:rPr>
          <w:rFonts w:ascii="Verdana" w:hAnsi="Verdana" w:eastAsia="Verdana" w:cs="Verdana"/>
          <w:b/>
          <w:bCs/>
          <w:color w:val="0066A4"/>
          <w:sz w:val="20"/>
          <w:lang w:eastAsia="nl-NL"/>
        </w:rPr>
        <w:t xml:space="preserve">: </w:t>
      </w:r>
      <w:r w:rsidRPr="0014122D" w:rsidR="007306BB">
        <w:rPr>
          <w:rFonts w:ascii="Verdana" w:hAnsi="Verdana" w:eastAsia="Verdana" w:cs="Verdana"/>
          <w:b/>
          <w:bCs/>
          <w:color w:val="0066A4"/>
          <w:sz w:val="20"/>
          <w:lang w:eastAsia="nl-NL"/>
        </w:rPr>
        <w:t xml:space="preserve">Uitbreiding specifieke renteaftrekbeperking tot </w:t>
      </w:r>
      <w:r w:rsidR="00FC6E24">
        <w:rPr>
          <w:rFonts w:ascii="Verdana" w:hAnsi="Verdana" w:eastAsia="Verdana" w:cs="Verdana"/>
          <w:b/>
          <w:bCs/>
          <w:color w:val="0066A4"/>
          <w:sz w:val="20"/>
          <w:lang w:eastAsia="nl-NL"/>
        </w:rPr>
        <w:t>financiering van aan derden verhuurd</w:t>
      </w:r>
      <w:r w:rsidRPr="0014122D" w:rsidR="007306BB">
        <w:rPr>
          <w:rFonts w:ascii="Verdana" w:hAnsi="Verdana" w:eastAsia="Verdana" w:cs="Verdana"/>
          <w:b/>
          <w:bCs/>
          <w:color w:val="0066A4"/>
          <w:sz w:val="20"/>
          <w:lang w:eastAsia="nl-NL"/>
        </w:rPr>
        <w:t xml:space="preserve"> vastgoe</w:t>
      </w:r>
      <w:r w:rsidR="00FC6E24">
        <w:rPr>
          <w:rFonts w:ascii="Verdana" w:hAnsi="Verdana" w:eastAsia="Verdana" w:cs="Verdana"/>
          <w:b/>
          <w:bCs/>
          <w:color w:val="0066A4"/>
          <w:sz w:val="20"/>
          <w:lang w:eastAsia="nl-NL"/>
        </w:rPr>
        <w:t>d</w:t>
      </w:r>
    </w:p>
    <w:tbl>
      <w:tblPr>
        <w:tblStyle w:val="TableGrid"/>
        <w:tblW w:w="8755" w:type="dxa"/>
        <w:tblInd w:w="-108" w:type="dxa"/>
        <w:tblLayout w:type="fixed"/>
        <w:tblCellMar>
          <w:top w:w="160" w:type="dxa"/>
        </w:tblCellMar>
        <w:tblLook w:val="04A0" w:firstRow="1" w:lastRow="0" w:firstColumn="1" w:lastColumn="0" w:noHBand="0" w:noVBand="1"/>
      </w:tblPr>
      <w:tblGrid>
        <w:gridCol w:w="1809"/>
        <w:gridCol w:w="6946"/>
      </w:tblGrid>
      <w:tr w:rsidRPr="0005317A" w:rsidR="007306BB" w:rsidTr="00A40A41" w14:paraId="709B608D" w14:textId="77777777">
        <w:trPr>
          <w:trHeight w:val="1179"/>
        </w:trPr>
        <w:tc>
          <w:tcPr>
            <w:tcW w:w="1809" w:type="dxa"/>
            <w:tcBorders>
              <w:top w:val="single" w:color="0066A4" w:sz="4" w:space="0"/>
              <w:left w:val="nil"/>
              <w:bottom w:val="single" w:color="0066A4" w:sz="4" w:space="0"/>
              <w:right w:val="nil"/>
            </w:tcBorders>
          </w:tcPr>
          <w:p w:rsidRPr="0005317A" w:rsidR="007306BB" w:rsidP="00A40A41" w:rsidRDefault="007306BB" w14:paraId="2E4B3D2D" w14:textId="77777777">
            <w:pPr>
              <w:ind w:left="108"/>
              <w:rPr>
                <w:rFonts w:ascii="Verdana" w:hAnsi="Verdana" w:eastAsia="Verdana" w:cs="Verdana"/>
                <w:color w:val="000000"/>
                <w:sz w:val="18"/>
              </w:rPr>
            </w:pPr>
            <w:r w:rsidRPr="0005317A">
              <w:rPr>
                <w:rFonts w:ascii="Verdana" w:hAnsi="Verdana" w:eastAsia="Verdana" w:cs="Verdana"/>
                <w:color w:val="0066A4"/>
                <w:sz w:val="18"/>
              </w:rPr>
              <w:t xml:space="preserve">OMSCHRIJVING </w:t>
            </w:r>
          </w:p>
        </w:tc>
        <w:tc>
          <w:tcPr>
            <w:tcW w:w="6946" w:type="dxa"/>
            <w:tcBorders>
              <w:top w:val="single" w:color="0066A4" w:sz="4" w:space="0"/>
              <w:left w:val="nil"/>
              <w:bottom w:val="single" w:color="0066A4" w:sz="4" w:space="0"/>
              <w:right w:val="nil"/>
            </w:tcBorders>
            <w:vAlign w:val="center"/>
          </w:tcPr>
          <w:p w:rsidRPr="006B38A1" w:rsidR="007306BB" w:rsidP="00177F4C" w:rsidRDefault="007306BB" w14:paraId="1776A744" w14:textId="6C1F885C">
            <w:pPr>
              <w:pStyle w:val="Lijstalinea"/>
              <w:numPr>
                <w:ilvl w:val="0"/>
                <w:numId w:val="1"/>
              </w:numPr>
              <w:rPr>
                <w:rFonts w:ascii="Verdana" w:hAnsi="Verdana"/>
                <w:sz w:val="18"/>
                <w:szCs w:val="18"/>
              </w:rPr>
            </w:pPr>
            <w:r>
              <w:rPr>
                <w:rFonts w:ascii="Verdana" w:hAnsi="Verdana"/>
                <w:sz w:val="18"/>
                <w:szCs w:val="18"/>
              </w:rPr>
              <w:t xml:space="preserve">Deze </w:t>
            </w:r>
            <w:r w:rsidR="005C6866">
              <w:rPr>
                <w:rFonts w:ascii="Verdana" w:hAnsi="Verdana"/>
                <w:sz w:val="18"/>
                <w:szCs w:val="18"/>
              </w:rPr>
              <w:t>beleids</w:t>
            </w:r>
            <w:r w:rsidR="00DC0ACA">
              <w:rPr>
                <w:rFonts w:ascii="Verdana" w:hAnsi="Verdana"/>
                <w:sz w:val="18"/>
                <w:szCs w:val="18"/>
              </w:rPr>
              <w:t>o</w:t>
            </w:r>
            <w:r>
              <w:rPr>
                <w:rFonts w:ascii="Verdana" w:hAnsi="Verdana"/>
                <w:sz w:val="18"/>
                <w:szCs w:val="18"/>
              </w:rPr>
              <w:t>ptie is gericht op het beperken van specifiek de aftrek van gestructureerde rentelasten die gebruikt worden om d</w:t>
            </w:r>
            <w:r w:rsidRPr="0014122D">
              <w:rPr>
                <w:rFonts w:ascii="Verdana" w:hAnsi="Verdana"/>
                <w:sz w:val="18"/>
                <w:szCs w:val="18"/>
              </w:rPr>
              <w:t>e Nederlandse belastinggrondslag met betrekking tot inkomen uit</w:t>
            </w:r>
            <w:r>
              <w:rPr>
                <w:rFonts w:ascii="Verdana" w:hAnsi="Verdana"/>
                <w:sz w:val="18"/>
                <w:szCs w:val="18"/>
              </w:rPr>
              <w:t xml:space="preserve"> </w:t>
            </w:r>
            <w:r w:rsidRPr="006B38A1">
              <w:rPr>
                <w:rFonts w:ascii="Verdana" w:hAnsi="Verdana"/>
                <w:sz w:val="18"/>
                <w:szCs w:val="18"/>
              </w:rPr>
              <w:t>Nederlands</w:t>
            </w:r>
            <w:r w:rsidR="00386E05">
              <w:rPr>
                <w:rFonts w:ascii="Verdana" w:hAnsi="Verdana"/>
                <w:sz w:val="18"/>
                <w:szCs w:val="18"/>
              </w:rPr>
              <w:t xml:space="preserve"> aan derden verhuurd</w:t>
            </w:r>
            <w:r w:rsidRPr="006B38A1">
              <w:rPr>
                <w:rFonts w:ascii="Verdana" w:hAnsi="Verdana"/>
                <w:sz w:val="18"/>
                <w:szCs w:val="18"/>
              </w:rPr>
              <w:t xml:space="preserve"> vastgoed </w:t>
            </w:r>
            <w:r>
              <w:rPr>
                <w:rFonts w:ascii="Verdana" w:hAnsi="Verdana"/>
                <w:sz w:val="18"/>
                <w:szCs w:val="18"/>
              </w:rPr>
              <w:t>uit te hollen.</w:t>
            </w:r>
          </w:p>
          <w:p w:rsidR="007306BB" w:rsidP="00177F4C" w:rsidRDefault="005C6866" w14:paraId="76578D64" w14:textId="02FC90DA">
            <w:pPr>
              <w:pStyle w:val="Lijstalinea"/>
              <w:numPr>
                <w:ilvl w:val="0"/>
                <w:numId w:val="1"/>
              </w:numPr>
              <w:rPr>
                <w:rFonts w:ascii="Verdana" w:hAnsi="Verdana"/>
                <w:sz w:val="18"/>
                <w:szCs w:val="18"/>
              </w:rPr>
            </w:pPr>
            <w:r>
              <w:rPr>
                <w:rFonts w:ascii="Verdana" w:hAnsi="Verdana"/>
                <w:sz w:val="18"/>
                <w:szCs w:val="18"/>
              </w:rPr>
              <w:t xml:space="preserve">Bij de uitwerking van deze maatregel </w:t>
            </w:r>
            <w:r w:rsidR="004D17E7">
              <w:rPr>
                <w:rFonts w:ascii="Verdana" w:hAnsi="Verdana"/>
                <w:sz w:val="18"/>
                <w:szCs w:val="18"/>
              </w:rPr>
              <w:t xml:space="preserve">wordt </w:t>
            </w:r>
            <w:r w:rsidR="007306BB">
              <w:rPr>
                <w:rFonts w:ascii="Verdana" w:hAnsi="Verdana"/>
                <w:sz w:val="18"/>
                <w:szCs w:val="18"/>
              </w:rPr>
              <w:t>de bestaande specifieke renteaftrekbeperking</w:t>
            </w:r>
            <w:r w:rsidR="00D17125">
              <w:rPr>
                <w:rFonts w:ascii="Verdana" w:hAnsi="Verdana"/>
                <w:sz w:val="18"/>
                <w:szCs w:val="18"/>
              </w:rPr>
              <w:t xml:space="preserve"> </w:t>
            </w:r>
            <w:r w:rsidR="007306BB">
              <w:rPr>
                <w:rFonts w:ascii="Verdana" w:hAnsi="Verdana"/>
                <w:sz w:val="18"/>
                <w:szCs w:val="18"/>
              </w:rPr>
              <w:t>uit</w:t>
            </w:r>
            <w:r w:rsidR="004D17E7">
              <w:rPr>
                <w:rFonts w:ascii="Verdana" w:hAnsi="Verdana"/>
                <w:sz w:val="18"/>
                <w:szCs w:val="18"/>
              </w:rPr>
              <w:t>ge</w:t>
            </w:r>
            <w:r w:rsidR="007306BB">
              <w:rPr>
                <w:rFonts w:ascii="Verdana" w:hAnsi="Verdana"/>
                <w:sz w:val="18"/>
                <w:szCs w:val="18"/>
              </w:rPr>
              <w:t xml:space="preserve">breid opdat – kortgezegd – ook de rente op leningen van verbonden lichamen die verband houden met </w:t>
            </w:r>
            <w:r w:rsidR="00386E05">
              <w:rPr>
                <w:rFonts w:ascii="Verdana" w:hAnsi="Verdana"/>
                <w:sz w:val="18"/>
                <w:szCs w:val="18"/>
              </w:rPr>
              <w:t xml:space="preserve">het verwerven en houden </w:t>
            </w:r>
            <w:r w:rsidR="007306BB">
              <w:rPr>
                <w:rFonts w:ascii="Verdana" w:hAnsi="Verdana"/>
                <w:sz w:val="18"/>
                <w:szCs w:val="18"/>
              </w:rPr>
              <w:t xml:space="preserve">van Nederlands </w:t>
            </w:r>
            <w:r w:rsidR="00F3600B">
              <w:rPr>
                <w:rFonts w:ascii="Verdana" w:hAnsi="Verdana"/>
                <w:sz w:val="18"/>
                <w:szCs w:val="18"/>
              </w:rPr>
              <w:t>aan derde</w:t>
            </w:r>
            <w:r w:rsidR="00DC68CC">
              <w:rPr>
                <w:rFonts w:ascii="Verdana" w:hAnsi="Verdana"/>
                <w:sz w:val="18"/>
                <w:szCs w:val="18"/>
              </w:rPr>
              <w:t>n</w:t>
            </w:r>
            <w:r w:rsidR="00F3600B">
              <w:rPr>
                <w:rFonts w:ascii="Verdana" w:hAnsi="Verdana"/>
                <w:sz w:val="18"/>
                <w:szCs w:val="18"/>
              </w:rPr>
              <w:t xml:space="preserve"> verhuurd </w:t>
            </w:r>
            <w:r w:rsidR="007306BB">
              <w:rPr>
                <w:rFonts w:ascii="Verdana" w:hAnsi="Verdana"/>
                <w:sz w:val="18"/>
                <w:szCs w:val="18"/>
              </w:rPr>
              <w:t>vastgoed</w:t>
            </w:r>
            <w:r w:rsidR="009A5115">
              <w:rPr>
                <w:rFonts w:ascii="Verdana" w:hAnsi="Verdana"/>
                <w:sz w:val="18"/>
                <w:szCs w:val="18"/>
              </w:rPr>
              <w:t xml:space="preserve"> in aftrek wordt beperkt</w:t>
            </w:r>
            <w:r w:rsidR="00391D83">
              <w:rPr>
                <w:rFonts w:ascii="Verdana" w:hAnsi="Verdana"/>
                <w:sz w:val="18"/>
                <w:szCs w:val="18"/>
              </w:rPr>
              <w:t xml:space="preserve">. </w:t>
            </w:r>
            <w:r w:rsidR="007306BB">
              <w:rPr>
                <w:rFonts w:ascii="Verdana" w:hAnsi="Verdana"/>
                <w:sz w:val="18"/>
                <w:szCs w:val="18"/>
              </w:rPr>
              <w:t>Dit kan worden bewerkstellig</w:t>
            </w:r>
            <w:r w:rsidR="00F3600B">
              <w:rPr>
                <w:rFonts w:ascii="Verdana" w:hAnsi="Verdana"/>
                <w:sz w:val="18"/>
                <w:szCs w:val="18"/>
              </w:rPr>
              <w:t>d</w:t>
            </w:r>
            <w:r w:rsidR="007306BB">
              <w:rPr>
                <w:rFonts w:ascii="Verdana" w:hAnsi="Verdana"/>
                <w:sz w:val="18"/>
                <w:szCs w:val="18"/>
              </w:rPr>
              <w:t xml:space="preserve"> door </w:t>
            </w:r>
            <w:r w:rsidR="00386E05">
              <w:rPr>
                <w:rFonts w:ascii="Verdana" w:hAnsi="Verdana"/>
                <w:sz w:val="18"/>
                <w:szCs w:val="18"/>
              </w:rPr>
              <w:t xml:space="preserve">het verwerven en houden van Nederlands aan derden verhuurd vastgoed </w:t>
            </w:r>
            <w:r w:rsidR="007306BB">
              <w:rPr>
                <w:rFonts w:ascii="Verdana" w:hAnsi="Verdana"/>
                <w:sz w:val="18"/>
                <w:szCs w:val="18"/>
              </w:rPr>
              <w:t>toe te voegen aan de opsomming van art</w:t>
            </w:r>
            <w:r w:rsidR="00EC5878">
              <w:rPr>
                <w:rFonts w:ascii="Verdana" w:hAnsi="Verdana"/>
                <w:sz w:val="18"/>
                <w:szCs w:val="18"/>
              </w:rPr>
              <w:t>ikel</w:t>
            </w:r>
            <w:r w:rsidR="007306BB">
              <w:rPr>
                <w:rFonts w:ascii="Verdana" w:hAnsi="Verdana"/>
                <w:sz w:val="18"/>
                <w:szCs w:val="18"/>
              </w:rPr>
              <w:t xml:space="preserve"> 10a, eerste lid, onderdelen a tot en met c, Wet Vpb 1969.</w:t>
            </w:r>
            <w:r w:rsidR="00F3600B">
              <w:rPr>
                <w:rFonts w:ascii="Verdana" w:hAnsi="Verdana"/>
                <w:sz w:val="18"/>
                <w:szCs w:val="18"/>
              </w:rPr>
              <w:t xml:space="preserve"> De huidige tegenbewijsregel van artikel 10a, </w:t>
            </w:r>
            <w:r w:rsidR="00386E05">
              <w:rPr>
                <w:rFonts w:ascii="Verdana" w:hAnsi="Verdana"/>
                <w:sz w:val="18"/>
                <w:szCs w:val="18"/>
              </w:rPr>
              <w:t xml:space="preserve">derde lid, </w:t>
            </w:r>
            <w:r w:rsidR="00F3600B">
              <w:rPr>
                <w:rFonts w:ascii="Verdana" w:hAnsi="Verdana"/>
                <w:sz w:val="18"/>
                <w:szCs w:val="18"/>
              </w:rPr>
              <w:t>Wet V</w:t>
            </w:r>
            <w:r w:rsidR="00386E05">
              <w:rPr>
                <w:rFonts w:ascii="Verdana" w:hAnsi="Verdana"/>
                <w:sz w:val="18"/>
                <w:szCs w:val="18"/>
              </w:rPr>
              <w:t>pb</w:t>
            </w:r>
            <w:r w:rsidR="00F3600B">
              <w:rPr>
                <w:rFonts w:ascii="Verdana" w:hAnsi="Verdana"/>
                <w:sz w:val="18"/>
                <w:szCs w:val="18"/>
              </w:rPr>
              <w:t xml:space="preserve"> 1969 geld</w:t>
            </w:r>
            <w:r w:rsidR="001C48FA">
              <w:rPr>
                <w:rFonts w:ascii="Verdana" w:hAnsi="Verdana"/>
                <w:sz w:val="18"/>
                <w:szCs w:val="18"/>
              </w:rPr>
              <w:t>t</w:t>
            </w:r>
            <w:r w:rsidR="00F3600B">
              <w:rPr>
                <w:rFonts w:ascii="Verdana" w:hAnsi="Verdana"/>
                <w:sz w:val="18"/>
                <w:szCs w:val="18"/>
              </w:rPr>
              <w:t xml:space="preserve"> hierbij. </w:t>
            </w:r>
          </w:p>
          <w:p w:rsidRPr="00177F4C" w:rsidR="00177F4C" w:rsidP="00177F4C" w:rsidRDefault="00177F4C" w14:paraId="46A6E3E9" w14:textId="1050E656">
            <w:pPr>
              <w:pStyle w:val="Lijstalinea"/>
              <w:numPr>
                <w:ilvl w:val="0"/>
                <w:numId w:val="1"/>
              </w:numPr>
              <w:autoSpaceDN w:val="0"/>
              <w:spacing w:line="240" w:lineRule="exact"/>
              <w:textAlignment w:val="baseline"/>
              <w:rPr>
                <w:rFonts w:ascii="Verdana" w:hAnsi="Verdana"/>
                <w:sz w:val="18"/>
                <w:szCs w:val="18"/>
              </w:rPr>
            </w:pPr>
            <w:r w:rsidRPr="00177F4C">
              <w:rPr>
                <w:rFonts w:ascii="Verdana" w:hAnsi="Verdana"/>
                <w:sz w:val="18"/>
                <w:szCs w:val="18"/>
              </w:rPr>
              <w:t>Op basis van de tegenbewijsre</w:t>
            </w:r>
            <w:r>
              <w:rPr>
                <w:rFonts w:ascii="Verdana" w:hAnsi="Verdana"/>
                <w:sz w:val="18"/>
                <w:szCs w:val="18"/>
              </w:rPr>
              <w:t>gel</w:t>
            </w:r>
            <w:r w:rsidRPr="00177F4C">
              <w:rPr>
                <w:rFonts w:ascii="Verdana" w:hAnsi="Verdana"/>
                <w:sz w:val="18"/>
                <w:szCs w:val="18"/>
              </w:rPr>
              <w:t xml:space="preserve">ing is de rente op leningen van verbonden lichamen - die verband houden met de aankoop of het houden van (aan derden verhuurd) Nederlands vastgoed – alsnog aftrekbaar als de belastingplichtige kan aantonen dat zowel de lening als de daarmee samenhangende </w:t>
            </w:r>
            <w:r w:rsidR="001C48FA">
              <w:rPr>
                <w:rFonts w:ascii="Verdana" w:hAnsi="Verdana"/>
                <w:sz w:val="18"/>
                <w:szCs w:val="18"/>
              </w:rPr>
              <w:t>rechtshandeling</w:t>
            </w:r>
            <w:r w:rsidRPr="00177F4C">
              <w:rPr>
                <w:rFonts w:ascii="Verdana" w:hAnsi="Verdana"/>
                <w:sz w:val="18"/>
                <w:szCs w:val="18"/>
              </w:rPr>
              <w:t xml:space="preserve"> (</w:t>
            </w:r>
            <w:r w:rsidR="001C48FA">
              <w:rPr>
                <w:rFonts w:ascii="Verdana" w:hAnsi="Verdana"/>
                <w:sz w:val="18"/>
                <w:szCs w:val="18"/>
              </w:rPr>
              <w:t>verwerving van</w:t>
            </w:r>
            <w:r w:rsidRPr="00177F4C">
              <w:rPr>
                <w:rFonts w:ascii="Verdana" w:hAnsi="Verdana"/>
                <w:sz w:val="18"/>
                <w:szCs w:val="18"/>
              </w:rPr>
              <w:t xml:space="preserve"> vastgoed) </w:t>
            </w:r>
            <w:r w:rsidR="001C48FA">
              <w:rPr>
                <w:rFonts w:ascii="Verdana" w:hAnsi="Verdana"/>
                <w:sz w:val="18"/>
                <w:szCs w:val="18"/>
              </w:rPr>
              <w:t>in overwegende mate</w:t>
            </w:r>
            <w:r w:rsidRPr="00177F4C">
              <w:rPr>
                <w:rFonts w:ascii="Verdana" w:hAnsi="Verdana"/>
                <w:sz w:val="18"/>
                <w:szCs w:val="18"/>
              </w:rPr>
              <w:t xml:space="preserve"> op zakelijke </w:t>
            </w:r>
            <w:r w:rsidR="001C48FA">
              <w:rPr>
                <w:rFonts w:ascii="Verdana" w:hAnsi="Verdana"/>
                <w:sz w:val="18"/>
                <w:szCs w:val="18"/>
              </w:rPr>
              <w:t>overwegingen</w:t>
            </w:r>
            <w:r w:rsidRPr="00177F4C">
              <w:rPr>
                <w:rFonts w:ascii="Verdana" w:hAnsi="Verdana"/>
                <w:sz w:val="18"/>
                <w:szCs w:val="18"/>
              </w:rPr>
              <w:t xml:space="preserve"> berust, óf dat over de rente een</w:t>
            </w:r>
            <w:r w:rsidR="001C48FA">
              <w:rPr>
                <w:rFonts w:ascii="Verdana" w:hAnsi="Verdana"/>
                <w:sz w:val="18"/>
                <w:szCs w:val="18"/>
              </w:rPr>
              <w:t xml:space="preserve"> naar Nederlandse maatstaven redelijke</w:t>
            </w:r>
            <w:r w:rsidRPr="00177F4C">
              <w:rPr>
                <w:rFonts w:ascii="Verdana" w:hAnsi="Verdana"/>
                <w:sz w:val="18"/>
                <w:szCs w:val="18"/>
              </w:rPr>
              <w:t xml:space="preserve"> heffing </w:t>
            </w:r>
            <w:r w:rsidR="001C48FA">
              <w:rPr>
                <w:rFonts w:ascii="Verdana" w:hAnsi="Verdana"/>
                <w:sz w:val="18"/>
                <w:szCs w:val="18"/>
              </w:rPr>
              <w:t xml:space="preserve">verschuldigd is </w:t>
            </w:r>
            <w:r w:rsidRPr="00177F4C">
              <w:rPr>
                <w:rFonts w:ascii="Verdana" w:hAnsi="Verdana"/>
                <w:sz w:val="18"/>
                <w:szCs w:val="18"/>
              </w:rPr>
              <w:t xml:space="preserve">bij het verbonden lichaam. </w:t>
            </w:r>
          </w:p>
          <w:p w:rsidRPr="00700EB0" w:rsidR="007306BB" w:rsidP="00700EB0" w:rsidRDefault="007306BB" w14:paraId="589F415D" w14:textId="7B8A7E19">
            <w:pPr>
              <w:rPr>
                <w:rFonts w:ascii="Verdana" w:hAnsi="Verdana"/>
                <w:sz w:val="18"/>
                <w:szCs w:val="18"/>
              </w:rPr>
            </w:pPr>
          </w:p>
        </w:tc>
      </w:tr>
      <w:tr w:rsidRPr="0005317A" w:rsidR="007306BB" w:rsidTr="00A40A41" w14:paraId="38489BFD" w14:textId="77777777">
        <w:trPr>
          <w:trHeight w:val="1479"/>
        </w:trPr>
        <w:tc>
          <w:tcPr>
            <w:tcW w:w="1809" w:type="dxa"/>
            <w:tcBorders>
              <w:top w:val="single" w:color="0066A4" w:sz="4" w:space="0"/>
              <w:left w:val="nil"/>
              <w:bottom w:val="single" w:color="0066A4" w:sz="4" w:space="0"/>
              <w:right w:val="nil"/>
            </w:tcBorders>
          </w:tcPr>
          <w:p w:rsidRPr="0005317A" w:rsidR="007306BB" w:rsidP="00A40A41" w:rsidRDefault="007306BB" w14:paraId="13D40446" w14:textId="77777777">
            <w:pPr>
              <w:ind w:left="108"/>
              <w:rPr>
                <w:rFonts w:ascii="Verdana" w:hAnsi="Verdana" w:eastAsia="Verdana" w:cs="Verdana"/>
                <w:color w:val="000000"/>
                <w:sz w:val="18"/>
              </w:rPr>
            </w:pPr>
            <w:r w:rsidRPr="0005317A">
              <w:rPr>
                <w:rFonts w:ascii="Verdana" w:hAnsi="Verdana" w:eastAsia="Verdana" w:cs="Verdana"/>
                <w:color w:val="0066A4"/>
                <w:sz w:val="18"/>
              </w:rPr>
              <w:t>UITVOERING</w:t>
            </w:r>
          </w:p>
        </w:tc>
        <w:tc>
          <w:tcPr>
            <w:tcW w:w="6946" w:type="dxa"/>
            <w:tcBorders>
              <w:top w:val="single" w:color="0066A4" w:sz="4" w:space="0"/>
              <w:left w:val="nil"/>
              <w:bottom w:val="single" w:color="0066A4" w:sz="4" w:space="0"/>
              <w:right w:val="nil"/>
            </w:tcBorders>
            <w:vAlign w:val="center"/>
          </w:tcPr>
          <w:p w:rsidR="00260CF5" w:rsidP="00260CF5" w:rsidRDefault="00260CF5" w14:paraId="2B1D8933" w14:textId="5BCECFD5">
            <w:pPr>
              <w:pStyle w:val="Lijstalinea"/>
              <w:numPr>
                <w:ilvl w:val="0"/>
                <w:numId w:val="9"/>
              </w:numPr>
              <w:spacing w:after="160" w:line="259" w:lineRule="auto"/>
              <w:rPr>
                <w:rFonts w:ascii="Verdana" w:hAnsi="Verdana"/>
                <w:sz w:val="18"/>
                <w:szCs w:val="18"/>
              </w:rPr>
            </w:pPr>
            <w:r>
              <w:rPr>
                <w:rFonts w:ascii="Verdana" w:hAnsi="Verdana"/>
                <w:sz w:val="18"/>
                <w:szCs w:val="18"/>
              </w:rPr>
              <w:t>De groep belastingplichtigen die met de maatregel te maken krijgt is mogelijk groot. In de systematiek van</w:t>
            </w:r>
            <w:r w:rsidR="00FD20C5">
              <w:rPr>
                <w:rFonts w:ascii="Verdana" w:hAnsi="Verdana"/>
                <w:sz w:val="18"/>
                <w:szCs w:val="18"/>
              </w:rPr>
              <w:t xml:space="preserve"> artikel </w:t>
            </w:r>
            <w:r>
              <w:rPr>
                <w:rFonts w:ascii="Verdana" w:hAnsi="Verdana"/>
                <w:sz w:val="18"/>
                <w:szCs w:val="18"/>
              </w:rPr>
              <w:t>10a</w:t>
            </w:r>
            <w:r w:rsidR="00FD20C5">
              <w:rPr>
                <w:rFonts w:ascii="Verdana" w:hAnsi="Verdana"/>
                <w:sz w:val="18"/>
                <w:szCs w:val="18"/>
              </w:rPr>
              <w:t xml:space="preserve"> Wet Vpb 1969</w:t>
            </w:r>
            <w:r>
              <w:rPr>
                <w:rFonts w:ascii="Verdana" w:hAnsi="Verdana"/>
                <w:sz w:val="18"/>
                <w:szCs w:val="18"/>
              </w:rPr>
              <w:t xml:space="preserve"> is sprake van een besmette lening als aan bepaalde voorwaarden wordt voldaan. Dat betekent dat iedere belastingplichtige die vastgoed verhuur</w:t>
            </w:r>
            <w:r w:rsidR="00AC6EC7">
              <w:rPr>
                <w:rFonts w:ascii="Verdana" w:hAnsi="Verdana"/>
                <w:sz w:val="18"/>
                <w:szCs w:val="18"/>
              </w:rPr>
              <w:t>t</w:t>
            </w:r>
            <w:r>
              <w:rPr>
                <w:rFonts w:ascii="Verdana" w:hAnsi="Verdana"/>
                <w:sz w:val="18"/>
                <w:szCs w:val="18"/>
              </w:rPr>
              <w:t xml:space="preserve"> en financiert in groepssituaties </w:t>
            </w:r>
            <w:r w:rsidR="001C48FA">
              <w:rPr>
                <w:rFonts w:ascii="Verdana" w:hAnsi="Verdana"/>
                <w:sz w:val="18"/>
                <w:szCs w:val="18"/>
              </w:rPr>
              <w:t>geraakt kan worden door deze maatregel</w:t>
            </w:r>
            <w:r w:rsidR="0005532D">
              <w:rPr>
                <w:rFonts w:ascii="Verdana" w:hAnsi="Verdana"/>
                <w:sz w:val="18"/>
                <w:szCs w:val="18"/>
              </w:rPr>
              <w:t>.</w:t>
            </w:r>
            <w:r w:rsidDel="001C48FA" w:rsidR="001C48FA">
              <w:rPr>
                <w:rFonts w:ascii="Verdana" w:hAnsi="Verdana"/>
                <w:sz w:val="18"/>
                <w:szCs w:val="18"/>
              </w:rPr>
              <w:t xml:space="preserve"> </w:t>
            </w:r>
            <w:r w:rsidR="00097A39">
              <w:rPr>
                <w:rFonts w:ascii="Verdana" w:hAnsi="Verdana"/>
                <w:sz w:val="18"/>
                <w:szCs w:val="18"/>
              </w:rPr>
              <w:t>Dit betekent dat het toezicht moet worden uitgevoerd ten aanzien van een grote groep belastingplichtigen.</w:t>
            </w:r>
          </w:p>
          <w:p w:rsidR="00260CF5" w:rsidP="00260CF5" w:rsidRDefault="00FD20C5" w14:paraId="272538CE" w14:textId="7EB7F542">
            <w:pPr>
              <w:pStyle w:val="Lijstalinea"/>
              <w:numPr>
                <w:ilvl w:val="0"/>
                <w:numId w:val="9"/>
              </w:numPr>
              <w:spacing w:after="160" w:line="259" w:lineRule="auto"/>
              <w:rPr>
                <w:rFonts w:ascii="Verdana" w:hAnsi="Verdana"/>
                <w:sz w:val="18"/>
                <w:szCs w:val="18"/>
              </w:rPr>
            </w:pPr>
            <w:r>
              <w:rPr>
                <w:rFonts w:ascii="Verdana" w:hAnsi="Verdana"/>
                <w:sz w:val="18"/>
                <w:szCs w:val="18"/>
              </w:rPr>
              <w:t xml:space="preserve">Artikel </w:t>
            </w:r>
            <w:r w:rsidR="00260CF5">
              <w:rPr>
                <w:rFonts w:ascii="Verdana" w:hAnsi="Verdana"/>
                <w:sz w:val="18"/>
                <w:szCs w:val="18"/>
              </w:rPr>
              <w:t>10a</w:t>
            </w:r>
            <w:r>
              <w:rPr>
                <w:rFonts w:ascii="Verdana" w:hAnsi="Verdana"/>
                <w:sz w:val="18"/>
                <w:szCs w:val="18"/>
              </w:rPr>
              <w:t xml:space="preserve"> Wet Vpb 1969</w:t>
            </w:r>
            <w:r w:rsidR="00260CF5">
              <w:rPr>
                <w:rFonts w:ascii="Verdana" w:hAnsi="Verdana"/>
                <w:sz w:val="18"/>
                <w:szCs w:val="18"/>
              </w:rPr>
              <w:t xml:space="preserve"> wordt als zowel effectief als zeer complex ervaren. Met deze maatregel wordt complexiteit toegevoegd. </w:t>
            </w:r>
          </w:p>
          <w:p w:rsidR="00260CF5" w:rsidP="00260CF5" w:rsidRDefault="00260CF5" w14:paraId="5A00F10E" w14:textId="77777777">
            <w:pPr>
              <w:pStyle w:val="Lijstalinea"/>
              <w:numPr>
                <w:ilvl w:val="0"/>
                <w:numId w:val="9"/>
              </w:numPr>
              <w:spacing w:after="160" w:line="259" w:lineRule="auto"/>
              <w:rPr>
                <w:rFonts w:ascii="Verdana" w:hAnsi="Verdana"/>
                <w:sz w:val="18"/>
                <w:szCs w:val="18"/>
              </w:rPr>
            </w:pPr>
            <w:r>
              <w:rPr>
                <w:rFonts w:ascii="Verdana" w:hAnsi="Verdana"/>
                <w:sz w:val="18"/>
                <w:szCs w:val="18"/>
              </w:rPr>
              <w:t>Qua IV-ondersteuning zal de maatregel beperkt zijn tot de uitvraag of sprake is van mogelijk niet-aftrekbare rente en of gebruik wordt gemaakt van tegenbewijs. Voor de juiste toepassing daarvan zal de Belastingdienst in belangrijke mate afhankelijk zijn van een juiste aangifte.</w:t>
            </w:r>
          </w:p>
          <w:p w:rsidR="00260CF5" w:rsidP="00260CF5" w:rsidRDefault="00260CF5" w14:paraId="712C8518" w14:textId="3877E2F5">
            <w:pPr>
              <w:pStyle w:val="Lijstalinea"/>
              <w:numPr>
                <w:ilvl w:val="0"/>
                <w:numId w:val="9"/>
              </w:numPr>
              <w:spacing w:after="160" w:line="259" w:lineRule="auto"/>
              <w:rPr>
                <w:rFonts w:ascii="Verdana" w:hAnsi="Verdana"/>
                <w:sz w:val="18"/>
                <w:szCs w:val="18"/>
              </w:rPr>
            </w:pPr>
            <w:r>
              <w:rPr>
                <w:rFonts w:ascii="Verdana" w:hAnsi="Verdana"/>
                <w:sz w:val="18"/>
                <w:szCs w:val="18"/>
              </w:rPr>
              <w:t>Er zijn ten aanzien van de leningen, het aankopen van vastgoed en tegenbewijs geen gevalideerde derden gegevens beschikbaar. De derden</w:t>
            </w:r>
            <w:r w:rsidR="002F4501">
              <w:rPr>
                <w:rFonts w:ascii="Verdana" w:hAnsi="Verdana"/>
                <w:sz w:val="18"/>
                <w:szCs w:val="18"/>
              </w:rPr>
              <w:t xml:space="preserve"> </w:t>
            </w:r>
            <w:r>
              <w:rPr>
                <w:rFonts w:ascii="Verdana" w:hAnsi="Verdana"/>
                <w:sz w:val="18"/>
                <w:szCs w:val="18"/>
              </w:rPr>
              <w:t>gegevens die beschikbaar zijn</w:t>
            </w:r>
            <w:r w:rsidR="00E54AC1">
              <w:rPr>
                <w:rFonts w:ascii="Verdana" w:hAnsi="Verdana"/>
                <w:sz w:val="18"/>
                <w:szCs w:val="18"/>
              </w:rPr>
              <w:t xml:space="preserve">, zijn </w:t>
            </w:r>
            <w:r>
              <w:rPr>
                <w:rFonts w:ascii="Verdana" w:hAnsi="Verdana"/>
                <w:sz w:val="18"/>
                <w:szCs w:val="18"/>
              </w:rPr>
              <w:t xml:space="preserve">niet op grote schaal toepasbaar (denk aan de transactiegegevens van het Kadaster). </w:t>
            </w:r>
          </w:p>
          <w:p w:rsidR="00260CF5" w:rsidP="00260CF5" w:rsidRDefault="00260CF5" w14:paraId="53FACFD8" w14:textId="77777777">
            <w:pPr>
              <w:pStyle w:val="Lijstalinea"/>
              <w:numPr>
                <w:ilvl w:val="0"/>
                <w:numId w:val="9"/>
              </w:numPr>
              <w:spacing w:after="160" w:line="259" w:lineRule="auto"/>
              <w:rPr>
                <w:rFonts w:ascii="Verdana" w:hAnsi="Verdana"/>
                <w:sz w:val="18"/>
                <w:szCs w:val="18"/>
              </w:rPr>
            </w:pPr>
            <w:r>
              <w:rPr>
                <w:rFonts w:ascii="Verdana" w:hAnsi="Verdana"/>
                <w:sz w:val="18"/>
                <w:szCs w:val="18"/>
              </w:rPr>
              <w:t>Om duidelijkheid te krijgen over de toepassing van de maatregel en aftrekbaarheid van rente zal op grote schaal contact worden gezocht met de Belastingdienst. Het is zeer de vraag of de Belastingdienst deze stroom kan beheersen en of voldoende mensen kunnen worden geworven.</w:t>
            </w:r>
          </w:p>
          <w:p w:rsidRPr="00607320" w:rsidR="007306BB" w:rsidP="006338CF" w:rsidRDefault="00260CF5" w14:paraId="0EDFBC54" w14:textId="256F62F1">
            <w:pPr>
              <w:pStyle w:val="Lijstalinea"/>
              <w:numPr>
                <w:ilvl w:val="0"/>
                <w:numId w:val="9"/>
              </w:numPr>
              <w:spacing w:after="160" w:line="259" w:lineRule="auto"/>
              <w:rPr>
                <w:rFonts w:ascii="Verdana" w:hAnsi="Verdana"/>
                <w:sz w:val="18"/>
                <w:szCs w:val="18"/>
              </w:rPr>
            </w:pPr>
            <w:r>
              <w:rPr>
                <w:rFonts w:ascii="Verdana" w:hAnsi="Verdana"/>
                <w:sz w:val="18"/>
                <w:szCs w:val="18"/>
              </w:rPr>
              <w:t xml:space="preserve">Dit wordt versterkt door het brede toepassingsbereik en het naar verwachting grote </w:t>
            </w:r>
            <w:r w:rsidR="00551A83">
              <w:rPr>
                <w:rFonts w:ascii="Verdana" w:hAnsi="Verdana"/>
                <w:sz w:val="18"/>
                <w:szCs w:val="18"/>
              </w:rPr>
              <w:t>beroep</w:t>
            </w:r>
            <w:r>
              <w:rPr>
                <w:rFonts w:ascii="Verdana" w:hAnsi="Verdana"/>
                <w:sz w:val="18"/>
                <w:szCs w:val="18"/>
              </w:rPr>
              <w:t xml:space="preserve"> op de tegenbewijsregeling. Het is zeer gebruikelijk om verhuurd vastgoed te financieren met vreemd vermogen, ook in concernsituaties. Hoewel op voorhand vaak duidelijk zal zijn of met succes een beroep op de tegenbewijsregeling geda</w:t>
            </w:r>
            <w:r w:rsidR="001B3A57">
              <w:rPr>
                <w:rFonts w:ascii="Verdana" w:hAnsi="Verdana"/>
                <w:sz w:val="18"/>
                <w:szCs w:val="18"/>
              </w:rPr>
              <w:t>a</w:t>
            </w:r>
            <w:r>
              <w:rPr>
                <w:rFonts w:ascii="Verdana" w:hAnsi="Verdana"/>
                <w:sz w:val="18"/>
                <w:szCs w:val="18"/>
              </w:rPr>
              <w:t>n kan worden, zal de Belastingdienst ook in die situaties werkzaamheden moeten verrichten.</w:t>
            </w:r>
          </w:p>
        </w:tc>
      </w:tr>
      <w:tr w:rsidRPr="0005317A" w:rsidR="007306BB" w:rsidTr="00A40A41" w14:paraId="68F34295" w14:textId="77777777">
        <w:trPr>
          <w:trHeight w:val="1142"/>
        </w:trPr>
        <w:tc>
          <w:tcPr>
            <w:tcW w:w="1809" w:type="dxa"/>
            <w:tcBorders>
              <w:top w:val="single" w:color="0066A4" w:sz="4" w:space="0"/>
              <w:left w:val="nil"/>
              <w:bottom w:val="single" w:color="0066A4" w:sz="4" w:space="0"/>
              <w:right w:val="nil"/>
            </w:tcBorders>
          </w:tcPr>
          <w:p w:rsidRPr="0005317A" w:rsidR="007306BB" w:rsidP="00A40A41" w:rsidRDefault="007306BB" w14:paraId="5494F899" w14:textId="77777777">
            <w:pPr>
              <w:ind w:left="108"/>
              <w:rPr>
                <w:rFonts w:ascii="Verdana" w:hAnsi="Verdana" w:eastAsia="Verdana" w:cs="Verdana"/>
                <w:color w:val="000000"/>
                <w:sz w:val="18"/>
              </w:rPr>
            </w:pPr>
            <w:r w:rsidRPr="000B1EA2">
              <w:rPr>
                <w:rFonts w:ascii="Verdana" w:hAnsi="Verdana" w:eastAsia="Verdana" w:cs="Verdana"/>
                <w:color w:val="0066A4"/>
                <w:sz w:val="17"/>
                <w:szCs w:val="17"/>
              </w:rPr>
              <w:lastRenderedPageBreak/>
              <w:t>COMPLEXITEIT/ ADMINISTRATIEVE LASTEN</w:t>
            </w:r>
          </w:p>
        </w:tc>
        <w:tc>
          <w:tcPr>
            <w:tcW w:w="6946" w:type="dxa"/>
            <w:tcBorders>
              <w:top w:val="single" w:color="0066A4" w:sz="4" w:space="0"/>
              <w:left w:val="nil"/>
              <w:bottom w:val="single" w:color="0066A4" w:sz="4" w:space="0"/>
              <w:right w:val="nil"/>
            </w:tcBorders>
            <w:vAlign w:val="center"/>
          </w:tcPr>
          <w:p w:rsidR="001A4817" w:rsidP="001A4817" w:rsidRDefault="001A4817" w14:paraId="077AAEDE" w14:textId="36A90C29">
            <w:pPr>
              <w:pStyle w:val="Lijstalinea"/>
              <w:numPr>
                <w:ilvl w:val="0"/>
                <w:numId w:val="1"/>
              </w:numPr>
              <w:rPr>
                <w:rFonts w:ascii="Verdana" w:hAnsi="Verdana"/>
                <w:sz w:val="18"/>
                <w:szCs w:val="18"/>
              </w:rPr>
            </w:pPr>
            <w:r>
              <w:rPr>
                <w:rFonts w:ascii="Verdana" w:hAnsi="Verdana"/>
                <w:sz w:val="18"/>
                <w:szCs w:val="18"/>
              </w:rPr>
              <w:t xml:space="preserve">De groep belastingplichtigen die naar verwachting wordt geconfronteerd met </w:t>
            </w:r>
            <w:r w:rsidR="001074BB">
              <w:rPr>
                <w:rFonts w:ascii="Verdana" w:hAnsi="Verdana"/>
                <w:sz w:val="18"/>
                <w:szCs w:val="18"/>
              </w:rPr>
              <w:t>een</w:t>
            </w:r>
            <w:r>
              <w:rPr>
                <w:rFonts w:ascii="Verdana" w:hAnsi="Verdana"/>
                <w:sz w:val="18"/>
                <w:szCs w:val="18"/>
              </w:rPr>
              <w:t xml:space="preserve"> toename in complexiteit en administratieve lasten bestaat uit ongeveer </w:t>
            </w:r>
            <w:r w:rsidR="001A35D7">
              <w:rPr>
                <w:rFonts w:ascii="Verdana" w:hAnsi="Verdana"/>
                <w:sz w:val="18"/>
                <w:szCs w:val="18"/>
              </w:rPr>
              <w:t>15.000</w:t>
            </w:r>
            <w:r w:rsidR="00E4792D">
              <w:rPr>
                <w:rFonts w:ascii="Verdana" w:hAnsi="Verdana"/>
                <w:sz w:val="18"/>
                <w:szCs w:val="18"/>
              </w:rPr>
              <w:t xml:space="preserve"> </w:t>
            </w:r>
            <w:r>
              <w:rPr>
                <w:rFonts w:ascii="Verdana" w:hAnsi="Verdana"/>
                <w:sz w:val="18"/>
                <w:szCs w:val="18"/>
              </w:rPr>
              <w:t>belastingplichtigen.</w:t>
            </w:r>
            <w:r w:rsidR="00D845C8">
              <w:rPr>
                <w:rFonts w:ascii="Verdana" w:hAnsi="Verdana"/>
                <w:sz w:val="18"/>
                <w:szCs w:val="18"/>
              </w:rPr>
              <w:t xml:space="preserve"> Dit betreft alle belastingplichtigen</w:t>
            </w:r>
            <w:r w:rsidR="00700EB0">
              <w:rPr>
                <w:rFonts w:ascii="Verdana" w:hAnsi="Verdana"/>
                <w:sz w:val="18"/>
                <w:szCs w:val="18"/>
              </w:rPr>
              <w:t xml:space="preserve"> met aan derden verhuurd vastgoed dat is gefinancierd met groepsleningen</w:t>
            </w:r>
            <w:r w:rsidR="00FB2791">
              <w:rPr>
                <w:rFonts w:ascii="Verdana" w:hAnsi="Verdana"/>
                <w:sz w:val="18"/>
                <w:szCs w:val="18"/>
              </w:rPr>
              <w:t>.</w:t>
            </w:r>
          </w:p>
          <w:p w:rsidRPr="00FD3CEF" w:rsidR="001074BB" w:rsidP="00FD3CEF" w:rsidRDefault="00FD3CEF" w14:paraId="68884F7B" w14:textId="4C269193">
            <w:pPr>
              <w:pStyle w:val="Lijstalinea"/>
              <w:numPr>
                <w:ilvl w:val="0"/>
                <w:numId w:val="1"/>
              </w:numPr>
              <w:rPr>
                <w:rFonts w:ascii="Verdana" w:hAnsi="Verdana"/>
                <w:sz w:val="18"/>
                <w:szCs w:val="18"/>
              </w:rPr>
            </w:pPr>
            <w:r w:rsidRPr="00FD3CEF">
              <w:rPr>
                <w:rFonts w:ascii="Verdana" w:hAnsi="Verdana"/>
                <w:sz w:val="18"/>
                <w:szCs w:val="18"/>
              </w:rPr>
              <w:t xml:space="preserve">Als gevolg van deze maatregel wordt rente op leningen van verbonden lichamen die verband houden met het verwerven en houden van Nederlands aan derden verhuurd vastgoed in beginsel in aftrek beperkt. Belastingplichtigen wordt de mogelijkheid </w:t>
            </w:r>
            <w:r w:rsidR="005C238C">
              <w:rPr>
                <w:rFonts w:ascii="Verdana" w:hAnsi="Verdana"/>
                <w:sz w:val="18"/>
                <w:szCs w:val="18"/>
              </w:rPr>
              <w:t xml:space="preserve">geboden </w:t>
            </w:r>
            <w:r w:rsidRPr="00FD3CEF">
              <w:rPr>
                <w:rFonts w:ascii="Verdana" w:hAnsi="Verdana"/>
                <w:sz w:val="18"/>
                <w:szCs w:val="18"/>
              </w:rPr>
              <w:t xml:space="preserve">tegenbewijs te leveren, zodat de rente alsnog in aftrek kan worden gebracht. </w:t>
            </w:r>
            <w:r w:rsidRPr="00FD3CEF" w:rsidR="001074BB">
              <w:rPr>
                <w:rFonts w:ascii="Verdana" w:hAnsi="Verdana"/>
                <w:sz w:val="18"/>
                <w:szCs w:val="18"/>
              </w:rPr>
              <w:t>Er bestaat de verwachting dat een aanzienlijke groep</w:t>
            </w:r>
            <w:r w:rsidRPr="00FD3CEF" w:rsidR="009C235D">
              <w:rPr>
                <w:rFonts w:ascii="Verdana" w:hAnsi="Verdana"/>
                <w:sz w:val="18"/>
                <w:szCs w:val="18"/>
              </w:rPr>
              <w:t xml:space="preserve"> belastingplichtigen</w:t>
            </w:r>
            <w:r w:rsidRPr="00FD3CEF" w:rsidR="001074BB">
              <w:rPr>
                <w:rFonts w:ascii="Verdana" w:hAnsi="Verdana"/>
                <w:sz w:val="18"/>
                <w:szCs w:val="18"/>
              </w:rPr>
              <w:t xml:space="preserve"> </w:t>
            </w:r>
            <w:r>
              <w:rPr>
                <w:rFonts w:ascii="Verdana" w:hAnsi="Verdana"/>
                <w:sz w:val="18"/>
                <w:szCs w:val="18"/>
              </w:rPr>
              <w:t xml:space="preserve">een </w:t>
            </w:r>
            <w:r w:rsidRPr="00FD3CEF" w:rsidR="001074BB">
              <w:rPr>
                <w:rFonts w:ascii="Verdana" w:hAnsi="Verdana"/>
                <w:sz w:val="18"/>
                <w:szCs w:val="18"/>
              </w:rPr>
              <w:t>beroep zal moeten doen op de tegenbewijsregeling.</w:t>
            </w:r>
            <w:r w:rsidRPr="00FD3CEF" w:rsidR="009C235D">
              <w:rPr>
                <w:rFonts w:ascii="Verdana" w:hAnsi="Verdana"/>
                <w:sz w:val="18"/>
                <w:szCs w:val="18"/>
              </w:rPr>
              <w:t xml:space="preserve"> </w:t>
            </w:r>
            <w:r w:rsidR="00E4792D">
              <w:rPr>
                <w:rFonts w:ascii="Verdana" w:hAnsi="Verdana"/>
                <w:sz w:val="18"/>
                <w:szCs w:val="18"/>
              </w:rPr>
              <w:t xml:space="preserve">Naar schatting zullen namelijk slechts ongeveer 500 belastingplichtigen daadwerkelijk geraakt worden. </w:t>
            </w:r>
            <w:r w:rsidRPr="00FD3CEF" w:rsidR="009C235D">
              <w:rPr>
                <w:rFonts w:ascii="Verdana" w:hAnsi="Verdana"/>
                <w:sz w:val="18"/>
                <w:szCs w:val="18"/>
              </w:rPr>
              <w:t>Dit leidt tot een verhoging van de administratieve lasten</w:t>
            </w:r>
            <w:r>
              <w:rPr>
                <w:rFonts w:ascii="Verdana" w:hAnsi="Verdana"/>
                <w:sz w:val="18"/>
                <w:szCs w:val="18"/>
              </w:rPr>
              <w:t xml:space="preserve"> voor deze belastingplichtigen</w:t>
            </w:r>
            <w:r w:rsidRPr="00FD3CEF" w:rsidR="009C235D">
              <w:rPr>
                <w:rFonts w:ascii="Verdana" w:hAnsi="Verdana"/>
                <w:sz w:val="18"/>
                <w:szCs w:val="18"/>
              </w:rPr>
              <w:t xml:space="preserve">. </w:t>
            </w:r>
          </w:p>
          <w:p w:rsidR="00FD3CEF" w:rsidP="00FD3CEF" w:rsidRDefault="009C235D" w14:paraId="1C26330A" w14:textId="11E3F6E5">
            <w:pPr>
              <w:pStyle w:val="Lijstalinea"/>
              <w:numPr>
                <w:ilvl w:val="0"/>
                <w:numId w:val="1"/>
              </w:numPr>
              <w:rPr>
                <w:rFonts w:ascii="Verdana" w:hAnsi="Verdana"/>
                <w:sz w:val="18"/>
                <w:szCs w:val="18"/>
              </w:rPr>
            </w:pPr>
            <w:r w:rsidRPr="009C235D">
              <w:rPr>
                <w:rFonts w:ascii="Verdana" w:hAnsi="Verdana"/>
                <w:sz w:val="18"/>
                <w:szCs w:val="18"/>
              </w:rPr>
              <w:t xml:space="preserve">Deze maatregel vormt een uitbreiding van artikel 10a Wet Vpb 1969 en maakt onder meer gebruik van bestaande definities en de tegenbewijsregeling. </w:t>
            </w:r>
          </w:p>
          <w:p w:rsidRPr="006B38A1" w:rsidR="009C235D" w:rsidP="00FD3CEF" w:rsidRDefault="009C235D" w14:paraId="34F9A9C9" w14:textId="20AF2E2F">
            <w:pPr>
              <w:pStyle w:val="Lijstalinea"/>
              <w:ind w:left="360"/>
              <w:rPr>
                <w:rFonts w:ascii="Verdana" w:hAnsi="Verdana"/>
                <w:sz w:val="18"/>
                <w:szCs w:val="18"/>
              </w:rPr>
            </w:pPr>
          </w:p>
        </w:tc>
      </w:tr>
      <w:tr w:rsidRPr="0005317A" w:rsidR="007306BB" w:rsidTr="009A48D2" w14:paraId="13AA5E51" w14:textId="77777777">
        <w:trPr>
          <w:trHeight w:val="681"/>
        </w:trPr>
        <w:tc>
          <w:tcPr>
            <w:tcW w:w="1809" w:type="dxa"/>
            <w:tcBorders>
              <w:top w:val="single" w:color="0066A4" w:sz="4" w:space="0"/>
              <w:left w:val="nil"/>
              <w:bottom w:val="single" w:color="0066A4" w:sz="4" w:space="0"/>
              <w:right w:val="nil"/>
            </w:tcBorders>
          </w:tcPr>
          <w:p w:rsidRPr="000B1EA2" w:rsidR="007306BB" w:rsidP="00A40A41" w:rsidRDefault="007306BB" w14:paraId="574E41AB" w14:textId="77777777">
            <w:pPr>
              <w:ind w:left="108"/>
              <w:rPr>
                <w:rFonts w:ascii="Verdana" w:hAnsi="Verdana" w:eastAsia="Verdana" w:cs="Verdana"/>
                <w:color w:val="0066A4"/>
                <w:sz w:val="17"/>
                <w:szCs w:val="17"/>
              </w:rPr>
            </w:pPr>
            <w:r>
              <w:rPr>
                <w:rFonts w:ascii="Verdana" w:hAnsi="Verdana" w:eastAsia="Verdana" w:cs="Verdana"/>
                <w:color w:val="0066A4"/>
                <w:sz w:val="18"/>
              </w:rPr>
              <w:t>DOELTREFFEND-&amp; DOELMATTIGHEID</w:t>
            </w:r>
          </w:p>
        </w:tc>
        <w:tc>
          <w:tcPr>
            <w:tcW w:w="6946" w:type="dxa"/>
            <w:tcBorders>
              <w:top w:val="single" w:color="0066A4" w:sz="4" w:space="0"/>
              <w:left w:val="nil"/>
              <w:bottom w:val="single" w:color="0066A4" w:sz="4" w:space="0"/>
              <w:right w:val="nil"/>
            </w:tcBorders>
            <w:vAlign w:val="center"/>
          </w:tcPr>
          <w:p w:rsidRPr="00B46C00" w:rsidR="007306BB" w:rsidP="00A40A41" w:rsidRDefault="007306BB" w14:paraId="703A1A67" w14:textId="77777777">
            <w:pPr>
              <w:pStyle w:val="Lijstalinea"/>
              <w:ind w:left="360"/>
              <w:rPr>
                <w:rFonts w:ascii="Verdana" w:hAnsi="Verdana"/>
                <w:i/>
                <w:iCs/>
                <w:sz w:val="18"/>
                <w:szCs w:val="18"/>
              </w:rPr>
            </w:pPr>
            <w:r>
              <w:rPr>
                <w:rFonts w:ascii="Verdana" w:hAnsi="Verdana"/>
                <w:i/>
                <w:iCs/>
                <w:sz w:val="18"/>
                <w:szCs w:val="18"/>
              </w:rPr>
              <w:t>Doeltreffendheid</w:t>
            </w:r>
          </w:p>
          <w:p w:rsidR="00607B53" w:rsidP="00607B53" w:rsidRDefault="00DC68CC" w14:paraId="0FEF6A3A" w14:textId="1FDBF76C">
            <w:pPr>
              <w:pStyle w:val="Lijstalinea"/>
              <w:numPr>
                <w:ilvl w:val="0"/>
                <w:numId w:val="2"/>
              </w:numPr>
              <w:rPr>
                <w:rFonts w:ascii="Verdana" w:hAnsi="Verdana"/>
                <w:sz w:val="18"/>
                <w:szCs w:val="18"/>
              </w:rPr>
            </w:pPr>
            <w:r>
              <w:rPr>
                <w:rFonts w:ascii="Verdana" w:hAnsi="Verdana"/>
                <w:sz w:val="18"/>
                <w:szCs w:val="18"/>
              </w:rPr>
              <w:t xml:space="preserve">Deze </w:t>
            </w:r>
            <w:r w:rsidR="007306BB">
              <w:rPr>
                <w:rFonts w:ascii="Verdana" w:hAnsi="Verdana"/>
                <w:sz w:val="18"/>
                <w:szCs w:val="18"/>
              </w:rPr>
              <w:t xml:space="preserve">maatregel </w:t>
            </w:r>
            <w:r w:rsidR="00551A83">
              <w:rPr>
                <w:rFonts w:ascii="Verdana" w:hAnsi="Verdana"/>
                <w:sz w:val="18"/>
                <w:szCs w:val="18"/>
              </w:rPr>
              <w:t>gaat</w:t>
            </w:r>
            <w:r w:rsidR="007306BB">
              <w:rPr>
                <w:rFonts w:ascii="Verdana" w:hAnsi="Verdana"/>
                <w:sz w:val="18"/>
                <w:szCs w:val="18"/>
              </w:rPr>
              <w:t xml:space="preserve"> </w:t>
            </w:r>
            <w:r w:rsidR="005C6E3B">
              <w:rPr>
                <w:rFonts w:ascii="Verdana" w:hAnsi="Verdana"/>
                <w:sz w:val="18"/>
                <w:szCs w:val="18"/>
              </w:rPr>
              <w:t xml:space="preserve">de </w:t>
            </w:r>
            <w:r w:rsidR="007306BB">
              <w:rPr>
                <w:rFonts w:ascii="Verdana" w:hAnsi="Verdana"/>
                <w:sz w:val="18"/>
                <w:szCs w:val="18"/>
              </w:rPr>
              <w:t xml:space="preserve">grondslaguitholling bij Nederlands </w:t>
            </w:r>
            <w:r w:rsidR="005C6E3B">
              <w:rPr>
                <w:rFonts w:ascii="Verdana" w:hAnsi="Verdana"/>
                <w:sz w:val="18"/>
                <w:szCs w:val="18"/>
              </w:rPr>
              <w:t xml:space="preserve">aan derden verhuurd </w:t>
            </w:r>
            <w:r w:rsidR="007306BB">
              <w:rPr>
                <w:rFonts w:ascii="Verdana" w:hAnsi="Verdana"/>
                <w:sz w:val="18"/>
                <w:szCs w:val="18"/>
              </w:rPr>
              <w:t>vastgoed met gestructureerde rentelasten</w:t>
            </w:r>
            <w:r w:rsidR="00551A83">
              <w:rPr>
                <w:rFonts w:ascii="Verdana" w:hAnsi="Verdana"/>
                <w:sz w:val="18"/>
                <w:szCs w:val="18"/>
              </w:rPr>
              <w:t xml:space="preserve"> tegen</w:t>
            </w:r>
            <w:r w:rsidR="00607B53">
              <w:rPr>
                <w:rFonts w:ascii="Verdana" w:hAnsi="Verdana"/>
                <w:sz w:val="18"/>
                <w:szCs w:val="18"/>
              </w:rPr>
              <w:t xml:space="preserve">. </w:t>
            </w:r>
            <w:r w:rsidR="009C235D">
              <w:rPr>
                <w:rFonts w:ascii="Verdana" w:hAnsi="Verdana"/>
                <w:sz w:val="18"/>
                <w:szCs w:val="18"/>
              </w:rPr>
              <w:t xml:space="preserve">De maatregel zal naar verwachting voor een deel van de beoogde doelgroep preventief werken. </w:t>
            </w:r>
          </w:p>
          <w:p w:rsidR="009A326D" w:rsidP="00607B53" w:rsidRDefault="005369D5" w14:paraId="2847E6F7" w14:textId="0AA12971">
            <w:pPr>
              <w:pStyle w:val="Lijstalinea"/>
              <w:numPr>
                <w:ilvl w:val="0"/>
                <w:numId w:val="2"/>
              </w:numPr>
              <w:rPr>
                <w:rFonts w:ascii="Verdana" w:hAnsi="Verdana"/>
                <w:sz w:val="18"/>
                <w:szCs w:val="18"/>
              </w:rPr>
            </w:pPr>
            <w:r>
              <w:rPr>
                <w:rFonts w:ascii="Verdana" w:hAnsi="Verdana"/>
                <w:sz w:val="18"/>
                <w:szCs w:val="18"/>
              </w:rPr>
              <w:t xml:space="preserve">In voorkomende gevallen is </w:t>
            </w:r>
            <w:r w:rsidRPr="00607B53" w:rsidR="00607B53">
              <w:rPr>
                <w:rFonts w:ascii="Verdana" w:hAnsi="Verdana"/>
                <w:sz w:val="18"/>
                <w:szCs w:val="18"/>
              </w:rPr>
              <w:t>de gehele rentelast op leningen van een verbonden lichaam niet aftrekbaar wanneer sprake is van</w:t>
            </w:r>
            <w:r w:rsidR="00FD3CEF">
              <w:rPr>
                <w:rFonts w:ascii="Verdana" w:hAnsi="Verdana"/>
                <w:sz w:val="18"/>
                <w:szCs w:val="18"/>
              </w:rPr>
              <w:t xml:space="preserve"> </w:t>
            </w:r>
            <w:r w:rsidR="00C67B8D">
              <w:rPr>
                <w:rFonts w:ascii="Verdana" w:hAnsi="Verdana"/>
                <w:sz w:val="18"/>
                <w:szCs w:val="18"/>
              </w:rPr>
              <w:t>op</w:t>
            </w:r>
            <w:r w:rsidRPr="00607B53" w:rsidR="00607B53">
              <w:rPr>
                <w:rFonts w:ascii="Verdana" w:hAnsi="Verdana"/>
                <w:sz w:val="18"/>
                <w:szCs w:val="18"/>
              </w:rPr>
              <w:t xml:space="preserve"> fiscal</w:t>
            </w:r>
            <w:r w:rsidR="00C67B8D">
              <w:rPr>
                <w:rFonts w:ascii="Verdana" w:hAnsi="Verdana"/>
                <w:sz w:val="18"/>
                <w:szCs w:val="18"/>
              </w:rPr>
              <w:t xml:space="preserve">e </w:t>
            </w:r>
            <w:r w:rsidR="00551A83">
              <w:rPr>
                <w:rFonts w:ascii="Verdana" w:hAnsi="Verdana"/>
                <w:sz w:val="18"/>
                <w:szCs w:val="18"/>
              </w:rPr>
              <w:t>overweging</w:t>
            </w:r>
            <w:r w:rsidR="00C67B8D">
              <w:rPr>
                <w:rFonts w:ascii="Verdana" w:hAnsi="Verdana"/>
                <w:sz w:val="18"/>
                <w:szCs w:val="18"/>
              </w:rPr>
              <w:t>en</w:t>
            </w:r>
            <w:r w:rsidRPr="00607B53" w:rsidR="00607B53">
              <w:rPr>
                <w:rFonts w:ascii="Verdana" w:hAnsi="Verdana"/>
                <w:sz w:val="18"/>
                <w:szCs w:val="18"/>
              </w:rPr>
              <w:t xml:space="preserve"> vormgegeven vastgoedbeleggingsstructu</w:t>
            </w:r>
            <w:r w:rsidR="009A326D">
              <w:rPr>
                <w:rFonts w:ascii="Verdana" w:hAnsi="Verdana"/>
                <w:sz w:val="18"/>
                <w:szCs w:val="18"/>
              </w:rPr>
              <w:t>ur</w:t>
            </w:r>
            <w:r w:rsidRPr="00607B53" w:rsidR="00607B53">
              <w:rPr>
                <w:rFonts w:ascii="Verdana" w:hAnsi="Verdana"/>
                <w:sz w:val="18"/>
                <w:szCs w:val="18"/>
              </w:rPr>
              <w:t xml:space="preserve">, waarbij (een deel van) het door investeerders in het fonds bijeengebrachte eigen vermogen als groepslening aan de vennootschap </w:t>
            </w:r>
            <w:r w:rsidR="009A326D">
              <w:rPr>
                <w:rFonts w:ascii="Verdana" w:hAnsi="Verdana"/>
                <w:sz w:val="18"/>
                <w:szCs w:val="18"/>
              </w:rPr>
              <w:t>(</w:t>
            </w:r>
            <w:r w:rsidRPr="00607B53" w:rsidR="00607B53">
              <w:rPr>
                <w:rFonts w:ascii="Verdana" w:hAnsi="Verdana"/>
                <w:sz w:val="18"/>
                <w:szCs w:val="18"/>
              </w:rPr>
              <w:t xml:space="preserve">die het </w:t>
            </w:r>
            <w:r w:rsidR="00607B53">
              <w:rPr>
                <w:rFonts w:ascii="Verdana" w:hAnsi="Verdana"/>
                <w:sz w:val="18"/>
                <w:szCs w:val="18"/>
              </w:rPr>
              <w:t xml:space="preserve">aan derde </w:t>
            </w:r>
            <w:r w:rsidRPr="00607B53" w:rsidR="00607B53">
              <w:rPr>
                <w:rFonts w:ascii="Verdana" w:hAnsi="Verdana"/>
                <w:sz w:val="18"/>
                <w:szCs w:val="18"/>
              </w:rPr>
              <w:t>verhuurd vastgoed aankoopt</w:t>
            </w:r>
            <w:r w:rsidR="009A326D">
              <w:rPr>
                <w:rFonts w:ascii="Verdana" w:hAnsi="Verdana"/>
                <w:sz w:val="18"/>
                <w:szCs w:val="18"/>
              </w:rPr>
              <w:t xml:space="preserve">) </w:t>
            </w:r>
            <w:r w:rsidRPr="00607B53" w:rsidR="00607B53">
              <w:rPr>
                <w:rFonts w:ascii="Verdana" w:hAnsi="Verdana"/>
                <w:sz w:val="18"/>
                <w:szCs w:val="18"/>
              </w:rPr>
              <w:t xml:space="preserve">wordt gepresenteerd. In dit geval wordt de rente bij </w:t>
            </w:r>
            <w:r w:rsidR="00FD3CEF">
              <w:rPr>
                <w:rFonts w:ascii="Verdana" w:hAnsi="Verdana"/>
                <w:sz w:val="18"/>
                <w:szCs w:val="18"/>
              </w:rPr>
              <w:t xml:space="preserve">het </w:t>
            </w:r>
            <w:r w:rsidR="009A326D">
              <w:rPr>
                <w:rFonts w:ascii="Verdana" w:hAnsi="Verdana"/>
                <w:sz w:val="18"/>
                <w:szCs w:val="18"/>
              </w:rPr>
              <w:t>fonds</w:t>
            </w:r>
            <w:r w:rsidR="003F5F07">
              <w:rPr>
                <w:rFonts w:ascii="Verdana" w:hAnsi="Verdana"/>
                <w:sz w:val="18"/>
                <w:szCs w:val="18"/>
              </w:rPr>
              <w:t xml:space="preserve"> </w:t>
            </w:r>
            <w:r w:rsidRPr="00607B53" w:rsidR="00607B53">
              <w:rPr>
                <w:rFonts w:ascii="Verdana" w:hAnsi="Verdana"/>
                <w:sz w:val="18"/>
                <w:szCs w:val="18"/>
              </w:rPr>
              <w:t>niet</w:t>
            </w:r>
            <w:r w:rsidR="009A326D">
              <w:rPr>
                <w:rFonts w:ascii="Verdana" w:hAnsi="Verdana"/>
                <w:sz w:val="18"/>
                <w:szCs w:val="18"/>
              </w:rPr>
              <w:t xml:space="preserve"> onderworpen aan </w:t>
            </w:r>
            <w:r w:rsidRPr="00607B53" w:rsidR="00607B53">
              <w:rPr>
                <w:rFonts w:ascii="Verdana" w:hAnsi="Verdana"/>
                <w:sz w:val="18"/>
                <w:szCs w:val="18"/>
              </w:rPr>
              <w:t xml:space="preserve">een naar Nederlandse maatstaven voldoende </w:t>
            </w:r>
            <w:r w:rsidR="009A326D">
              <w:rPr>
                <w:rFonts w:ascii="Verdana" w:hAnsi="Verdana"/>
                <w:sz w:val="18"/>
                <w:szCs w:val="18"/>
              </w:rPr>
              <w:t>heffing</w:t>
            </w:r>
            <w:r w:rsidRPr="00607B53" w:rsidR="00607B53">
              <w:rPr>
                <w:rFonts w:ascii="Verdana" w:hAnsi="Verdana"/>
                <w:sz w:val="18"/>
                <w:szCs w:val="18"/>
              </w:rPr>
              <w:t>.</w:t>
            </w:r>
            <w:r w:rsidR="003F5F07">
              <w:rPr>
                <w:rFonts w:ascii="Verdana" w:hAnsi="Verdana"/>
                <w:sz w:val="18"/>
                <w:szCs w:val="18"/>
              </w:rPr>
              <w:t xml:space="preserve"> </w:t>
            </w:r>
          </w:p>
          <w:p w:rsidR="00FD3CEF" w:rsidP="00607B53" w:rsidRDefault="00FD3CEF" w14:paraId="3E0A65E2" w14:textId="0B9AC8E2">
            <w:pPr>
              <w:pStyle w:val="Lijstalinea"/>
              <w:numPr>
                <w:ilvl w:val="0"/>
                <w:numId w:val="2"/>
              </w:numPr>
              <w:rPr>
                <w:rFonts w:ascii="Verdana" w:hAnsi="Verdana"/>
                <w:sz w:val="18"/>
                <w:szCs w:val="18"/>
              </w:rPr>
            </w:pPr>
            <w:r>
              <w:rPr>
                <w:rFonts w:ascii="Verdana" w:hAnsi="Verdana"/>
                <w:sz w:val="18"/>
                <w:szCs w:val="18"/>
              </w:rPr>
              <w:t xml:space="preserve">Het feit dat de gehele rentelast in dergelijke gevallen in aftrek wordt beperkt, maakt dat het niet langer </w:t>
            </w:r>
            <w:r w:rsidR="006830AC">
              <w:rPr>
                <w:rFonts w:ascii="Verdana" w:hAnsi="Verdana"/>
                <w:sz w:val="18"/>
                <w:szCs w:val="18"/>
              </w:rPr>
              <w:t>voordelig</w:t>
            </w:r>
            <w:r>
              <w:rPr>
                <w:rFonts w:ascii="Verdana" w:hAnsi="Verdana"/>
                <w:sz w:val="18"/>
                <w:szCs w:val="18"/>
              </w:rPr>
              <w:t xml:space="preserve"> is om vastgoed en de daarmee samenhangende (gestructureerde) rentelast te fragmenteren over verschillende vennootschappen.</w:t>
            </w:r>
            <w:r w:rsidR="00553028">
              <w:rPr>
                <w:rFonts w:ascii="Verdana" w:hAnsi="Verdana"/>
                <w:sz w:val="18"/>
                <w:szCs w:val="18"/>
              </w:rPr>
              <w:t xml:space="preserve"> Deze beleidsoptie is daarmee doeltreffend.</w:t>
            </w:r>
          </w:p>
          <w:p w:rsidRPr="00607B53" w:rsidR="007306BB" w:rsidP="00607B53" w:rsidRDefault="009A48D2" w14:paraId="75B847BB" w14:textId="7FD28569">
            <w:pPr>
              <w:pStyle w:val="Lijstalinea"/>
              <w:numPr>
                <w:ilvl w:val="0"/>
                <w:numId w:val="2"/>
              </w:numPr>
              <w:rPr>
                <w:rFonts w:ascii="Verdana" w:hAnsi="Verdana"/>
                <w:sz w:val="18"/>
                <w:szCs w:val="18"/>
              </w:rPr>
            </w:pPr>
            <w:r>
              <w:rPr>
                <w:rFonts w:ascii="Verdana" w:hAnsi="Verdana"/>
                <w:sz w:val="18"/>
                <w:szCs w:val="18"/>
              </w:rPr>
              <w:t>Beleidsoptie 3</w:t>
            </w:r>
            <w:r w:rsidR="003F5F07">
              <w:rPr>
                <w:rFonts w:ascii="Verdana" w:hAnsi="Verdana"/>
                <w:sz w:val="18"/>
                <w:szCs w:val="18"/>
              </w:rPr>
              <w:t xml:space="preserve"> </w:t>
            </w:r>
            <w:r w:rsidR="009A326D">
              <w:rPr>
                <w:rFonts w:ascii="Verdana" w:hAnsi="Verdana"/>
                <w:sz w:val="18"/>
                <w:szCs w:val="18"/>
              </w:rPr>
              <w:t xml:space="preserve">heeft daarmee een breder toepassingsbereik </w:t>
            </w:r>
            <w:r>
              <w:rPr>
                <w:rFonts w:ascii="Verdana" w:hAnsi="Verdana"/>
                <w:sz w:val="18"/>
                <w:szCs w:val="18"/>
              </w:rPr>
              <w:t xml:space="preserve">(en is doeltreffender) </w:t>
            </w:r>
            <w:r w:rsidR="009A326D">
              <w:rPr>
                <w:rFonts w:ascii="Verdana" w:hAnsi="Verdana"/>
                <w:sz w:val="18"/>
                <w:szCs w:val="18"/>
              </w:rPr>
              <w:t>dan beleidsoptie</w:t>
            </w:r>
            <w:r>
              <w:rPr>
                <w:rFonts w:ascii="Verdana" w:hAnsi="Verdana"/>
                <w:sz w:val="18"/>
                <w:szCs w:val="18"/>
              </w:rPr>
              <w:t xml:space="preserve"> 1 en</w:t>
            </w:r>
            <w:r w:rsidR="009A326D">
              <w:rPr>
                <w:rFonts w:ascii="Verdana" w:hAnsi="Verdana"/>
                <w:sz w:val="18"/>
                <w:szCs w:val="18"/>
              </w:rPr>
              <w:t xml:space="preserve"> 2, </w:t>
            </w:r>
            <w:r w:rsidR="00FD3CEF">
              <w:rPr>
                <w:rFonts w:ascii="Verdana" w:hAnsi="Verdana"/>
                <w:sz w:val="18"/>
                <w:szCs w:val="18"/>
              </w:rPr>
              <w:t xml:space="preserve">die </w:t>
            </w:r>
            <w:r>
              <w:rPr>
                <w:rFonts w:ascii="Verdana" w:hAnsi="Verdana"/>
                <w:sz w:val="18"/>
                <w:szCs w:val="18"/>
              </w:rPr>
              <w:t xml:space="preserve">met name gericht </w:t>
            </w:r>
            <w:r w:rsidR="00FD3CEF">
              <w:rPr>
                <w:rFonts w:ascii="Verdana" w:hAnsi="Verdana"/>
                <w:sz w:val="18"/>
                <w:szCs w:val="18"/>
              </w:rPr>
              <w:t xml:space="preserve">zijn </w:t>
            </w:r>
            <w:r>
              <w:rPr>
                <w:rFonts w:ascii="Verdana" w:hAnsi="Verdana"/>
                <w:sz w:val="18"/>
                <w:szCs w:val="18"/>
              </w:rPr>
              <w:t xml:space="preserve">op het </w:t>
            </w:r>
            <w:r w:rsidR="003F5F07">
              <w:rPr>
                <w:rFonts w:ascii="Verdana" w:hAnsi="Verdana"/>
                <w:sz w:val="18"/>
                <w:szCs w:val="18"/>
              </w:rPr>
              <w:t xml:space="preserve">voorkomen van de ‘fragmentatie’ problematiek. </w:t>
            </w:r>
          </w:p>
          <w:p w:rsidR="00607B53" w:rsidP="00A40A41" w:rsidRDefault="00607B53" w14:paraId="7AB046DF" w14:textId="77777777">
            <w:pPr>
              <w:pStyle w:val="Lijstalinea"/>
              <w:ind w:left="360"/>
              <w:rPr>
                <w:rFonts w:ascii="Verdana" w:hAnsi="Verdana"/>
                <w:i/>
                <w:iCs/>
                <w:sz w:val="18"/>
                <w:szCs w:val="18"/>
              </w:rPr>
            </w:pPr>
          </w:p>
          <w:p w:rsidRPr="007F3C15" w:rsidR="007306BB" w:rsidP="00A40A41" w:rsidRDefault="007306BB" w14:paraId="39A4C82A" w14:textId="3282699C">
            <w:pPr>
              <w:pStyle w:val="Lijstalinea"/>
              <w:ind w:left="360"/>
              <w:rPr>
                <w:rFonts w:ascii="Verdana" w:hAnsi="Verdana"/>
                <w:i/>
                <w:iCs/>
                <w:sz w:val="18"/>
                <w:szCs w:val="18"/>
              </w:rPr>
            </w:pPr>
            <w:r w:rsidRPr="00B83B10">
              <w:rPr>
                <w:rFonts w:ascii="Verdana" w:hAnsi="Verdana"/>
                <w:i/>
                <w:iCs/>
                <w:sz w:val="18"/>
                <w:szCs w:val="18"/>
              </w:rPr>
              <w:t>Doelmatigheid</w:t>
            </w:r>
          </w:p>
          <w:p w:rsidR="007306BB" w:rsidP="00A40A41" w:rsidRDefault="00DC68CC" w14:paraId="019FC502" w14:textId="2A45DB56">
            <w:pPr>
              <w:pStyle w:val="Lijstalinea"/>
              <w:numPr>
                <w:ilvl w:val="0"/>
                <w:numId w:val="2"/>
              </w:numPr>
              <w:rPr>
                <w:rFonts w:ascii="Verdana" w:hAnsi="Verdana"/>
                <w:sz w:val="18"/>
                <w:szCs w:val="18"/>
              </w:rPr>
            </w:pPr>
            <w:r>
              <w:rPr>
                <w:rFonts w:ascii="Verdana" w:hAnsi="Verdana"/>
                <w:sz w:val="18"/>
                <w:szCs w:val="18"/>
              </w:rPr>
              <w:t xml:space="preserve">Deze </w:t>
            </w:r>
            <w:r w:rsidR="007306BB">
              <w:rPr>
                <w:rFonts w:ascii="Verdana" w:hAnsi="Verdana"/>
                <w:sz w:val="18"/>
                <w:szCs w:val="18"/>
              </w:rPr>
              <w:t xml:space="preserve">optie </w:t>
            </w:r>
            <w:r>
              <w:rPr>
                <w:rFonts w:ascii="Verdana" w:hAnsi="Verdana"/>
                <w:sz w:val="18"/>
                <w:szCs w:val="18"/>
              </w:rPr>
              <w:t xml:space="preserve">is </w:t>
            </w:r>
            <w:r w:rsidR="007306BB">
              <w:rPr>
                <w:rFonts w:ascii="Verdana" w:hAnsi="Verdana"/>
                <w:sz w:val="18"/>
                <w:szCs w:val="18"/>
              </w:rPr>
              <w:t>specifiek toegespitst op de ongewenste grondslaguitholling ten aanzien van Nederlands vastgoed door gestructureerde rentelasten.</w:t>
            </w:r>
            <w:r w:rsidR="005C6E3B">
              <w:rPr>
                <w:rFonts w:ascii="Verdana" w:hAnsi="Verdana"/>
                <w:sz w:val="18"/>
                <w:szCs w:val="18"/>
              </w:rPr>
              <w:t xml:space="preserve"> </w:t>
            </w:r>
            <w:r w:rsidR="007306BB">
              <w:rPr>
                <w:rFonts w:ascii="Verdana" w:hAnsi="Verdana"/>
                <w:sz w:val="18"/>
                <w:szCs w:val="18"/>
              </w:rPr>
              <w:t xml:space="preserve"> De maatregel </w:t>
            </w:r>
            <w:r>
              <w:rPr>
                <w:rFonts w:ascii="Verdana" w:hAnsi="Verdana"/>
                <w:sz w:val="18"/>
                <w:szCs w:val="18"/>
              </w:rPr>
              <w:t xml:space="preserve">is </w:t>
            </w:r>
            <w:r w:rsidR="007306BB">
              <w:rPr>
                <w:rFonts w:ascii="Verdana" w:hAnsi="Verdana"/>
                <w:sz w:val="18"/>
                <w:szCs w:val="18"/>
              </w:rPr>
              <w:t>daarmee doelmatig.</w:t>
            </w:r>
          </w:p>
          <w:p w:rsidR="00607B53" w:rsidP="00A40A41" w:rsidRDefault="003F5F07" w14:paraId="0EFA7AF9" w14:textId="41473133">
            <w:pPr>
              <w:pStyle w:val="Lijstalinea"/>
              <w:numPr>
                <w:ilvl w:val="0"/>
                <w:numId w:val="2"/>
              </w:numPr>
              <w:rPr>
                <w:rFonts w:ascii="Verdana" w:hAnsi="Verdana"/>
                <w:sz w:val="18"/>
                <w:szCs w:val="18"/>
              </w:rPr>
            </w:pPr>
            <w:r>
              <w:rPr>
                <w:rFonts w:ascii="Verdana" w:hAnsi="Verdana"/>
                <w:sz w:val="18"/>
                <w:szCs w:val="18"/>
              </w:rPr>
              <w:t xml:space="preserve">Het negatieve neveneffect is dat een potentieel grote groep </w:t>
            </w:r>
            <w:r w:rsidR="00607B53">
              <w:rPr>
                <w:rFonts w:ascii="Verdana" w:hAnsi="Verdana"/>
                <w:sz w:val="18"/>
                <w:szCs w:val="18"/>
              </w:rPr>
              <w:t>belastingplichtigen aanlo</w:t>
            </w:r>
            <w:r>
              <w:rPr>
                <w:rFonts w:ascii="Verdana" w:hAnsi="Verdana"/>
                <w:sz w:val="18"/>
                <w:szCs w:val="18"/>
              </w:rPr>
              <w:t>opt</w:t>
            </w:r>
            <w:r w:rsidR="00607B53">
              <w:rPr>
                <w:rFonts w:ascii="Verdana" w:hAnsi="Verdana"/>
                <w:sz w:val="18"/>
                <w:szCs w:val="18"/>
              </w:rPr>
              <w:t xml:space="preserve"> tegen</w:t>
            </w:r>
            <w:r>
              <w:rPr>
                <w:rFonts w:ascii="Verdana" w:hAnsi="Verdana"/>
                <w:sz w:val="18"/>
                <w:szCs w:val="18"/>
              </w:rPr>
              <w:t xml:space="preserve"> een verhoging van</w:t>
            </w:r>
            <w:r w:rsidR="00607B53">
              <w:rPr>
                <w:rFonts w:ascii="Verdana" w:hAnsi="Verdana"/>
                <w:sz w:val="18"/>
                <w:szCs w:val="18"/>
              </w:rPr>
              <w:t xml:space="preserve"> administratieve lasten</w:t>
            </w:r>
            <w:r>
              <w:rPr>
                <w:rFonts w:ascii="Verdana" w:hAnsi="Verdana"/>
                <w:sz w:val="18"/>
                <w:szCs w:val="18"/>
              </w:rPr>
              <w:t xml:space="preserve">. Elke belastingplichtige die met verbonden leningen voor verhuur bestemd vastgoed aankoopt of bezit zal </w:t>
            </w:r>
            <w:r w:rsidR="00607B53">
              <w:rPr>
                <w:rFonts w:ascii="Verdana" w:hAnsi="Verdana"/>
                <w:sz w:val="18"/>
                <w:szCs w:val="18"/>
              </w:rPr>
              <w:t>namelijk tegenbewijs moeten leveren dat er geen sprake is van een agressieve financi</w:t>
            </w:r>
            <w:r>
              <w:rPr>
                <w:rFonts w:ascii="Verdana" w:hAnsi="Verdana"/>
                <w:sz w:val="18"/>
                <w:szCs w:val="18"/>
              </w:rPr>
              <w:t xml:space="preserve">eringsstructuur. </w:t>
            </w:r>
            <w:r w:rsidR="00FB00C4">
              <w:rPr>
                <w:rFonts w:ascii="Verdana" w:hAnsi="Verdana"/>
                <w:sz w:val="18"/>
                <w:szCs w:val="18"/>
              </w:rPr>
              <w:t>Dit kan in beginsel ook gelden voor</w:t>
            </w:r>
            <w:r w:rsidR="00DB05AA">
              <w:rPr>
                <w:rFonts w:ascii="Verdana" w:hAnsi="Verdana"/>
                <w:sz w:val="18"/>
                <w:szCs w:val="18"/>
              </w:rPr>
              <w:t xml:space="preserve"> woningcorporaties en</w:t>
            </w:r>
            <w:r w:rsidR="00FB00C4">
              <w:rPr>
                <w:rFonts w:ascii="Verdana" w:hAnsi="Verdana"/>
                <w:sz w:val="18"/>
                <w:szCs w:val="18"/>
              </w:rPr>
              <w:t xml:space="preserve"> kleinere vastgoedbeleggers. Echter, </w:t>
            </w:r>
            <w:proofErr w:type="gramStart"/>
            <w:r w:rsidR="00FB00C4">
              <w:rPr>
                <w:rFonts w:ascii="Verdana" w:hAnsi="Verdana"/>
                <w:sz w:val="18"/>
                <w:szCs w:val="18"/>
              </w:rPr>
              <w:t>indien</w:t>
            </w:r>
            <w:proofErr w:type="gramEnd"/>
            <w:r w:rsidR="00FB00C4">
              <w:rPr>
                <w:rFonts w:ascii="Verdana" w:hAnsi="Verdana"/>
                <w:sz w:val="18"/>
                <w:szCs w:val="18"/>
              </w:rPr>
              <w:t xml:space="preserve"> een geslaagd beroep wordt gedaan op de tegenbewijsregeling, ondervinden deze belastingplichtigen effectief geen nadeel van deze maatregel.</w:t>
            </w:r>
          </w:p>
          <w:p w:rsidR="00DE1BA0" w:rsidP="00A40A41" w:rsidRDefault="005369D5" w14:paraId="5B2DC880" w14:textId="59E8DDF0">
            <w:pPr>
              <w:pStyle w:val="Lijstalinea"/>
              <w:numPr>
                <w:ilvl w:val="0"/>
                <w:numId w:val="2"/>
              </w:numPr>
              <w:rPr>
                <w:rFonts w:ascii="Verdana" w:hAnsi="Verdana"/>
                <w:sz w:val="18"/>
                <w:szCs w:val="18"/>
              </w:rPr>
            </w:pPr>
            <w:r>
              <w:rPr>
                <w:rFonts w:ascii="Verdana" w:hAnsi="Verdana"/>
                <w:sz w:val="18"/>
                <w:szCs w:val="18"/>
              </w:rPr>
              <w:t>D</w:t>
            </w:r>
            <w:r w:rsidRPr="00B37F69" w:rsidR="00DE1BA0">
              <w:rPr>
                <w:rFonts w:ascii="Verdana" w:hAnsi="Verdana"/>
                <w:sz w:val="18"/>
                <w:szCs w:val="18"/>
              </w:rPr>
              <w:t xml:space="preserve">e maatregel </w:t>
            </w:r>
            <w:r>
              <w:rPr>
                <w:rFonts w:ascii="Verdana" w:hAnsi="Verdana"/>
                <w:sz w:val="18"/>
                <w:szCs w:val="18"/>
              </w:rPr>
              <w:t xml:space="preserve">vindt </w:t>
            </w:r>
            <w:r w:rsidR="00553028">
              <w:rPr>
                <w:rFonts w:ascii="Verdana" w:hAnsi="Verdana"/>
                <w:sz w:val="18"/>
                <w:szCs w:val="18"/>
              </w:rPr>
              <w:t xml:space="preserve">effectief </w:t>
            </w:r>
            <w:r w:rsidR="00DE1BA0">
              <w:rPr>
                <w:rFonts w:ascii="Verdana" w:hAnsi="Verdana"/>
                <w:sz w:val="18"/>
                <w:szCs w:val="18"/>
              </w:rPr>
              <w:t>slechts toepassing</w:t>
            </w:r>
            <w:r w:rsidRPr="00B37F69" w:rsidR="00DE1BA0">
              <w:rPr>
                <w:rFonts w:ascii="Verdana" w:hAnsi="Verdana"/>
                <w:sz w:val="18"/>
                <w:szCs w:val="18"/>
              </w:rPr>
              <w:t xml:space="preserve"> ten aanzien van belastingplichtigen die</w:t>
            </w:r>
            <w:r w:rsidR="00DE1BA0">
              <w:rPr>
                <w:rFonts w:ascii="Verdana" w:hAnsi="Verdana"/>
                <w:sz w:val="18"/>
                <w:szCs w:val="18"/>
              </w:rPr>
              <w:t xml:space="preserve"> betrokken zijn bij</w:t>
            </w:r>
            <w:r w:rsidRPr="00B37F69" w:rsidR="00DE1BA0">
              <w:rPr>
                <w:rFonts w:ascii="Verdana" w:hAnsi="Verdana"/>
                <w:sz w:val="18"/>
                <w:szCs w:val="18"/>
              </w:rPr>
              <w:t xml:space="preserve"> grondslaguitholling met betrekking tot inkomen uit in Nederland gelegen </w:t>
            </w:r>
            <w:r w:rsidR="00DE1BA0">
              <w:rPr>
                <w:rFonts w:ascii="Verdana" w:hAnsi="Verdana"/>
                <w:sz w:val="18"/>
                <w:szCs w:val="18"/>
              </w:rPr>
              <w:t xml:space="preserve">aan derden verhuurd </w:t>
            </w:r>
            <w:r w:rsidRPr="00B37F69" w:rsidR="00DE1BA0">
              <w:rPr>
                <w:rFonts w:ascii="Verdana" w:hAnsi="Verdana"/>
                <w:sz w:val="18"/>
                <w:szCs w:val="18"/>
              </w:rPr>
              <w:t>vastgoed.</w:t>
            </w:r>
          </w:p>
          <w:p w:rsidR="007306BB" w:rsidP="009C235D" w:rsidRDefault="009C235D" w14:paraId="4499946D" w14:textId="6A4AA36C">
            <w:pPr>
              <w:pStyle w:val="Lijstalinea"/>
              <w:numPr>
                <w:ilvl w:val="0"/>
                <w:numId w:val="2"/>
              </w:numPr>
              <w:rPr>
                <w:rFonts w:ascii="Verdana" w:hAnsi="Verdana"/>
                <w:sz w:val="18"/>
                <w:szCs w:val="18"/>
              </w:rPr>
            </w:pPr>
            <w:r w:rsidRPr="009C235D">
              <w:rPr>
                <w:rFonts w:ascii="Verdana" w:hAnsi="Verdana"/>
                <w:sz w:val="18"/>
                <w:szCs w:val="18"/>
              </w:rPr>
              <w:t xml:space="preserve">Doordat de mogelijkheid bestaat om tegenbewijs te leveren, is de preventieve werking mogelijk minder sterk dan bij </w:t>
            </w:r>
            <w:r>
              <w:rPr>
                <w:rFonts w:ascii="Verdana" w:hAnsi="Verdana"/>
                <w:sz w:val="18"/>
                <w:szCs w:val="18"/>
              </w:rPr>
              <w:t>de beschreven beleids</w:t>
            </w:r>
            <w:r w:rsidRPr="009C235D">
              <w:rPr>
                <w:rFonts w:ascii="Verdana" w:hAnsi="Verdana"/>
                <w:sz w:val="18"/>
                <w:szCs w:val="18"/>
              </w:rPr>
              <w:t>optie</w:t>
            </w:r>
            <w:r w:rsidR="002F4501">
              <w:rPr>
                <w:rFonts w:ascii="Verdana" w:hAnsi="Verdana"/>
                <w:sz w:val="18"/>
                <w:szCs w:val="18"/>
              </w:rPr>
              <w:t>s</w:t>
            </w:r>
            <w:r w:rsidRPr="009C235D">
              <w:rPr>
                <w:rFonts w:ascii="Verdana" w:hAnsi="Verdana"/>
                <w:sz w:val="18"/>
                <w:szCs w:val="18"/>
              </w:rPr>
              <w:t xml:space="preserve"> 1 en 2</w:t>
            </w:r>
            <w:r w:rsidR="00FD3CEF">
              <w:rPr>
                <w:rFonts w:ascii="Verdana" w:hAnsi="Verdana"/>
                <w:sz w:val="18"/>
                <w:szCs w:val="18"/>
              </w:rPr>
              <w:t>,</w:t>
            </w:r>
            <w:r w:rsidR="009A48D2">
              <w:rPr>
                <w:rFonts w:ascii="Verdana" w:hAnsi="Verdana"/>
                <w:sz w:val="18"/>
                <w:szCs w:val="18"/>
              </w:rPr>
              <w:t xml:space="preserve"> omdat belastingplichtigen kunnen stellen dat er geen sprake is </w:t>
            </w:r>
            <w:r w:rsidR="00FD3CEF">
              <w:rPr>
                <w:rFonts w:ascii="Verdana" w:hAnsi="Verdana"/>
                <w:sz w:val="18"/>
                <w:szCs w:val="18"/>
              </w:rPr>
              <w:t>v</w:t>
            </w:r>
            <w:r w:rsidR="009A48D2">
              <w:rPr>
                <w:rFonts w:ascii="Verdana" w:hAnsi="Verdana"/>
                <w:sz w:val="18"/>
                <w:szCs w:val="18"/>
              </w:rPr>
              <w:t xml:space="preserve">an grondslaguitholling door middel van gestructureerde </w:t>
            </w:r>
            <w:r w:rsidR="009A48D2">
              <w:rPr>
                <w:rFonts w:ascii="Verdana" w:hAnsi="Verdana"/>
                <w:sz w:val="18"/>
                <w:szCs w:val="18"/>
              </w:rPr>
              <w:lastRenderedPageBreak/>
              <w:t>financieringslasten</w:t>
            </w:r>
            <w:r w:rsidRPr="009C235D">
              <w:rPr>
                <w:rFonts w:ascii="Verdana" w:hAnsi="Verdana"/>
                <w:sz w:val="18"/>
                <w:szCs w:val="18"/>
              </w:rPr>
              <w:t xml:space="preserve">. </w:t>
            </w:r>
            <w:r w:rsidR="00FB00C4">
              <w:rPr>
                <w:rFonts w:ascii="Verdana" w:hAnsi="Verdana"/>
                <w:sz w:val="18"/>
                <w:szCs w:val="18"/>
              </w:rPr>
              <w:t xml:space="preserve">In dat geval </w:t>
            </w:r>
            <w:r w:rsidR="00551A83">
              <w:rPr>
                <w:rFonts w:ascii="Verdana" w:hAnsi="Verdana"/>
                <w:sz w:val="18"/>
                <w:szCs w:val="18"/>
              </w:rPr>
              <w:t>is</w:t>
            </w:r>
            <w:r w:rsidR="008D7E35">
              <w:rPr>
                <w:rFonts w:ascii="Verdana" w:hAnsi="Verdana"/>
                <w:sz w:val="18"/>
                <w:szCs w:val="18"/>
              </w:rPr>
              <w:t xml:space="preserve"> alsnog </w:t>
            </w:r>
            <w:r w:rsidR="00551A83">
              <w:rPr>
                <w:rFonts w:ascii="Verdana" w:hAnsi="Verdana"/>
                <w:sz w:val="18"/>
                <w:szCs w:val="18"/>
              </w:rPr>
              <w:t>actief toezicht nodig</w:t>
            </w:r>
            <w:r w:rsidR="008D7E35">
              <w:rPr>
                <w:rFonts w:ascii="Verdana" w:hAnsi="Verdana"/>
                <w:sz w:val="18"/>
                <w:szCs w:val="18"/>
              </w:rPr>
              <w:t xml:space="preserve">. </w:t>
            </w:r>
            <w:r w:rsidRPr="009C235D">
              <w:rPr>
                <w:rFonts w:ascii="Verdana" w:hAnsi="Verdana"/>
                <w:sz w:val="18"/>
                <w:szCs w:val="18"/>
              </w:rPr>
              <w:t xml:space="preserve">De tegenbewijsmogelijkheid </w:t>
            </w:r>
            <w:r w:rsidRPr="009C235D" w:rsidR="00551A83">
              <w:rPr>
                <w:rFonts w:ascii="Verdana" w:hAnsi="Verdana"/>
                <w:sz w:val="18"/>
                <w:szCs w:val="18"/>
              </w:rPr>
              <w:t xml:space="preserve">voorkomt </w:t>
            </w:r>
            <w:r w:rsidRPr="009C235D">
              <w:rPr>
                <w:rFonts w:ascii="Verdana" w:hAnsi="Verdana"/>
                <w:sz w:val="18"/>
                <w:szCs w:val="18"/>
              </w:rPr>
              <w:t>dat de maatregel te ver doorschiet en onbedoeld te s</w:t>
            </w:r>
            <w:r w:rsidR="009A48D2">
              <w:rPr>
                <w:rFonts w:ascii="Verdana" w:hAnsi="Verdana"/>
                <w:sz w:val="18"/>
                <w:szCs w:val="18"/>
              </w:rPr>
              <w:t>t</w:t>
            </w:r>
            <w:r w:rsidRPr="009C235D">
              <w:rPr>
                <w:rFonts w:ascii="Verdana" w:hAnsi="Verdana"/>
                <w:sz w:val="18"/>
                <w:szCs w:val="18"/>
              </w:rPr>
              <w:t>reng uitpakt.</w:t>
            </w:r>
          </w:p>
          <w:p w:rsidRPr="00954F0C" w:rsidR="00DE1BA0" w:rsidP="00DE1BA0" w:rsidRDefault="00DE1BA0" w14:paraId="695597B8" w14:textId="608A0DF3">
            <w:pPr>
              <w:pStyle w:val="Lijstalinea"/>
              <w:ind w:left="360"/>
              <w:rPr>
                <w:rFonts w:ascii="Verdana" w:hAnsi="Verdana"/>
                <w:sz w:val="18"/>
                <w:szCs w:val="18"/>
              </w:rPr>
            </w:pPr>
          </w:p>
        </w:tc>
      </w:tr>
      <w:tr w:rsidRPr="0005317A" w:rsidR="007306BB" w:rsidTr="00A40A41" w14:paraId="30EA3E1B" w14:textId="77777777">
        <w:trPr>
          <w:trHeight w:val="1037"/>
        </w:trPr>
        <w:tc>
          <w:tcPr>
            <w:tcW w:w="1809" w:type="dxa"/>
            <w:tcBorders>
              <w:top w:val="single" w:color="0066A4" w:sz="4" w:space="0"/>
              <w:left w:val="nil"/>
              <w:bottom w:val="single" w:color="0066A4" w:sz="4" w:space="0"/>
              <w:right w:val="nil"/>
            </w:tcBorders>
          </w:tcPr>
          <w:p w:rsidRPr="00841B04" w:rsidR="007306BB" w:rsidP="00A40A41" w:rsidRDefault="007306BB" w14:paraId="09F0FAA8" w14:textId="77777777">
            <w:pPr>
              <w:ind w:left="108"/>
              <w:rPr>
                <w:rFonts w:ascii="Verdana" w:hAnsi="Verdana" w:eastAsia="Verdana" w:cs="Verdana"/>
                <w:color w:val="0066A4"/>
                <w:sz w:val="18"/>
                <w:szCs w:val="18"/>
              </w:rPr>
            </w:pPr>
            <w:r w:rsidRPr="00841B04">
              <w:rPr>
                <w:rFonts w:ascii="Verdana" w:hAnsi="Verdana" w:eastAsia="Verdana" w:cs="Verdana"/>
                <w:color w:val="0066A4"/>
                <w:sz w:val="18"/>
                <w:szCs w:val="18"/>
              </w:rPr>
              <w:lastRenderedPageBreak/>
              <w:t>JURIDISCHE HOUDBAARHEID</w:t>
            </w:r>
          </w:p>
        </w:tc>
        <w:tc>
          <w:tcPr>
            <w:tcW w:w="6946" w:type="dxa"/>
            <w:tcBorders>
              <w:top w:val="single" w:color="0066A4" w:sz="4" w:space="0"/>
              <w:left w:val="nil"/>
              <w:bottom w:val="single" w:color="0066A4" w:sz="4" w:space="0"/>
              <w:right w:val="nil"/>
            </w:tcBorders>
            <w:vAlign w:val="center"/>
          </w:tcPr>
          <w:p w:rsidRPr="00DC68CC" w:rsidR="007306BB" w:rsidP="00DC68CC" w:rsidRDefault="00DC68CC" w14:paraId="55DA4086" w14:textId="3EBD1861">
            <w:pPr>
              <w:pStyle w:val="Lijstalinea"/>
              <w:numPr>
                <w:ilvl w:val="0"/>
                <w:numId w:val="2"/>
              </w:numPr>
              <w:rPr>
                <w:rFonts w:ascii="Verdana" w:hAnsi="Verdana"/>
                <w:sz w:val="18"/>
                <w:szCs w:val="18"/>
              </w:rPr>
            </w:pPr>
            <w:r w:rsidRPr="00DC68CC">
              <w:rPr>
                <w:rFonts w:ascii="Verdana" w:hAnsi="Verdana"/>
                <w:sz w:val="18"/>
                <w:szCs w:val="18"/>
              </w:rPr>
              <w:t xml:space="preserve">Er worden geen aanzienlijke risico’s verwacht ten aanzien van de juridische houdbaarheid van deze beleidsoptie. </w:t>
            </w:r>
          </w:p>
        </w:tc>
      </w:tr>
      <w:tr w:rsidRPr="0005317A" w:rsidR="007306BB" w:rsidTr="00A40A41" w14:paraId="00B83661" w14:textId="77777777">
        <w:trPr>
          <w:trHeight w:val="1037"/>
        </w:trPr>
        <w:tc>
          <w:tcPr>
            <w:tcW w:w="1809" w:type="dxa"/>
            <w:tcBorders>
              <w:top w:val="single" w:color="0066A4" w:sz="4" w:space="0"/>
              <w:left w:val="nil"/>
              <w:bottom w:val="single" w:color="0066A4" w:sz="4" w:space="0"/>
              <w:right w:val="nil"/>
            </w:tcBorders>
          </w:tcPr>
          <w:p w:rsidR="007306BB" w:rsidP="00A40A41" w:rsidRDefault="002D4D19" w14:paraId="255D5B17" w14:textId="3AAB17D2">
            <w:pPr>
              <w:ind w:left="108"/>
              <w:rPr>
                <w:rFonts w:ascii="Verdana" w:hAnsi="Verdana" w:eastAsia="Verdana" w:cs="Verdana"/>
                <w:color w:val="0066A4"/>
                <w:sz w:val="18"/>
              </w:rPr>
            </w:pPr>
            <w:r>
              <w:rPr>
                <w:rFonts w:ascii="Verdana" w:hAnsi="Verdana" w:eastAsia="Verdana" w:cs="Verdana"/>
                <w:color w:val="0066A4"/>
                <w:sz w:val="18"/>
              </w:rPr>
              <w:t>KRACHTENVELD</w:t>
            </w:r>
          </w:p>
        </w:tc>
        <w:tc>
          <w:tcPr>
            <w:tcW w:w="6946" w:type="dxa"/>
            <w:tcBorders>
              <w:top w:val="single" w:color="0066A4" w:sz="4" w:space="0"/>
              <w:left w:val="nil"/>
              <w:bottom w:val="single" w:color="0066A4" w:sz="4" w:space="0"/>
              <w:right w:val="nil"/>
            </w:tcBorders>
            <w:vAlign w:val="center"/>
          </w:tcPr>
          <w:p w:rsidR="009C235D" w:rsidP="008E5326" w:rsidRDefault="009C235D" w14:paraId="7A386738" w14:textId="270A18C3">
            <w:pPr>
              <w:pStyle w:val="Lijstalinea"/>
              <w:numPr>
                <w:ilvl w:val="0"/>
                <w:numId w:val="2"/>
              </w:numPr>
              <w:rPr>
                <w:rFonts w:ascii="Verdana" w:hAnsi="Verdana"/>
                <w:sz w:val="18"/>
                <w:szCs w:val="18"/>
              </w:rPr>
            </w:pPr>
            <w:r>
              <w:rPr>
                <w:rFonts w:ascii="Verdana" w:hAnsi="Verdana"/>
                <w:sz w:val="18"/>
                <w:szCs w:val="18"/>
              </w:rPr>
              <w:t xml:space="preserve">Door verschillende (vastgoed)partijen wordt in toenemende mate aandacht gevraagd voor de strenge implementatie van de earningsstrippingmaatregel. </w:t>
            </w:r>
          </w:p>
          <w:p w:rsidRPr="005168A6" w:rsidR="008E5326" w:rsidP="008E5326" w:rsidRDefault="009C235D" w14:paraId="6F57447E" w14:textId="6DCC3C45">
            <w:pPr>
              <w:pStyle w:val="Lijstalinea"/>
              <w:numPr>
                <w:ilvl w:val="0"/>
                <w:numId w:val="2"/>
              </w:numPr>
              <w:rPr>
                <w:rFonts w:ascii="Verdana" w:hAnsi="Verdana"/>
                <w:sz w:val="18"/>
                <w:szCs w:val="18"/>
              </w:rPr>
            </w:pPr>
            <w:r>
              <w:rPr>
                <w:rFonts w:ascii="Verdana" w:hAnsi="Verdana"/>
                <w:sz w:val="18"/>
                <w:szCs w:val="18"/>
              </w:rPr>
              <w:t>Ondanks</w:t>
            </w:r>
            <w:r w:rsidR="005C238C">
              <w:rPr>
                <w:rFonts w:ascii="Verdana" w:hAnsi="Verdana"/>
                <w:sz w:val="18"/>
                <w:szCs w:val="18"/>
              </w:rPr>
              <w:t xml:space="preserve"> dat</w:t>
            </w:r>
            <w:r>
              <w:rPr>
                <w:rFonts w:ascii="Verdana" w:hAnsi="Verdana"/>
                <w:sz w:val="18"/>
                <w:szCs w:val="18"/>
              </w:rPr>
              <w:t xml:space="preserve"> deze maatregel meer gericht is dan de niet ingevoerde antifragmentatiemaatregel</w:t>
            </w:r>
            <w:r w:rsidR="00570BF1">
              <w:rPr>
                <w:rFonts w:ascii="Verdana" w:hAnsi="Verdana"/>
                <w:sz w:val="18"/>
                <w:szCs w:val="18"/>
              </w:rPr>
              <w:t xml:space="preserve"> en tegenbewijs mogelijk is</w:t>
            </w:r>
            <w:r>
              <w:rPr>
                <w:rFonts w:ascii="Verdana" w:hAnsi="Verdana"/>
                <w:sz w:val="18"/>
                <w:szCs w:val="18"/>
              </w:rPr>
              <w:t xml:space="preserve"> – en daardoor kleinere vastgoedbeleggers en woningcorporaties</w:t>
            </w:r>
            <w:r w:rsidR="00570BF1">
              <w:rPr>
                <w:rFonts w:ascii="Verdana" w:hAnsi="Verdana"/>
                <w:sz w:val="18"/>
                <w:szCs w:val="18"/>
              </w:rPr>
              <w:t xml:space="preserve"> veelal niet zal treffen</w:t>
            </w:r>
            <w:r>
              <w:rPr>
                <w:rFonts w:ascii="Verdana" w:hAnsi="Verdana"/>
                <w:sz w:val="18"/>
                <w:szCs w:val="18"/>
              </w:rPr>
              <w:t xml:space="preserve"> – </w:t>
            </w:r>
            <w:r w:rsidR="001A35D7">
              <w:rPr>
                <w:rFonts w:ascii="Verdana" w:hAnsi="Verdana"/>
                <w:sz w:val="18"/>
                <w:szCs w:val="18"/>
              </w:rPr>
              <w:t xml:space="preserve">kan </w:t>
            </w:r>
            <w:r w:rsidR="00FB00C4">
              <w:rPr>
                <w:rFonts w:ascii="Verdana" w:hAnsi="Verdana"/>
                <w:sz w:val="18"/>
                <w:szCs w:val="18"/>
              </w:rPr>
              <w:t>deze maatregel ook voor kleinere vastgoedbeleggers een administratieve lastenverzwaring tot gevolg kan hebben.</w:t>
            </w:r>
          </w:p>
          <w:p w:rsidR="00FB00C4" w:rsidP="008E5326" w:rsidRDefault="00FB00C4" w14:paraId="1C6A23DE" w14:textId="77777777">
            <w:pPr>
              <w:pStyle w:val="Lijstalinea"/>
              <w:numPr>
                <w:ilvl w:val="0"/>
                <w:numId w:val="2"/>
              </w:numPr>
              <w:rPr>
                <w:rFonts w:ascii="Verdana" w:hAnsi="Verdana"/>
                <w:sz w:val="18"/>
                <w:szCs w:val="18"/>
              </w:rPr>
            </w:pPr>
            <w:r>
              <w:rPr>
                <w:rFonts w:ascii="Verdana" w:hAnsi="Verdana"/>
                <w:sz w:val="18"/>
                <w:szCs w:val="18"/>
              </w:rPr>
              <w:t>Deze beleidsoptie leidt tot een toename van de complexiteit en administratieve lasten. Daarmee past deze maatregel niet in de algemene politieke wens om te komen tot minder complexe maatregelen (en een vereenvoudiging van het belastingstelsel).</w:t>
            </w:r>
          </w:p>
          <w:p w:rsidR="00975CFF" w:rsidP="00485F60" w:rsidRDefault="00975CFF" w14:paraId="6D24A58B" w14:textId="6466E41E">
            <w:pPr>
              <w:pStyle w:val="Lijstalinea"/>
              <w:ind w:left="360"/>
              <w:rPr>
                <w:rFonts w:ascii="Verdana" w:hAnsi="Verdana"/>
                <w:sz w:val="18"/>
                <w:szCs w:val="18"/>
              </w:rPr>
            </w:pPr>
            <w:r>
              <w:rPr>
                <w:rFonts w:ascii="Verdana" w:hAnsi="Verdana"/>
                <w:sz w:val="18"/>
                <w:szCs w:val="18"/>
              </w:rPr>
              <w:t xml:space="preserve">Daar staat tegenover dat deze beleidsoptie - in tegenstelling tot de andere twee beleidsopties - de mogelijkheid biedt tot het </w:t>
            </w:r>
            <w:r w:rsidR="00FB00C4">
              <w:rPr>
                <w:rFonts w:ascii="Verdana" w:hAnsi="Verdana"/>
                <w:sz w:val="18"/>
                <w:szCs w:val="18"/>
              </w:rPr>
              <w:t xml:space="preserve">leveren </w:t>
            </w:r>
            <w:r>
              <w:rPr>
                <w:rFonts w:ascii="Verdana" w:hAnsi="Verdana"/>
                <w:sz w:val="18"/>
                <w:szCs w:val="18"/>
              </w:rPr>
              <w:t xml:space="preserve">van tegenbewijs. Daarmee zal de maatregel in beginsel alleen vastgoedstructuren treffen die (mede) zijn opgezet om de Nederlandse grondslag uit te hollen </w:t>
            </w:r>
            <w:r w:rsidRPr="00975CFF">
              <w:rPr>
                <w:rFonts w:ascii="Verdana" w:hAnsi="Verdana"/>
                <w:sz w:val="18"/>
                <w:szCs w:val="18"/>
              </w:rPr>
              <w:t>door middel van gestructureerde rentelasten</w:t>
            </w:r>
            <w:r w:rsidR="009A48D2">
              <w:rPr>
                <w:rFonts w:ascii="Verdana" w:hAnsi="Verdana"/>
                <w:sz w:val="18"/>
                <w:szCs w:val="18"/>
              </w:rPr>
              <w:t xml:space="preserve">. </w:t>
            </w:r>
          </w:p>
          <w:p w:rsidRPr="00B46C00" w:rsidR="00975CFF" w:rsidP="00975CFF" w:rsidRDefault="00975CFF" w14:paraId="097C4D90" w14:textId="76C3C7ED">
            <w:pPr>
              <w:pStyle w:val="Lijstalinea"/>
              <w:ind w:left="360"/>
              <w:rPr>
                <w:rFonts w:ascii="Verdana" w:hAnsi="Verdana"/>
                <w:sz w:val="18"/>
                <w:szCs w:val="18"/>
              </w:rPr>
            </w:pPr>
          </w:p>
        </w:tc>
      </w:tr>
      <w:tr w:rsidRPr="0005317A" w:rsidR="007306BB" w:rsidTr="00A40A41" w14:paraId="078B1D4A" w14:textId="77777777">
        <w:trPr>
          <w:trHeight w:val="1037"/>
        </w:trPr>
        <w:tc>
          <w:tcPr>
            <w:tcW w:w="1809" w:type="dxa"/>
            <w:tcBorders>
              <w:top w:val="single" w:color="0066A4" w:sz="4" w:space="0"/>
              <w:left w:val="nil"/>
              <w:bottom w:val="single" w:color="0066A4" w:sz="4" w:space="0"/>
              <w:right w:val="nil"/>
            </w:tcBorders>
          </w:tcPr>
          <w:p w:rsidR="007306BB" w:rsidP="00A40A41" w:rsidRDefault="007306BB" w14:paraId="360AC908" w14:textId="77777777">
            <w:pPr>
              <w:ind w:left="108"/>
              <w:rPr>
                <w:rFonts w:ascii="Verdana" w:hAnsi="Verdana" w:eastAsia="Verdana" w:cs="Verdana"/>
                <w:color w:val="0066A4"/>
                <w:sz w:val="18"/>
              </w:rPr>
            </w:pPr>
            <w:r>
              <w:rPr>
                <w:rFonts w:ascii="Verdana" w:hAnsi="Verdana" w:eastAsia="Verdana" w:cs="Verdana"/>
                <w:color w:val="0066A4"/>
                <w:sz w:val="18"/>
              </w:rPr>
              <w:t>BUDGETTAIRE GEVOLGEN</w:t>
            </w:r>
          </w:p>
        </w:tc>
        <w:tc>
          <w:tcPr>
            <w:tcW w:w="6946" w:type="dxa"/>
            <w:tcBorders>
              <w:top w:val="single" w:color="0066A4" w:sz="4" w:space="0"/>
              <w:left w:val="nil"/>
              <w:bottom w:val="single" w:color="0066A4" w:sz="4" w:space="0"/>
              <w:right w:val="nil"/>
            </w:tcBorders>
            <w:vAlign w:val="center"/>
          </w:tcPr>
          <w:p w:rsidRPr="00485F60" w:rsidR="007306BB" w:rsidP="006338CF" w:rsidRDefault="00DE5E78" w14:paraId="219FB90E" w14:textId="284C70CB">
            <w:pPr>
              <w:pStyle w:val="Lijstalinea"/>
              <w:numPr>
                <w:ilvl w:val="0"/>
                <w:numId w:val="2"/>
              </w:numPr>
              <w:rPr>
                <w:rFonts w:ascii="Verdana" w:hAnsi="Verdana" w:eastAsia="Verdana" w:cs="Verdana"/>
                <w:color w:val="000000"/>
                <w:sz w:val="18"/>
              </w:rPr>
            </w:pPr>
            <w:r w:rsidRPr="006338CF">
              <w:rPr>
                <w:rFonts w:ascii="Verdana" w:hAnsi="Verdana"/>
                <w:sz w:val="18"/>
                <w:szCs w:val="18"/>
              </w:rPr>
              <w:t>Deze beleidsoptie heeft naar verwachting een opbrengst in ordegrootte van € 30 tot € 40 miljoen.</w:t>
            </w:r>
          </w:p>
        </w:tc>
      </w:tr>
    </w:tbl>
    <w:p w:rsidRPr="0036710C" w:rsidR="00547926" w:rsidP="00485F60" w:rsidRDefault="00547926" w14:paraId="7D7696AF" w14:textId="03B5316D">
      <w:pPr>
        <w:rPr>
          <w:rFonts w:ascii="Verdana" w:hAnsi="Verdana" w:eastAsia="Verdana" w:cs="Verdana"/>
          <w:i/>
          <w:color w:val="000000"/>
          <w:sz w:val="18"/>
          <w:lang w:eastAsia="nl-NL"/>
        </w:rPr>
      </w:pPr>
    </w:p>
    <w:sectPr w:rsidRPr="0036710C" w:rsidR="0054792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CB46" w14:textId="77777777" w:rsidR="0039630F" w:rsidRDefault="0039630F" w:rsidP="00021A72">
      <w:pPr>
        <w:spacing w:after="0" w:line="240" w:lineRule="auto"/>
      </w:pPr>
      <w:r>
        <w:separator/>
      </w:r>
    </w:p>
  </w:endnote>
  <w:endnote w:type="continuationSeparator" w:id="0">
    <w:p w14:paraId="397407C7" w14:textId="77777777" w:rsidR="0039630F" w:rsidRDefault="0039630F" w:rsidP="00021A72">
      <w:pPr>
        <w:spacing w:after="0" w:line="240" w:lineRule="auto"/>
      </w:pPr>
      <w:r>
        <w:continuationSeparator/>
      </w:r>
    </w:p>
  </w:endnote>
  <w:endnote w:type="continuationNotice" w:id="1">
    <w:p w14:paraId="49DB2D81" w14:textId="77777777" w:rsidR="0039630F" w:rsidRDefault="00396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F0FD" w14:textId="77777777" w:rsidR="0039630F" w:rsidRDefault="0039630F" w:rsidP="00021A72">
      <w:pPr>
        <w:spacing w:after="0" w:line="240" w:lineRule="auto"/>
      </w:pPr>
      <w:r>
        <w:separator/>
      </w:r>
    </w:p>
  </w:footnote>
  <w:footnote w:type="continuationSeparator" w:id="0">
    <w:p w14:paraId="0A061A60" w14:textId="77777777" w:rsidR="0039630F" w:rsidRDefault="0039630F" w:rsidP="00021A72">
      <w:pPr>
        <w:spacing w:after="0" w:line="240" w:lineRule="auto"/>
      </w:pPr>
      <w:r>
        <w:continuationSeparator/>
      </w:r>
    </w:p>
  </w:footnote>
  <w:footnote w:type="continuationNotice" w:id="1">
    <w:p w14:paraId="414B3E2F" w14:textId="77777777" w:rsidR="0039630F" w:rsidRDefault="0039630F">
      <w:pPr>
        <w:spacing w:after="0" w:line="240" w:lineRule="auto"/>
      </w:pPr>
    </w:p>
  </w:footnote>
  <w:footnote w:id="2">
    <w:p w14:paraId="789AB2ED" w14:textId="77777777" w:rsidR="00E74BC7" w:rsidRPr="00D15457" w:rsidRDefault="00E74BC7" w:rsidP="00E74BC7">
      <w:pPr>
        <w:pStyle w:val="Voetnoottekst"/>
        <w:rPr>
          <w:rFonts w:ascii="Verdana" w:hAnsi="Verdana"/>
          <w:sz w:val="13"/>
          <w:szCs w:val="13"/>
        </w:rPr>
      </w:pPr>
      <w:r w:rsidRPr="00D15457">
        <w:rPr>
          <w:rStyle w:val="Voetnootmarkering"/>
          <w:rFonts w:ascii="Verdana" w:hAnsi="Verdana"/>
          <w:sz w:val="13"/>
          <w:szCs w:val="13"/>
        </w:rPr>
        <w:footnoteRef/>
      </w:r>
      <w:r w:rsidRPr="00D15457">
        <w:rPr>
          <w:rFonts w:ascii="Verdana" w:hAnsi="Verdana"/>
          <w:sz w:val="13"/>
          <w:szCs w:val="13"/>
        </w:rPr>
        <w:t xml:space="preserve"> Kamerstukken II 2018/19, 35030,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DA5"/>
    <w:multiLevelType w:val="hybridMultilevel"/>
    <w:tmpl w:val="09429F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5E72BF9"/>
    <w:multiLevelType w:val="hybridMultilevel"/>
    <w:tmpl w:val="79C4C838"/>
    <w:lvl w:ilvl="0" w:tplc="C1BE2AF8">
      <w:start w:val="1"/>
      <w:numFmt w:val="decimal"/>
      <w:lvlText w:val="%1."/>
      <w:lvlJc w:val="left"/>
      <w:pPr>
        <w:ind w:left="1020" w:hanging="360"/>
      </w:pPr>
    </w:lvl>
    <w:lvl w:ilvl="1" w:tplc="DAB28880">
      <w:start w:val="1"/>
      <w:numFmt w:val="decimal"/>
      <w:lvlText w:val="%2."/>
      <w:lvlJc w:val="left"/>
      <w:pPr>
        <w:ind w:left="1020" w:hanging="360"/>
      </w:pPr>
    </w:lvl>
    <w:lvl w:ilvl="2" w:tplc="1842F9B4">
      <w:start w:val="1"/>
      <w:numFmt w:val="decimal"/>
      <w:lvlText w:val="%3."/>
      <w:lvlJc w:val="left"/>
      <w:pPr>
        <w:ind w:left="1020" w:hanging="360"/>
      </w:pPr>
    </w:lvl>
    <w:lvl w:ilvl="3" w:tplc="FF38D2EE">
      <w:start w:val="1"/>
      <w:numFmt w:val="decimal"/>
      <w:lvlText w:val="%4."/>
      <w:lvlJc w:val="left"/>
      <w:pPr>
        <w:ind w:left="1020" w:hanging="360"/>
      </w:pPr>
    </w:lvl>
    <w:lvl w:ilvl="4" w:tplc="7890A888">
      <w:start w:val="1"/>
      <w:numFmt w:val="decimal"/>
      <w:lvlText w:val="%5."/>
      <w:lvlJc w:val="left"/>
      <w:pPr>
        <w:ind w:left="1020" w:hanging="360"/>
      </w:pPr>
    </w:lvl>
    <w:lvl w:ilvl="5" w:tplc="0E9CE0FA">
      <w:start w:val="1"/>
      <w:numFmt w:val="decimal"/>
      <w:lvlText w:val="%6."/>
      <w:lvlJc w:val="left"/>
      <w:pPr>
        <w:ind w:left="1020" w:hanging="360"/>
      </w:pPr>
    </w:lvl>
    <w:lvl w:ilvl="6" w:tplc="84868766">
      <w:start w:val="1"/>
      <w:numFmt w:val="decimal"/>
      <w:lvlText w:val="%7."/>
      <w:lvlJc w:val="left"/>
      <w:pPr>
        <w:ind w:left="1020" w:hanging="360"/>
      </w:pPr>
    </w:lvl>
    <w:lvl w:ilvl="7" w:tplc="D45A2F08">
      <w:start w:val="1"/>
      <w:numFmt w:val="decimal"/>
      <w:lvlText w:val="%8."/>
      <w:lvlJc w:val="left"/>
      <w:pPr>
        <w:ind w:left="1020" w:hanging="360"/>
      </w:pPr>
    </w:lvl>
    <w:lvl w:ilvl="8" w:tplc="A2CAAF6E">
      <w:start w:val="1"/>
      <w:numFmt w:val="decimal"/>
      <w:lvlText w:val="%9."/>
      <w:lvlJc w:val="left"/>
      <w:pPr>
        <w:ind w:left="1020" w:hanging="360"/>
      </w:pPr>
    </w:lvl>
  </w:abstractNum>
  <w:abstractNum w:abstractNumId="2" w15:restartNumberingAfterBreak="0">
    <w:nsid w:val="18A9476A"/>
    <w:multiLevelType w:val="hybridMultilevel"/>
    <w:tmpl w:val="DB0E2514"/>
    <w:lvl w:ilvl="0" w:tplc="DBF04A58">
      <w:start w:val="1"/>
      <w:numFmt w:val="decimal"/>
      <w:lvlText w:val="%1."/>
      <w:lvlJc w:val="left"/>
      <w:pPr>
        <w:ind w:left="1020" w:hanging="360"/>
      </w:pPr>
    </w:lvl>
    <w:lvl w:ilvl="1" w:tplc="A94A1412">
      <w:start w:val="1"/>
      <w:numFmt w:val="decimal"/>
      <w:lvlText w:val="%2."/>
      <w:lvlJc w:val="left"/>
      <w:pPr>
        <w:ind w:left="1020" w:hanging="360"/>
      </w:pPr>
    </w:lvl>
    <w:lvl w:ilvl="2" w:tplc="5C407662">
      <w:start w:val="1"/>
      <w:numFmt w:val="decimal"/>
      <w:lvlText w:val="%3."/>
      <w:lvlJc w:val="left"/>
      <w:pPr>
        <w:ind w:left="1020" w:hanging="360"/>
      </w:pPr>
    </w:lvl>
    <w:lvl w:ilvl="3" w:tplc="2578E112">
      <w:start w:val="1"/>
      <w:numFmt w:val="decimal"/>
      <w:lvlText w:val="%4."/>
      <w:lvlJc w:val="left"/>
      <w:pPr>
        <w:ind w:left="1020" w:hanging="360"/>
      </w:pPr>
    </w:lvl>
    <w:lvl w:ilvl="4" w:tplc="FA5AD066">
      <w:start w:val="1"/>
      <w:numFmt w:val="decimal"/>
      <w:lvlText w:val="%5."/>
      <w:lvlJc w:val="left"/>
      <w:pPr>
        <w:ind w:left="1020" w:hanging="360"/>
      </w:pPr>
    </w:lvl>
    <w:lvl w:ilvl="5" w:tplc="9132D2E2">
      <w:start w:val="1"/>
      <w:numFmt w:val="decimal"/>
      <w:lvlText w:val="%6."/>
      <w:lvlJc w:val="left"/>
      <w:pPr>
        <w:ind w:left="1020" w:hanging="360"/>
      </w:pPr>
    </w:lvl>
    <w:lvl w:ilvl="6" w:tplc="DA1604BC">
      <w:start w:val="1"/>
      <w:numFmt w:val="decimal"/>
      <w:lvlText w:val="%7."/>
      <w:lvlJc w:val="left"/>
      <w:pPr>
        <w:ind w:left="1020" w:hanging="360"/>
      </w:pPr>
    </w:lvl>
    <w:lvl w:ilvl="7" w:tplc="E50CB4BC">
      <w:start w:val="1"/>
      <w:numFmt w:val="decimal"/>
      <w:lvlText w:val="%8."/>
      <w:lvlJc w:val="left"/>
      <w:pPr>
        <w:ind w:left="1020" w:hanging="360"/>
      </w:pPr>
    </w:lvl>
    <w:lvl w:ilvl="8" w:tplc="36ACD4B8">
      <w:start w:val="1"/>
      <w:numFmt w:val="decimal"/>
      <w:lvlText w:val="%9."/>
      <w:lvlJc w:val="left"/>
      <w:pPr>
        <w:ind w:left="1020" w:hanging="360"/>
      </w:pPr>
    </w:lvl>
  </w:abstractNum>
  <w:abstractNum w:abstractNumId="3" w15:restartNumberingAfterBreak="0">
    <w:nsid w:val="1DFC7485"/>
    <w:multiLevelType w:val="multilevel"/>
    <w:tmpl w:val="EBA2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D6E51"/>
    <w:multiLevelType w:val="hybridMultilevel"/>
    <w:tmpl w:val="63ECD590"/>
    <w:lvl w:ilvl="0" w:tplc="FFFFFFFF">
      <w:start w:val="1"/>
      <w:numFmt w:val="decimal"/>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9056CB"/>
    <w:multiLevelType w:val="hybridMultilevel"/>
    <w:tmpl w:val="E53E174E"/>
    <w:lvl w:ilvl="0" w:tplc="752CAEA2">
      <w:start w:val="1"/>
      <w:numFmt w:val="bullet"/>
      <w:lvlText w:val=""/>
      <w:lvlJc w:val="left"/>
      <w:pPr>
        <w:ind w:left="1080" w:hanging="360"/>
      </w:pPr>
      <w:rPr>
        <w:rFonts w:ascii="Symbol" w:hAnsi="Symbol"/>
      </w:rPr>
    </w:lvl>
    <w:lvl w:ilvl="1" w:tplc="2014F100">
      <w:start w:val="1"/>
      <w:numFmt w:val="bullet"/>
      <w:lvlText w:val=""/>
      <w:lvlJc w:val="left"/>
      <w:pPr>
        <w:ind w:left="1080" w:hanging="360"/>
      </w:pPr>
      <w:rPr>
        <w:rFonts w:ascii="Symbol" w:hAnsi="Symbol"/>
      </w:rPr>
    </w:lvl>
    <w:lvl w:ilvl="2" w:tplc="39224F30">
      <w:start w:val="1"/>
      <w:numFmt w:val="bullet"/>
      <w:lvlText w:val=""/>
      <w:lvlJc w:val="left"/>
      <w:pPr>
        <w:ind w:left="1080" w:hanging="360"/>
      </w:pPr>
      <w:rPr>
        <w:rFonts w:ascii="Symbol" w:hAnsi="Symbol"/>
      </w:rPr>
    </w:lvl>
    <w:lvl w:ilvl="3" w:tplc="467085DA">
      <w:start w:val="1"/>
      <w:numFmt w:val="bullet"/>
      <w:lvlText w:val=""/>
      <w:lvlJc w:val="left"/>
      <w:pPr>
        <w:ind w:left="1080" w:hanging="360"/>
      </w:pPr>
      <w:rPr>
        <w:rFonts w:ascii="Symbol" w:hAnsi="Symbol"/>
      </w:rPr>
    </w:lvl>
    <w:lvl w:ilvl="4" w:tplc="70280954">
      <w:start w:val="1"/>
      <w:numFmt w:val="bullet"/>
      <w:lvlText w:val=""/>
      <w:lvlJc w:val="left"/>
      <w:pPr>
        <w:ind w:left="1080" w:hanging="360"/>
      </w:pPr>
      <w:rPr>
        <w:rFonts w:ascii="Symbol" w:hAnsi="Symbol"/>
      </w:rPr>
    </w:lvl>
    <w:lvl w:ilvl="5" w:tplc="23606058">
      <w:start w:val="1"/>
      <w:numFmt w:val="bullet"/>
      <w:lvlText w:val=""/>
      <w:lvlJc w:val="left"/>
      <w:pPr>
        <w:ind w:left="1080" w:hanging="360"/>
      </w:pPr>
      <w:rPr>
        <w:rFonts w:ascii="Symbol" w:hAnsi="Symbol"/>
      </w:rPr>
    </w:lvl>
    <w:lvl w:ilvl="6" w:tplc="7A687BE0">
      <w:start w:val="1"/>
      <w:numFmt w:val="bullet"/>
      <w:lvlText w:val=""/>
      <w:lvlJc w:val="left"/>
      <w:pPr>
        <w:ind w:left="1080" w:hanging="360"/>
      </w:pPr>
      <w:rPr>
        <w:rFonts w:ascii="Symbol" w:hAnsi="Symbol"/>
      </w:rPr>
    </w:lvl>
    <w:lvl w:ilvl="7" w:tplc="E43C6380">
      <w:start w:val="1"/>
      <w:numFmt w:val="bullet"/>
      <w:lvlText w:val=""/>
      <w:lvlJc w:val="left"/>
      <w:pPr>
        <w:ind w:left="1080" w:hanging="360"/>
      </w:pPr>
      <w:rPr>
        <w:rFonts w:ascii="Symbol" w:hAnsi="Symbol"/>
      </w:rPr>
    </w:lvl>
    <w:lvl w:ilvl="8" w:tplc="B546EB7E">
      <w:start w:val="1"/>
      <w:numFmt w:val="bullet"/>
      <w:lvlText w:val=""/>
      <w:lvlJc w:val="left"/>
      <w:pPr>
        <w:ind w:left="1080" w:hanging="360"/>
      </w:pPr>
      <w:rPr>
        <w:rFonts w:ascii="Symbol" w:hAnsi="Symbol"/>
      </w:rPr>
    </w:lvl>
  </w:abstractNum>
  <w:abstractNum w:abstractNumId="6" w15:restartNumberingAfterBreak="0">
    <w:nsid w:val="274A6C74"/>
    <w:multiLevelType w:val="hybridMultilevel"/>
    <w:tmpl w:val="C8329D50"/>
    <w:lvl w:ilvl="0" w:tplc="9C68EF9C">
      <w:start w:val="1"/>
      <w:numFmt w:val="bullet"/>
      <w:lvlText w:val=""/>
      <w:lvlJc w:val="left"/>
      <w:pPr>
        <w:ind w:left="1080" w:hanging="360"/>
      </w:pPr>
      <w:rPr>
        <w:rFonts w:ascii="Symbol" w:hAnsi="Symbol"/>
      </w:rPr>
    </w:lvl>
    <w:lvl w:ilvl="1" w:tplc="F0A6A280">
      <w:start w:val="1"/>
      <w:numFmt w:val="bullet"/>
      <w:lvlText w:val=""/>
      <w:lvlJc w:val="left"/>
      <w:pPr>
        <w:ind w:left="1080" w:hanging="360"/>
      </w:pPr>
      <w:rPr>
        <w:rFonts w:ascii="Symbol" w:hAnsi="Symbol"/>
      </w:rPr>
    </w:lvl>
    <w:lvl w:ilvl="2" w:tplc="91BAF92A">
      <w:start w:val="1"/>
      <w:numFmt w:val="bullet"/>
      <w:lvlText w:val=""/>
      <w:lvlJc w:val="left"/>
      <w:pPr>
        <w:ind w:left="1080" w:hanging="360"/>
      </w:pPr>
      <w:rPr>
        <w:rFonts w:ascii="Symbol" w:hAnsi="Symbol"/>
      </w:rPr>
    </w:lvl>
    <w:lvl w:ilvl="3" w:tplc="59D81DEE">
      <w:start w:val="1"/>
      <w:numFmt w:val="bullet"/>
      <w:lvlText w:val=""/>
      <w:lvlJc w:val="left"/>
      <w:pPr>
        <w:ind w:left="1080" w:hanging="360"/>
      </w:pPr>
      <w:rPr>
        <w:rFonts w:ascii="Symbol" w:hAnsi="Symbol"/>
      </w:rPr>
    </w:lvl>
    <w:lvl w:ilvl="4" w:tplc="AB9AC972">
      <w:start w:val="1"/>
      <w:numFmt w:val="bullet"/>
      <w:lvlText w:val=""/>
      <w:lvlJc w:val="left"/>
      <w:pPr>
        <w:ind w:left="1080" w:hanging="360"/>
      </w:pPr>
      <w:rPr>
        <w:rFonts w:ascii="Symbol" w:hAnsi="Symbol"/>
      </w:rPr>
    </w:lvl>
    <w:lvl w:ilvl="5" w:tplc="9BC20038">
      <w:start w:val="1"/>
      <w:numFmt w:val="bullet"/>
      <w:lvlText w:val=""/>
      <w:lvlJc w:val="left"/>
      <w:pPr>
        <w:ind w:left="1080" w:hanging="360"/>
      </w:pPr>
      <w:rPr>
        <w:rFonts w:ascii="Symbol" w:hAnsi="Symbol"/>
      </w:rPr>
    </w:lvl>
    <w:lvl w:ilvl="6" w:tplc="B338070A">
      <w:start w:val="1"/>
      <w:numFmt w:val="bullet"/>
      <w:lvlText w:val=""/>
      <w:lvlJc w:val="left"/>
      <w:pPr>
        <w:ind w:left="1080" w:hanging="360"/>
      </w:pPr>
      <w:rPr>
        <w:rFonts w:ascii="Symbol" w:hAnsi="Symbol"/>
      </w:rPr>
    </w:lvl>
    <w:lvl w:ilvl="7" w:tplc="4634A4EA">
      <w:start w:val="1"/>
      <w:numFmt w:val="bullet"/>
      <w:lvlText w:val=""/>
      <w:lvlJc w:val="left"/>
      <w:pPr>
        <w:ind w:left="1080" w:hanging="360"/>
      </w:pPr>
      <w:rPr>
        <w:rFonts w:ascii="Symbol" w:hAnsi="Symbol"/>
      </w:rPr>
    </w:lvl>
    <w:lvl w:ilvl="8" w:tplc="1AA4446C">
      <w:start w:val="1"/>
      <w:numFmt w:val="bullet"/>
      <w:lvlText w:val=""/>
      <w:lvlJc w:val="left"/>
      <w:pPr>
        <w:ind w:left="1080" w:hanging="360"/>
      </w:pPr>
      <w:rPr>
        <w:rFonts w:ascii="Symbol" w:hAnsi="Symbol"/>
      </w:rPr>
    </w:lvl>
  </w:abstractNum>
  <w:abstractNum w:abstractNumId="7" w15:restartNumberingAfterBreak="0">
    <w:nsid w:val="295C6F64"/>
    <w:multiLevelType w:val="hybridMultilevel"/>
    <w:tmpl w:val="3BC42F32"/>
    <w:lvl w:ilvl="0" w:tplc="EF90E982">
      <w:start w:val="1"/>
      <w:numFmt w:val="bullet"/>
      <w:lvlText w:val=""/>
      <w:lvlJc w:val="left"/>
      <w:pPr>
        <w:ind w:left="1080" w:hanging="360"/>
      </w:pPr>
      <w:rPr>
        <w:rFonts w:ascii="Symbol" w:hAnsi="Symbol"/>
      </w:rPr>
    </w:lvl>
    <w:lvl w:ilvl="1" w:tplc="E3A6D952">
      <w:start w:val="1"/>
      <w:numFmt w:val="bullet"/>
      <w:lvlText w:val=""/>
      <w:lvlJc w:val="left"/>
      <w:pPr>
        <w:ind w:left="1080" w:hanging="360"/>
      </w:pPr>
      <w:rPr>
        <w:rFonts w:ascii="Symbol" w:hAnsi="Symbol"/>
      </w:rPr>
    </w:lvl>
    <w:lvl w:ilvl="2" w:tplc="D1A2BB4E">
      <w:start w:val="1"/>
      <w:numFmt w:val="bullet"/>
      <w:lvlText w:val=""/>
      <w:lvlJc w:val="left"/>
      <w:pPr>
        <w:ind w:left="1080" w:hanging="360"/>
      </w:pPr>
      <w:rPr>
        <w:rFonts w:ascii="Symbol" w:hAnsi="Symbol"/>
      </w:rPr>
    </w:lvl>
    <w:lvl w:ilvl="3" w:tplc="27346452">
      <w:start w:val="1"/>
      <w:numFmt w:val="bullet"/>
      <w:lvlText w:val=""/>
      <w:lvlJc w:val="left"/>
      <w:pPr>
        <w:ind w:left="1080" w:hanging="360"/>
      </w:pPr>
      <w:rPr>
        <w:rFonts w:ascii="Symbol" w:hAnsi="Symbol"/>
      </w:rPr>
    </w:lvl>
    <w:lvl w:ilvl="4" w:tplc="F6B08616">
      <w:start w:val="1"/>
      <w:numFmt w:val="bullet"/>
      <w:lvlText w:val=""/>
      <w:lvlJc w:val="left"/>
      <w:pPr>
        <w:ind w:left="1080" w:hanging="360"/>
      </w:pPr>
      <w:rPr>
        <w:rFonts w:ascii="Symbol" w:hAnsi="Symbol"/>
      </w:rPr>
    </w:lvl>
    <w:lvl w:ilvl="5" w:tplc="72C8C748">
      <w:start w:val="1"/>
      <w:numFmt w:val="bullet"/>
      <w:lvlText w:val=""/>
      <w:lvlJc w:val="left"/>
      <w:pPr>
        <w:ind w:left="1080" w:hanging="360"/>
      </w:pPr>
      <w:rPr>
        <w:rFonts w:ascii="Symbol" w:hAnsi="Symbol"/>
      </w:rPr>
    </w:lvl>
    <w:lvl w:ilvl="6" w:tplc="A8DCAF3C">
      <w:start w:val="1"/>
      <w:numFmt w:val="bullet"/>
      <w:lvlText w:val=""/>
      <w:lvlJc w:val="left"/>
      <w:pPr>
        <w:ind w:left="1080" w:hanging="360"/>
      </w:pPr>
      <w:rPr>
        <w:rFonts w:ascii="Symbol" w:hAnsi="Symbol"/>
      </w:rPr>
    </w:lvl>
    <w:lvl w:ilvl="7" w:tplc="25BC0FC8">
      <w:start w:val="1"/>
      <w:numFmt w:val="bullet"/>
      <w:lvlText w:val=""/>
      <w:lvlJc w:val="left"/>
      <w:pPr>
        <w:ind w:left="1080" w:hanging="360"/>
      </w:pPr>
      <w:rPr>
        <w:rFonts w:ascii="Symbol" w:hAnsi="Symbol"/>
      </w:rPr>
    </w:lvl>
    <w:lvl w:ilvl="8" w:tplc="D36A1810">
      <w:start w:val="1"/>
      <w:numFmt w:val="bullet"/>
      <w:lvlText w:val=""/>
      <w:lvlJc w:val="left"/>
      <w:pPr>
        <w:ind w:left="1080" w:hanging="360"/>
      </w:pPr>
      <w:rPr>
        <w:rFonts w:ascii="Symbol" w:hAnsi="Symbol"/>
      </w:rPr>
    </w:lvl>
  </w:abstractNum>
  <w:abstractNum w:abstractNumId="8" w15:restartNumberingAfterBreak="0">
    <w:nsid w:val="36796CD8"/>
    <w:multiLevelType w:val="hybridMultilevel"/>
    <w:tmpl w:val="37D42836"/>
    <w:lvl w:ilvl="0" w:tplc="95B4974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F1B04"/>
    <w:multiLevelType w:val="hybridMultilevel"/>
    <w:tmpl w:val="A3EC4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E6B48B3"/>
    <w:multiLevelType w:val="hybridMultilevel"/>
    <w:tmpl w:val="616273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4F752D"/>
    <w:multiLevelType w:val="hybridMultilevel"/>
    <w:tmpl w:val="BA4442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14E085A"/>
    <w:multiLevelType w:val="hybridMultilevel"/>
    <w:tmpl w:val="3EC68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470508"/>
    <w:multiLevelType w:val="hybridMultilevel"/>
    <w:tmpl w:val="63ECD590"/>
    <w:lvl w:ilvl="0" w:tplc="0413000F">
      <w:start w:val="1"/>
      <w:numFmt w:val="decimal"/>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905D1F"/>
    <w:multiLevelType w:val="hybridMultilevel"/>
    <w:tmpl w:val="6924E7FE"/>
    <w:lvl w:ilvl="0" w:tplc="B17EA2E8">
      <w:start w:val="1"/>
      <w:numFmt w:val="decimal"/>
      <w:lvlText w:val="%1."/>
      <w:lvlJc w:val="left"/>
      <w:pPr>
        <w:ind w:left="1020" w:hanging="360"/>
      </w:pPr>
    </w:lvl>
    <w:lvl w:ilvl="1" w:tplc="20BA01D2">
      <w:start w:val="1"/>
      <w:numFmt w:val="decimal"/>
      <w:lvlText w:val="%2."/>
      <w:lvlJc w:val="left"/>
      <w:pPr>
        <w:ind w:left="1020" w:hanging="360"/>
      </w:pPr>
    </w:lvl>
    <w:lvl w:ilvl="2" w:tplc="395012A0">
      <w:start w:val="1"/>
      <w:numFmt w:val="decimal"/>
      <w:lvlText w:val="%3."/>
      <w:lvlJc w:val="left"/>
      <w:pPr>
        <w:ind w:left="1020" w:hanging="360"/>
      </w:pPr>
    </w:lvl>
    <w:lvl w:ilvl="3" w:tplc="C45CB1BC">
      <w:start w:val="1"/>
      <w:numFmt w:val="decimal"/>
      <w:lvlText w:val="%4."/>
      <w:lvlJc w:val="left"/>
      <w:pPr>
        <w:ind w:left="1020" w:hanging="360"/>
      </w:pPr>
    </w:lvl>
    <w:lvl w:ilvl="4" w:tplc="036C828C">
      <w:start w:val="1"/>
      <w:numFmt w:val="decimal"/>
      <w:lvlText w:val="%5."/>
      <w:lvlJc w:val="left"/>
      <w:pPr>
        <w:ind w:left="1020" w:hanging="360"/>
      </w:pPr>
    </w:lvl>
    <w:lvl w:ilvl="5" w:tplc="B916257E">
      <w:start w:val="1"/>
      <w:numFmt w:val="decimal"/>
      <w:lvlText w:val="%6."/>
      <w:lvlJc w:val="left"/>
      <w:pPr>
        <w:ind w:left="1020" w:hanging="360"/>
      </w:pPr>
    </w:lvl>
    <w:lvl w:ilvl="6" w:tplc="BA0C0E94">
      <w:start w:val="1"/>
      <w:numFmt w:val="decimal"/>
      <w:lvlText w:val="%7."/>
      <w:lvlJc w:val="left"/>
      <w:pPr>
        <w:ind w:left="1020" w:hanging="360"/>
      </w:pPr>
    </w:lvl>
    <w:lvl w:ilvl="7" w:tplc="AFA855A4">
      <w:start w:val="1"/>
      <w:numFmt w:val="decimal"/>
      <w:lvlText w:val="%8."/>
      <w:lvlJc w:val="left"/>
      <w:pPr>
        <w:ind w:left="1020" w:hanging="360"/>
      </w:pPr>
    </w:lvl>
    <w:lvl w:ilvl="8" w:tplc="F65CBCD8">
      <w:start w:val="1"/>
      <w:numFmt w:val="decimal"/>
      <w:lvlText w:val="%9."/>
      <w:lvlJc w:val="left"/>
      <w:pPr>
        <w:ind w:left="1020" w:hanging="360"/>
      </w:pPr>
    </w:lvl>
  </w:abstractNum>
  <w:abstractNum w:abstractNumId="15" w15:restartNumberingAfterBreak="0">
    <w:nsid w:val="5D217A0F"/>
    <w:multiLevelType w:val="hybridMultilevel"/>
    <w:tmpl w:val="63ECD590"/>
    <w:lvl w:ilvl="0" w:tplc="FFFFFFFF">
      <w:start w:val="1"/>
      <w:numFmt w:val="decimal"/>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204308"/>
    <w:multiLevelType w:val="hybridMultilevel"/>
    <w:tmpl w:val="5BF6557E"/>
    <w:lvl w:ilvl="0" w:tplc="1CA418CE">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762E77"/>
    <w:multiLevelType w:val="hybridMultilevel"/>
    <w:tmpl w:val="1994B8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1A47F87"/>
    <w:multiLevelType w:val="hybridMultilevel"/>
    <w:tmpl w:val="DD06DC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4360951"/>
    <w:multiLevelType w:val="hybridMultilevel"/>
    <w:tmpl w:val="49FE1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6626164"/>
    <w:multiLevelType w:val="hybridMultilevel"/>
    <w:tmpl w:val="03343478"/>
    <w:lvl w:ilvl="0" w:tplc="6BF4F5DC">
      <w:start w:val="1"/>
      <w:numFmt w:val="bullet"/>
      <w:lvlText w:val=""/>
      <w:lvlJc w:val="left"/>
      <w:pPr>
        <w:ind w:left="1080" w:hanging="360"/>
      </w:pPr>
      <w:rPr>
        <w:rFonts w:ascii="Symbol" w:hAnsi="Symbol"/>
      </w:rPr>
    </w:lvl>
    <w:lvl w:ilvl="1" w:tplc="C01A24C8">
      <w:start w:val="1"/>
      <w:numFmt w:val="bullet"/>
      <w:lvlText w:val=""/>
      <w:lvlJc w:val="left"/>
      <w:pPr>
        <w:ind w:left="1080" w:hanging="360"/>
      </w:pPr>
      <w:rPr>
        <w:rFonts w:ascii="Symbol" w:hAnsi="Symbol"/>
      </w:rPr>
    </w:lvl>
    <w:lvl w:ilvl="2" w:tplc="5E38E7F2">
      <w:start w:val="1"/>
      <w:numFmt w:val="bullet"/>
      <w:lvlText w:val=""/>
      <w:lvlJc w:val="left"/>
      <w:pPr>
        <w:ind w:left="1080" w:hanging="360"/>
      </w:pPr>
      <w:rPr>
        <w:rFonts w:ascii="Symbol" w:hAnsi="Symbol"/>
      </w:rPr>
    </w:lvl>
    <w:lvl w:ilvl="3" w:tplc="D638B344">
      <w:start w:val="1"/>
      <w:numFmt w:val="bullet"/>
      <w:lvlText w:val=""/>
      <w:lvlJc w:val="left"/>
      <w:pPr>
        <w:ind w:left="1080" w:hanging="360"/>
      </w:pPr>
      <w:rPr>
        <w:rFonts w:ascii="Symbol" w:hAnsi="Symbol"/>
      </w:rPr>
    </w:lvl>
    <w:lvl w:ilvl="4" w:tplc="CF6E42C4">
      <w:start w:val="1"/>
      <w:numFmt w:val="bullet"/>
      <w:lvlText w:val=""/>
      <w:lvlJc w:val="left"/>
      <w:pPr>
        <w:ind w:left="1080" w:hanging="360"/>
      </w:pPr>
      <w:rPr>
        <w:rFonts w:ascii="Symbol" w:hAnsi="Symbol"/>
      </w:rPr>
    </w:lvl>
    <w:lvl w:ilvl="5" w:tplc="B32AC90C">
      <w:start w:val="1"/>
      <w:numFmt w:val="bullet"/>
      <w:lvlText w:val=""/>
      <w:lvlJc w:val="left"/>
      <w:pPr>
        <w:ind w:left="1080" w:hanging="360"/>
      </w:pPr>
      <w:rPr>
        <w:rFonts w:ascii="Symbol" w:hAnsi="Symbol"/>
      </w:rPr>
    </w:lvl>
    <w:lvl w:ilvl="6" w:tplc="815E764A">
      <w:start w:val="1"/>
      <w:numFmt w:val="bullet"/>
      <w:lvlText w:val=""/>
      <w:lvlJc w:val="left"/>
      <w:pPr>
        <w:ind w:left="1080" w:hanging="360"/>
      </w:pPr>
      <w:rPr>
        <w:rFonts w:ascii="Symbol" w:hAnsi="Symbol"/>
      </w:rPr>
    </w:lvl>
    <w:lvl w:ilvl="7" w:tplc="73C6FA62">
      <w:start w:val="1"/>
      <w:numFmt w:val="bullet"/>
      <w:lvlText w:val=""/>
      <w:lvlJc w:val="left"/>
      <w:pPr>
        <w:ind w:left="1080" w:hanging="360"/>
      </w:pPr>
      <w:rPr>
        <w:rFonts w:ascii="Symbol" w:hAnsi="Symbol"/>
      </w:rPr>
    </w:lvl>
    <w:lvl w:ilvl="8" w:tplc="4C1AD32E">
      <w:start w:val="1"/>
      <w:numFmt w:val="bullet"/>
      <w:lvlText w:val=""/>
      <w:lvlJc w:val="left"/>
      <w:pPr>
        <w:ind w:left="1080" w:hanging="360"/>
      </w:pPr>
      <w:rPr>
        <w:rFonts w:ascii="Symbol" w:hAnsi="Symbol"/>
      </w:rPr>
    </w:lvl>
  </w:abstractNum>
  <w:abstractNum w:abstractNumId="21" w15:restartNumberingAfterBreak="0">
    <w:nsid w:val="7F221DAA"/>
    <w:multiLevelType w:val="hybridMultilevel"/>
    <w:tmpl w:val="EC7CD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2980314">
    <w:abstractNumId w:val="16"/>
  </w:num>
  <w:num w:numId="2" w16cid:durableId="1374840369">
    <w:abstractNumId w:val="11"/>
  </w:num>
  <w:num w:numId="3" w16cid:durableId="44842587">
    <w:abstractNumId w:val="21"/>
  </w:num>
  <w:num w:numId="4" w16cid:durableId="885991978">
    <w:abstractNumId w:val="8"/>
  </w:num>
  <w:num w:numId="5" w16cid:durableId="849682219">
    <w:abstractNumId w:val="19"/>
  </w:num>
  <w:num w:numId="6" w16cid:durableId="702899573">
    <w:abstractNumId w:val="14"/>
  </w:num>
  <w:num w:numId="7" w16cid:durableId="486172646">
    <w:abstractNumId w:val="12"/>
  </w:num>
  <w:num w:numId="8" w16cid:durableId="1872456160">
    <w:abstractNumId w:val="18"/>
  </w:num>
  <w:num w:numId="9" w16cid:durableId="907500892">
    <w:abstractNumId w:val="17"/>
  </w:num>
  <w:num w:numId="10" w16cid:durableId="393092679">
    <w:abstractNumId w:val="2"/>
  </w:num>
  <w:num w:numId="11" w16cid:durableId="1141578315">
    <w:abstractNumId w:val="1"/>
  </w:num>
  <w:num w:numId="12" w16cid:durableId="743450603">
    <w:abstractNumId w:val="0"/>
  </w:num>
  <w:num w:numId="13" w16cid:durableId="931622286">
    <w:abstractNumId w:val="0"/>
  </w:num>
  <w:num w:numId="14" w16cid:durableId="1664969476">
    <w:abstractNumId w:val="10"/>
  </w:num>
  <w:num w:numId="15" w16cid:durableId="2022051808">
    <w:abstractNumId w:val="3"/>
  </w:num>
  <w:num w:numId="16" w16cid:durableId="579094811">
    <w:abstractNumId w:val="20"/>
  </w:num>
  <w:num w:numId="17" w16cid:durableId="621230291">
    <w:abstractNumId w:val="13"/>
  </w:num>
  <w:num w:numId="18" w16cid:durableId="1508593147">
    <w:abstractNumId w:val="4"/>
  </w:num>
  <w:num w:numId="19" w16cid:durableId="1523011431">
    <w:abstractNumId w:val="15"/>
  </w:num>
  <w:num w:numId="20" w16cid:durableId="88855">
    <w:abstractNumId w:val="9"/>
  </w:num>
  <w:num w:numId="21" w16cid:durableId="2099206976">
    <w:abstractNumId w:val="5"/>
  </w:num>
  <w:num w:numId="22" w16cid:durableId="854270694">
    <w:abstractNumId w:val="6"/>
  </w:num>
  <w:num w:numId="23" w16cid:durableId="830564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16"/>
    <w:rsid w:val="00002447"/>
    <w:rsid w:val="000031E3"/>
    <w:rsid w:val="00004FCC"/>
    <w:rsid w:val="000101F9"/>
    <w:rsid w:val="000164C9"/>
    <w:rsid w:val="000200C0"/>
    <w:rsid w:val="00021A72"/>
    <w:rsid w:val="00026017"/>
    <w:rsid w:val="00026B47"/>
    <w:rsid w:val="00032412"/>
    <w:rsid w:val="00040680"/>
    <w:rsid w:val="0004091F"/>
    <w:rsid w:val="000426D8"/>
    <w:rsid w:val="00044ADC"/>
    <w:rsid w:val="00045F36"/>
    <w:rsid w:val="00047858"/>
    <w:rsid w:val="00053E1F"/>
    <w:rsid w:val="0005532D"/>
    <w:rsid w:val="00060950"/>
    <w:rsid w:val="00063FED"/>
    <w:rsid w:val="00065568"/>
    <w:rsid w:val="00065758"/>
    <w:rsid w:val="00065DB2"/>
    <w:rsid w:val="00067348"/>
    <w:rsid w:val="00072D95"/>
    <w:rsid w:val="0007639D"/>
    <w:rsid w:val="00087CA3"/>
    <w:rsid w:val="00090445"/>
    <w:rsid w:val="00091145"/>
    <w:rsid w:val="00095F3A"/>
    <w:rsid w:val="000974B7"/>
    <w:rsid w:val="000976B8"/>
    <w:rsid w:val="00097A39"/>
    <w:rsid w:val="00097C35"/>
    <w:rsid w:val="000A3709"/>
    <w:rsid w:val="000A6A0C"/>
    <w:rsid w:val="000A75F3"/>
    <w:rsid w:val="000B1EA2"/>
    <w:rsid w:val="000B4003"/>
    <w:rsid w:val="000C0754"/>
    <w:rsid w:val="000C51E3"/>
    <w:rsid w:val="000C6EFF"/>
    <w:rsid w:val="000D0320"/>
    <w:rsid w:val="000D069F"/>
    <w:rsid w:val="000D67AC"/>
    <w:rsid w:val="000E775B"/>
    <w:rsid w:val="000F107E"/>
    <w:rsid w:val="000F1268"/>
    <w:rsid w:val="000F28ED"/>
    <w:rsid w:val="000F52B9"/>
    <w:rsid w:val="000F64C5"/>
    <w:rsid w:val="000F6671"/>
    <w:rsid w:val="000F69A2"/>
    <w:rsid w:val="0010169A"/>
    <w:rsid w:val="0010316C"/>
    <w:rsid w:val="00105568"/>
    <w:rsid w:val="00107391"/>
    <w:rsid w:val="001074BB"/>
    <w:rsid w:val="00107D92"/>
    <w:rsid w:val="001147D9"/>
    <w:rsid w:val="001154E8"/>
    <w:rsid w:val="00122A3C"/>
    <w:rsid w:val="0012722B"/>
    <w:rsid w:val="00127DF2"/>
    <w:rsid w:val="00131F4B"/>
    <w:rsid w:val="001341DB"/>
    <w:rsid w:val="001362D2"/>
    <w:rsid w:val="00136AB4"/>
    <w:rsid w:val="001408F9"/>
    <w:rsid w:val="00140A7B"/>
    <w:rsid w:val="00143A63"/>
    <w:rsid w:val="00144A35"/>
    <w:rsid w:val="00144A9C"/>
    <w:rsid w:val="00146A8C"/>
    <w:rsid w:val="00147AA2"/>
    <w:rsid w:val="00150CE1"/>
    <w:rsid w:val="00154164"/>
    <w:rsid w:val="00162206"/>
    <w:rsid w:val="00163C7D"/>
    <w:rsid w:val="00166B35"/>
    <w:rsid w:val="00170244"/>
    <w:rsid w:val="00172629"/>
    <w:rsid w:val="00177F4C"/>
    <w:rsid w:val="0018461D"/>
    <w:rsid w:val="00192102"/>
    <w:rsid w:val="001945BE"/>
    <w:rsid w:val="00195A4E"/>
    <w:rsid w:val="0019790D"/>
    <w:rsid w:val="00197C06"/>
    <w:rsid w:val="001A35D7"/>
    <w:rsid w:val="001A4817"/>
    <w:rsid w:val="001A7057"/>
    <w:rsid w:val="001A7B73"/>
    <w:rsid w:val="001B3A57"/>
    <w:rsid w:val="001B4CCD"/>
    <w:rsid w:val="001B6B73"/>
    <w:rsid w:val="001C48FA"/>
    <w:rsid w:val="001C4FBE"/>
    <w:rsid w:val="001C5FBB"/>
    <w:rsid w:val="001C675C"/>
    <w:rsid w:val="001C74EE"/>
    <w:rsid w:val="001D1704"/>
    <w:rsid w:val="001D7225"/>
    <w:rsid w:val="001D7D82"/>
    <w:rsid w:val="001D7EF3"/>
    <w:rsid w:val="001E0C8E"/>
    <w:rsid w:val="001E2493"/>
    <w:rsid w:val="001E26D8"/>
    <w:rsid w:val="001F0300"/>
    <w:rsid w:val="001F0E9E"/>
    <w:rsid w:val="001F37A7"/>
    <w:rsid w:val="002015D6"/>
    <w:rsid w:val="002042A3"/>
    <w:rsid w:val="0020560C"/>
    <w:rsid w:val="002071B1"/>
    <w:rsid w:val="00207649"/>
    <w:rsid w:val="00210121"/>
    <w:rsid w:val="00210138"/>
    <w:rsid w:val="0021098B"/>
    <w:rsid w:val="00213475"/>
    <w:rsid w:val="00213703"/>
    <w:rsid w:val="002145A0"/>
    <w:rsid w:val="00220AA2"/>
    <w:rsid w:val="00225BF8"/>
    <w:rsid w:val="00226ED6"/>
    <w:rsid w:val="00230E96"/>
    <w:rsid w:val="00232724"/>
    <w:rsid w:val="002358D9"/>
    <w:rsid w:val="00242384"/>
    <w:rsid w:val="00246718"/>
    <w:rsid w:val="00246F5B"/>
    <w:rsid w:val="00250C52"/>
    <w:rsid w:val="00254636"/>
    <w:rsid w:val="00257626"/>
    <w:rsid w:val="00260585"/>
    <w:rsid w:val="00260CF5"/>
    <w:rsid w:val="00263691"/>
    <w:rsid w:val="0026443F"/>
    <w:rsid w:val="00264520"/>
    <w:rsid w:val="0027110F"/>
    <w:rsid w:val="002716B4"/>
    <w:rsid w:val="002746B5"/>
    <w:rsid w:val="00276FDA"/>
    <w:rsid w:val="00281A85"/>
    <w:rsid w:val="002822A2"/>
    <w:rsid w:val="00293350"/>
    <w:rsid w:val="00294378"/>
    <w:rsid w:val="002A163E"/>
    <w:rsid w:val="002A32C5"/>
    <w:rsid w:val="002A43CE"/>
    <w:rsid w:val="002A4560"/>
    <w:rsid w:val="002A582B"/>
    <w:rsid w:val="002B0C82"/>
    <w:rsid w:val="002B1EDF"/>
    <w:rsid w:val="002B299E"/>
    <w:rsid w:val="002B60C8"/>
    <w:rsid w:val="002B75D3"/>
    <w:rsid w:val="002C0D45"/>
    <w:rsid w:val="002C56C9"/>
    <w:rsid w:val="002D3C1A"/>
    <w:rsid w:val="002D3F23"/>
    <w:rsid w:val="002D4D19"/>
    <w:rsid w:val="002D798B"/>
    <w:rsid w:val="002F4501"/>
    <w:rsid w:val="002F4C30"/>
    <w:rsid w:val="002F510D"/>
    <w:rsid w:val="002F5887"/>
    <w:rsid w:val="002F6115"/>
    <w:rsid w:val="002F7B82"/>
    <w:rsid w:val="003026D8"/>
    <w:rsid w:val="00304A68"/>
    <w:rsid w:val="00310AC4"/>
    <w:rsid w:val="00311289"/>
    <w:rsid w:val="00314275"/>
    <w:rsid w:val="003143E2"/>
    <w:rsid w:val="003166F3"/>
    <w:rsid w:val="00322771"/>
    <w:rsid w:val="0032565C"/>
    <w:rsid w:val="00326004"/>
    <w:rsid w:val="00331786"/>
    <w:rsid w:val="00333F34"/>
    <w:rsid w:val="00335C36"/>
    <w:rsid w:val="00337E01"/>
    <w:rsid w:val="0034035E"/>
    <w:rsid w:val="00340D9F"/>
    <w:rsid w:val="00341CED"/>
    <w:rsid w:val="00343819"/>
    <w:rsid w:val="00343CFC"/>
    <w:rsid w:val="0034614B"/>
    <w:rsid w:val="003550DD"/>
    <w:rsid w:val="00360749"/>
    <w:rsid w:val="003852D9"/>
    <w:rsid w:val="00386E05"/>
    <w:rsid w:val="0039114B"/>
    <w:rsid w:val="00391D83"/>
    <w:rsid w:val="00391EE6"/>
    <w:rsid w:val="0039393C"/>
    <w:rsid w:val="0039630F"/>
    <w:rsid w:val="00397D70"/>
    <w:rsid w:val="003A0348"/>
    <w:rsid w:val="003A38C2"/>
    <w:rsid w:val="003A679B"/>
    <w:rsid w:val="003B27ED"/>
    <w:rsid w:val="003B510B"/>
    <w:rsid w:val="003B5617"/>
    <w:rsid w:val="003B6414"/>
    <w:rsid w:val="003B6F87"/>
    <w:rsid w:val="003B73D6"/>
    <w:rsid w:val="003C1A0D"/>
    <w:rsid w:val="003C517E"/>
    <w:rsid w:val="003C546F"/>
    <w:rsid w:val="003C5DB3"/>
    <w:rsid w:val="003D0015"/>
    <w:rsid w:val="003D71C5"/>
    <w:rsid w:val="003E352F"/>
    <w:rsid w:val="003E510B"/>
    <w:rsid w:val="003E5AEA"/>
    <w:rsid w:val="003E6023"/>
    <w:rsid w:val="003E6642"/>
    <w:rsid w:val="003E6907"/>
    <w:rsid w:val="003F517B"/>
    <w:rsid w:val="003F5D87"/>
    <w:rsid w:val="003F5F07"/>
    <w:rsid w:val="003F75C0"/>
    <w:rsid w:val="00400D92"/>
    <w:rsid w:val="004062F4"/>
    <w:rsid w:val="004112DC"/>
    <w:rsid w:val="004166C2"/>
    <w:rsid w:val="00422B9B"/>
    <w:rsid w:val="004368E8"/>
    <w:rsid w:val="00440626"/>
    <w:rsid w:val="00442589"/>
    <w:rsid w:val="00442CD9"/>
    <w:rsid w:val="0044328E"/>
    <w:rsid w:val="0044504C"/>
    <w:rsid w:val="004523E0"/>
    <w:rsid w:val="00456C3C"/>
    <w:rsid w:val="00463DA1"/>
    <w:rsid w:val="0046487E"/>
    <w:rsid w:val="00464DC6"/>
    <w:rsid w:val="004723A3"/>
    <w:rsid w:val="0048464D"/>
    <w:rsid w:val="00485F60"/>
    <w:rsid w:val="004907F3"/>
    <w:rsid w:val="00490B84"/>
    <w:rsid w:val="00497876"/>
    <w:rsid w:val="004A3B9E"/>
    <w:rsid w:val="004A65D9"/>
    <w:rsid w:val="004A7DDF"/>
    <w:rsid w:val="004B0690"/>
    <w:rsid w:val="004B06F8"/>
    <w:rsid w:val="004B3B4E"/>
    <w:rsid w:val="004B517B"/>
    <w:rsid w:val="004B6113"/>
    <w:rsid w:val="004B7741"/>
    <w:rsid w:val="004C38BF"/>
    <w:rsid w:val="004C64D5"/>
    <w:rsid w:val="004D1389"/>
    <w:rsid w:val="004D15ED"/>
    <w:rsid w:val="004D17E7"/>
    <w:rsid w:val="004D3574"/>
    <w:rsid w:val="004D3CB6"/>
    <w:rsid w:val="004D4176"/>
    <w:rsid w:val="004E3606"/>
    <w:rsid w:val="004E3C0C"/>
    <w:rsid w:val="004F0079"/>
    <w:rsid w:val="004F0F50"/>
    <w:rsid w:val="004F6D2A"/>
    <w:rsid w:val="0050176A"/>
    <w:rsid w:val="00503EBD"/>
    <w:rsid w:val="005051E9"/>
    <w:rsid w:val="005078AC"/>
    <w:rsid w:val="00510AF3"/>
    <w:rsid w:val="00511F2A"/>
    <w:rsid w:val="00514982"/>
    <w:rsid w:val="005168A6"/>
    <w:rsid w:val="00522A7F"/>
    <w:rsid w:val="00524FC0"/>
    <w:rsid w:val="005252FA"/>
    <w:rsid w:val="00526B6F"/>
    <w:rsid w:val="00526C8A"/>
    <w:rsid w:val="00527A60"/>
    <w:rsid w:val="00531D8C"/>
    <w:rsid w:val="00533112"/>
    <w:rsid w:val="00533834"/>
    <w:rsid w:val="005369D5"/>
    <w:rsid w:val="00537438"/>
    <w:rsid w:val="0054256A"/>
    <w:rsid w:val="0054270A"/>
    <w:rsid w:val="00546F49"/>
    <w:rsid w:val="00547926"/>
    <w:rsid w:val="00551650"/>
    <w:rsid w:val="00551A83"/>
    <w:rsid w:val="005529B4"/>
    <w:rsid w:val="00552BAF"/>
    <w:rsid w:val="00553028"/>
    <w:rsid w:val="00557286"/>
    <w:rsid w:val="005609CF"/>
    <w:rsid w:val="00564FFA"/>
    <w:rsid w:val="00565D3B"/>
    <w:rsid w:val="00570B69"/>
    <w:rsid w:val="00570BF1"/>
    <w:rsid w:val="005712EB"/>
    <w:rsid w:val="0057368D"/>
    <w:rsid w:val="0057406E"/>
    <w:rsid w:val="00575BDC"/>
    <w:rsid w:val="00576836"/>
    <w:rsid w:val="00582F93"/>
    <w:rsid w:val="00585841"/>
    <w:rsid w:val="00585C3B"/>
    <w:rsid w:val="005904A7"/>
    <w:rsid w:val="00590895"/>
    <w:rsid w:val="00593EAF"/>
    <w:rsid w:val="005A1A36"/>
    <w:rsid w:val="005A27B5"/>
    <w:rsid w:val="005B6EDE"/>
    <w:rsid w:val="005C0519"/>
    <w:rsid w:val="005C0D7C"/>
    <w:rsid w:val="005C238C"/>
    <w:rsid w:val="005C2BFA"/>
    <w:rsid w:val="005C2E68"/>
    <w:rsid w:val="005C3ED5"/>
    <w:rsid w:val="005C6866"/>
    <w:rsid w:val="005C6E3B"/>
    <w:rsid w:val="005D45B0"/>
    <w:rsid w:val="005D6B39"/>
    <w:rsid w:val="005D755E"/>
    <w:rsid w:val="005E0005"/>
    <w:rsid w:val="005E0D94"/>
    <w:rsid w:val="005E3273"/>
    <w:rsid w:val="005E3B09"/>
    <w:rsid w:val="005E5276"/>
    <w:rsid w:val="005F7CEB"/>
    <w:rsid w:val="00600732"/>
    <w:rsid w:val="00600F90"/>
    <w:rsid w:val="00601C78"/>
    <w:rsid w:val="00607320"/>
    <w:rsid w:val="00607B53"/>
    <w:rsid w:val="006132D4"/>
    <w:rsid w:val="006147BE"/>
    <w:rsid w:val="006157D3"/>
    <w:rsid w:val="006213EA"/>
    <w:rsid w:val="00623423"/>
    <w:rsid w:val="00625855"/>
    <w:rsid w:val="00626CA5"/>
    <w:rsid w:val="0063167D"/>
    <w:rsid w:val="00632760"/>
    <w:rsid w:val="006338CF"/>
    <w:rsid w:val="00633BF3"/>
    <w:rsid w:val="006364C0"/>
    <w:rsid w:val="006366AD"/>
    <w:rsid w:val="00637AA9"/>
    <w:rsid w:val="0064088A"/>
    <w:rsid w:val="00647D9F"/>
    <w:rsid w:val="00650F5B"/>
    <w:rsid w:val="006616F8"/>
    <w:rsid w:val="00662514"/>
    <w:rsid w:val="00662791"/>
    <w:rsid w:val="0066411C"/>
    <w:rsid w:val="00664A80"/>
    <w:rsid w:val="00667B4C"/>
    <w:rsid w:val="0067083E"/>
    <w:rsid w:val="00675BA8"/>
    <w:rsid w:val="006830AC"/>
    <w:rsid w:val="006831F9"/>
    <w:rsid w:val="00691D83"/>
    <w:rsid w:val="00692A2A"/>
    <w:rsid w:val="00695B32"/>
    <w:rsid w:val="006A303B"/>
    <w:rsid w:val="006A5718"/>
    <w:rsid w:val="006B0DC2"/>
    <w:rsid w:val="006B5FD3"/>
    <w:rsid w:val="006B652E"/>
    <w:rsid w:val="006B7BA3"/>
    <w:rsid w:val="006C2082"/>
    <w:rsid w:val="006C3632"/>
    <w:rsid w:val="006C5997"/>
    <w:rsid w:val="006C7138"/>
    <w:rsid w:val="006D14D8"/>
    <w:rsid w:val="006D34F3"/>
    <w:rsid w:val="006D36B1"/>
    <w:rsid w:val="006D4B98"/>
    <w:rsid w:val="006D5611"/>
    <w:rsid w:val="006D57AC"/>
    <w:rsid w:val="006E55A8"/>
    <w:rsid w:val="006E7C99"/>
    <w:rsid w:val="006F124F"/>
    <w:rsid w:val="006F3613"/>
    <w:rsid w:val="006F3AA8"/>
    <w:rsid w:val="006F4999"/>
    <w:rsid w:val="00700EB0"/>
    <w:rsid w:val="00701D27"/>
    <w:rsid w:val="007024E2"/>
    <w:rsid w:val="00703964"/>
    <w:rsid w:val="00705568"/>
    <w:rsid w:val="007071A7"/>
    <w:rsid w:val="0070741B"/>
    <w:rsid w:val="0071215B"/>
    <w:rsid w:val="007123A5"/>
    <w:rsid w:val="00712D2D"/>
    <w:rsid w:val="0071318D"/>
    <w:rsid w:val="0071453C"/>
    <w:rsid w:val="00714863"/>
    <w:rsid w:val="00722336"/>
    <w:rsid w:val="00726B7C"/>
    <w:rsid w:val="007279A8"/>
    <w:rsid w:val="00730682"/>
    <w:rsid w:val="007306BB"/>
    <w:rsid w:val="00731421"/>
    <w:rsid w:val="00733721"/>
    <w:rsid w:val="00735DAA"/>
    <w:rsid w:val="00760E4A"/>
    <w:rsid w:val="007678FF"/>
    <w:rsid w:val="0077354D"/>
    <w:rsid w:val="0077370F"/>
    <w:rsid w:val="007765F1"/>
    <w:rsid w:val="00777381"/>
    <w:rsid w:val="00781252"/>
    <w:rsid w:val="0078206A"/>
    <w:rsid w:val="00783941"/>
    <w:rsid w:val="007845F4"/>
    <w:rsid w:val="007849CA"/>
    <w:rsid w:val="007868C5"/>
    <w:rsid w:val="00786BB1"/>
    <w:rsid w:val="007924AB"/>
    <w:rsid w:val="00794CB8"/>
    <w:rsid w:val="007960B5"/>
    <w:rsid w:val="007A1A1F"/>
    <w:rsid w:val="007B4403"/>
    <w:rsid w:val="007B4AC4"/>
    <w:rsid w:val="007B73DA"/>
    <w:rsid w:val="007B75C6"/>
    <w:rsid w:val="007C2753"/>
    <w:rsid w:val="007C35AC"/>
    <w:rsid w:val="007C3B52"/>
    <w:rsid w:val="007C52B6"/>
    <w:rsid w:val="007D174E"/>
    <w:rsid w:val="007D3542"/>
    <w:rsid w:val="007D390A"/>
    <w:rsid w:val="007D3C98"/>
    <w:rsid w:val="007D4E6C"/>
    <w:rsid w:val="007E1EDA"/>
    <w:rsid w:val="007E376E"/>
    <w:rsid w:val="007E5D9C"/>
    <w:rsid w:val="007E608F"/>
    <w:rsid w:val="007F049F"/>
    <w:rsid w:val="007F053B"/>
    <w:rsid w:val="007F3856"/>
    <w:rsid w:val="007F3C15"/>
    <w:rsid w:val="007F515B"/>
    <w:rsid w:val="007F7CF1"/>
    <w:rsid w:val="007F7E14"/>
    <w:rsid w:val="00800F99"/>
    <w:rsid w:val="0080161C"/>
    <w:rsid w:val="00801B7B"/>
    <w:rsid w:val="008022CB"/>
    <w:rsid w:val="008024E9"/>
    <w:rsid w:val="00804409"/>
    <w:rsid w:val="00821D97"/>
    <w:rsid w:val="008229AE"/>
    <w:rsid w:val="008258EC"/>
    <w:rsid w:val="008305EC"/>
    <w:rsid w:val="0083122F"/>
    <w:rsid w:val="00832A74"/>
    <w:rsid w:val="00832E3E"/>
    <w:rsid w:val="0083470F"/>
    <w:rsid w:val="00834D06"/>
    <w:rsid w:val="00837D5E"/>
    <w:rsid w:val="00841B04"/>
    <w:rsid w:val="00842716"/>
    <w:rsid w:val="00845815"/>
    <w:rsid w:val="00846672"/>
    <w:rsid w:val="00847D79"/>
    <w:rsid w:val="008546BC"/>
    <w:rsid w:val="008600F9"/>
    <w:rsid w:val="00860179"/>
    <w:rsid w:val="00860B6C"/>
    <w:rsid w:val="00861E58"/>
    <w:rsid w:val="008704A7"/>
    <w:rsid w:val="008708AD"/>
    <w:rsid w:val="008753BC"/>
    <w:rsid w:val="00875BD9"/>
    <w:rsid w:val="00876327"/>
    <w:rsid w:val="00883320"/>
    <w:rsid w:val="0089065B"/>
    <w:rsid w:val="008907DD"/>
    <w:rsid w:val="008A4D6B"/>
    <w:rsid w:val="008A6591"/>
    <w:rsid w:val="008B277D"/>
    <w:rsid w:val="008B4164"/>
    <w:rsid w:val="008B4D31"/>
    <w:rsid w:val="008B52AB"/>
    <w:rsid w:val="008B55EE"/>
    <w:rsid w:val="008B5698"/>
    <w:rsid w:val="008B595E"/>
    <w:rsid w:val="008C179A"/>
    <w:rsid w:val="008C2CB4"/>
    <w:rsid w:val="008C2FA3"/>
    <w:rsid w:val="008C48E7"/>
    <w:rsid w:val="008C4DB2"/>
    <w:rsid w:val="008C7181"/>
    <w:rsid w:val="008D10DA"/>
    <w:rsid w:val="008D26AF"/>
    <w:rsid w:val="008D2FCE"/>
    <w:rsid w:val="008D61FD"/>
    <w:rsid w:val="008D7E35"/>
    <w:rsid w:val="008E5326"/>
    <w:rsid w:val="008E55BA"/>
    <w:rsid w:val="008E5EFD"/>
    <w:rsid w:val="008E705F"/>
    <w:rsid w:val="008E7ACB"/>
    <w:rsid w:val="008E7B3F"/>
    <w:rsid w:val="008F0A2B"/>
    <w:rsid w:val="008F13CE"/>
    <w:rsid w:val="008F2016"/>
    <w:rsid w:val="008F23F1"/>
    <w:rsid w:val="008F3A9C"/>
    <w:rsid w:val="008F3FD0"/>
    <w:rsid w:val="008F41DB"/>
    <w:rsid w:val="008F5B48"/>
    <w:rsid w:val="008F5E74"/>
    <w:rsid w:val="00903468"/>
    <w:rsid w:val="009041C7"/>
    <w:rsid w:val="00907439"/>
    <w:rsid w:val="00907AF6"/>
    <w:rsid w:val="00907F8C"/>
    <w:rsid w:val="00911174"/>
    <w:rsid w:val="0091469F"/>
    <w:rsid w:val="0093278A"/>
    <w:rsid w:val="009334B0"/>
    <w:rsid w:val="009352FE"/>
    <w:rsid w:val="0094096E"/>
    <w:rsid w:val="00940E4E"/>
    <w:rsid w:val="00943B47"/>
    <w:rsid w:val="0094407D"/>
    <w:rsid w:val="009457E9"/>
    <w:rsid w:val="0095236D"/>
    <w:rsid w:val="009539E7"/>
    <w:rsid w:val="009543FD"/>
    <w:rsid w:val="00954F0C"/>
    <w:rsid w:val="009576C2"/>
    <w:rsid w:val="00957EB0"/>
    <w:rsid w:val="009611F2"/>
    <w:rsid w:val="009625A4"/>
    <w:rsid w:val="0096421D"/>
    <w:rsid w:val="00965F5F"/>
    <w:rsid w:val="009674C1"/>
    <w:rsid w:val="00970DEC"/>
    <w:rsid w:val="00972D90"/>
    <w:rsid w:val="00973B80"/>
    <w:rsid w:val="009749BB"/>
    <w:rsid w:val="00974D1D"/>
    <w:rsid w:val="00975CFF"/>
    <w:rsid w:val="00976946"/>
    <w:rsid w:val="009911B2"/>
    <w:rsid w:val="00996E44"/>
    <w:rsid w:val="009975DF"/>
    <w:rsid w:val="009979D3"/>
    <w:rsid w:val="009A326D"/>
    <w:rsid w:val="009A3B1D"/>
    <w:rsid w:val="009A40C7"/>
    <w:rsid w:val="009A48D2"/>
    <w:rsid w:val="009A5115"/>
    <w:rsid w:val="009A68C4"/>
    <w:rsid w:val="009B07D2"/>
    <w:rsid w:val="009B3A3C"/>
    <w:rsid w:val="009B693F"/>
    <w:rsid w:val="009C0345"/>
    <w:rsid w:val="009C235D"/>
    <w:rsid w:val="009C61D2"/>
    <w:rsid w:val="009D1288"/>
    <w:rsid w:val="009D1E99"/>
    <w:rsid w:val="009E014E"/>
    <w:rsid w:val="009E28D5"/>
    <w:rsid w:val="009E37B6"/>
    <w:rsid w:val="009E4372"/>
    <w:rsid w:val="009E6A61"/>
    <w:rsid w:val="009F0AAB"/>
    <w:rsid w:val="009F10C8"/>
    <w:rsid w:val="009F4276"/>
    <w:rsid w:val="009F5EF5"/>
    <w:rsid w:val="009F6031"/>
    <w:rsid w:val="009F78C8"/>
    <w:rsid w:val="00A059B9"/>
    <w:rsid w:val="00A10A74"/>
    <w:rsid w:val="00A13D3C"/>
    <w:rsid w:val="00A16412"/>
    <w:rsid w:val="00A2109B"/>
    <w:rsid w:val="00A23F51"/>
    <w:rsid w:val="00A24D1C"/>
    <w:rsid w:val="00A24F67"/>
    <w:rsid w:val="00A259E6"/>
    <w:rsid w:val="00A32CBB"/>
    <w:rsid w:val="00A41107"/>
    <w:rsid w:val="00A41B34"/>
    <w:rsid w:val="00A43FDE"/>
    <w:rsid w:val="00A46F3B"/>
    <w:rsid w:val="00A559C0"/>
    <w:rsid w:val="00A60B5C"/>
    <w:rsid w:val="00A64467"/>
    <w:rsid w:val="00A6482B"/>
    <w:rsid w:val="00A7404C"/>
    <w:rsid w:val="00A7441B"/>
    <w:rsid w:val="00A77C9B"/>
    <w:rsid w:val="00A92F03"/>
    <w:rsid w:val="00AA73A9"/>
    <w:rsid w:val="00AB382E"/>
    <w:rsid w:val="00AB3DFB"/>
    <w:rsid w:val="00AB7904"/>
    <w:rsid w:val="00AC1CF1"/>
    <w:rsid w:val="00AC3824"/>
    <w:rsid w:val="00AC3FB5"/>
    <w:rsid w:val="00AC4989"/>
    <w:rsid w:val="00AC6EC7"/>
    <w:rsid w:val="00AC7AA9"/>
    <w:rsid w:val="00AE192C"/>
    <w:rsid w:val="00AE5DBA"/>
    <w:rsid w:val="00AE689A"/>
    <w:rsid w:val="00AE734C"/>
    <w:rsid w:val="00AE7F30"/>
    <w:rsid w:val="00AF275A"/>
    <w:rsid w:val="00AF31A3"/>
    <w:rsid w:val="00AF36B9"/>
    <w:rsid w:val="00B06951"/>
    <w:rsid w:val="00B06AFE"/>
    <w:rsid w:val="00B12427"/>
    <w:rsid w:val="00B179D9"/>
    <w:rsid w:val="00B22EA4"/>
    <w:rsid w:val="00B23CB8"/>
    <w:rsid w:val="00B24642"/>
    <w:rsid w:val="00B3194C"/>
    <w:rsid w:val="00B331BE"/>
    <w:rsid w:val="00B331CA"/>
    <w:rsid w:val="00B3374E"/>
    <w:rsid w:val="00B34B7E"/>
    <w:rsid w:val="00B37068"/>
    <w:rsid w:val="00B37F69"/>
    <w:rsid w:val="00B46C00"/>
    <w:rsid w:val="00B53BF5"/>
    <w:rsid w:val="00B6118B"/>
    <w:rsid w:val="00B63464"/>
    <w:rsid w:val="00B67AFA"/>
    <w:rsid w:val="00B70D02"/>
    <w:rsid w:val="00B77F82"/>
    <w:rsid w:val="00B801E2"/>
    <w:rsid w:val="00B80F79"/>
    <w:rsid w:val="00B83B10"/>
    <w:rsid w:val="00B8511D"/>
    <w:rsid w:val="00B86052"/>
    <w:rsid w:val="00B95677"/>
    <w:rsid w:val="00B957A4"/>
    <w:rsid w:val="00B97E5A"/>
    <w:rsid w:val="00BA195F"/>
    <w:rsid w:val="00BA693B"/>
    <w:rsid w:val="00BA6963"/>
    <w:rsid w:val="00BA718D"/>
    <w:rsid w:val="00BB3D06"/>
    <w:rsid w:val="00BB7F3C"/>
    <w:rsid w:val="00BC043D"/>
    <w:rsid w:val="00BC1BC8"/>
    <w:rsid w:val="00BC2E86"/>
    <w:rsid w:val="00BC3102"/>
    <w:rsid w:val="00BC3A3F"/>
    <w:rsid w:val="00BC563D"/>
    <w:rsid w:val="00BC5738"/>
    <w:rsid w:val="00BD105D"/>
    <w:rsid w:val="00BD6B31"/>
    <w:rsid w:val="00BD79A1"/>
    <w:rsid w:val="00BE363B"/>
    <w:rsid w:val="00BE37D0"/>
    <w:rsid w:val="00BE63F7"/>
    <w:rsid w:val="00BF1C76"/>
    <w:rsid w:val="00BF26B6"/>
    <w:rsid w:val="00BF5613"/>
    <w:rsid w:val="00BF78E4"/>
    <w:rsid w:val="00C03794"/>
    <w:rsid w:val="00C04158"/>
    <w:rsid w:val="00C061B9"/>
    <w:rsid w:val="00C07FC5"/>
    <w:rsid w:val="00C109BC"/>
    <w:rsid w:val="00C118FD"/>
    <w:rsid w:val="00C1362D"/>
    <w:rsid w:val="00C14721"/>
    <w:rsid w:val="00C22243"/>
    <w:rsid w:val="00C24DCC"/>
    <w:rsid w:val="00C260B6"/>
    <w:rsid w:val="00C3012A"/>
    <w:rsid w:val="00C33DA7"/>
    <w:rsid w:val="00C36A7F"/>
    <w:rsid w:val="00C36B89"/>
    <w:rsid w:val="00C42E21"/>
    <w:rsid w:val="00C54751"/>
    <w:rsid w:val="00C549B1"/>
    <w:rsid w:val="00C617DA"/>
    <w:rsid w:val="00C64EC6"/>
    <w:rsid w:val="00C675A4"/>
    <w:rsid w:val="00C67B8D"/>
    <w:rsid w:val="00C70345"/>
    <w:rsid w:val="00C716D1"/>
    <w:rsid w:val="00C71C46"/>
    <w:rsid w:val="00C72112"/>
    <w:rsid w:val="00C7222A"/>
    <w:rsid w:val="00C75C06"/>
    <w:rsid w:val="00C75C9E"/>
    <w:rsid w:val="00C77BF4"/>
    <w:rsid w:val="00C80DDA"/>
    <w:rsid w:val="00C8132E"/>
    <w:rsid w:val="00C8167B"/>
    <w:rsid w:val="00C81CDB"/>
    <w:rsid w:val="00C82895"/>
    <w:rsid w:val="00C913A1"/>
    <w:rsid w:val="00C943AF"/>
    <w:rsid w:val="00C95E5B"/>
    <w:rsid w:val="00C966FE"/>
    <w:rsid w:val="00C96CDF"/>
    <w:rsid w:val="00C97C99"/>
    <w:rsid w:val="00CA0741"/>
    <w:rsid w:val="00CA0FB8"/>
    <w:rsid w:val="00CA255F"/>
    <w:rsid w:val="00CA6FD2"/>
    <w:rsid w:val="00CB1529"/>
    <w:rsid w:val="00CB1884"/>
    <w:rsid w:val="00CB3C11"/>
    <w:rsid w:val="00CB4234"/>
    <w:rsid w:val="00CB46DF"/>
    <w:rsid w:val="00CB4DCC"/>
    <w:rsid w:val="00CB79B1"/>
    <w:rsid w:val="00CB7B1D"/>
    <w:rsid w:val="00CC3E3F"/>
    <w:rsid w:val="00CC67D1"/>
    <w:rsid w:val="00CD4834"/>
    <w:rsid w:val="00CF159E"/>
    <w:rsid w:val="00CF6015"/>
    <w:rsid w:val="00CF7D82"/>
    <w:rsid w:val="00D0090D"/>
    <w:rsid w:val="00D02145"/>
    <w:rsid w:val="00D036FB"/>
    <w:rsid w:val="00D03F8B"/>
    <w:rsid w:val="00D04B69"/>
    <w:rsid w:val="00D05202"/>
    <w:rsid w:val="00D11C08"/>
    <w:rsid w:val="00D15457"/>
    <w:rsid w:val="00D159E0"/>
    <w:rsid w:val="00D17125"/>
    <w:rsid w:val="00D17242"/>
    <w:rsid w:val="00D217EE"/>
    <w:rsid w:val="00D21C75"/>
    <w:rsid w:val="00D26BC3"/>
    <w:rsid w:val="00D27521"/>
    <w:rsid w:val="00D32310"/>
    <w:rsid w:val="00D3250C"/>
    <w:rsid w:val="00D32D46"/>
    <w:rsid w:val="00D3571E"/>
    <w:rsid w:val="00D4373D"/>
    <w:rsid w:val="00D449DD"/>
    <w:rsid w:val="00D46B6D"/>
    <w:rsid w:val="00D47E3D"/>
    <w:rsid w:val="00D52CC4"/>
    <w:rsid w:val="00D56B5D"/>
    <w:rsid w:val="00D56E81"/>
    <w:rsid w:val="00D66E13"/>
    <w:rsid w:val="00D675F1"/>
    <w:rsid w:val="00D70B53"/>
    <w:rsid w:val="00D717E0"/>
    <w:rsid w:val="00D71E34"/>
    <w:rsid w:val="00D73020"/>
    <w:rsid w:val="00D76454"/>
    <w:rsid w:val="00D779BD"/>
    <w:rsid w:val="00D80395"/>
    <w:rsid w:val="00D845C8"/>
    <w:rsid w:val="00D90CA4"/>
    <w:rsid w:val="00D91ED0"/>
    <w:rsid w:val="00D936AD"/>
    <w:rsid w:val="00D96CF7"/>
    <w:rsid w:val="00D97380"/>
    <w:rsid w:val="00DA170B"/>
    <w:rsid w:val="00DA1C39"/>
    <w:rsid w:val="00DB0399"/>
    <w:rsid w:val="00DB05AA"/>
    <w:rsid w:val="00DB4B84"/>
    <w:rsid w:val="00DC0ACA"/>
    <w:rsid w:val="00DC29E0"/>
    <w:rsid w:val="00DC42D8"/>
    <w:rsid w:val="00DC67F7"/>
    <w:rsid w:val="00DC68CC"/>
    <w:rsid w:val="00DD3532"/>
    <w:rsid w:val="00DE132F"/>
    <w:rsid w:val="00DE1BA0"/>
    <w:rsid w:val="00DE2339"/>
    <w:rsid w:val="00DE5E78"/>
    <w:rsid w:val="00DE6F9B"/>
    <w:rsid w:val="00DF20F8"/>
    <w:rsid w:val="00DF390E"/>
    <w:rsid w:val="00E000D8"/>
    <w:rsid w:val="00E00EF3"/>
    <w:rsid w:val="00E03591"/>
    <w:rsid w:val="00E047A6"/>
    <w:rsid w:val="00E07CBE"/>
    <w:rsid w:val="00E103FD"/>
    <w:rsid w:val="00E11B6C"/>
    <w:rsid w:val="00E124B3"/>
    <w:rsid w:val="00E1393A"/>
    <w:rsid w:val="00E14A91"/>
    <w:rsid w:val="00E15328"/>
    <w:rsid w:val="00E15356"/>
    <w:rsid w:val="00E1636E"/>
    <w:rsid w:val="00E17FB1"/>
    <w:rsid w:val="00E2138E"/>
    <w:rsid w:val="00E318F5"/>
    <w:rsid w:val="00E348A9"/>
    <w:rsid w:val="00E36983"/>
    <w:rsid w:val="00E40A27"/>
    <w:rsid w:val="00E4481D"/>
    <w:rsid w:val="00E45D82"/>
    <w:rsid w:val="00E46B53"/>
    <w:rsid w:val="00E4792D"/>
    <w:rsid w:val="00E47C1D"/>
    <w:rsid w:val="00E5205B"/>
    <w:rsid w:val="00E542B7"/>
    <w:rsid w:val="00E54AC1"/>
    <w:rsid w:val="00E5528F"/>
    <w:rsid w:val="00E55738"/>
    <w:rsid w:val="00E5636D"/>
    <w:rsid w:val="00E60360"/>
    <w:rsid w:val="00E60582"/>
    <w:rsid w:val="00E605E2"/>
    <w:rsid w:val="00E62174"/>
    <w:rsid w:val="00E63693"/>
    <w:rsid w:val="00E71585"/>
    <w:rsid w:val="00E74BC7"/>
    <w:rsid w:val="00E757B0"/>
    <w:rsid w:val="00E77EC6"/>
    <w:rsid w:val="00E813BB"/>
    <w:rsid w:val="00E82B1F"/>
    <w:rsid w:val="00E8643C"/>
    <w:rsid w:val="00E95523"/>
    <w:rsid w:val="00EA2A4C"/>
    <w:rsid w:val="00EA4BCB"/>
    <w:rsid w:val="00EA7F71"/>
    <w:rsid w:val="00EB13A8"/>
    <w:rsid w:val="00EB41BC"/>
    <w:rsid w:val="00EB613F"/>
    <w:rsid w:val="00EC27E3"/>
    <w:rsid w:val="00EC5878"/>
    <w:rsid w:val="00ED1B48"/>
    <w:rsid w:val="00ED4A8C"/>
    <w:rsid w:val="00ED4C6F"/>
    <w:rsid w:val="00ED6E1F"/>
    <w:rsid w:val="00EE1482"/>
    <w:rsid w:val="00EE5E11"/>
    <w:rsid w:val="00EE7CB9"/>
    <w:rsid w:val="00EF1A84"/>
    <w:rsid w:val="00EF28BE"/>
    <w:rsid w:val="00EF3AFE"/>
    <w:rsid w:val="00F00D53"/>
    <w:rsid w:val="00F02D31"/>
    <w:rsid w:val="00F03AE7"/>
    <w:rsid w:val="00F05C3E"/>
    <w:rsid w:val="00F06EC8"/>
    <w:rsid w:val="00F10557"/>
    <w:rsid w:val="00F122C6"/>
    <w:rsid w:val="00F171AD"/>
    <w:rsid w:val="00F23266"/>
    <w:rsid w:val="00F24424"/>
    <w:rsid w:val="00F251FE"/>
    <w:rsid w:val="00F3600B"/>
    <w:rsid w:val="00F37CB4"/>
    <w:rsid w:val="00F37ECA"/>
    <w:rsid w:val="00F45506"/>
    <w:rsid w:val="00F45B09"/>
    <w:rsid w:val="00F55A7B"/>
    <w:rsid w:val="00F56EAB"/>
    <w:rsid w:val="00F56FEF"/>
    <w:rsid w:val="00F6216C"/>
    <w:rsid w:val="00F65734"/>
    <w:rsid w:val="00F72850"/>
    <w:rsid w:val="00F81AC1"/>
    <w:rsid w:val="00F83821"/>
    <w:rsid w:val="00F86308"/>
    <w:rsid w:val="00F90F1F"/>
    <w:rsid w:val="00F91652"/>
    <w:rsid w:val="00F95EEF"/>
    <w:rsid w:val="00F97E21"/>
    <w:rsid w:val="00FA06C7"/>
    <w:rsid w:val="00FA4FFB"/>
    <w:rsid w:val="00FA5D12"/>
    <w:rsid w:val="00FA7090"/>
    <w:rsid w:val="00FB00C4"/>
    <w:rsid w:val="00FB01FE"/>
    <w:rsid w:val="00FB0B1D"/>
    <w:rsid w:val="00FB1D56"/>
    <w:rsid w:val="00FB2791"/>
    <w:rsid w:val="00FB2FF6"/>
    <w:rsid w:val="00FB3983"/>
    <w:rsid w:val="00FB4ADC"/>
    <w:rsid w:val="00FC16D9"/>
    <w:rsid w:val="00FC2C89"/>
    <w:rsid w:val="00FC6E24"/>
    <w:rsid w:val="00FC71C2"/>
    <w:rsid w:val="00FD002A"/>
    <w:rsid w:val="00FD2096"/>
    <w:rsid w:val="00FD20C5"/>
    <w:rsid w:val="00FD3CEF"/>
    <w:rsid w:val="00FD5EB4"/>
    <w:rsid w:val="00FD675B"/>
    <w:rsid w:val="00FE30E3"/>
    <w:rsid w:val="00FE31C2"/>
    <w:rsid w:val="00FE4313"/>
    <w:rsid w:val="00FE5E1B"/>
    <w:rsid w:val="00FE7B12"/>
    <w:rsid w:val="00FF081B"/>
    <w:rsid w:val="00FF1121"/>
    <w:rsid w:val="00FF19E5"/>
    <w:rsid w:val="00FF5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38873"/>
  <w15:chartTrackingRefBased/>
  <w15:docId w15:val="{3656BF2E-5BD0-49D2-AE95-1690ECA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A72"/>
  </w:style>
  <w:style w:type="paragraph" w:styleId="Kop1">
    <w:name w:val="heading 1"/>
    <w:basedOn w:val="Standaard"/>
    <w:next w:val="Standaard"/>
    <w:link w:val="Kop1Char"/>
    <w:uiPriority w:val="9"/>
    <w:qFormat/>
    <w:rsid w:val="00842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2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27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27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27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27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7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7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7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7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27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27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27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27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27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7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7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716"/>
    <w:rPr>
      <w:rFonts w:eastAsiaTheme="majorEastAsia" w:cstheme="majorBidi"/>
      <w:color w:val="272727" w:themeColor="text1" w:themeTint="D8"/>
    </w:rPr>
  </w:style>
  <w:style w:type="paragraph" w:styleId="Titel">
    <w:name w:val="Title"/>
    <w:basedOn w:val="Standaard"/>
    <w:next w:val="Standaard"/>
    <w:link w:val="TitelChar"/>
    <w:uiPriority w:val="10"/>
    <w:qFormat/>
    <w:rsid w:val="00842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7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7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7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7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2716"/>
    <w:rPr>
      <w:i/>
      <w:iCs/>
      <w:color w:val="404040" w:themeColor="text1" w:themeTint="BF"/>
    </w:rPr>
  </w:style>
  <w:style w:type="paragraph" w:styleId="Lijstalinea">
    <w:name w:val="List Paragraph"/>
    <w:basedOn w:val="Standaard"/>
    <w:uiPriority w:val="34"/>
    <w:qFormat/>
    <w:rsid w:val="00842716"/>
    <w:pPr>
      <w:ind w:left="720"/>
      <w:contextualSpacing/>
    </w:pPr>
  </w:style>
  <w:style w:type="character" w:styleId="Intensievebenadrukking">
    <w:name w:val="Intense Emphasis"/>
    <w:basedOn w:val="Standaardalinea-lettertype"/>
    <w:uiPriority w:val="21"/>
    <w:qFormat/>
    <w:rsid w:val="00842716"/>
    <w:rPr>
      <w:i/>
      <w:iCs/>
      <w:color w:val="2F5496" w:themeColor="accent1" w:themeShade="BF"/>
    </w:rPr>
  </w:style>
  <w:style w:type="paragraph" w:styleId="Duidelijkcitaat">
    <w:name w:val="Intense Quote"/>
    <w:basedOn w:val="Standaard"/>
    <w:next w:val="Standaard"/>
    <w:link w:val="DuidelijkcitaatChar"/>
    <w:uiPriority w:val="30"/>
    <w:qFormat/>
    <w:rsid w:val="00842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2716"/>
    <w:rPr>
      <w:i/>
      <w:iCs/>
      <w:color w:val="2F5496" w:themeColor="accent1" w:themeShade="BF"/>
    </w:rPr>
  </w:style>
  <w:style w:type="character" w:styleId="Intensieveverwijzing">
    <w:name w:val="Intense Reference"/>
    <w:basedOn w:val="Standaardalinea-lettertype"/>
    <w:uiPriority w:val="32"/>
    <w:qFormat/>
    <w:rsid w:val="00842716"/>
    <w:rPr>
      <w:b/>
      <w:bCs/>
      <w:smallCaps/>
      <w:color w:val="2F5496" w:themeColor="accent1" w:themeShade="BF"/>
      <w:spacing w:val="5"/>
    </w:rPr>
  </w:style>
  <w:style w:type="table" w:customStyle="1" w:styleId="TableGrid">
    <w:name w:val="TableGrid"/>
    <w:rsid w:val="00021A72"/>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021A72"/>
    <w:rPr>
      <w:sz w:val="16"/>
      <w:szCs w:val="16"/>
    </w:rPr>
  </w:style>
  <w:style w:type="paragraph" w:styleId="Tekstopmerking">
    <w:name w:val="annotation text"/>
    <w:basedOn w:val="Standaard"/>
    <w:link w:val="TekstopmerkingChar"/>
    <w:uiPriority w:val="99"/>
    <w:unhideWhenUsed/>
    <w:rsid w:val="00021A72"/>
    <w:pPr>
      <w:spacing w:line="240" w:lineRule="auto"/>
    </w:pPr>
    <w:rPr>
      <w:sz w:val="20"/>
      <w:szCs w:val="20"/>
    </w:rPr>
  </w:style>
  <w:style w:type="character" w:customStyle="1" w:styleId="TekstopmerkingChar">
    <w:name w:val="Tekst opmerking Char"/>
    <w:basedOn w:val="Standaardalinea-lettertype"/>
    <w:link w:val="Tekstopmerking"/>
    <w:uiPriority w:val="99"/>
    <w:rsid w:val="00021A72"/>
    <w:rPr>
      <w:sz w:val="20"/>
      <w:szCs w:val="20"/>
    </w:rPr>
  </w:style>
  <w:style w:type="paragraph" w:styleId="Voetnoottekst">
    <w:name w:val="footnote text"/>
    <w:basedOn w:val="Standaard"/>
    <w:link w:val="VoetnoottekstChar"/>
    <w:uiPriority w:val="99"/>
    <w:semiHidden/>
    <w:unhideWhenUsed/>
    <w:rsid w:val="00021A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1A72"/>
    <w:rPr>
      <w:sz w:val="20"/>
      <w:szCs w:val="20"/>
    </w:rPr>
  </w:style>
  <w:style w:type="character" w:styleId="Voetnootmarkering">
    <w:name w:val="footnote reference"/>
    <w:basedOn w:val="Standaardalinea-lettertype"/>
    <w:uiPriority w:val="99"/>
    <w:semiHidden/>
    <w:unhideWhenUsed/>
    <w:rsid w:val="00021A72"/>
    <w:rPr>
      <w:vertAlign w:val="superscript"/>
    </w:rPr>
  </w:style>
  <w:style w:type="paragraph" w:styleId="Onderwerpvanopmerking">
    <w:name w:val="annotation subject"/>
    <w:basedOn w:val="Tekstopmerking"/>
    <w:next w:val="Tekstopmerking"/>
    <w:link w:val="OnderwerpvanopmerkingChar"/>
    <w:uiPriority w:val="99"/>
    <w:semiHidden/>
    <w:unhideWhenUsed/>
    <w:rsid w:val="009F10C8"/>
    <w:rPr>
      <w:b/>
      <w:bCs/>
    </w:rPr>
  </w:style>
  <w:style w:type="character" w:customStyle="1" w:styleId="OnderwerpvanopmerkingChar">
    <w:name w:val="Onderwerp van opmerking Char"/>
    <w:basedOn w:val="TekstopmerkingChar"/>
    <w:link w:val="Onderwerpvanopmerking"/>
    <w:uiPriority w:val="99"/>
    <w:semiHidden/>
    <w:rsid w:val="009F10C8"/>
    <w:rPr>
      <w:b/>
      <w:bCs/>
      <w:sz w:val="20"/>
      <w:szCs w:val="20"/>
    </w:rPr>
  </w:style>
  <w:style w:type="paragraph" w:styleId="Koptekst">
    <w:name w:val="header"/>
    <w:basedOn w:val="Standaard"/>
    <w:link w:val="KoptekstChar"/>
    <w:uiPriority w:val="99"/>
    <w:unhideWhenUsed/>
    <w:rsid w:val="00957E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7EB0"/>
  </w:style>
  <w:style w:type="paragraph" w:styleId="Voettekst">
    <w:name w:val="footer"/>
    <w:basedOn w:val="Standaard"/>
    <w:link w:val="VoettekstChar"/>
    <w:uiPriority w:val="99"/>
    <w:unhideWhenUsed/>
    <w:rsid w:val="00957E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7EB0"/>
  </w:style>
  <w:style w:type="paragraph" w:styleId="Revisie">
    <w:name w:val="Revision"/>
    <w:hidden/>
    <w:uiPriority w:val="99"/>
    <w:semiHidden/>
    <w:rsid w:val="00E46B53"/>
    <w:pPr>
      <w:spacing w:after="0" w:line="240" w:lineRule="auto"/>
    </w:pPr>
  </w:style>
  <w:style w:type="character" w:styleId="Hyperlink">
    <w:name w:val="Hyperlink"/>
    <w:basedOn w:val="Standaardalinea-lettertype"/>
    <w:uiPriority w:val="99"/>
    <w:unhideWhenUsed/>
    <w:rsid w:val="00E46B53"/>
    <w:rPr>
      <w:color w:val="0563C1" w:themeColor="hyperlink"/>
      <w:u w:val="single"/>
    </w:rPr>
  </w:style>
  <w:style w:type="character" w:styleId="Onopgelostemelding">
    <w:name w:val="Unresolved Mention"/>
    <w:basedOn w:val="Standaardalinea-lettertype"/>
    <w:uiPriority w:val="99"/>
    <w:semiHidden/>
    <w:unhideWhenUsed/>
    <w:rsid w:val="00E46B53"/>
    <w:rPr>
      <w:color w:val="605E5C"/>
      <w:shd w:val="clear" w:color="auto" w:fill="E1DFDD"/>
    </w:rPr>
  </w:style>
  <w:style w:type="character" w:styleId="GevolgdeHyperlink">
    <w:name w:val="FollowedHyperlink"/>
    <w:basedOn w:val="Standaardalinea-lettertype"/>
    <w:uiPriority w:val="99"/>
    <w:semiHidden/>
    <w:unhideWhenUsed/>
    <w:rsid w:val="00C8132E"/>
    <w:rPr>
      <w:color w:val="954F72" w:themeColor="followedHyperlink"/>
      <w:u w:val="single"/>
    </w:rPr>
  </w:style>
  <w:style w:type="paragraph" w:styleId="Bijschrift">
    <w:name w:val="caption"/>
    <w:basedOn w:val="Standaard"/>
    <w:next w:val="Standaard"/>
    <w:uiPriority w:val="35"/>
    <w:semiHidden/>
    <w:unhideWhenUsed/>
    <w:qFormat/>
    <w:rsid w:val="00F45B0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447">
      <w:bodyDiv w:val="1"/>
      <w:marLeft w:val="0"/>
      <w:marRight w:val="0"/>
      <w:marTop w:val="0"/>
      <w:marBottom w:val="0"/>
      <w:divBdr>
        <w:top w:val="none" w:sz="0" w:space="0" w:color="auto"/>
        <w:left w:val="none" w:sz="0" w:space="0" w:color="auto"/>
        <w:bottom w:val="none" w:sz="0" w:space="0" w:color="auto"/>
        <w:right w:val="none" w:sz="0" w:space="0" w:color="auto"/>
      </w:divBdr>
    </w:div>
    <w:div w:id="152796408">
      <w:bodyDiv w:val="1"/>
      <w:marLeft w:val="0"/>
      <w:marRight w:val="0"/>
      <w:marTop w:val="0"/>
      <w:marBottom w:val="0"/>
      <w:divBdr>
        <w:top w:val="none" w:sz="0" w:space="0" w:color="auto"/>
        <w:left w:val="none" w:sz="0" w:space="0" w:color="auto"/>
        <w:bottom w:val="none" w:sz="0" w:space="0" w:color="auto"/>
        <w:right w:val="none" w:sz="0" w:space="0" w:color="auto"/>
      </w:divBdr>
    </w:div>
    <w:div w:id="167915059">
      <w:bodyDiv w:val="1"/>
      <w:marLeft w:val="0"/>
      <w:marRight w:val="0"/>
      <w:marTop w:val="0"/>
      <w:marBottom w:val="0"/>
      <w:divBdr>
        <w:top w:val="none" w:sz="0" w:space="0" w:color="auto"/>
        <w:left w:val="none" w:sz="0" w:space="0" w:color="auto"/>
        <w:bottom w:val="none" w:sz="0" w:space="0" w:color="auto"/>
        <w:right w:val="none" w:sz="0" w:space="0" w:color="auto"/>
      </w:divBdr>
    </w:div>
    <w:div w:id="350035674">
      <w:bodyDiv w:val="1"/>
      <w:marLeft w:val="0"/>
      <w:marRight w:val="0"/>
      <w:marTop w:val="0"/>
      <w:marBottom w:val="0"/>
      <w:divBdr>
        <w:top w:val="none" w:sz="0" w:space="0" w:color="auto"/>
        <w:left w:val="none" w:sz="0" w:space="0" w:color="auto"/>
        <w:bottom w:val="none" w:sz="0" w:space="0" w:color="auto"/>
        <w:right w:val="none" w:sz="0" w:space="0" w:color="auto"/>
      </w:divBdr>
    </w:div>
    <w:div w:id="370232465">
      <w:bodyDiv w:val="1"/>
      <w:marLeft w:val="0"/>
      <w:marRight w:val="0"/>
      <w:marTop w:val="0"/>
      <w:marBottom w:val="0"/>
      <w:divBdr>
        <w:top w:val="none" w:sz="0" w:space="0" w:color="auto"/>
        <w:left w:val="none" w:sz="0" w:space="0" w:color="auto"/>
        <w:bottom w:val="none" w:sz="0" w:space="0" w:color="auto"/>
        <w:right w:val="none" w:sz="0" w:space="0" w:color="auto"/>
      </w:divBdr>
    </w:div>
    <w:div w:id="432361325">
      <w:bodyDiv w:val="1"/>
      <w:marLeft w:val="0"/>
      <w:marRight w:val="0"/>
      <w:marTop w:val="0"/>
      <w:marBottom w:val="0"/>
      <w:divBdr>
        <w:top w:val="none" w:sz="0" w:space="0" w:color="auto"/>
        <w:left w:val="none" w:sz="0" w:space="0" w:color="auto"/>
        <w:bottom w:val="none" w:sz="0" w:space="0" w:color="auto"/>
        <w:right w:val="none" w:sz="0" w:space="0" w:color="auto"/>
      </w:divBdr>
    </w:div>
    <w:div w:id="605311031">
      <w:bodyDiv w:val="1"/>
      <w:marLeft w:val="0"/>
      <w:marRight w:val="0"/>
      <w:marTop w:val="0"/>
      <w:marBottom w:val="0"/>
      <w:divBdr>
        <w:top w:val="none" w:sz="0" w:space="0" w:color="auto"/>
        <w:left w:val="none" w:sz="0" w:space="0" w:color="auto"/>
        <w:bottom w:val="none" w:sz="0" w:space="0" w:color="auto"/>
        <w:right w:val="none" w:sz="0" w:space="0" w:color="auto"/>
      </w:divBdr>
    </w:div>
    <w:div w:id="656300346">
      <w:bodyDiv w:val="1"/>
      <w:marLeft w:val="0"/>
      <w:marRight w:val="0"/>
      <w:marTop w:val="0"/>
      <w:marBottom w:val="0"/>
      <w:divBdr>
        <w:top w:val="none" w:sz="0" w:space="0" w:color="auto"/>
        <w:left w:val="none" w:sz="0" w:space="0" w:color="auto"/>
        <w:bottom w:val="none" w:sz="0" w:space="0" w:color="auto"/>
        <w:right w:val="none" w:sz="0" w:space="0" w:color="auto"/>
      </w:divBdr>
    </w:div>
    <w:div w:id="668022287">
      <w:bodyDiv w:val="1"/>
      <w:marLeft w:val="0"/>
      <w:marRight w:val="0"/>
      <w:marTop w:val="0"/>
      <w:marBottom w:val="0"/>
      <w:divBdr>
        <w:top w:val="none" w:sz="0" w:space="0" w:color="auto"/>
        <w:left w:val="none" w:sz="0" w:space="0" w:color="auto"/>
        <w:bottom w:val="none" w:sz="0" w:space="0" w:color="auto"/>
        <w:right w:val="none" w:sz="0" w:space="0" w:color="auto"/>
      </w:divBdr>
    </w:div>
    <w:div w:id="866600398">
      <w:bodyDiv w:val="1"/>
      <w:marLeft w:val="0"/>
      <w:marRight w:val="0"/>
      <w:marTop w:val="0"/>
      <w:marBottom w:val="0"/>
      <w:divBdr>
        <w:top w:val="none" w:sz="0" w:space="0" w:color="auto"/>
        <w:left w:val="none" w:sz="0" w:space="0" w:color="auto"/>
        <w:bottom w:val="none" w:sz="0" w:space="0" w:color="auto"/>
        <w:right w:val="none" w:sz="0" w:space="0" w:color="auto"/>
      </w:divBdr>
    </w:div>
    <w:div w:id="896017360">
      <w:bodyDiv w:val="1"/>
      <w:marLeft w:val="0"/>
      <w:marRight w:val="0"/>
      <w:marTop w:val="0"/>
      <w:marBottom w:val="0"/>
      <w:divBdr>
        <w:top w:val="none" w:sz="0" w:space="0" w:color="auto"/>
        <w:left w:val="none" w:sz="0" w:space="0" w:color="auto"/>
        <w:bottom w:val="none" w:sz="0" w:space="0" w:color="auto"/>
        <w:right w:val="none" w:sz="0" w:space="0" w:color="auto"/>
      </w:divBdr>
    </w:div>
    <w:div w:id="1008752128">
      <w:bodyDiv w:val="1"/>
      <w:marLeft w:val="0"/>
      <w:marRight w:val="0"/>
      <w:marTop w:val="0"/>
      <w:marBottom w:val="0"/>
      <w:divBdr>
        <w:top w:val="none" w:sz="0" w:space="0" w:color="auto"/>
        <w:left w:val="none" w:sz="0" w:space="0" w:color="auto"/>
        <w:bottom w:val="none" w:sz="0" w:space="0" w:color="auto"/>
        <w:right w:val="none" w:sz="0" w:space="0" w:color="auto"/>
      </w:divBdr>
    </w:div>
    <w:div w:id="1041828721">
      <w:bodyDiv w:val="1"/>
      <w:marLeft w:val="0"/>
      <w:marRight w:val="0"/>
      <w:marTop w:val="0"/>
      <w:marBottom w:val="0"/>
      <w:divBdr>
        <w:top w:val="none" w:sz="0" w:space="0" w:color="auto"/>
        <w:left w:val="none" w:sz="0" w:space="0" w:color="auto"/>
        <w:bottom w:val="none" w:sz="0" w:space="0" w:color="auto"/>
        <w:right w:val="none" w:sz="0" w:space="0" w:color="auto"/>
      </w:divBdr>
    </w:div>
    <w:div w:id="1090349560">
      <w:bodyDiv w:val="1"/>
      <w:marLeft w:val="0"/>
      <w:marRight w:val="0"/>
      <w:marTop w:val="0"/>
      <w:marBottom w:val="0"/>
      <w:divBdr>
        <w:top w:val="none" w:sz="0" w:space="0" w:color="auto"/>
        <w:left w:val="none" w:sz="0" w:space="0" w:color="auto"/>
        <w:bottom w:val="none" w:sz="0" w:space="0" w:color="auto"/>
        <w:right w:val="none" w:sz="0" w:space="0" w:color="auto"/>
      </w:divBdr>
    </w:div>
    <w:div w:id="1130393676">
      <w:bodyDiv w:val="1"/>
      <w:marLeft w:val="0"/>
      <w:marRight w:val="0"/>
      <w:marTop w:val="0"/>
      <w:marBottom w:val="0"/>
      <w:divBdr>
        <w:top w:val="none" w:sz="0" w:space="0" w:color="auto"/>
        <w:left w:val="none" w:sz="0" w:space="0" w:color="auto"/>
        <w:bottom w:val="none" w:sz="0" w:space="0" w:color="auto"/>
        <w:right w:val="none" w:sz="0" w:space="0" w:color="auto"/>
      </w:divBdr>
    </w:div>
    <w:div w:id="1150053695">
      <w:bodyDiv w:val="1"/>
      <w:marLeft w:val="0"/>
      <w:marRight w:val="0"/>
      <w:marTop w:val="0"/>
      <w:marBottom w:val="0"/>
      <w:divBdr>
        <w:top w:val="none" w:sz="0" w:space="0" w:color="auto"/>
        <w:left w:val="none" w:sz="0" w:space="0" w:color="auto"/>
        <w:bottom w:val="none" w:sz="0" w:space="0" w:color="auto"/>
        <w:right w:val="none" w:sz="0" w:space="0" w:color="auto"/>
      </w:divBdr>
    </w:div>
    <w:div w:id="1354958408">
      <w:bodyDiv w:val="1"/>
      <w:marLeft w:val="0"/>
      <w:marRight w:val="0"/>
      <w:marTop w:val="0"/>
      <w:marBottom w:val="0"/>
      <w:divBdr>
        <w:top w:val="none" w:sz="0" w:space="0" w:color="auto"/>
        <w:left w:val="none" w:sz="0" w:space="0" w:color="auto"/>
        <w:bottom w:val="none" w:sz="0" w:space="0" w:color="auto"/>
        <w:right w:val="none" w:sz="0" w:space="0" w:color="auto"/>
      </w:divBdr>
    </w:div>
    <w:div w:id="1373459689">
      <w:bodyDiv w:val="1"/>
      <w:marLeft w:val="0"/>
      <w:marRight w:val="0"/>
      <w:marTop w:val="0"/>
      <w:marBottom w:val="0"/>
      <w:divBdr>
        <w:top w:val="none" w:sz="0" w:space="0" w:color="auto"/>
        <w:left w:val="none" w:sz="0" w:space="0" w:color="auto"/>
        <w:bottom w:val="none" w:sz="0" w:space="0" w:color="auto"/>
        <w:right w:val="none" w:sz="0" w:space="0" w:color="auto"/>
      </w:divBdr>
    </w:div>
    <w:div w:id="1723599340">
      <w:bodyDiv w:val="1"/>
      <w:marLeft w:val="0"/>
      <w:marRight w:val="0"/>
      <w:marTop w:val="0"/>
      <w:marBottom w:val="0"/>
      <w:divBdr>
        <w:top w:val="none" w:sz="0" w:space="0" w:color="auto"/>
        <w:left w:val="none" w:sz="0" w:space="0" w:color="auto"/>
        <w:bottom w:val="none" w:sz="0" w:space="0" w:color="auto"/>
        <w:right w:val="none" w:sz="0" w:space="0" w:color="auto"/>
      </w:divBdr>
    </w:div>
    <w:div w:id="1729299923">
      <w:bodyDiv w:val="1"/>
      <w:marLeft w:val="0"/>
      <w:marRight w:val="0"/>
      <w:marTop w:val="0"/>
      <w:marBottom w:val="0"/>
      <w:divBdr>
        <w:top w:val="none" w:sz="0" w:space="0" w:color="auto"/>
        <w:left w:val="none" w:sz="0" w:space="0" w:color="auto"/>
        <w:bottom w:val="none" w:sz="0" w:space="0" w:color="auto"/>
        <w:right w:val="none" w:sz="0" w:space="0" w:color="auto"/>
      </w:divBdr>
    </w:div>
    <w:div w:id="201263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3484</ap:Words>
  <ap:Characters>19166</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2026-05-11T08:51:00.0000000Z</lastPrinted>
  <dcterms:created xsi:type="dcterms:W3CDTF">2026-06-08T14:32:00.0000000Z</dcterms:created>
  <dcterms:modified xsi:type="dcterms:W3CDTF">2026-06-08T14:32:00.0000000Z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2025-04-28T15:13:37Z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4aff8a05-579e-4665-ade1-f28d1cf017c6</vt:lpwstr>
  </property>
  <property fmtid="{D5CDD505-2E9C-101B-9397-08002B2CF9AE}" pid="8" name="MSIP_Label_f4b587cc-5349-4506-9b19-2242ab88a0ee_ContentBits">
    <vt:lpwstr>0</vt:lpwstr>
  </property>
  <property fmtid="{D5CDD505-2E9C-101B-9397-08002B2CF9AE}" pid="9" name="ContentTypeId">
    <vt:lpwstr>0x010100965FE191F55FC944969EC0921491E3BE</vt:lpwstr>
  </property>
</Properties>
</file>