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2026Z12259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juni 2026)</w:t>
        <w:br/>
      </w:r>
    </w:p>
    <w:p>
      <w:r>
        <w:t xml:space="preserve">Vragen van het lid Van Houwelingen (FVD) aan de minister van Binnenlandse Zaken en Koninkrijksrelaties over authentieke en inauthentieke social media accounts</w:t>
      </w:r>
      <w:r>
        <w:br/>
      </w:r>
    </w:p>
    <w:p>
      <w:pPr>
        <w:pStyle w:val="ListParagraph"/>
        <w:numPr>
          <w:ilvl w:val="0"/>
          <w:numId w:val="100510020"/>
        </w:numPr>
        <w:ind w:left="360"/>
      </w:pPr>
      <w:r>
        <w:t xml:space="preserve">Hoe wordt het onderscheid tussen ‘authentiek’ en ‘inauthentiek’ gedrag op sociale media gemaakt?</w:t>
      </w:r>
      <w:r>
        <w:br/>
      </w:r>
    </w:p>
    <w:p>
      <w:pPr>
        <w:pStyle w:val="ListParagraph"/>
        <w:numPr>
          <w:ilvl w:val="0"/>
          <w:numId w:val="100510020"/>
        </w:numPr>
        <w:ind w:left="360"/>
      </w:pPr>
      <w:r>
        <w:t xml:space="preserve">Worden er accounts als ‘inauthentiek’ geïdentificeerd?</w:t>
      </w:r>
      <w:r>
        <w:br/>
      </w:r>
    </w:p>
    <w:p>
      <w:pPr>
        <w:pStyle w:val="ListParagraph"/>
        <w:numPr>
          <w:ilvl w:val="0"/>
          <w:numId w:val="100510020"/>
        </w:numPr>
        <w:ind w:left="360"/>
      </w:pPr>
      <w:r>
        <w:t xml:space="preserve">Als dat zo is, welke maatregelen worden vervolgens concreet tegen deze ‘authentieke accounts’ genomen?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99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9980">
    <w:abstractNumId w:val="1005099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