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00B97D5E" w:rsidRDefault="00B97D5E" w14:paraId="35EE1FB5" w14:textId="0FABDFA9"/>
    <w:p w:rsidRPr="00611F59" w:rsidR="00030AE3" w:rsidP="00F44EC4" w:rsidRDefault="00030AE3" w14:paraId="755D34EF" w14:textId="77777777">
      <w:pPr>
        <w:rPr>
          <w:b/>
          <w:bCs/>
        </w:rPr>
      </w:pPr>
      <w:r w:rsidRPr="00611F59">
        <w:rPr>
          <w:b/>
          <w:bCs/>
        </w:rPr>
        <w:t>Het beleggingsbeleid van Nederlandse pensioenfondsen</w:t>
      </w:r>
    </w:p>
    <w:p w:rsidR="00030AE3" w:rsidP="00F44EC4" w:rsidRDefault="00030AE3" w14:paraId="55D5F4E4" w14:textId="77777777">
      <w:pPr>
        <w:rPr>
          <w:b/>
          <w:bCs/>
        </w:rPr>
      </w:pPr>
    </w:p>
    <w:p w:rsidRPr="00611F59" w:rsidR="00030AE3" w:rsidP="00F44EC4" w:rsidRDefault="00030AE3" w14:paraId="13C49E40" w14:textId="36181B24">
      <w:pPr>
        <w:rPr>
          <w:b/>
          <w:bCs/>
        </w:rPr>
      </w:pPr>
      <w:r w:rsidRPr="00611F59">
        <w:rPr>
          <w:b/>
          <w:bCs/>
        </w:rPr>
        <w:t>Inleiding</w:t>
      </w:r>
    </w:p>
    <w:p w:rsidRPr="00611F59" w:rsidR="00030AE3" w:rsidP="00F44EC4" w:rsidRDefault="00056857" w14:paraId="78F7C69A" w14:textId="3446B91B">
      <w:r>
        <w:t xml:space="preserve">Het rendement dat pensioenfondsen behalen met het geld van deelnemers is een onderwerp dat de aandacht verdiend. </w:t>
      </w:r>
      <w:r w:rsidR="001F43F9">
        <w:t xml:space="preserve">Het is daarom ook goed dat </w:t>
      </w:r>
      <w:r w:rsidR="00E10942">
        <w:t>de</w:t>
      </w:r>
      <w:r w:rsidR="001F43F9">
        <w:t xml:space="preserve"> Kamer </w:t>
      </w:r>
      <w:r w:rsidR="0038346F">
        <w:t xml:space="preserve">belangrijke </w:t>
      </w:r>
      <w:r w:rsidR="00030AE3">
        <w:t xml:space="preserve">vragen </w:t>
      </w:r>
      <w:r w:rsidR="001F43F9">
        <w:t xml:space="preserve">stelt </w:t>
      </w:r>
      <w:r w:rsidR="00030AE3">
        <w:t xml:space="preserve">over de </w:t>
      </w:r>
      <w:r w:rsidR="00B1606C">
        <w:t xml:space="preserve">beleggingsresultaten </w:t>
      </w:r>
      <w:r w:rsidR="00030AE3">
        <w:t xml:space="preserve">van pensioenfondsen. </w:t>
      </w:r>
      <w:r w:rsidR="001F43F9">
        <w:t xml:space="preserve">De prestaties die pensioenfondsen leveren </w:t>
      </w:r>
      <w:r w:rsidR="00E10942">
        <w:t xml:space="preserve">maken het mogelijk dat </w:t>
      </w:r>
      <w:r w:rsidR="001F43F9">
        <w:t xml:space="preserve">gepensioneerden van een goede oude dag kunnen genieten. </w:t>
      </w:r>
      <w:r w:rsidR="00752604">
        <w:t>Met dit onderzoek wil ik tegemoet komen aan de zorgen die zijn geuit</w:t>
      </w:r>
      <w:r w:rsidR="00311E82">
        <w:t xml:space="preserve"> over de behaalde resultaten </w:t>
      </w:r>
      <w:r w:rsidR="00E10942">
        <w:t>do</w:t>
      </w:r>
      <w:r w:rsidR="00311E82">
        <w:t>or pensioen</w:t>
      </w:r>
      <w:r w:rsidR="00E10942">
        <w:t>fondsen</w:t>
      </w:r>
      <w:r w:rsidR="00752604">
        <w:t>. Het</w:t>
      </w:r>
      <w:r w:rsidR="00030AE3">
        <w:t xml:space="preserve"> onderzoek</w:t>
      </w:r>
      <w:r w:rsidRPr="00611F59" w:rsidR="00030AE3">
        <w:t xml:space="preserve"> brengt in kaart hoe Nederlandse pensioenfondsen het strategisch beleggingsbeleid bepalen, bekijkt in hoeverre niet-financiële doelstellingen hierbij een rol spelen en gaat in op de prestaties van Nederlandse pensioenfondsen</w:t>
      </w:r>
      <w:r w:rsidR="00030AE3">
        <w:t>.</w:t>
      </w:r>
      <w:r w:rsidRPr="00611F59" w:rsidR="00030AE3">
        <w:rPr>
          <w:rStyle w:val="Voetnootmarkering"/>
        </w:rPr>
        <w:footnoteReference w:id="1"/>
      </w:r>
      <w:r w:rsidR="00030AE3">
        <w:rPr>
          <w:vertAlign w:val="superscript"/>
        </w:rPr>
        <w:t>,</w:t>
      </w:r>
      <w:r w:rsidRPr="00611F59" w:rsidR="00030AE3">
        <w:rPr>
          <w:rStyle w:val="Voetnootmarkering"/>
        </w:rPr>
        <w:footnoteReference w:id="2"/>
      </w:r>
      <w:r w:rsidR="003E3F74">
        <w:rPr>
          <w:vertAlign w:val="superscript"/>
        </w:rPr>
        <w:t xml:space="preserve"> </w:t>
      </w:r>
    </w:p>
    <w:p w:rsidR="002E7A68" w:rsidP="00F44EC4" w:rsidRDefault="002E7A68" w14:paraId="218339EC" w14:textId="77777777"/>
    <w:p w:rsidRPr="005B2CE7" w:rsidR="00030AE3" w:rsidP="00F44EC4" w:rsidRDefault="00311E82" w14:paraId="548AFB7A" w14:textId="311A1528">
      <w:r>
        <w:t xml:space="preserve">Ik begrijp de zorgen </w:t>
      </w:r>
      <w:r w:rsidR="00E10942">
        <w:t xml:space="preserve">in de Kamer </w:t>
      </w:r>
      <w:r>
        <w:t xml:space="preserve">dat </w:t>
      </w:r>
      <w:r w:rsidR="00E10942">
        <w:t>de behaalde resultaten kunnen</w:t>
      </w:r>
      <w:r>
        <w:t xml:space="preserve"> leiden tot dalingen van pensioenuitkeringen. </w:t>
      </w:r>
      <w:r w:rsidRPr="005B2CE7" w:rsidR="00030AE3">
        <w:t xml:space="preserve">Het doel van pensioenfondsen is om te streven naar een adequate levenslange uitkering met een stabiel uitkeringspatroon. </w:t>
      </w:r>
      <w:r w:rsidR="0038346F">
        <w:t xml:space="preserve">Op deze manier zorgen pensioenfondsen ervoor dat gepensioneerden kunnen vertrouwen op het hebben van een goede oude dag. </w:t>
      </w:r>
      <w:r w:rsidRPr="005B2CE7" w:rsidR="00030AE3">
        <w:t xml:space="preserve">Het beleggingsbeleid moet op dat langetermijndoel zijn afgestemd. In het beleggingsbeleid moeten fondsen daarom rekening gehouden met de risicohouding van de fondspopulatie. Pensioenfondsen spreiden hun risico’s daarom over beleggingscategorieën zoals aandelen, obligaties en private equity en spreiden de beleggingsrisico’s geografisch. </w:t>
      </w:r>
      <w:bookmarkStart w:name="_Hlk230871604" w:id="0"/>
      <w:r w:rsidRPr="00B12891" w:rsidR="006E6C10">
        <w:t xml:space="preserve">De beleggingen </w:t>
      </w:r>
      <w:r w:rsidR="009976E4">
        <w:t>van</w:t>
      </w:r>
      <w:r w:rsidRPr="00B12891" w:rsidR="006E6C10">
        <w:t xml:space="preserve"> pensioenfondsen verschillen hierdoor niet alleen door een andere verdeling over beleggingscategorieën maar zijn ook verschillend binnen een beleggingscategorie zoals aandelen en vastgoed. Hierdoor kan het risicoprofiel binnen een beleggingscategorie ook verschillen. Dit betekent ook dat de prestatie van een pensioenfonds altijd gemeten moet worden tegenover een benchmark die zoveel mogelijk rekening houdt met deze verschillen. </w:t>
      </w:r>
      <w:r w:rsidRPr="005B2CE7" w:rsidR="00030AE3">
        <w:t xml:space="preserve">Hierdoor kunnen de rendementen </w:t>
      </w:r>
      <w:r w:rsidRPr="00B12891" w:rsidR="006E6C10">
        <w:t xml:space="preserve">over de gehele </w:t>
      </w:r>
      <w:r w:rsidRPr="00B12891" w:rsidR="006E6C10">
        <w:lastRenderedPageBreak/>
        <w:t>beleggingsportefeuille of van individuele beleggingscategorieën</w:t>
      </w:r>
      <w:r w:rsidR="006E6C10">
        <w:t xml:space="preserve"> </w:t>
      </w:r>
      <w:r w:rsidRPr="005B2CE7" w:rsidR="00030AE3">
        <w:t>van pensioenfondsen niet 1-op-1 vergeleken worden met die van aandelenindices</w:t>
      </w:r>
      <w:r w:rsidRPr="00B12891" w:rsidR="006E6C10">
        <w:t xml:space="preserve"> of andere benchmarks</w:t>
      </w:r>
      <w:r w:rsidRPr="005B2CE7" w:rsidR="00030AE3">
        <w:t>.</w:t>
      </w:r>
      <w:r w:rsidR="00494DA6">
        <w:t xml:space="preserve"> </w:t>
      </w:r>
    </w:p>
    <w:bookmarkEnd w:id="0"/>
    <w:p w:rsidR="002E7A68" w:rsidP="00F44EC4" w:rsidRDefault="002E7A68" w14:paraId="5B88F999" w14:textId="77777777"/>
    <w:p w:rsidRPr="00611F59" w:rsidR="00030AE3" w:rsidP="00F44EC4" w:rsidRDefault="00030AE3" w14:paraId="72DE6922" w14:textId="4251E9F3">
      <w:r w:rsidRPr="00611F59">
        <w:t xml:space="preserve">In het nieuwe pensioenstelsel is sprake van een toezegging van de pensioenpremie en niet langer van de pensioenuitkering. In het nieuwe pensioenstelsel hebben pensioenfondsen meer de mogelijkheid om beleggingsrisico’s gericht toe te delen aan de leeftijdscohorten. Hierdoor hebben ze meer mogelijkheden om tot een beleggingsbeleid te komen dat past bij de risico’s die deelnemers kunnen en willen nemen. Het is daarbij belangrijk om beleggingsrisico’s goed te spreiden, zowel geografisch als over verschillende beleggingscategorieën. </w:t>
      </w:r>
      <w:r>
        <w:t>De risicohouding, die het vertrekpunt vormt voor het</w:t>
      </w:r>
      <w:r w:rsidRPr="00611F59">
        <w:t xml:space="preserve"> strategische beleggingsbeleid</w:t>
      </w:r>
      <w:r>
        <w:t>, wordt vastgesteld na overleg met</w:t>
      </w:r>
      <w:r w:rsidRPr="00611F59">
        <w:t xml:space="preserve"> de </w:t>
      </w:r>
      <w:r>
        <w:t>fonds</w:t>
      </w:r>
      <w:r w:rsidRPr="00611F59">
        <w:t>organen. Pensioenfondsen hebben een wettelijke plicht om te beleggen in het belang van hun deelnemers</w:t>
      </w:r>
      <w:r>
        <w:t>.</w:t>
      </w:r>
      <w:r w:rsidRPr="00611F59">
        <w:t xml:space="preserve"> </w:t>
      </w:r>
      <w:r>
        <w:t xml:space="preserve">AFM en </w:t>
      </w:r>
      <w:r w:rsidRPr="00611F59">
        <w:t>DNB houd</w:t>
      </w:r>
      <w:r>
        <w:t>en</w:t>
      </w:r>
      <w:r w:rsidRPr="00611F59">
        <w:t xml:space="preserve"> hier toezicht op.</w:t>
      </w:r>
    </w:p>
    <w:p w:rsidR="00E10942" w:rsidP="00F44EC4" w:rsidRDefault="00E10942" w14:paraId="3E096760" w14:textId="77777777"/>
    <w:p w:rsidRPr="00611F59" w:rsidR="00030AE3" w:rsidP="00F44EC4" w:rsidRDefault="002776A9" w14:paraId="59743A2E" w14:textId="7ACB12D4">
      <w:r>
        <w:t>D</w:t>
      </w:r>
      <w:r w:rsidR="00355001">
        <w:t xml:space="preserve">e Kamer vraagt </w:t>
      </w:r>
      <w:r>
        <w:t>terecht aandacht voor</w:t>
      </w:r>
      <w:r w:rsidR="00355001">
        <w:t xml:space="preserve"> de </w:t>
      </w:r>
      <w:r w:rsidR="0038346F">
        <w:t xml:space="preserve">prestaties van pensioenfondsen. </w:t>
      </w:r>
      <w:r w:rsidR="00D06583">
        <w:t xml:space="preserve">Het is begrijpelijk dat hierbij </w:t>
      </w:r>
      <w:r>
        <w:t>grote nadruk ligt op</w:t>
      </w:r>
      <w:r w:rsidR="00D06583">
        <w:t xml:space="preserve"> de </w:t>
      </w:r>
      <w:r>
        <w:t xml:space="preserve">behaalde </w:t>
      </w:r>
      <w:r w:rsidR="00D06583">
        <w:t xml:space="preserve">rendementen van pensioenfondsen. </w:t>
      </w:r>
      <w:r w:rsidR="00223964">
        <w:t>E</w:t>
      </w:r>
      <w:r w:rsidR="0038346F">
        <w:t xml:space="preserve">en goed beeld van deze prestaties </w:t>
      </w:r>
      <w:r w:rsidR="00223964">
        <w:t>vraagt</w:t>
      </w:r>
      <w:r w:rsidR="00D06583">
        <w:t xml:space="preserve"> om</w:t>
      </w:r>
      <w:r w:rsidR="00223964">
        <w:t xml:space="preserve"> </w:t>
      </w:r>
      <w:r w:rsidRPr="00611F59" w:rsidR="00030AE3">
        <w:t>een brede kijk over een langere periode omdat pensioenfondsen gezien hun verplichtingen beleggen voor de lange termijn. Niet alleen het beleggingsrisico en het daaruit voortvloeiende rendement is hierbij belangrijk, maar ook de bescherming tegen renterisico en inflatierisico zijn bepalend voor de uiteindelijke hoogte van de pensioenuitkering</w:t>
      </w:r>
      <w:r w:rsidR="00030AE3">
        <w:t xml:space="preserve"> en staan daarom centraal in het beleggingsbeleid</w:t>
      </w:r>
      <w:r w:rsidRPr="00611F59" w:rsidR="00030AE3">
        <w:t>. Omdat deelnemers en gepensioneerden naast rendement behoefte hebben aan een stabiele uitkering, passen pensioenfondsen hun beleggingsrisico ook hierop aan. De prestaties van Nederlandse pensioenfondsen zijn sinds 2020 op het gebied van indexatie en</w:t>
      </w:r>
      <w:r w:rsidR="002E7A68">
        <w:t xml:space="preserve"> de</w:t>
      </w:r>
      <w:r w:rsidRPr="00611F59" w:rsidR="00030AE3">
        <w:t xml:space="preserve"> dekkingsgraad gestegen. Met de invoering van de Wtp is </w:t>
      </w:r>
      <w:r w:rsidR="002E7A68">
        <w:t xml:space="preserve">daarbij </w:t>
      </w:r>
      <w:r w:rsidRPr="00611F59" w:rsidR="00030AE3">
        <w:t xml:space="preserve">de verwachting van pensioenfondsen dat zij in het algemeen </w:t>
      </w:r>
      <w:r w:rsidR="00030AE3">
        <w:t>rente</w:t>
      </w:r>
      <w:r w:rsidRPr="00611F59" w:rsidR="00030AE3">
        <w:t xml:space="preserve">risico en beleggingsrisico </w:t>
      </w:r>
      <w:r w:rsidR="00030AE3">
        <w:t>gerichter kunnen toedelen aan jongeren en ouderen</w:t>
      </w:r>
      <w:r w:rsidRPr="00611F59" w:rsidR="00030AE3">
        <w:t xml:space="preserve"> en daarmee eerder perspectief </w:t>
      </w:r>
      <w:r w:rsidR="002E7A68">
        <w:t>kunnen</w:t>
      </w:r>
      <w:r w:rsidRPr="00611F59" w:rsidR="00030AE3">
        <w:t xml:space="preserve"> bieden op een koopkrachtig pensioen</w:t>
      </w:r>
      <w:r w:rsidR="002E7A68">
        <w:t xml:space="preserve"> in vergelijking met het oude stelsel</w:t>
      </w:r>
      <w:r w:rsidRPr="00611F59" w:rsidR="00030AE3">
        <w:t>.</w:t>
      </w:r>
    </w:p>
    <w:p w:rsidR="002E7A68" w:rsidP="00F44EC4" w:rsidRDefault="002E7A68" w14:paraId="1053BB61" w14:textId="77777777"/>
    <w:p w:rsidRPr="00611F59" w:rsidR="00030AE3" w:rsidP="00F44EC4" w:rsidRDefault="00355001" w14:paraId="5AE8E83A" w14:textId="694938FD">
      <w:r>
        <w:t xml:space="preserve">De vragen van de Kamer geven aan dat het belangrijk is dat pensioenfondsen duidelijkheid bieden over de lange termijn beleggingsdoelstellingen, het voorgenomen beleggingsbeleid en de behaalde resultaten. </w:t>
      </w:r>
      <w:r w:rsidRPr="00611F59" w:rsidR="00030AE3">
        <w:t>Om te verduidelijken hoe pensioenfondsen tot hun prestaties komen, wordt in deze brief ingegaan op het doel van een pensioenfonds, hoe pensioenfondsen handelen in het belang van de deelnemer, de aansluiting van het beleggingsbeleid bij de beleggingsvoorkeuren van deelnemers, de prestaties van pensioenfondsen, veranderingen in het beleggingsbeleid door de Wtp en de meting van prestaties van bedrijfstakpensioenfondsen in de performancetoets.</w:t>
      </w:r>
    </w:p>
    <w:p w:rsidR="00D0583B" w:rsidP="00F44EC4" w:rsidRDefault="00D0583B" w14:paraId="02E4F70A" w14:textId="77777777">
      <w:pPr>
        <w:rPr>
          <w:b/>
          <w:bCs/>
        </w:rPr>
      </w:pPr>
    </w:p>
    <w:p w:rsidRPr="00611F59" w:rsidR="00030AE3" w:rsidP="00F44EC4" w:rsidRDefault="00030AE3" w14:paraId="3421DA07" w14:textId="0FFD48F7">
      <w:pPr>
        <w:rPr>
          <w:b/>
          <w:bCs/>
        </w:rPr>
      </w:pPr>
      <w:r w:rsidRPr="00611F59">
        <w:rPr>
          <w:b/>
          <w:bCs/>
        </w:rPr>
        <w:t xml:space="preserve">Doel: Een </w:t>
      </w:r>
      <w:r>
        <w:rPr>
          <w:b/>
          <w:bCs/>
        </w:rPr>
        <w:t xml:space="preserve">levenslang </w:t>
      </w:r>
      <w:r w:rsidRPr="00611F59">
        <w:rPr>
          <w:b/>
          <w:bCs/>
        </w:rPr>
        <w:t>goed pensioen tegen aanvaardbare kosten</w:t>
      </w:r>
    </w:p>
    <w:p w:rsidR="00030AE3" w:rsidP="00F44EC4" w:rsidRDefault="00932B84" w14:paraId="11B61A09" w14:textId="5F25BADB">
      <w:r>
        <w:t xml:space="preserve">Ik begrijp de vragen van de Kamer over tegenvallende rendementen van pensioenfondsen en de zorgen dat dit kan leiden tot dalingen van pensioenuitkeringen. </w:t>
      </w:r>
      <w:r w:rsidRPr="00611F59" w:rsidR="00030AE3">
        <w:t xml:space="preserve">Pensioenfondsen beogen een </w:t>
      </w:r>
      <w:r w:rsidR="00030AE3">
        <w:t xml:space="preserve">levenslang </w:t>
      </w:r>
      <w:r w:rsidRPr="00611F59" w:rsidR="00030AE3">
        <w:t>goed pensioen te bieden tegen aanvaarbare kosten en risico</w:t>
      </w:r>
      <w:r w:rsidR="002E7A68">
        <w:t>’s</w:t>
      </w:r>
      <w:r w:rsidRPr="00611F59" w:rsidR="00030AE3">
        <w:t>. Dit doen zij voor actieve en gewezen deelnemers, pensioengerechtigden, nabestaanden</w:t>
      </w:r>
      <w:r w:rsidR="002E7A68">
        <w:t xml:space="preserve"> </w:t>
      </w:r>
      <w:r w:rsidRPr="00611F59" w:rsidR="00030AE3">
        <w:t xml:space="preserve">en arbeidsongeschikten. Om deze </w:t>
      </w:r>
      <w:r w:rsidR="00030AE3">
        <w:t xml:space="preserve">levenslange </w:t>
      </w:r>
      <w:r w:rsidRPr="00611F59" w:rsidR="00030AE3">
        <w:t>uitkering te kunnen bieden</w:t>
      </w:r>
      <w:r w:rsidR="002E7A68">
        <w:t>,</w:t>
      </w:r>
      <w:r w:rsidRPr="00611F59" w:rsidR="00030AE3">
        <w:t xml:space="preserve"> moe</w:t>
      </w:r>
      <w:r w:rsidR="00B43AFE">
        <w:t xml:space="preserve">t </w:t>
      </w:r>
      <w:r w:rsidRPr="00611F59" w:rsidR="00030AE3">
        <w:t xml:space="preserve">in het oude pensioenstelsel niet alleen worden gekeken naar het rendement dat pensioenfondsen maken op hun vermogenszijde van de balans, maar ook naar de verplichtingenzijde van de balans van het pensioenfonds. Aan de verplichtingenzijde van de balans speelde </w:t>
      </w:r>
      <w:r w:rsidRPr="00611F59" w:rsidR="00030AE3">
        <w:lastRenderedPageBreak/>
        <w:t xml:space="preserve">het renterisico een grote rol, omdat de toekomstige stroom van uitkeringen contant werd gemaakt tegen de geldende risicovrije rentetermijnstructuur. </w:t>
      </w:r>
      <w:r w:rsidR="00030AE3">
        <w:t xml:space="preserve">Maar beide kanten zijn niet strikt gescheiden. </w:t>
      </w:r>
      <w:r w:rsidR="00030AE3">
        <w:rPr>
          <w:rFonts w:cstheme="minorHAnsi"/>
          <w:bCs/>
        </w:rPr>
        <w:t>E</w:t>
      </w:r>
      <w:r w:rsidRPr="00B430C0" w:rsidR="00030AE3">
        <w:rPr>
          <w:rFonts w:cstheme="minorHAnsi"/>
          <w:bCs/>
        </w:rPr>
        <w:t xml:space="preserve">en stijging van </w:t>
      </w:r>
      <w:r w:rsidR="00030AE3">
        <w:rPr>
          <w:rFonts w:cstheme="minorHAnsi"/>
          <w:bCs/>
        </w:rPr>
        <w:t xml:space="preserve">de </w:t>
      </w:r>
      <w:r w:rsidRPr="00B430C0" w:rsidR="00030AE3">
        <w:rPr>
          <w:rFonts w:cstheme="minorHAnsi"/>
          <w:bCs/>
        </w:rPr>
        <w:t xml:space="preserve">rente </w:t>
      </w:r>
      <w:r w:rsidR="00030AE3">
        <w:rPr>
          <w:rFonts w:cstheme="minorHAnsi"/>
          <w:bCs/>
        </w:rPr>
        <w:t xml:space="preserve">bijvoorbeeld, zal vooral </w:t>
      </w:r>
      <w:r w:rsidRPr="00B430C0" w:rsidR="00030AE3">
        <w:rPr>
          <w:rFonts w:cstheme="minorHAnsi"/>
          <w:bCs/>
        </w:rPr>
        <w:t xml:space="preserve">een gunstige invloed hebben op de hoogte van verwachte en ingegane pensioenen, omdat </w:t>
      </w:r>
      <w:r w:rsidR="00030AE3">
        <w:rPr>
          <w:rFonts w:cstheme="minorHAnsi"/>
          <w:bCs/>
        </w:rPr>
        <w:t xml:space="preserve">die </w:t>
      </w:r>
      <w:r w:rsidRPr="00B430C0" w:rsidR="00030AE3">
        <w:rPr>
          <w:rFonts w:cstheme="minorHAnsi"/>
          <w:bCs/>
        </w:rPr>
        <w:t xml:space="preserve">uitkeringen </w:t>
      </w:r>
      <w:r w:rsidR="00030AE3">
        <w:rPr>
          <w:rFonts w:cstheme="minorHAnsi"/>
          <w:bCs/>
        </w:rPr>
        <w:t xml:space="preserve">dan als het ware </w:t>
      </w:r>
      <w:r w:rsidRPr="00B430C0" w:rsidR="00030AE3">
        <w:rPr>
          <w:rFonts w:cstheme="minorHAnsi"/>
          <w:bCs/>
        </w:rPr>
        <w:t>goedkoper worden.</w:t>
      </w:r>
      <w:r w:rsidR="00030AE3">
        <w:rPr>
          <w:rFonts w:cstheme="minorHAnsi"/>
          <w:bCs/>
        </w:rPr>
        <w:t xml:space="preserve"> Tegelijk worden aan de vermogenszijde obligaties minder waard waardoor minder rendement gehaald wordt. De verhouding tussen die twee bepaalt de uiteindelijke uitkomst voor pensioenuitkeringen. </w:t>
      </w:r>
      <w:r w:rsidRPr="00611F59" w:rsidR="00030AE3">
        <w:t xml:space="preserve">Beheersen van het renterisico </w:t>
      </w:r>
      <w:r w:rsidR="00030AE3">
        <w:t>is</w:t>
      </w:r>
      <w:r w:rsidRPr="00611F59" w:rsidR="00030AE3">
        <w:t xml:space="preserve"> daarom belangrijk voor pensioenfondsen. Ook in het nieuwe pensioenstelsel </w:t>
      </w:r>
      <w:r w:rsidR="00030AE3">
        <w:t>blijft</w:t>
      </w:r>
      <w:r w:rsidRPr="00611F59" w:rsidR="00030AE3">
        <w:t xml:space="preserve"> dit belangrijk. In Wtp-regelingen wordt de bescherming tegen renterisico</w:t>
      </w:r>
      <w:r w:rsidR="00F51E55">
        <w:t xml:space="preserve"> – in de praktijk – </w:t>
      </w:r>
      <w:r w:rsidRPr="00611F59" w:rsidR="00030AE3">
        <w:t xml:space="preserve">met name gericht op oudere deelnemers en pensioengerechtigden. Pensioenfondsen </w:t>
      </w:r>
      <w:r w:rsidR="00F51E55">
        <w:t>kennen</w:t>
      </w:r>
      <w:r w:rsidRPr="00611F59" w:rsidR="00030AE3">
        <w:t xml:space="preserve"> een beschermingsrendement tegen renterisico </w:t>
      </w:r>
      <w:r w:rsidR="00F51E55">
        <w:t xml:space="preserve">toe </w:t>
      </w:r>
      <w:r w:rsidRPr="00611F59" w:rsidR="00030AE3">
        <w:t xml:space="preserve">aan deze groepen. Voor jongere actieve deelnemers ligt er meer nadruk op het behalen van rendement. Aan hen wordt meer risico toegekend </w:t>
      </w:r>
      <w:r w:rsidR="00F51E55">
        <w:t>(zowel renterisico als zakelijke waarde risico) gegeven het toekomstige verdienvermogen (menselijk kapitaal)</w:t>
      </w:r>
      <w:r w:rsidRPr="00611F59" w:rsidR="00030AE3">
        <w:t xml:space="preserve">. </w:t>
      </w:r>
    </w:p>
    <w:p w:rsidRPr="00611F59" w:rsidR="002E7A68" w:rsidP="00F44EC4" w:rsidRDefault="002E7A68" w14:paraId="01917235" w14:textId="77777777"/>
    <w:p w:rsidRPr="00611F59" w:rsidR="00030AE3" w:rsidP="00F44EC4" w:rsidRDefault="00030AE3" w14:paraId="1211766E" w14:textId="5B9E579C">
      <w:r w:rsidRPr="00611F59">
        <w:t>Naast het renterisico speelt het inflatierisico ook een rol in het beleggingsproces. Voor deelnemers is het immers van belang dat bescherming wordt geboden tegen inflatie, wat ook in de A</w:t>
      </w:r>
      <w:r w:rsidR="002E7A68">
        <w:t>OW-uitkering</w:t>
      </w:r>
      <w:r w:rsidRPr="00611F59">
        <w:t xml:space="preserve"> centraal staat, en er perspectief is op een koopkrachtig pensioen. Om dit te bereiken kunnen pensioenfondsen kiezen voor beleggingen die beschermen tegen inflatie, zoals inflatieswaps of aan inflatie gerelateerde obligaties</w:t>
      </w:r>
      <w:r>
        <w:t xml:space="preserve"> of </w:t>
      </w:r>
      <w:r w:rsidR="002E7A68">
        <w:t>-</w:t>
      </w:r>
      <w:r>
        <w:t>beleggingscategorieën</w:t>
      </w:r>
      <w:r w:rsidRPr="00611F59">
        <w:t xml:space="preserve">. </w:t>
      </w:r>
      <w:r>
        <w:t>In voorkomende gevallen</w:t>
      </w:r>
      <w:r w:rsidRPr="00611F59">
        <w:t xml:space="preserve"> zijn deze markten </w:t>
      </w:r>
      <w:r>
        <w:t xml:space="preserve">echter </w:t>
      </w:r>
      <w:r w:rsidRPr="00611F59">
        <w:t xml:space="preserve">te klein om het inflatierisico voor alle Nederlandse pensioenfondsen in voldoende mate te kunnen afdekken. Daarom is het ook van belang dat pensioenfondsen beleggingsrisico’s nemen </w:t>
      </w:r>
      <w:r w:rsidRPr="00077B15">
        <w:t>en veranderingen in de feitelijke inflatie kunnen opvangen</w:t>
      </w:r>
      <w:r w:rsidRPr="00611F59">
        <w:t>. Hierbij is het overrendement het verschil tussen het gerealiseerde rendement en beschermingsrendement tegen renterisico. Bij een aandelenindex zoals de MSCI en de S&amp;P500</w:t>
      </w:r>
      <w:r>
        <w:t>-</w:t>
      </w:r>
      <w:r w:rsidRPr="00611F59">
        <w:t>index spelen uitvoeringskosten en het afdekken van het renterisico geen rol en zijn om die reden niet direct vergelijkbaar</w:t>
      </w:r>
      <w:r>
        <w:t xml:space="preserve"> met rendementen van fondsen</w:t>
      </w:r>
      <w:r w:rsidRPr="00611F59">
        <w:t>.</w:t>
      </w:r>
      <w:r w:rsidR="003E3F74">
        <w:t xml:space="preserve"> </w:t>
      </w:r>
    </w:p>
    <w:p w:rsidR="00D0583B" w:rsidP="00F44EC4" w:rsidRDefault="00D0583B" w14:paraId="7F72EBBA" w14:textId="77777777">
      <w:pPr>
        <w:rPr>
          <w:b/>
          <w:bCs/>
        </w:rPr>
      </w:pPr>
    </w:p>
    <w:p w:rsidRPr="00611F59" w:rsidR="00030AE3" w:rsidP="00F44EC4" w:rsidRDefault="00030AE3" w14:paraId="42F9256A" w14:textId="745BC3C9">
      <w:pPr>
        <w:rPr>
          <w:b/>
          <w:bCs/>
        </w:rPr>
      </w:pPr>
      <w:r w:rsidRPr="00611F59">
        <w:rPr>
          <w:b/>
          <w:bCs/>
        </w:rPr>
        <w:t>Pensioenfondsen handelen in het belang van de deelnemer</w:t>
      </w:r>
    </w:p>
    <w:p w:rsidR="00F30994" w:rsidP="00F44EC4" w:rsidRDefault="00030AE3" w14:paraId="1DA88EFF" w14:textId="78CC51E3">
      <w:pPr>
        <w:rPr>
          <w:rFonts w:cs="Arial"/>
        </w:rPr>
      </w:pPr>
      <w:r w:rsidRPr="00611F59">
        <w:t xml:space="preserve">Het fondsbestuur heeft ruimte binnen het wettelijk kader om het strategisch beleggingsbeleid en de uitvoering hiervan in te richten. Daarbij moet zij ook een afweging maken tussen stabiliteit in de uitkering en de groei van de pensioenuitkering. Bij hun keuzes houden ze rekening met het </w:t>
      </w:r>
      <w:r w:rsidRPr="00611F59">
        <w:rPr>
          <w:i/>
          <w:iCs/>
        </w:rPr>
        <w:t>prudent person</w:t>
      </w:r>
      <w:r w:rsidRPr="00611F59">
        <w:t xml:space="preserve"> beginsel. Dit betekent dat een pensioenfonds </w:t>
      </w:r>
      <w:r>
        <w:t>moet beleggen</w:t>
      </w:r>
      <w:r w:rsidRPr="00611F59">
        <w:t xml:space="preserve"> in het belang van de (gewezen) deelnemers en pensioengerechtigden (hierna in het kort ‘deelnemers’). </w:t>
      </w:r>
      <w:r w:rsidRPr="00403EED">
        <w:rPr>
          <w:rFonts w:cs="Arial"/>
        </w:rPr>
        <w:t xml:space="preserve">In ieder geval wordt daarmee bedoeld het financiële belang van deelnemers te waarborgen. Eerder heeft mijn ambtsvoorganger uitvoering gegeven aan de </w:t>
      </w:r>
      <w:r w:rsidR="002E7A68">
        <w:rPr>
          <w:rFonts w:cs="Arial"/>
        </w:rPr>
        <w:t>onderzoe</w:t>
      </w:r>
      <w:r w:rsidR="00F30994">
        <w:rPr>
          <w:rFonts w:cs="Arial"/>
        </w:rPr>
        <w:t>k</w:t>
      </w:r>
      <w:r w:rsidR="002E7A68">
        <w:rPr>
          <w:rFonts w:cs="Arial"/>
        </w:rPr>
        <w:t>s</w:t>
      </w:r>
      <w:r w:rsidRPr="00403EED">
        <w:rPr>
          <w:rFonts w:cs="Arial"/>
        </w:rPr>
        <w:t>motie Aartsen waarin is verkend hoe toe</w:t>
      </w:r>
      <w:r w:rsidR="002E7A68">
        <w:rPr>
          <w:rFonts w:cs="Arial"/>
        </w:rPr>
        <w:t>zichts</w:t>
      </w:r>
      <w:r w:rsidRPr="00403EED">
        <w:rPr>
          <w:rFonts w:cs="Arial"/>
        </w:rPr>
        <w:t>kaders kunnen worden aangescherpt om te waarborgen dat wordt belegd in het belang van de deelnemer.</w:t>
      </w:r>
      <w:r w:rsidRPr="00611F59">
        <w:rPr>
          <w:rStyle w:val="Voetnootmarkering"/>
          <w:rFonts w:cs="Arial"/>
        </w:rPr>
        <w:footnoteReference w:id="3"/>
      </w:r>
      <w:r w:rsidRPr="00403EED">
        <w:rPr>
          <w:rFonts w:cs="Arial"/>
          <w:vertAlign w:val="superscript"/>
        </w:rPr>
        <w:t>,</w:t>
      </w:r>
      <w:r w:rsidRPr="00611F59">
        <w:rPr>
          <w:rStyle w:val="Voetnootmarkering"/>
          <w:rFonts w:cs="Arial"/>
        </w:rPr>
        <w:footnoteReference w:id="4"/>
      </w:r>
      <w:r w:rsidR="002E7A68">
        <w:rPr>
          <w:rFonts w:cs="Arial"/>
        </w:rPr>
        <w:t xml:space="preserve"> De conclusie </w:t>
      </w:r>
      <w:r w:rsidR="00F30994">
        <w:rPr>
          <w:rFonts w:cs="Arial"/>
        </w:rPr>
        <w:t>is dat de huidige toezichtskaders daarop reeds voldoende zijn ingericht.</w:t>
      </w:r>
    </w:p>
    <w:p w:rsidR="00F30994" w:rsidP="00F44EC4" w:rsidRDefault="00F30994" w14:paraId="4FBDCBCC" w14:textId="77777777">
      <w:pPr>
        <w:rPr>
          <w:rFonts w:cs="Arial"/>
        </w:rPr>
      </w:pPr>
    </w:p>
    <w:p w:rsidR="00030AE3" w:rsidP="00F44EC4" w:rsidRDefault="00030AE3" w14:paraId="58E026D3" w14:textId="2EEB0A35">
      <w:r w:rsidRPr="00611F59">
        <w:t xml:space="preserve">Deelnemers kunnen in het algemeen niet zelf kiezen aan welke pensioenregeling zij deelnemen en zijn via hun werkgever verplicht deel te nemen aan de regeling van hun pensioenfonds. Daarom worden er wettelijke eisen gesteld aan de beleggingen van pensioenfondsen. </w:t>
      </w:r>
      <w:r w:rsidRPr="00403EED">
        <w:rPr>
          <w:rFonts w:cs="Arial"/>
        </w:rPr>
        <w:t xml:space="preserve">Het is wettelijk voorgeschreven dat de financiële waarden worden belegd zodanig dat het rendement van de portefeuille </w:t>
      </w:r>
      <w:r w:rsidRPr="00403EED">
        <w:rPr>
          <w:rFonts w:cs="Arial"/>
        </w:rPr>
        <w:lastRenderedPageBreak/>
        <w:t>als geheel is gewaarborgd evenals de veiligheid, de kwaliteit en de liquiditeit</w:t>
      </w:r>
      <w:r w:rsidRPr="00611F59">
        <w:t>.</w:t>
      </w:r>
      <w:r w:rsidRPr="00611F59">
        <w:rPr>
          <w:rStyle w:val="Voetnootmarkering"/>
        </w:rPr>
        <w:footnoteReference w:id="5"/>
      </w:r>
      <w:r w:rsidRPr="00611F59">
        <w:t xml:space="preserve"> </w:t>
      </w:r>
      <w:r w:rsidR="00F30994">
        <w:t>Fondsen</w:t>
      </w:r>
      <w:r w:rsidRPr="00611F59">
        <w:t xml:space="preserve"> moeten onder andere beleggen in overeenstemming met de aard en de duur van de verplichtingen, dat wil zeggen, de toekomstige pensioenuitkeringen. Omdat pensioenen bij uitstek langetermijnbeleggingen vergen, moeten pensioenfondsen rekening houden met de risico’s, ook die op lange termijn. </w:t>
      </w:r>
      <w:r w:rsidR="00F30994">
        <w:t>Dit wordt door elk fonds vastgelegd in het strategisch beleggingsbeleid.</w:t>
      </w:r>
    </w:p>
    <w:p w:rsidRPr="002E7A68" w:rsidR="00F30994" w:rsidP="00F44EC4" w:rsidRDefault="00F30994" w14:paraId="77D5AE19" w14:textId="77777777">
      <w:pPr>
        <w:rPr>
          <w:rFonts w:cs="Arial"/>
        </w:rPr>
      </w:pPr>
    </w:p>
    <w:p w:rsidRPr="00611F59" w:rsidR="00030AE3" w:rsidP="00F44EC4" w:rsidRDefault="00030AE3" w14:paraId="2A3E3FC0" w14:textId="02D832A4">
      <w:r w:rsidRPr="00611F59">
        <w:t xml:space="preserve">Een pensioenfonds dient het strategisch beleggingsbeleid te vertalen naar een beleggingsplan, waarbij </w:t>
      </w:r>
      <w:r>
        <w:t>naast gedegen</w:t>
      </w:r>
      <w:r w:rsidR="00F30994">
        <w:t xml:space="preserve"> onderbouwd</w:t>
      </w:r>
      <w:r>
        <w:t xml:space="preserve"> beleggingsbeleid </w:t>
      </w:r>
      <w:r w:rsidRPr="00611F59">
        <w:t xml:space="preserve">ook beleid wordt opgesteld voor de beheersing van </w:t>
      </w:r>
      <w:r>
        <w:t xml:space="preserve">andere </w:t>
      </w:r>
      <w:r w:rsidRPr="00611F59">
        <w:t>relevante risico’s.</w:t>
      </w:r>
      <w:r w:rsidRPr="00611F59">
        <w:rPr>
          <w:rStyle w:val="Voetnootmarkering"/>
        </w:rPr>
        <w:footnoteReference w:id="6"/>
      </w:r>
      <w:r w:rsidRPr="00611F59">
        <w:t xml:space="preserve"> Naast inflatie en rente kunnen dit maatschappelijke- of klimaatrisico’s zijn met mogelijk ongunstige financiële impact voor beleggingen van pensioenfondsen.</w:t>
      </w:r>
      <w:r w:rsidRPr="00403EED">
        <w:rPr>
          <w:rFonts w:cs="Arial"/>
        </w:rPr>
        <w:t xml:space="preserve"> </w:t>
      </w:r>
      <w:r w:rsidRPr="00611F59">
        <w:t>Pensioenfondsen zullen deze risico’s dan ook moeten meenemen in hun eigen risicoanalyses.</w:t>
      </w:r>
      <w:r w:rsidRPr="00611F59">
        <w:rPr>
          <w:rStyle w:val="Voetnootmarkering"/>
        </w:rPr>
        <w:footnoteReference w:id="7"/>
      </w:r>
      <w:r w:rsidRPr="00611F59">
        <w:t xml:space="preserve"> Een pensioenfonds heeft als langetermijnbelegger direct te maken met de consequenties van niet-duurzame ecologische, economische of maatschappelijke ontwikkelingen op de toekomstige waarde van de beleggingen.</w:t>
      </w:r>
      <w:r w:rsidRPr="00611F59">
        <w:rPr>
          <w:rStyle w:val="Voetnootmarkering"/>
        </w:rPr>
        <w:footnoteReference w:id="8"/>
      </w:r>
      <w:r w:rsidRPr="00611F59">
        <w:t xml:space="preserve"> </w:t>
      </w:r>
      <w:r w:rsidRPr="00403EED">
        <w:rPr>
          <w:rFonts w:cs="Arial"/>
        </w:rPr>
        <w:t>Het niet meenemen van dergelijke risico’s zou wijzen op een gebrek aan bewustzijn over de potentiële financiële gevolgen van deze maatschappelijke- en klimaatrisico’s voor hun investeringen.</w:t>
      </w:r>
    </w:p>
    <w:p w:rsidR="00F30994" w:rsidP="00F44EC4" w:rsidRDefault="00F30994" w14:paraId="58401F53" w14:textId="77777777"/>
    <w:p w:rsidR="00030AE3" w:rsidP="00F44EC4" w:rsidRDefault="00030AE3" w14:paraId="31206D16" w14:textId="09F35CE9">
      <w:r w:rsidRPr="00611F59">
        <w:t xml:space="preserve">Om deze risico’s te beheersen en te mitigeren kan het fonds besluiten dat het nodig is om beleggingen in bepaalde regio’s en sectoren af te bouwen of bepaalde bedrijven uit te sluiten. </w:t>
      </w:r>
      <w:r>
        <w:t>Zo kan het zijn dat door toenemende regulering de langetermijnwinstgevendheid van bepaalde sectoren onder druk komt te staan, waardoor het niet in het belang zou zijn van deelnemers om daarin te beleggen, gezien</w:t>
      </w:r>
      <w:r w:rsidRPr="00611F59">
        <w:t xml:space="preserve"> dergelijke ondernemingen niet waardevast blijken te zijn. Pensioenfondsen moeten zich dus niet alleen richten op de korte termijn, maar moeten juist ook langetermijnontwikkelingen</w:t>
      </w:r>
      <w:r>
        <w:t xml:space="preserve"> en de belangen van hun deelnemers</w:t>
      </w:r>
      <w:r w:rsidRPr="00611F59">
        <w:t xml:space="preserve"> in ogenschouw nemen bij het kiezen van de beleggingen. </w:t>
      </w:r>
    </w:p>
    <w:p w:rsidRPr="00611F59" w:rsidR="00F30994" w:rsidP="00F44EC4" w:rsidRDefault="00F30994" w14:paraId="778D7145" w14:textId="77777777"/>
    <w:p w:rsidRPr="00611F59" w:rsidR="00030AE3" w:rsidP="00F44EC4" w:rsidRDefault="00030AE3" w14:paraId="4405B1A5" w14:textId="77777777">
      <w:r w:rsidRPr="00611F59">
        <w:t>Een pensioenfonds stelt voor de langere termijn een strategisch beleggingsbeleid vast dat aansluit bij de doelstellingen en beleidsuitgangspunten, waaronder de risicohouding, van het pensioenfonds en is gebaseerd op gedegen onderzoek.</w:t>
      </w:r>
      <w:r w:rsidRPr="00611F59">
        <w:rPr>
          <w:rStyle w:val="Voetnootmarkering"/>
        </w:rPr>
        <w:footnoteReference w:id="9"/>
      </w:r>
    </w:p>
    <w:p w:rsidRPr="00611F59" w:rsidR="00030AE3" w:rsidP="00F44EC4" w:rsidRDefault="00030AE3" w14:paraId="297CD9D0" w14:textId="6493DA9B">
      <w:r w:rsidRPr="00611F59">
        <w:t>Het achteraf beoordelen van de prestaties van de fondsmanagers in het uitvoeren van het strategische beleggingsbeleid vindt plaats op basis van gerealiseerde rendementen en gerealiseerde uitkomsten van benchmarks. Omdat het strategisch beleggingsbeleid op een andere dataset is gebaseerd dan de uitvoering van het beleggingsbeleid is het beter om het strategische beleggingsbeleid apart te bezien van de uitvoering. Dit betekent ook dat het gerealiseerde rendement van een pensioenfonds dat deels voortkomt uit beslissingen op basis van informatie vooraf, moeilijk vergeleken kan worden met de achteraf realisatie van aandelenindices.</w:t>
      </w:r>
      <w:r w:rsidR="003E3F74">
        <w:t xml:space="preserve"> </w:t>
      </w:r>
    </w:p>
    <w:p w:rsidR="00F30994" w:rsidP="00F44EC4" w:rsidRDefault="00F30994" w14:paraId="7FDD2081" w14:textId="77777777"/>
    <w:p w:rsidR="00030AE3" w:rsidP="00F44EC4" w:rsidRDefault="00030AE3" w14:paraId="35BCD65B" w14:textId="0F3DD28A">
      <w:r>
        <w:t xml:space="preserve">AFM ziet toe op het risicopreferentieonderzoek en </w:t>
      </w:r>
      <w:r w:rsidRPr="00611F59">
        <w:t xml:space="preserve">DNB ziet erop toe dat de </w:t>
      </w:r>
      <w:r>
        <w:t xml:space="preserve">voorgeschreven </w:t>
      </w:r>
      <w:r w:rsidRPr="00611F59">
        <w:t>stappen om te komen tot een</w:t>
      </w:r>
      <w:r>
        <w:t xml:space="preserve"> passend</w:t>
      </w:r>
      <w:r w:rsidRPr="00611F59">
        <w:t xml:space="preserve"> beleggingsbeleid door het fonds zijn doorlopen</w:t>
      </w:r>
      <w:r>
        <w:t xml:space="preserve"> en het bestuur de strategie periodiek herijkt indien nodig</w:t>
      </w:r>
      <w:r w:rsidRPr="00611F59">
        <w:t>. Daarbij wordt ook gekeken of verantwoordingsorganen (waarin deelnemers</w:t>
      </w:r>
      <w:r>
        <w:t xml:space="preserve"> en werkgevers</w:t>
      </w:r>
      <w:r w:rsidRPr="00611F59">
        <w:t xml:space="preserve"> zitting hebben) in voldoende mate betrokken zijn in het beslissingsproces.</w:t>
      </w:r>
      <w:r w:rsidRPr="00611F59">
        <w:rPr>
          <w:rStyle w:val="Voetnootmarkering"/>
        </w:rPr>
        <w:footnoteReference w:id="10"/>
      </w:r>
      <w:r w:rsidRPr="00611F59">
        <w:t xml:space="preserve"> Zo moet worden aangegeven en onderbouwd hoe met de </w:t>
      </w:r>
      <w:r w:rsidR="00F30994">
        <w:t>zienswijzen</w:t>
      </w:r>
      <w:r w:rsidRPr="00611F59">
        <w:t xml:space="preserve"> van de verantwoordingsorganen is omgegaan.</w:t>
      </w:r>
      <w:r w:rsidRPr="00611F59">
        <w:rPr>
          <w:rStyle w:val="Voetnootmarkering"/>
        </w:rPr>
        <w:footnoteReference w:id="11"/>
      </w:r>
      <w:r>
        <w:t xml:space="preserve"> </w:t>
      </w:r>
    </w:p>
    <w:p w:rsidR="00F30994" w:rsidP="00F44EC4" w:rsidRDefault="00F30994" w14:paraId="3654F94A" w14:textId="77777777"/>
    <w:p w:rsidR="00030AE3" w:rsidP="00F44EC4" w:rsidRDefault="00030AE3" w14:paraId="28783A13" w14:textId="51C2B98B">
      <w:r>
        <w:t xml:space="preserve">Er zijn verschillende stappen in de beleggingscyclus te onderscheiden waar DNB toezicht op houdt: </w:t>
      </w:r>
    </w:p>
    <w:p w:rsidRPr="009C6813" w:rsidR="00030AE3" w:rsidP="00F44EC4" w:rsidRDefault="00030AE3" w14:paraId="2758BCA7" w14:textId="6A2F0AA5">
      <w:pPr>
        <w:pStyle w:val="Lijstalinea"/>
        <w:numPr>
          <w:ilvl w:val="0"/>
          <w:numId w:val="12"/>
        </w:numPr>
        <w:rPr>
          <w:szCs w:val="18"/>
          <w:lang w:val="nl-NL"/>
        </w:rPr>
      </w:pPr>
      <w:r w:rsidRPr="009C6813">
        <w:rPr>
          <w:szCs w:val="18"/>
          <w:u w:val="single"/>
          <w:lang w:val="nl-NL"/>
        </w:rPr>
        <w:t>Vaststellen doelstellingen en beleidsuitgangspunten, waaronder risicohouding</w:t>
      </w:r>
      <w:r>
        <w:rPr>
          <w:szCs w:val="18"/>
          <w:lang w:val="nl-NL"/>
        </w:rPr>
        <w:t xml:space="preserve">: </w:t>
      </w:r>
      <w:r w:rsidRPr="009C6813">
        <w:rPr>
          <w:szCs w:val="18"/>
          <w:lang w:val="nl-NL"/>
        </w:rPr>
        <w:t>Een pensioenfonds formuleert doelstellingen en beleidsuitgangspunten, waaronder een risicohouding. De beleidsuitgangspunten bevatten onder anderen de beleggingsbeginselen van het pensioenfonds.</w:t>
      </w:r>
      <w:r>
        <w:rPr>
          <w:rStyle w:val="Voetnootmarkering"/>
          <w:szCs w:val="18"/>
          <w:lang w:val="nl-NL"/>
        </w:rPr>
        <w:footnoteReference w:id="12"/>
      </w:r>
    </w:p>
    <w:p w:rsidRPr="009C6813" w:rsidR="00030AE3" w:rsidP="00F44EC4" w:rsidRDefault="00030AE3" w14:paraId="124A0CAA" w14:textId="08BA2BF6">
      <w:pPr>
        <w:pStyle w:val="Lijstalinea"/>
        <w:rPr>
          <w:szCs w:val="18"/>
          <w:lang w:val="nl-NL"/>
        </w:rPr>
      </w:pPr>
      <w:r w:rsidRPr="009C6813">
        <w:rPr>
          <w:szCs w:val="18"/>
          <w:lang w:val="nl-NL"/>
        </w:rPr>
        <w:t>Het pensioenfonds legt na overleg met de fondsorganen de beleidsuitgangspunten en doelstellingen, waaronder de risicohouding vast. De beleidsuitgangspunten en doelstellingen, waaronder de risicohouding zijn een uitgangspunt voor vaststelling van het strategisch beleggingsbeleid in stap 2 van de cyclus.</w:t>
      </w:r>
      <w:r>
        <w:rPr>
          <w:rStyle w:val="Voetnootmarkering"/>
          <w:szCs w:val="18"/>
          <w:lang w:val="nl-NL"/>
        </w:rPr>
        <w:footnoteReference w:id="13"/>
      </w:r>
    </w:p>
    <w:p w:rsidRPr="009C6813" w:rsidR="00030AE3" w:rsidP="00F44EC4" w:rsidRDefault="00030AE3" w14:paraId="3DD49FDD" w14:textId="7B468D96">
      <w:pPr>
        <w:pStyle w:val="Lijstalinea"/>
        <w:numPr>
          <w:ilvl w:val="0"/>
          <w:numId w:val="12"/>
        </w:numPr>
        <w:rPr>
          <w:szCs w:val="18"/>
          <w:lang w:val="nl-NL"/>
        </w:rPr>
      </w:pPr>
      <w:r w:rsidRPr="009C6813">
        <w:rPr>
          <w:szCs w:val="18"/>
          <w:u w:val="single"/>
          <w:lang w:val="nl-NL"/>
        </w:rPr>
        <w:t>Strategisch beleggingsbeleid en beleggingsplan</w:t>
      </w:r>
      <w:r>
        <w:rPr>
          <w:szCs w:val="18"/>
          <w:lang w:val="nl-NL"/>
        </w:rPr>
        <w:t xml:space="preserve">: </w:t>
      </w:r>
      <w:r w:rsidRPr="009C6813">
        <w:rPr>
          <w:szCs w:val="18"/>
          <w:lang w:val="nl-NL"/>
        </w:rPr>
        <w:t>Een pensioenfonds stelt</w:t>
      </w:r>
      <w:r w:rsidR="00692164">
        <w:rPr>
          <w:szCs w:val="18"/>
          <w:lang w:val="nl-NL"/>
        </w:rPr>
        <w:t xml:space="preserve"> </w:t>
      </w:r>
      <w:r w:rsidRPr="009C6813">
        <w:rPr>
          <w:szCs w:val="18"/>
          <w:lang w:val="nl-NL"/>
        </w:rPr>
        <w:t>voor de langere termijn een strategisch beleggingsbeleid vast dat aansluit bij de doelstellingen en beleidsuitgangspunten, waaronder de risicohouding, van het pensioenfonds en is gebaseerd op gedegen onderzoek.</w:t>
      </w:r>
      <w:r w:rsidR="00692164">
        <w:rPr>
          <w:rStyle w:val="Voetnootmarkering"/>
          <w:szCs w:val="18"/>
          <w:lang w:val="nl-NL"/>
        </w:rPr>
        <w:footnoteReference w:id="14"/>
      </w:r>
      <w:r>
        <w:rPr>
          <w:szCs w:val="18"/>
          <w:lang w:val="nl-NL"/>
        </w:rPr>
        <w:t xml:space="preserve"> </w:t>
      </w:r>
      <w:r w:rsidRPr="009C6813">
        <w:rPr>
          <w:szCs w:val="18"/>
          <w:lang w:val="nl-NL"/>
        </w:rPr>
        <w:t>Het strategisch beleggingsbeleid wordt in een beleggingsplan uitgewerkt. In het beleggingsplan neemt het fonds concrete en gedetailleerde richtniveaus en bandbreedtes per beleggingscategorie op.</w:t>
      </w:r>
      <w:r w:rsidRPr="009C6813">
        <w:rPr>
          <w:szCs w:val="18"/>
          <w:lang w:val="nl-NL"/>
        </w:rPr>
        <w:br/>
        <w:t>Zowel stap 1 als stap 2 zijn gebaseerd op gedegen onderzoek dat zowel kwalitatief als kwantitatief van aard is.</w:t>
      </w:r>
    </w:p>
    <w:p w:rsidRPr="009C6813" w:rsidR="00030AE3" w:rsidP="00F44EC4" w:rsidRDefault="00030AE3" w14:paraId="2105AD6A" w14:textId="3442D391">
      <w:pPr>
        <w:pStyle w:val="Lijstalinea"/>
        <w:numPr>
          <w:ilvl w:val="0"/>
          <w:numId w:val="12"/>
        </w:numPr>
        <w:rPr>
          <w:szCs w:val="18"/>
          <w:lang w:val="nl-NL"/>
        </w:rPr>
      </w:pPr>
      <w:r w:rsidRPr="009C6813">
        <w:rPr>
          <w:szCs w:val="18"/>
          <w:u w:val="single"/>
          <w:lang w:val="nl-NL"/>
        </w:rPr>
        <w:t>Implementatie en uitbesteding:</w:t>
      </w:r>
      <w:r>
        <w:rPr>
          <w:szCs w:val="18"/>
          <w:lang w:val="nl-NL"/>
        </w:rPr>
        <w:t xml:space="preserve"> </w:t>
      </w:r>
      <w:r w:rsidRPr="009C6813">
        <w:rPr>
          <w:szCs w:val="18"/>
          <w:lang w:val="nl-NL"/>
        </w:rPr>
        <w:t>Bij het onderdeel ‘Implementatie en uitbesteding’ van de beleggingscyclus wordt – via een beleggingsplan - op productniveau invulling gegeven aan de beleggingsportefeuille. Ook richt een pensioenfonds de rapportages in die nodig zijn voor de fase ‘Monitoring en uitvoering’ en stelt de evaluatiecriteria op.</w:t>
      </w:r>
      <w:r>
        <w:rPr>
          <w:szCs w:val="18"/>
          <w:lang w:val="nl-NL"/>
        </w:rPr>
        <w:t xml:space="preserve"> </w:t>
      </w:r>
      <w:r w:rsidRPr="009C6813">
        <w:rPr>
          <w:szCs w:val="18"/>
          <w:lang w:val="nl-NL"/>
        </w:rPr>
        <w:t>In het geval van uitbesteding van vermogensbeheer, geldt dat de opdracht die het pensioenfonds geeft aan de vermogensbeheerder (het beleggingsmandaat) dient aan te sluiten op het strategische beleggingsbeleid en het beleggingsplan.</w:t>
      </w:r>
      <w:r w:rsidR="00692164">
        <w:rPr>
          <w:rStyle w:val="Voetnootmarkering"/>
          <w:szCs w:val="18"/>
          <w:lang w:val="nl-NL"/>
        </w:rPr>
        <w:footnoteReference w:id="15"/>
      </w:r>
      <w:r w:rsidRPr="009C6813">
        <w:rPr>
          <w:szCs w:val="18"/>
          <w:lang w:val="nl-NL"/>
        </w:rPr>
        <w:t xml:space="preserve"> Een sluitende set afspraken en richtlijnen is nodig tussen pensioenfonds en vermogensbeheerder om de opdracht te begrenzen in aansluiting op het vastgestelde beleid.</w:t>
      </w:r>
      <w:r>
        <w:rPr>
          <w:szCs w:val="18"/>
          <w:lang w:val="nl-NL"/>
        </w:rPr>
        <w:t xml:space="preserve"> </w:t>
      </w:r>
      <w:r w:rsidRPr="009C6813">
        <w:rPr>
          <w:szCs w:val="18"/>
          <w:lang w:val="nl-NL"/>
        </w:rPr>
        <w:t>Daarnaast moeten pensioenfondsen vooraf een concrete kwalitatieve en kwantitatieve selectie- en beoordelingsprocedure vastleggen voor externe vermogensbeheerders met concrete prestatie-indicatoren</w:t>
      </w:r>
      <w:r>
        <w:rPr>
          <w:szCs w:val="18"/>
          <w:lang w:val="nl-NL"/>
        </w:rPr>
        <w:t xml:space="preserve">. </w:t>
      </w:r>
      <w:r w:rsidRPr="009C6813">
        <w:rPr>
          <w:szCs w:val="18"/>
          <w:lang w:val="nl-NL"/>
        </w:rPr>
        <w:t xml:space="preserve">Hiermee </w:t>
      </w:r>
      <w:r w:rsidRPr="009C6813">
        <w:rPr>
          <w:szCs w:val="18"/>
          <w:lang w:val="nl-NL"/>
        </w:rPr>
        <w:lastRenderedPageBreak/>
        <w:t>voorkomt het pensioenfonds dat de vermogensbeheerder in de uitvoering van zijn mandaat meer risico’s neemt dan het pensioenfonds beoogt.</w:t>
      </w:r>
    </w:p>
    <w:p w:rsidR="00030AE3" w:rsidP="00F44EC4" w:rsidRDefault="00030AE3" w14:paraId="71DA83F6" w14:textId="77777777">
      <w:pPr>
        <w:pStyle w:val="Lijstalinea"/>
        <w:numPr>
          <w:ilvl w:val="0"/>
          <w:numId w:val="12"/>
        </w:numPr>
        <w:rPr>
          <w:szCs w:val="18"/>
          <w:lang w:val="nl-NL"/>
        </w:rPr>
      </w:pPr>
      <w:r w:rsidRPr="009C6813">
        <w:rPr>
          <w:szCs w:val="18"/>
          <w:u w:val="single"/>
          <w:lang w:val="nl-NL"/>
        </w:rPr>
        <w:t>Monitoring en uitvoering</w:t>
      </w:r>
      <w:r w:rsidRPr="009C6813">
        <w:rPr>
          <w:szCs w:val="18"/>
          <w:lang w:val="nl-NL"/>
        </w:rPr>
        <w:t>:</w:t>
      </w:r>
      <w:r>
        <w:rPr>
          <w:szCs w:val="18"/>
          <w:lang w:val="nl-NL"/>
        </w:rPr>
        <w:t xml:space="preserve"> </w:t>
      </w:r>
      <w:r w:rsidRPr="009C6813">
        <w:rPr>
          <w:szCs w:val="18"/>
          <w:lang w:val="nl-NL"/>
        </w:rPr>
        <w:t>Bij de fase ‘Monitoring en uitvoering’ worden de rapportages over de uitvoering van het beleggingsplan gemonitord door het pensioenfonds. Hierbij wordt van een pensioenfonds verwacht dat de rapportages onder meer adequaat inzicht geven in beheersing van de risico’s.</w:t>
      </w:r>
    </w:p>
    <w:p w:rsidRPr="009C6813" w:rsidR="00030AE3" w:rsidP="00F44EC4" w:rsidRDefault="00030AE3" w14:paraId="67056701" w14:textId="7AC86D6B">
      <w:pPr>
        <w:pStyle w:val="Lijstalinea"/>
        <w:numPr>
          <w:ilvl w:val="0"/>
          <w:numId w:val="12"/>
        </w:numPr>
        <w:rPr>
          <w:szCs w:val="18"/>
          <w:lang w:val="nl-NL"/>
        </w:rPr>
      </w:pPr>
      <w:r w:rsidRPr="009C6813">
        <w:rPr>
          <w:szCs w:val="18"/>
          <w:u w:val="single"/>
          <w:lang w:val="nl-NL"/>
        </w:rPr>
        <w:t>Evaluatie en bijsturen</w:t>
      </w:r>
      <w:r w:rsidRPr="009C6813">
        <w:rPr>
          <w:szCs w:val="18"/>
          <w:lang w:val="nl-NL"/>
        </w:rPr>
        <w:t>: In de laatste stap ‘Evaluatie en bijsturen’ vindt periodiek een evaluatie en herbeoordeling plaats van het strategisch beleggingsbeleid, beleggingsplan en de uitvoering (waaronder de uitbesteding aan vermogensbeheerders).</w:t>
      </w:r>
      <w:r w:rsidR="00692164">
        <w:rPr>
          <w:rStyle w:val="Voetnootmarkering"/>
          <w:szCs w:val="18"/>
          <w:lang w:val="nl-NL"/>
        </w:rPr>
        <w:footnoteReference w:id="16"/>
      </w:r>
      <w:r w:rsidR="00692164">
        <w:rPr>
          <w:szCs w:val="18"/>
          <w:lang w:val="nl-NL"/>
        </w:rPr>
        <w:t xml:space="preserve"> </w:t>
      </w:r>
      <w:r w:rsidRPr="009C6813">
        <w:rPr>
          <w:szCs w:val="18"/>
          <w:lang w:val="nl-NL"/>
        </w:rPr>
        <w:t>Bij de evaluatie wordt ook beoordeeld of de betreffende vermogensbeheerder nog steeds binnen de beleggingsportefeuille past.</w:t>
      </w:r>
      <w:r>
        <w:rPr>
          <w:rStyle w:val="Voetnootmarkering"/>
          <w:szCs w:val="18"/>
          <w:lang w:val="nl-NL"/>
        </w:rPr>
        <w:footnoteReference w:id="17"/>
      </w:r>
    </w:p>
    <w:p w:rsidRPr="00611F59" w:rsidR="00030AE3" w:rsidP="00F44EC4" w:rsidRDefault="00030AE3" w14:paraId="554D8E45" w14:textId="77777777">
      <w:pPr>
        <w:rPr>
          <w:b/>
          <w:bCs/>
        </w:rPr>
      </w:pPr>
      <w:r w:rsidRPr="00611F59">
        <w:rPr>
          <w:b/>
          <w:bCs/>
        </w:rPr>
        <w:t>De risicohouding van deelnemers</w:t>
      </w:r>
    </w:p>
    <w:p w:rsidRPr="00611F59" w:rsidR="00030AE3" w:rsidP="00F44EC4" w:rsidRDefault="00030AE3" w14:paraId="1B57BF0A" w14:textId="77777777">
      <w:r w:rsidRPr="00611F59">
        <w:t xml:space="preserve">Om in lijn met de deelnemersbelangen te kunnen handelen moeten pensioenfondsen de risicohouding van hun deelnemers, slapers en gepensioneerden bepalen. Het gaat hierbij om welke beleggingsrisico’s deelnemers willen en </w:t>
      </w:r>
      <w:r w:rsidRPr="00236F83">
        <w:t>kunnen</w:t>
      </w:r>
      <w:r w:rsidRPr="00611F59">
        <w:t xml:space="preserve"> nemen. Dit begrenst het beleggingsrisico in het beleggingsbeleid en daarmee ook de prestaties van pensioenfondsen op het gebied van rendement. </w:t>
      </w:r>
    </w:p>
    <w:p w:rsidR="00030AE3" w:rsidP="00F44EC4" w:rsidRDefault="00030AE3" w14:paraId="1048B189" w14:textId="77777777">
      <w:r w:rsidRPr="00611F59">
        <w:t>Pensioenfondsen doorlopen voor het bepalen van de risicohouding een cyclus waarbij als eerste een risicopreferentie-onderzoek (RPO) wordt gehouden onder deelnemers om hun risico-aversie en daarmee het beleggingsrisico dat zij willen nemen te kunnen bepalen.</w:t>
      </w:r>
      <w:r w:rsidRPr="00611F59">
        <w:rPr>
          <w:rStyle w:val="Voetnootmarkering"/>
        </w:rPr>
        <w:footnoteReference w:id="18"/>
      </w:r>
      <w:r w:rsidRPr="00611F59">
        <w:t xml:space="preserve"> </w:t>
      </w:r>
    </w:p>
    <w:p w:rsidRPr="00611F59" w:rsidR="00236F83" w:rsidP="00F44EC4" w:rsidRDefault="00236F83" w14:paraId="2078AD63" w14:textId="77777777"/>
    <w:p w:rsidR="00030AE3" w:rsidP="00F44EC4" w:rsidRDefault="00030AE3" w14:paraId="4FCF9283" w14:textId="77777777">
      <w:r w:rsidRPr="00611F59">
        <w:t>Het beleggingsrisico dat deelnemers kunnen lopen</w:t>
      </w:r>
      <w:r>
        <w:t>,</w:t>
      </w:r>
      <w:r w:rsidRPr="00611F59">
        <w:t xml:space="preserve"> wordt beoordeeld op basis van de kenmerken van de deelnemerspopulatie en wetenschappelijke inzichten. Daarbij wordt met name naar leeftijd gekeken en de lifecycle-beleggingstheorie toegepast.</w:t>
      </w:r>
      <w:r w:rsidRPr="00611F59">
        <w:rPr>
          <w:rStyle w:val="Voetnootmarkering"/>
        </w:rPr>
        <w:footnoteReference w:id="19"/>
      </w:r>
      <w:r w:rsidRPr="00611F59">
        <w:t xml:space="preserve"> Hierbij is de gedachte dat een jongere meer beleggingsrisico op zich kan nemen dan een oudere deelnemer, omdat hij nog veel menselijk kapitaal en een arbeidsleven voor zich heeft, waaruit toekomstige pensioenpremies kunnen worden betaald. </w:t>
      </w:r>
    </w:p>
    <w:p w:rsidRPr="00611F59" w:rsidR="00236F83" w:rsidP="00F44EC4" w:rsidRDefault="00236F83" w14:paraId="3914BF5D" w14:textId="77777777"/>
    <w:p w:rsidR="00030AE3" w:rsidP="00F44EC4" w:rsidRDefault="00030AE3" w14:paraId="693478D7" w14:textId="77777777">
      <w:r w:rsidRPr="00611F59">
        <w:t xml:space="preserve">Gezamenlijk bepalen de beleggingsrisico’s die deelnemers kunnen en willen nemen de risicohouding van het deelnemersbestand. In de risicohouding worden het minimum rendement en het maximum risico bepaald waar binnen het strategische beleggingsbeleid kan worden vorm gegeven. Voor de jaarlijkse toetsing van het beleggingsbeleid aan deze maatstaven moeten de scenariosets van DNB worden gebruikt. Mocht het beleggingsbeleid en de toedeling van rendement niet binnen de kaders van de risicohouding vallen dan moeten deze worden aangepast. </w:t>
      </w:r>
    </w:p>
    <w:p w:rsidRPr="00611F59" w:rsidR="00030AE3" w:rsidP="00030AE3" w:rsidRDefault="00030AE3" w14:paraId="1D0CB45D" w14:textId="77777777"/>
    <w:p w:rsidR="00030AE3" w:rsidP="00030AE3" w:rsidRDefault="00030AE3" w14:paraId="0B70089D" w14:textId="77777777">
      <w:pPr>
        <w:rPr>
          <w:b/>
          <w:bCs/>
        </w:rPr>
      </w:pPr>
      <w:r>
        <w:rPr>
          <w:noProof/>
        </w:rPr>
        <w:lastRenderedPageBreak/>
        <mc:AlternateContent>
          <mc:Choice Requires="wps">
            <w:drawing>
              <wp:anchor distT="0" distB="0" distL="114300" distR="114300" simplePos="false" relativeHeight="251659264" behindDoc="false" locked="false" layoutInCell="true" allowOverlap="true" wp14:editId="396B9B90" wp14:anchorId="7ACD84C6">
                <wp:simplePos x="0" y="0"/>
                <wp:positionH relativeFrom="column">
                  <wp:posOffset>-57150</wp:posOffset>
                </wp:positionH>
                <wp:positionV relativeFrom="paragraph">
                  <wp:posOffset>0</wp:posOffset>
                </wp:positionV>
                <wp:extent cx="1828800" cy="1828800"/>
                <wp:effectExtent l="0" t="0" r="20955" b="12065"/>
                <wp:wrapSquare wrapText="bothSides"/>
                <wp:docPr id="1091191182" name="Tekstvak 1"/>
                <wp:cNvGraphicFramePr/>
                <a:graphic>
                  <a:graphicData uri="http://schemas.microsoft.com/office/word/2010/wordprocessingShape">
                    <wps:wsp>
                      <wps:cNvSpPr txBox="true"/>
                      <wps:spPr>
                        <a:xfrm>
                          <a:off x="0" y="0"/>
                          <a:ext cx="1828800" cy="1828800"/>
                        </a:xfrm>
                        <a:prstGeom prst="rect">
                          <a:avLst/>
                        </a:prstGeom>
                        <a:noFill/>
                        <a:ln w="19050">
                          <a:solidFill>
                            <a:prstClr val="black"/>
                          </a:solidFill>
                        </a:ln>
                      </wps:spPr>
                      <wps:txbx>
                        <w:txbxContent>
                          <w:p w:rsidRPr="00D427C7" w:rsidR="00030AE3" w:rsidP="00A75BA1" w:rsidRDefault="00030AE3" w14:paraId="5B3F9B47" w14:textId="77777777">
                            <w:pPr>
                              <w:rPr>
                                <w:i/>
                                <w:iCs/>
                              </w:rPr>
                            </w:pPr>
                            <w:r w:rsidRPr="00D427C7">
                              <w:rPr>
                                <w:i/>
                                <w:iCs/>
                              </w:rPr>
                              <w:t xml:space="preserve">De performancetoets </w:t>
                            </w:r>
                          </w:p>
                          <w:p w:rsidRPr="00225912" w:rsidR="00030AE3" w:rsidP="00A75BA1" w:rsidRDefault="00030AE3" w14:paraId="3234D9BF" w14:textId="283898EC">
                            <w:r w:rsidRPr="00D427C7">
                              <w:t xml:space="preserve">Bedrijfstakpensioenfondsen die vallen onder de verplichtstelling kennen </w:t>
                            </w:r>
                            <w:r w:rsidR="00F51E55">
                              <w:t xml:space="preserve">– naast de maatstaven voor risicohouding – </w:t>
                            </w:r>
                            <w:r w:rsidRPr="00D427C7">
                              <w:t xml:space="preserve">een performancetoets, die recent vernieuwd is en vanaf 1 januari 2028 in zal gaan. In deze performancetoets wordt op basis van benchmarks die pensioenfondsen intern hanteren of publieke beschikbaar zijn </w:t>
                            </w:r>
                            <w:r>
                              <w:rPr>
                                <w:i/>
                                <w:iCs/>
                              </w:rPr>
                              <w:t>prestaties</w:t>
                            </w:r>
                            <w:r w:rsidRPr="00D427C7">
                              <w:t xml:space="preserve"> gemeten over een periode van 5 jaar. </w:t>
                            </w:r>
                            <w:r>
                              <w:t>Onderprestaties zijn</w:t>
                            </w:r>
                            <w:r w:rsidRPr="00D427C7">
                              <w:t xml:space="preserve"> hier gedefinieerd als prestaties die vallen onder de 5% slechts mogelijk</w:t>
                            </w:r>
                            <w:r w:rsidR="00A75BA1">
                              <w:t>e</w:t>
                            </w:r>
                            <w:r w:rsidRPr="00D427C7">
                              <w:t xml:space="preserve"> uitkomsten. Als </w:t>
                            </w:r>
                            <w:r>
                              <w:t xml:space="preserve">geconstateerd wordt dat </w:t>
                            </w:r>
                            <w:r w:rsidRPr="00D427C7">
                              <w:t xml:space="preserve">een bedrijfstakpensioenfonds </w:t>
                            </w:r>
                            <w:r>
                              <w:t xml:space="preserve">onderpresteert, </w:t>
                            </w:r>
                            <w:r w:rsidRPr="00D427C7">
                              <w:t xml:space="preserve">hebben aangesloten werkgevers de mogelijkheid om uit te treden uit het pensioenfonds, mits zij een pensioenregeling aanbieden die gelijkwaardig is aan de pensioenregeling die het bedrijfstakpensioenfonds aanbiedt. Op deze manier is een waarborg ingebouwd dat als er sprake is van </w:t>
                            </w:r>
                            <w:r>
                              <w:t xml:space="preserve">een </w:t>
                            </w:r>
                            <w:r w:rsidRPr="00D427C7">
                              <w:t>evidente onderprestatie van een pensioenfonds werkgevers handelingsperspectief hebben. Deze benchmarks houden rekening met verschillen tussen pensioenfondsen in leeftijdsopbouw en risicohouding. Zij houden ook rekening met verschillende beleggingscategorieën die pensioenfondsen gebruiken om in te beleggen met verschillen in bijvoorbeeld in geografie binnen beleggingscategorieën. Daarmee meet deze performancetoets de prestaties die zijn geleverd in de uitvoering van het strategische beleid.</w:t>
                            </w:r>
                            <w:r w:rsidR="003E3F74">
                              <w:t xml:space="preserve"> </w:t>
                            </w:r>
                          </w:p>
                        </w:txbxContent>
                      </wps:txbx>
                      <wps:bodyPr rot="0" spcFirstLastPara="false" vertOverflow="overflow" horzOverflow="overflow" vert="horz" wrap="none" lIns="91440" tIns="45720" rIns="91440" bIns="45720" numCol="1" spcCol="0" rtlCol="false" fromWordArt="false" anchor="t" anchorCtr="false" forceAA="false" compatLnSpc="true">
                        <a:prstTxWarp prst="textNoShape">
                          <a:avLst/>
                        </a:prstTxWarp>
                        <a:spAutoFit/>
                      </wps:bodyPr>
                    </wps:wsp>
                  </a:graphicData>
                </a:graphic>
              </wp:anchor>
            </w:drawing>
          </mc:Choice>
          <mc:Fallback>
            <w:pict>
              <v:shapetype id="_x0000_t202" coordsize="21600,21600" o:spt="202.0" path="m,l,21600r21600,l21600,xe">
                <v:stroke joinstyle="miter"/>
                <v:path gradientshapeok="t" o:connecttype="rect"/>
              </v:shapetype>
              <v:shape id="Tekstvak 1" style="position:absolute;margin-left:-4.5pt;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weight="1.5pt" type="#_x0000_t20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">
                <v:textbox style="mso-fit-shape-to-text:t">
                  <w:txbxContent>
                    <w:p w:rsidRPr="00D427C7" w:rsidR="00030AE3" w:rsidP="00A75BA1" w:rsidRDefault="00030AE3" w14:paraId="5B3F9B47" w14:textId="77777777">
                      <w:pPr>
                        <w:rPr>
                          <w:i/>
                          <w:iCs/>
                        </w:rPr>
                      </w:pPr>
                      <w:r w:rsidRPr="00D427C7">
                        <w:rPr>
                          <w:i/>
                          <w:iCs/>
                        </w:rPr>
                        <w:t xml:space="preserve">De performancetoets </w:t>
                      </w:r>
                    </w:p>
                    <w:p w:rsidRPr="00225912" w:rsidR="00030AE3" w:rsidP="00A75BA1" w:rsidRDefault="00030AE3" w14:paraId="3234D9BF" w14:textId="283898EC">
                      <w:r w:rsidRPr="00D427C7">
                        <w:t xml:space="preserve">Bedrijfstakpensioenfondsen die vallen onder de verplichtstelling kennen </w:t>
                      </w:r>
                      <w:r w:rsidR="00F51E55">
                        <w:t xml:space="preserve">– naast de maatstaven voor risicohouding – </w:t>
                      </w:r>
                      <w:r w:rsidRPr="00D427C7">
                        <w:t xml:space="preserve">een performancetoets, die recent vernieuwd is en vanaf 1 januari 2028 in zal gaan. In deze performancetoets wordt op basis van benchmarks die pensioenfondsen intern hanteren of publieke beschikbaar zijn </w:t>
                      </w:r>
                      <w:r>
                        <w:rPr>
                          <w:i/>
                          <w:iCs/>
                        </w:rPr>
                        <w:t>prestaties</w:t>
                      </w:r>
                      <w:r w:rsidRPr="00D427C7">
                        <w:t xml:space="preserve"> gemeten over een periode van 5 jaar. </w:t>
                      </w:r>
                      <w:r>
                        <w:t>Onderprestaties zijn</w:t>
                      </w:r>
                      <w:r w:rsidRPr="00D427C7">
                        <w:t xml:space="preserve"> hier gedefinieerd als prestaties die vallen onder de 5% slechts mogelijk</w:t>
                      </w:r>
                      <w:r w:rsidR="00A75BA1">
                        <w:t>e</w:t>
                      </w:r>
                      <w:r w:rsidRPr="00D427C7">
                        <w:t xml:space="preserve"> uitkomsten. Als </w:t>
                      </w:r>
                      <w:r>
                        <w:t xml:space="preserve">geconstateerd wordt dat </w:t>
                      </w:r>
                      <w:r w:rsidRPr="00D427C7">
                        <w:t xml:space="preserve">een bedrijfstakpensioenfonds </w:t>
                      </w:r>
                      <w:r>
                        <w:t xml:space="preserve">onderpresteert, </w:t>
                      </w:r>
                      <w:r w:rsidRPr="00D427C7">
                        <w:t xml:space="preserve">hebben aangesloten werkgevers de mogelijkheid om uit te treden uit het pensioenfonds, mits zij een pensioenregeling aanbieden die gelijkwaardig is aan de pensioenregeling die het bedrijfstakpensioenfonds aanbiedt. Op deze manier is een waarborg ingebouwd dat als er sprake is van </w:t>
                      </w:r>
                      <w:r>
                        <w:t xml:space="preserve">een </w:t>
                      </w:r>
                      <w:r w:rsidRPr="00D427C7">
                        <w:t>evidente onderprestatie van een pensioenfonds werkgevers handelingsperspectief hebben. Deze benchmarks houden rekening met verschillen tussen pensioenfondsen in leeftijdsopbouw en risicohouding. Zij houden ook rekening met verschillende beleggingscategorieën die pensioenfondsen gebruiken om in te beleggen met verschillen in bijvoorbeeld in geografie binnen beleggingscategorieën. Daarmee meet deze performancetoets de prestaties die zijn geleverd in de uitvoering van het strategische beleid.</w:t>
                      </w:r>
                      <w:r w:rsidR="003E3F74">
                        <w:t xml:space="preserve"> </w:t>
                      </w:r>
                    </w:p>
                  </w:txbxContent>
                </v:textbox>
                <w10:wrap type="square"/>
              </v:shape>
            </w:pict>
          </mc:Fallback>
        </mc:AlternateContent>
      </w:r>
    </w:p>
    <w:p w:rsidRPr="00611F59" w:rsidR="00030AE3" w:rsidP="00F44EC4" w:rsidRDefault="00030AE3" w14:paraId="640724AF" w14:textId="333942B0">
      <w:pPr>
        <w:rPr>
          <w:b/>
          <w:bCs/>
        </w:rPr>
      </w:pPr>
      <w:r w:rsidRPr="00611F59">
        <w:rPr>
          <w:b/>
          <w:bCs/>
        </w:rPr>
        <w:t>De prestaties van Nederlandse pensioenfondsen</w:t>
      </w:r>
    </w:p>
    <w:p w:rsidR="00724A4A" w:rsidP="005D5BC9" w:rsidRDefault="00030AE3" w14:paraId="7D1CC813" w14:textId="01BB440F">
      <w:r w:rsidRPr="00611F59">
        <w:t xml:space="preserve">De prestaties van pensioenfondsen moeten dus niet enkel worden gemeten aan de rendementen die zij behalen </w:t>
      </w:r>
      <w:r>
        <w:t xml:space="preserve">aan de </w:t>
      </w:r>
      <w:r w:rsidRPr="00611F59">
        <w:t>vermogenszijde</w:t>
      </w:r>
      <w:r>
        <w:t xml:space="preserve"> van de balans</w:t>
      </w:r>
      <w:r w:rsidRPr="00611F59">
        <w:t>, maar ook aan de effecten op de hoogte van de ingegane en toekomstige uitkeringen</w:t>
      </w:r>
      <w:r>
        <w:t>; de verplichtingenzijde</w:t>
      </w:r>
      <w:r w:rsidRPr="00611F59">
        <w:t xml:space="preserve">. In Tabel 1 wordt de </w:t>
      </w:r>
      <w:r>
        <w:t xml:space="preserve">ontwikkeling van de vermogenszijde (ook </w:t>
      </w:r>
      <w:r w:rsidRPr="00611F59">
        <w:t>cumulatie</w:t>
      </w:r>
      <w:r w:rsidR="00236F83">
        <w:t>f</w:t>
      </w:r>
      <w:r>
        <w:t>)</w:t>
      </w:r>
      <w:r w:rsidRPr="00611F59">
        <w:t xml:space="preserve"> van de vijf grootste fondsen weergegeven voor de periode 2014-202</w:t>
      </w:r>
      <w:r>
        <w:t>4</w:t>
      </w:r>
      <w:r w:rsidR="00236F83">
        <w:t xml:space="preserve"> (en waar beschikbaar ook 2025)</w:t>
      </w:r>
      <w:r>
        <w:t>.</w:t>
      </w:r>
      <w:r w:rsidRPr="00611F59">
        <w:t xml:space="preserve"> Dit zijn prestaties van pensioenfondsen in het oude pensioenstelsel onder het financieel toetsingskader (</w:t>
      </w:r>
      <w:r w:rsidR="00AE3B3D">
        <w:t>FTK</w:t>
      </w:r>
      <w:r w:rsidRPr="00611F59">
        <w:t xml:space="preserve">). Bedrijfstakpensioenfondsen kennen in het kader van de verplichtstelling een performancetoets (zie kader). Er kan worden gesteld dat het </w:t>
      </w:r>
      <w:r>
        <w:t>beleggings</w:t>
      </w:r>
      <w:r w:rsidRPr="00611F59">
        <w:t xml:space="preserve">rendement bij alle vijf fondsen doorgaans positief is, wat ook terug te zien is in het gemiddelde rendement, dat rond de </w:t>
      </w:r>
      <w:r w:rsidR="0060173E">
        <w:t>vier</w:t>
      </w:r>
      <w:r w:rsidRPr="00611F59" w:rsidR="0060173E">
        <w:t xml:space="preserve"> </w:t>
      </w:r>
      <w:r w:rsidRPr="00611F59">
        <w:t>procent ligt. Daarbij moet bedacht worden dat een aantal pensioenfondsen vanwege de transitie het renterisico</w:t>
      </w:r>
      <w:r>
        <w:t xml:space="preserve"> aan de verplichtingenzijde,</w:t>
      </w:r>
      <w:r w:rsidRPr="00611F59">
        <w:t xml:space="preserve"> verder hebben afgedekt voor een soepele overgang naar het nieuwe stelsel</w:t>
      </w:r>
      <w:r w:rsidR="00236F83">
        <w:t xml:space="preserve"> in het belang van hun deelnemers</w:t>
      </w:r>
      <w:r w:rsidRPr="00611F59">
        <w:t xml:space="preserve">. De verwachting van pensioenfondsen is dat zij </w:t>
      </w:r>
      <w:r>
        <w:t xml:space="preserve">het </w:t>
      </w:r>
      <w:r w:rsidRPr="00611F59">
        <w:t xml:space="preserve">renterisico </w:t>
      </w:r>
      <w:r>
        <w:t xml:space="preserve">en het </w:t>
      </w:r>
      <w:r w:rsidRPr="00611F59">
        <w:t>beleggingsrisico in het pensioenstelsel onder de Wtp</w:t>
      </w:r>
      <w:r>
        <w:t xml:space="preserve"> gerichter kunnen toedelen aan jongeren en ouderen, waardoor de spanning tussen rendement behalen en een stabiele uitkering realiseren afneemt</w:t>
      </w:r>
      <w:r w:rsidRPr="00611F59">
        <w:t>.</w:t>
      </w:r>
      <w:r w:rsidR="003E3F74">
        <w:t xml:space="preserve"> </w:t>
      </w:r>
    </w:p>
    <w:p w:rsidR="005D5BC9" w:rsidP="005D5BC9" w:rsidRDefault="005D5BC9" w14:paraId="24339535" w14:textId="77777777"/>
    <w:p w:rsidR="009148FB" w:rsidP="005D5BC9" w:rsidRDefault="009148FB" w14:paraId="13304FDC" w14:textId="77777777"/>
    <w:p w:rsidR="009148FB" w:rsidP="005D5BC9" w:rsidRDefault="009148FB" w14:paraId="6CCC7271" w14:textId="77777777"/>
    <w:p w:rsidR="009148FB" w:rsidP="005D5BC9" w:rsidRDefault="009148FB" w14:paraId="4F6DD7D0" w14:textId="77777777"/>
    <w:p w:rsidR="009148FB" w:rsidP="005D5BC9" w:rsidRDefault="009148FB" w14:paraId="6207531F" w14:textId="77777777"/>
    <w:p w:rsidR="009148FB" w:rsidP="005D5BC9" w:rsidRDefault="009148FB" w14:paraId="58862B82" w14:textId="77777777"/>
    <w:p w:rsidR="009148FB" w:rsidP="005D5BC9" w:rsidRDefault="009148FB" w14:paraId="6AA4D241" w14:textId="77777777"/>
    <w:p w:rsidR="009148FB" w:rsidP="005D5BC9" w:rsidRDefault="009148FB" w14:paraId="67D0928C" w14:textId="77777777"/>
    <w:p w:rsidR="009148FB" w:rsidP="005D5BC9" w:rsidRDefault="009148FB" w14:paraId="6D5B9250" w14:textId="77777777"/>
    <w:p w:rsidR="009148FB" w:rsidP="005D5BC9" w:rsidRDefault="009148FB" w14:paraId="09890595" w14:textId="77777777"/>
    <w:p w:rsidR="009148FB" w:rsidP="005D5BC9" w:rsidRDefault="009148FB" w14:paraId="08FCD1B1" w14:textId="77777777"/>
    <w:p w:rsidRPr="005D5BC9" w:rsidR="009148FB" w:rsidP="005D5BC9" w:rsidRDefault="009148FB" w14:paraId="70D55922" w14:textId="77777777"/>
    <w:p w:rsidRPr="00724A4A" w:rsidR="00724A4A" w:rsidP="00724A4A" w:rsidRDefault="00724A4A" w14:paraId="3C951E7C" w14:textId="4075AA8D">
      <w:pPr>
        <w:spacing w:line="240" w:lineRule="auto"/>
        <w:rPr>
          <w:rFonts w:eastAsia="Times New Roman" w:cs="Calibri"/>
          <w:b/>
          <w:bCs/>
          <w:sz w:val="14"/>
          <w:szCs w:val="14"/>
        </w:rPr>
      </w:pPr>
      <w:r w:rsidRPr="00724A4A">
        <w:rPr>
          <w:rFonts w:eastAsia="Times New Roman" w:cs="Calibri"/>
          <w:b/>
          <w:bCs/>
          <w:sz w:val="14"/>
          <w:szCs w:val="14"/>
        </w:rPr>
        <w:lastRenderedPageBreak/>
        <w:t>Tabel 1: Groei rendement (in percentages) en cumulatief rendement van de vijf grootste pensioenfondsen</w:t>
      </w:r>
    </w:p>
    <w:tbl>
      <w:tblPr>
        <w:tblW w:w="9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31"/>
        <w:gridCol w:w="850"/>
        <w:gridCol w:w="852"/>
        <w:gridCol w:w="850"/>
        <w:gridCol w:w="852"/>
        <w:gridCol w:w="850"/>
        <w:gridCol w:w="852"/>
        <w:gridCol w:w="850"/>
        <w:gridCol w:w="852"/>
        <w:gridCol w:w="850"/>
        <w:gridCol w:w="852"/>
      </w:tblGrid>
      <w:tr w:rsidRPr="00724A4A" w:rsidR="00724A4A" w:rsidTr="00DE2C45" w14:paraId="002AD155" w14:textId="77777777">
        <w:trPr>
          <w:trHeight w:val="269"/>
        </w:trPr>
        <w:tc>
          <w:tcPr>
            <w:tcW w:w="931" w:type="dxa"/>
            <w:shd w:val="clear" w:color="auto" w:fill="auto"/>
            <w:noWrap/>
          </w:tcPr>
          <w:p w:rsidRPr="00724A4A" w:rsidR="00724A4A" w:rsidP="00490158" w:rsidRDefault="00724A4A" w14:paraId="4D88BD97" w14:textId="6DFFF2F6">
            <w:pPr>
              <w:spacing w:line="240" w:lineRule="auto"/>
              <w:jc w:val="center"/>
              <w:rPr>
                <w:rFonts w:eastAsia="Times New Roman" w:cstheme="minorHAnsi"/>
                <w:b/>
                <w:bCs/>
                <w:sz w:val="14"/>
                <w:szCs w:val="14"/>
              </w:rPr>
            </w:pPr>
          </w:p>
        </w:tc>
        <w:tc>
          <w:tcPr>
            <w:tcW w:w="1702" w:type="dxa"/>
            <w:gridSpan w:val="2"/>
            <w:shd w:val="clear" w:color="auto" w:fill="auto"/>
            <w:noWrap/>
          </w:tcPr>
          <w:p w:rsidR="00724A4A" w:rsidP="00490158" w:rsidRDefault="00724A4A" w14:paraId="126DF0F1" w14:textId="63132546">
            <w:pPr>
              <w:spacing w:line="240" w:lineRule="auto"/>
              <w:jc w:val="center"/>
              <w:rPr>
                <w:rFonts w:eastAsia="Times New Roman" w:cstheme="minorHAnsi"/>
                <w:b/>
                <w:bCs/>
                <w:sz w:val="14"/>
                <w:szCs w:val="14"/>
              </w:rPr>
            </w:pPr>
            <w:r w:rsidRPr="00724A4A">
              <w:rPr>
                <w:rFonts w:eastAsia="Times New Roman" w:cstheme="minorHAnsi"/>
                <w:b/>
                <w:bCs/>
                <w:sz w:val="14"/>
                <w:szCs w:val="14"/>
              </w:rPr>
              <w:t>ABP</w:t>
            </w:r>
          </w:p>
        </w:tc>
        <w:tc>
          <w:tcPr>
            <w:tcW w:w="1702" w:type="dxa"/>
            <w:gridSpan w:val="2"/>
            <w:shd w:val="clear" w:color="auto" w:fill="auto"/>
            <w:noWrap/>
          </w:tcPr>
          <w:p w:rsidR="00724A4A" w:rsidP="00490158" w:rsidRDefault="00724A4A" w14:paraId="6F3FA4F8" w14:textId="1CE67DFC">
            <w:pPr>
              <w:spacing w:line="240" w:lineRule="auto"/>
              <w:jc w:val="center"/>
              <w:rPr>
                <w:rFonts w:eastAsia="Times New Roman" w:cstheme="minorHAnsi"/>
                <w:b/>
                <w:bCs/>
                <w:sz w:val="14"/>
                <w:szCs w:val="14"/>
              </w:rPr>
            </w:pPr>
            <w:r w:rsidRPr="00724A4A">
              <w:rPr>
                <w:rFonts w:eastAsia="Times New Roman" w:cstheme="minorHAnsi"/>
                <w:b/>
                <w:bCs/>
                <w:sz w:val="14"/>
                <w:szCs w:val="14"/>
              </w:rPr>
              <w:t>Bouw</w:t>
            </w:r>
          </w:p>
        </w:tc>
        <w:tc>
          <w:tcPr>
            <w:tcW w:w="1702" w:type="dxa"/>
            <w:gridSpan w:val="2"/>
            <w:shd w:val="clear" w:color="auto" w:fill="auto"/>
            <w:noWrap/>
          </w:tcPr>
          <w:p w:rsidR="00724A4A" w:rsidP="00490158" w:rsidRDefault="00724A4A" w14:paraId="1CCA9BB1" w14:textId="3A8624DC">
            <w:pPr>
              <w:spacing w:line="240" w:lineRule="auto"/>
              <w:jc w:val="center"/>
              <w:rPr>
                <w:rFonts w:eastAsia="Times New Roman" w:cstheme="minorHAnsi"/>
                <w:b/>
                <w:bCs/>
                <w:sz w:val="14"/>
                <w:szCs w:val="14"/>
              </w:rPr>
            </w:pPr>
            <w:r w:rsidRPr="00724A4A">
              <w:rPr>
                <w:rFonts w:eastAsia="Times New Roman" w:cstheme="minorHAnsi"/>
                <w:b/>
                <w:bCs/>
                <w:sz w:val="14"/>
                <w:szCs w:val="14"/>
              </w:rPr>
              <w:t>PME</w:t>
            </w:r>
          </w:p>
        </w:tc>
        <w:tc>
          <w:tcPr>
            <w:tcW w:w="1702" w:type="dxa"/>
            <w:gridSpan w:val="2"/>
            <w:shd w:val="clear" w:color="auto" w:fill="auto"/>
            <w:noWrap/>
          </w:tcPr>
          <w:p w:rsidR="00724A4A" w:rsidP="00490158" w:rsidRDefault="00724A4A" w14:paraId="1F8B4A28" w14:textId="17D32A5E">
            <w:pPr>
              <w:spacing w:line="240" w:lineRule="auto"/>
              <w:jc w:val="center"/>
              <w:rPr>
                <w:rFonts w:eastAsia="Times New Roman" w:cstheme="minorHAnsi"/>
                <w:b/>
                <w:bCs/>
                <w:sz w:val="14"/>
                <w:szCs w:val="14"/>
              </w:rPr>
            </w:pPr>
            <w:r w:rsidRPr="00724A4A">
              <w:rPr>
                <w:rFonts w:eastAsia="Times New Roman" w:cstheme="minorHAnsi"/>
                <w:b/>
                <w:bCs/>
                <w:sz w:val="14"/>
                <w:szCs w:val="14"/>
              </w:rPr>
              <w:t>PMT</w:t>
            </w:r>
          </w:p>
        </w:tc>
        <w:tc>
          <w:tcPr>
            <w:tcW w:w="1702" w:type="dxa"/>
            <w:gridSpan w:val="2"/>
            <w:shd w:val="clear" w:color="auto" w:fill="auto"/>
            <w:noWrap/>
          </w:tcPr>
          <w:p w:rsidR="00724A4A" w:rsidP="00490158" w:rsidRDefault="00724A4A" w14:paraId="0A0BC254" w14:textId="5D80A98F">
            <w:pPr>
              <w:spacing w:line="240" w:lineRule="auto"/>
              <w:jc w:val="center"/>
              <w:rPr>
                <w:rFonts w:eastAsia="Times New Roman" w:cstheme="minorHAnsi"/>
                <w:b/>
                <w:bCs/>
                <w:sz w:val="14"/>
                <w:szCs w:val="14"/>
              </w:rPr>
            </w:pPr>
            <w:r w:rsidRPr="00724A4A">
              <w:rPr>
                <w:rFonts w:eastAsia="Times New Roman" w:cstheme="minorHAnsi"/>
                <w:b/>
                <w:bCs/>
                <w:sz w:val="14"/>
                <w:szCs w:val="14"/>
              </w:rPr>
              <w:t>PFZW</w:t>
            </w:r>
          </w:p>
        </w:tc>
      </w:tr>
      <w:tr w:rsidRPr="00724A4A" w:rsidR="00724A4A" w:rsidTr="00DE2C45" w14:paraId="4F3A720F" w14:textId="77777777">
        <w:trPr>
          <w:trHeight w:val="269"/>
        </w:trPr>
        <w:tc>
          <w:tcPr>
            <w:tcW w:w="931" w:type="dxa"/>
            <w:shd w:val="clear" w:color="auto" w:fill="auto"/>
            <w:noWrap/>
          </w:tcPr>
          <w:p w:rsidRPr="00724A4A" w:rsidR="00724A4A" w:rsidP="00490158" w:rsidRDefault="00724A4A" w14:paraId="7976327C" w14:textId="0F18BC55">
            <w:pPr>
              <w:spacing w:line="240" w:lineRule="auto"/>
              <w:jc w:val="center"/>
              <w:rPr>
                <w:rFonts w:eastAsia="Times New Roman" w:cstheme="minorHAnsi"/>
                <w:b/>
                <w:bCs/>
                <w:sz w:val="14"/>
                <w:szCs w:val="14"/>
              </w:rPr>
            </w:pPr>
            <w:r w:rsidRPr="00724A4A">
              <w:rPr>
                <w:rFonts w:eastAsia="Times New Roman" w:cstheme="minorHAnsi"/>
                <w:b/>
                <w:bCs/>
                <w:sz w:val="14"/>
                <w:szCs w:val="14"/>
              </w:rPr>
              <w:t>Jaar</w:t>
            </w:r>
          </w:p>
        </w:tc>
        <w:tc>
          <w:tcPr>
            <w:tcW w:w="850" w:type="dxa"/>
            <w:shd w:val="clear" w:color="auto" w:fill="auto"/>
            <w:noWrap/>
          </w:tcPr>
          <w:p w:rsidRPr="00724A4A" w:rsidR="00724A4A" w:rsidP="00490158" w:rsidRDefault="00724A4A" w14:paraId="467BBA74" w14:textId="77777777">
            <w:pPr>
              <w:spacing w:line="240" w:lineRule="auto"/>
              <w:jc w:val="center"/>
              <w:rPr>
                <w:rFonts w:eastAsia="Times New Roman" w:cstheme="minorHAnsi"/>
                <w:b/>
                <w:bCs/>
                <w:sz w:val="14"/>
                <w:szCs w:val="14"/>
              </w:rPr>
            </w:pPr>
            <w:r w:rsidRPr="00724A4A">
              <w:rPr>
                <w:rFonts w:eastAsia="Times New Roman" w:cs="Calibri"/>
                <w:b/>
                <w:bCs/>
                <w:sz w:val="14"/>
                <w:szCs w:val="14"/>
              </w:rPr>
              <w:t>Groei</w:t>
            </w:r>
          </w:p>
        </w:tc>
        <w:tc>
          <w:tcPr>
            <w:tcW w:w="851" w:type="dxa"/>
            <w:shd w:val="clear" w:color="auto" w:fill="auto"/>
            <w:noWrap/>
          </w:tcPr>
          <w:p w:rsidRPr="00724A4A" w:rsidR="00724A4A" w:rsidP="00490158" w:rsidRDefault="00724A4A" w14:paraId="13ACD447" w14:textId="23CC4D02">
            <w:pPr>
              <w:spacing w:line="240" w:lineRule="auto"/>
              <w:jc w:val="center"/>
              <w:rPr>
                <w:rFonts w:eastAsia="Times New Roman" w:cstheme="minorHAnsi"/>
                <w:b/>
                <w:bCs/>
                <w:sz w:val="14"/>
                <w:szCs w:val="14"/>
              </w:rPr>
            </w:pPr>
            <w:r>
              <w:rPr>
                <w:rFonts w:eastAsia="Times New Roman" w:cstheme="minorHAnsi"/>
                <w:b/>
                <w:bCs/>
                <w:sz w:val="14"/>
                <w:szCs w:val="14"/>
              </w:rPr>
              <w:t>Cum.</w:t>
            </w:r>
          </w:p>
        </w:tc>
        <w:tc>
          <w:tcPr>
            <w:tcW w:w="850" w:type="dxa"/>
            <w:shd w:val="clear" w:color="auto" w:fill="auto"/>
            <w:noWrap/>
          </w:tcPr>
          <w:p w:rsidRPr="00724A4A" w:rsidR="00724A4A" w:rsidP="00490158" w:rsidRDefault="00724A4A" w14:paraId="68585CFD" w14:textId="77777777">
            <w:pPr>
              <w:spacing w:line="240" w:lineRule="auto"/>
              <w:jc w:val="center"/>
              <w:rPr>
                <w:rFonts w:eastAsia="Times New Roman" w:cstheme="minorHAnsi"/>
                <w:b/>
                <w:bCs/>
                <w:sz w:val="14"/>
                <w:szCs w:val="14"/>
              </w:rPr>
            </w:pPr>
            <w:r w:rsidRPr="00724A4A">
              <w:rPr>
                <w:rFonts w:eastAsia="Times New Roman" w:cs="Calibri"/>
                <w:b/>
                <w:bCs/>
                <w:sz w:val="14"/>
                <w:szCs w:val="14"/>
              </w:rPr>
              <w:t>Groei</w:t>
            </w:r>
          </w:p>
        </w:tc>
        <w:tc>
          <w:tcPr>
            <w:tcW w:w="851" w:type="dxa"/>
            <w:shd w:val="clear" w:color="auto" w:fill="auto"/>
            <w:noWrap/>
          </w:tcPr>
          <w:p w:rsidRPr="00724A4A" w:rsidR="00724A4A" w:rsidP="00490158" w:rsidRDefault="00724A4A" w14:paraId="20F454C4" w14:textId="733F13CC">
            <w:pPr>
              <w:spacing w:line="240" w:lineRule="auto"/>
              <w:jc w:val="center"/>
              <w:rPr>
                <w:rFonts w:eastAsia="Times New Roman" w:cstheme="minorHAnsi"/>
                <w:b/>
                <w:bCs/>
                <w:sz w:val="14"/>
                <w:szCs w:val="14"/>
              </w:rPr>
            </w:pPr>
            <w:r>
              <w:rPr>
                <w:rFonts w:eastAsia="Times New Roman" w:cstheme="minorHAnsi"/>
                <w:b/>
                <w:bCs/>
                <w:sz w:val="14"/>
                <w:szCs w:val="14"/>
              </w:rPr>
              <w:t>Cum.</w:t>
            </w:r>
          </w:p>
        </w:tc>
        <w:tc>
          <w:tcPr>
            <w:tcW w:w="850" w:type="dxa"/>
            <w:shd w:val="clear" w:color="auto" w:fill="auto"/>
            <w:noWrap/>
          </w:tcPr>
          <w:p w:rsidRPr="00724A4A" w:rsidR="00724A4A" w:rsidP="00490158" w:rsidRDefault="00724A4A" w14:paraId="5864AA89" w14:textId="77777777">
            <w:pPr>
              <w:spacing w:line="240" w:lineRule="auto"/>
              <w:jc w:val="center"/>
              <w:rPr>
                <w:rFonts w:eastAsia="Times New Roman" w:cstheme="minorHAnsi"/>
                <w:b/>
                <w:bCs/>
                <w:sz w:val="14"/>
                <w:szCs w:val="14"/>
              </w:rPr>
            </w:pPr>
            <w:r w:rsidRPr="00724A4A">
              <w:rPr>
                <w:rFonts w:eastAsia="Times New Roman" w:cs="Calibri"/>
                <w:b/>
                <w:bCs/>
                <w:sz w:val="14"/>
                <w:szCs w:val="14"/>
              </w:rPr>
              <w:t>Groei</w:t>
            </w:r>
          </w:p>
        </w:tc>
        <w:tc>
          <w:tcPr>
            <w:tcW w:w="851" w:type="dxa"/>
            <w:shd w:val="clear" w:color="auto" w:fill="auto"/>
            <w:noWrap/>
          </w:tcPr>
          <w:p w:rsidRPr="00724A4A" w:rsidR="00724A4A" w:rsidP="00490158" w:rsidRDefault="00724A4A" w14:paraId="28EF209D" w14:textId="2B316EE1">
            <w:pPr>
              <w:spacing w:line="240" w:lineRule="auto"/>
              <w:jc w:val="center"/>
              <w:rPr>
                <w:rFonts w:eastAsia="Times New Roman" w:cstheme="minorHAnsi"/>
                <w:b/>
                <w:bCs/>
                <w:sz w:val="14"/>
                <w:szCs w:val="14"/>
              </w:rPr>
            </w:pPr>
            <w:r>
              <w:rPr>
                <w:rFonts w:eastAsia="Times New Roman" w:cstheme="minorHAnsi"/>
                <w:b/>
                <w:bCs/>
                <w:sz w:val="14"/>
                <w:szCs w:val="14"/>
              </w:rPr>
              <w:t>Cum.</w:t>
            </w:r>
          </w:p>
        </w:tc>
        <w:tc>
          <w:tcPr>
            <w:tcW w:w="850" w:type="dxa"/>
            <w:shd w:val="clear" w:color="auto" w:fill="auto"/>
            <w:noWrap/>
          </w:tcPr>
          <w:p w:rsidRPr="00724A4A" w:rsidR="00724A4A" w:rsidP="00490158" w:rsidRDefault="00724A4A" w14:paraId="78C2EE83" w14:textId="77777777">
            <w:pPr>
              <w:spacing w:line="240" w:lineRule="auto"/>
              <w:jc w:val="center"/>
              <w:rPr>
                <w:rFonts w:eastAsia="Times New Roman" w:cstheme="minorHAnsi"/>
                <w:b/>
                <w:bCs/>
                <w:sz w:val="14"/>
                <w:szCs w:val="14"/>
              </w:rPr>
            </w:pPr>
            <w:r w:rsidRPr="00724A4A">
              <w:rPr>
                <w:rFonts w:eastAsia="Times New Roman" w:cs="Calibri"/>
                <w:b/>
                <w:bCs/>
                <w:sz w:val="14"/>
                <w:szCs w:val="14"/>
              </w:rPr>
              <w:t>Groei</w:t>
            </w:r>
          </w:p>
        </w:tc>
        <w:tc>
          <w:tcPr>
            <w:tcW w:w="851" w:type="dxa"/>
            <w:shd w:val="clear" w:color="auto" w:fill="auto"/>
            <w:noWrap/>
          </w:tcPr>
          <w:p w:rsidRPr="00724A4A" w:rsidR="00724A4A" w:rsidP="00490158" w:rsidRDefault="00724A4A" w14:paraId="694522BB" w14:textId="52D0BDF5">
            <w:pPr>
              <w:spacing w:line="240" w:lineRule="auto"/>
              <w:jc w:val="center"/>
              <w:rPr>
                <w:rFonts w:eastAsia="Times New Roman" w:cstheme="minorHAnsi"/>
                <w:b/>
                <w:bCs/>
                <w:sz w:val="14"/>
                <w:szCs w:val="14"/>
              </w:rPr>
            </w:pPr>
            <w:r>
              <w:rPr>
                <w:rFonts w:eastAsia="Times New Roman" w:cstheme="minorHAnsi"/>
                <w:b/>
                <w:bCs/>
                <w:sz w:val="14"/>
                <w:szCs w:val="14"/>
              </w:rPr>
              <w:t>Cum.</w:t>
            </w:r>
          </w:p>
        </w:tc>
        <w:tc>
          <w:tcPr>
            <w:tcW w:w="850" w:type="dxa"/>
            <w:shd w:val="clear" w:color="auto" w:fill="auto"/>
            <w:noWrap/>
          </w:tcPr>
          <w:p w:rsidRPr="00724A4A" w:rsidR="00724A4A" w:rsidP="00490158" w:rsidRDefault="00724A4A" w14:paraId="1C52459D" w14:textId="77777777">
            <w:pPr>
              <w:spacing w:line="240" w:lineRule="auto"/>
              <w:jc w:val="center"/>
              <w:rPr>
                <w:rFonts w:eastAsia="Times New Roman" w:cstheme="minorHAnsi"/>
                <w:b/>
                <w:bCs/>
                <w:sz w:val="14"/>
                <w:szCs w:val="14"/>
              </w:rPr>
            </w:pPr>
            <w:r w:rsidRPr="00724A4A">
              <w:rPr>
                <w:rFonts w:eastAsia="Times New Roman" w:cs="Calibri"/>
                <w:b/>
                <w:bCs/>
                <w:sz w:val="14"/>
                <w:szCs w:val="14"/>
              </w:rPr>
              <w:t>Groei</w:t>
            </w:r>
          </w:p>
        </w:tc>
        <w:tc>
          <w:tcPr>
            <w:tcW w:w="851" w:type="dxa"/>
            <w:shd w:val="clear" w:color="auto" w:fill="auto"/>
            <w:noWrap/>
          </w:tcPr>
          <w:p w:rsidRPr="00724A4A" w:rsidR="00724A4A" w:rsidP="00490158" w:rsidRDefault="00724A4A" w14:paraId="1B455E2C" w14:textId="7CE4BAA9">
            <w:pPr>
              <w:spacing w:line="240" w:lineRule="auto"/>
              <w:jc w:val="center"/>
              <w:rPr>
                <w:rFonts w:eastAsia="Times New Roman" w:cstheme="minorHAnsi"/>
                <w:b/>
                <w:bCs/>
                <w:sz w:val="14"/>
                <w:szCs w:val="14"/>
              </w:rPr>
            </w:pPr>
            <w:r>
              <w:rPr>
                <w:rFonts w:eastAsia="Times New Roman" w:cstheme="minorHAnsi"/>
                <w:b/>
                <w:bCs/>
                <w:sz w:val="14"/>
                <w:szCs w:val="14"/>
              </w:rPr>
              <w:t>Cum.</w:t>
            </w:r>
          </w:p>
        </w:tc>
      </w:tr>
      <w:tr w:rsidRPr="00724A4A" w:rsidR="00724A4A" w:rsidTr="00DE2C45" w14:paraId="34B8FF92" w14:textId="77777777">
        <w:trPr>
          <w:trHeight w:val="269"/>
        </w:trPr>
        <w:tc>
          <w:tcPr>
            <w:tcW w:w="931" w:type="dxa"/>
            <w:shd w:val="clear" w:color="auto" w:fill="auto"/>
            <w:noWrap/>
            <w:vAlign w:val="bottom"/>
            <w:hideMark/>
          </w:tcPr>
          <w:p w:rsidRPr="00724A4A" w:rsidR="00724A4A" w:rsidP="00490158" w:rsidRDefault="00724A4A" w14:paraId="10368C82" w14:textId="77777777">
            <w:pPr>
              <w:spacing w:line="240" w:lineRule="auto"/>
              <w:jc w:val="center"/>
              <w:rPr>
                <w:rFonts w:eastAsia="Times New Roman" w:cstheme="minorHAnsi"/>
                <w:sz w:val="14"/>
                <w:szCs w:val="14"/>
              </w:rPr>
            </w:pPr>
            <w:r w:rsidRPr="00724A4A">
              <w:rPr>
                <w:rFonts w:eastAsia="Times New Roman" w:cstheme="minorHAnsi"/>
                <w:sz w:val="14"/>
                <w:szCs w:val="14"/>
              </w:rPr>
              <w:t>2013</w:t>
            </w:r>
          </w:p>
        </w:tc>
        <w:tc>
          <w:tcPr>
            <w:tcW w:w="850" w:type="dxa"/>
            <w:shd w:val="clear" w:color="auto" w:fill="auto"/>
            <w:noWrap/>
            <w:vAlign w:val="bottom"/>
            <w:hideMark/>
          </w:tcPr>
          <w:p w:rsidRPr="00724A4A" w:rsidR="00724A4A" w:rsidP="00490158" w:rsidRDefault="00724A4A" w14:paraId="17B90FA6" w14:textId="77777777">
            <w:pPr>
              <w:spacing w:line="240" w:lineRule="auto"/>
              <w:jc w:val="center"/>
              <w:rPr>
                <w:rFonts w:eastAsia="Times New Roman" w:cstheme="minorHAnsi"/>
                <w:sz w:val="14"/>
                <w:szCs w:val="14"/>
              </w:rPr>
            </w:pPr>
          </w:p>
        </w:tc>
        <w:tc>
          <w:tcPr>
            <w:tcW w:w="851" w:type="dxa"/>
            <w:shd w:val="clear" w:color="auto" w:fill="auto"/>
            <w:noWrap/>
            <w:vAlign w:val="bottom"/>
            <w:hideMark/>
          </w:tcPr>
          <w:p w:rsidRPr="00724A4A" w:rsidR="00724A4A" w:rsidP="00490158" w:rsidRDefault="00724A4A" w14:paraId="319A2487" w14:textId="77777777">
            <w:pPr>
              <w:spacing w:line="240" w:lineRule="auto"/>
              <w:jc w:val="center"/>
              <w:rPr>
                <w:rFonts w:eastAsia="Times New Roman" w:cstheme="minorHAnsi"/>
                <w:sz w:val="14"/>
                <w:szCs w:val="14"/>
              </w:rPr>
            </w:pPr>
            <w:r w:rsidRPr="00724A4A">
              <w:rPr>
                <w:rFonts w:eastAsia="Times New Roman" w:cstheme="minorHAnsi"/>
                <w:sz w:val="14"/>
                <w:szCs w:val="14"/>
              </w:rPr>
              <w:t>100,00</w:t>
            </w:r>
          </w:p>
        </w:tc>
        <w:tc>
          <w:tcPr>
            <w:tcW w:w="850" w:type="dxa"/>
            <w:shd w:val="clear" w:color="auto" w:fill="auto"/>
            <w:noWrap/>
            <w:vAlign w:val="bottom"/>
            <w:hideMark/>
          </w:tcPr>
          <w:p w:rsidRPr="00724A4A" w:rsidR="00724A4A" w:rsidP="00490158" w:rsidRDefault="00724A4A" w14:paraId="017824FD" w14:textId="77777777">
            <w:pPr>
              <w:spacing w:line="240" w:lineRule="auto"/>
              <w:jc w:val="center"/>
              <w:rPr>
                <w:rFonts w:eastAsia="Times New Roman" w:cstheme="minorHAnsi"/>
                <w:sz w:val="14"/>
                <w:szCs w:val="14"/>
              </w:rPr>
            </w:pPr>
          </w:p>
        </w:tc>
        <w:tc>
          <w:tcPr>
            <w:tcW w:w="851" w:type="dxa"/>
            <w:shd w:val="clear" w:color="auto" w:fill="auto"/>
            <w:noWrap/>
            <w:vAlign w:val="bottom"/>
            <w:hideMark/>
          </w:tcPr>
          <w:p w:rsidRPr="00724A4A" w:rsidR="00724A4A" w:rsidP="00490158" w:rsidRDefault="00724A4A" w14:paraId="792FBE7F" w14:textId="77777777">
            <w:pPr>
              <w:spacing w:line="240" w:lineRule="auto"/>
              <w:jc w:val="center"/>
              <w:rPr>
                <w:rFonts w:eastAsia="Times New Roman" w:cstheme="minorHAnsi"/>
                <w:sz w:val="14"/>
                <w:szCs w:val="14"/>
              </w:rPr>
            </w:pPr>
            <w:r w:rsidRPr="00724A4A">
              <w:rPr>
                <w:rFonts w:eastAsia="Times New Roman" w:cstheme="minorHAnsi"/>
                <w:sz w:val="14"/>
                <w:szCs w:val="14"/>
              </w:rPr>
              <w:t>100,00</w:t>
            </w:r>
          </w:p>
        </w:tc>
        <w:tc>
          <w:tcPr>
            <w:tcW w:w="850" w:type="dxa"/>
            <w:shd w:val="clear" w:color="auto" w:fill="auto"/>
            <w:noWrap/>
            <w:vAlign w:val="bottom"/>
            <w:hideMark/>
          </w:tcPr>
          <w:p w:rsidRPr="00724A4A" w:rsidR="00724A4A" w:rsidP="00490158" w:rsidRDefault="00724A4A" w14:paraId="37ABFE02" w14:textId="77777777">
            <w:pPr>
              <w:spacing w:line="240" w:lineRule="auto"/>
              <w:jc w:val="center"/>
              <w:rPr>
                <w:rFonts w:eastAsia="Times New Roman" w:cstheme="minorHAnsi"/>
                <w:sz w:val="14"/>
                <w:szCs w:val="14"/>
              </w:rPr>
            </w:pPr>
          </w:p>
        </w:tc>
        <w:tc>
          <w:tcPr>
            <w:tcW w:w="851" w:type="dxa"/>
            <w:shd w:val="clear" w:color="auto" w:fill="auto"/>
            <w:noWrap/>
            <w:vAlign w:val="bottom"/>
            <w:hideMark/>
          </w:tcPr>
          <w:p w:rsidRPr="00724A4A" w:rsidR="00724A4A" w:rsidP="00490158" w:rsidRDefault="00724A4A" w14:paraId="5C3C5915" w14:textId="77777777">
            <w:pPr>
              <w:spacing w:line="240" w:lineRule="auto"/>
              <w:jc w:val="center"/>
              <w:rPr>
                <w:rFonts w:eastAsia="Times New Roman" w:cstheme="minorHAnsi"/>
                <w:sz w:val="14"/>
                <w:szCs w:val="14"/>
              </w:rPr>
            </w:pPr>
            <w:r w:rsidRPr="00724A4A">
              <w:rPr>
                <w:rFonts w:eastAsia="Times New Roman" w:cstheme="minorHAnsi"/>
                <w:sz w:val="14"/>
                <w:szCs w:val="14"/>
              </w:rPr>
              <w:t>100,00</w:t>
            </w:r>
          </w:p>
        </w:tc>
        <w:tc>
          <w:tcPr>
            <w:tcW w:w="850" w:type="dxa"/>
            <w:shd w:val="clear" w:color="auto" w:fill="auto"/>
            <w:noWrap/>
            <w:vAlign w:val="bottom"/>
            <w:hideMark/>
          </w:tcPr>
          <w:p w:rsidRPr="00724A4A" w:rsidR="00724A4A" w:rsidP="00490158" w:rsidRDefault="00724A4A" w14:paraId="123269FA" w14:textId="77777777">
            <w:pPr>
              <w:spacing w:line="240" w:lineRule="auto"/>
              <w:jc w:val="center"/>
              <w:rPr>
                <w:rFonts w:eastAsia="Times New Roman" w:cstheme="minorHAnsi"/>
                <w:sz w:val="14"/>
                <w:szCs w:val="14"/>
              </w:rPr>
            </w:pPr>
          </w:p>
        </w:tc>
        <w:tc>
          <w:tcPr>
            <w:tcW w:w="851" w:type="dxa"/>
            <w:shd w:val="clear" w:color="auto" w:fill="auto"/>
            <w:noWrap/>
            <w:vAlign w:val="bottom"/>
            <w:hideMark/>
          </w:tcPr>
          <w:p w:rsidRPr="00724A4A" w:rsidR="00724A4A" w:rsidP="00490158" w:rsidRDefault="00724A4A" w14:paraId="33184C26" w14:textId="77777777">
            <w:pPr>
              <w:spacing w:line="240" w:lineRule="auto"/>
              <w:jc w:val="center"/>
              <w:rPr>
                <w:rFonts w:eastAsia="Times New Roman" w:cstheme="minorHAnsi"/>
                <w:sz w:val="14"/>
                <w:szCs w:val="14"/>
              </w:rPr>
            </w:pPr>
            <w:r w:rsidRPr="00724A4A">
              <w:rPr>
                <w:rFonts w:eastAsia="Times New Roman" w:cstheme="minorHAnsi"/>
                <w:sz w:val="14"/>
                <w:szCs w:val="14"/>
              </w:rPr>
              <w:t>100,00</w:t>
            </w:r>
          </w:p>
        </w:tc>
        <w:tc>
          <w:tcPr>
            <w:tcW w:w="850" w:type="dxa"/>
            <w:shd w:val="clear" w:color="auto" w:fill="auto"/>
            <w:noWrap/>
            <w:vAlign w:val="bottom"/>
            <w:hideMark/>
          </w:tcPr>
          <w:p w:rsidRPr="00724A4A" w:rsidR="00724A4A" w:rsidP="00490158" w:rsidRDefault="00724A4A" w14:paraId="462E2DB6" w14:textId="77777777">
            <w:pPr>
              <w:spacing w:line="240" w:lineRule="auto"/>
              <w:jc w:val="center"/>
              <w:rPr>
                <w:rFonts w:eastAsia="Times New Roman" w:cstheme="minorHAnsi"/>
                <w:sz w:val="14"/>
                <w:szCs w:val="14"/>
              </w:rPr>
            </w:pPr>
          </w:p>
        </w:tc>
        <w:tc>
          <w:tcPr>
            <w:tcW w:w="851" w:type="dxa"/>
            <w:shd w:val="clear" w:color="auto" w:fill="auto"/>
            <w:noWrap/>
            <w:vAlign w:val="bottom"/>
            <w:hideMark/>
          </w:tcPr>
          <w:p w:rsidRPr="00724A4A" w:rsidR="00724A4A" w:rsidP="00490158" w:rsidRDefault="00724A4A" w14:paraId="749C8C23" w14:textId="77777777">
            <w:pPr>
              <w:spacing w:line="240" w:lineRule="auto"/>
              <w:jc w:val="center"/>
              <w:rPr>
                <w:rFonts w:eastAsia="Times New Roman" w:cstheme="minorHAnsi"/>
                <w:sz w:val="14"/>
                <w:szCs w:val="14"/>
              </w:rPr>
            </w:pPr>
            <w:r w:rsidRPr="00724A4A">
              <w:rPr>
                <w:rFonts w:eastAsia="Times New Roman" w:cstheme="minorHAnsi"/>
                <w:sz w:val="14"/>
                <w:szCs w:val="14"/>
              </w:rPr>
              <w:t>100,00</w:t>
            </w:r>
          </w:p>
        </w:tc>
      </w:tr>
      <w:tr w:rsidRPr="00724A4A" w:rsidR="00724A4A" w:rsidTr="00DE2C45" w14:paraId="3C67DB46" w14:textId="77777777">
        <w:trPr>
          <w:trHeight w:val="269"/>
        </w:trPr>
        <w:tc>
          <w:tcPr>
            <w:tcW w:w="931" w:type="dxa"/>
            <w:shd w:val="clear" w:color="auto" w:fill="auto"/>
            <w:noWrap/>
            <w:vAlign w:val="bottom"/>
            <w:hideMark/>
          </w:tcPr>
          <w:p w:rsidRPr="00724A4A" w:rsidR="00724A4A" w:rsidP="00490158" w:rsidRDefault="00724A4A" w14:paraId="38314A66" w14:textId="77777777">
            <w:pPr>
              <w:spacing w:line="240" w:lineRule="auto"/>
              <w:jc w:val="center"/>
              <w:rPr>
                <w:rFonts w:eastAsia="Times New Roman" w:cstheme="minorHAnsi"/>
                <w:sz w:val="14"/>
                <w:szCs w:val="14"/>
              </w:rPr>
            </w:pPr>
            <w:r w:rsidRPr="00724A4A">
              <w:rPr>
                <w:rFonts w:eastAsia="Times New Roman" w:cstheme="minorHAnsi"/>
                <w:sz w:val="14"/>
                <w:szCs w:val="14"/>
              </w:rPr>
              <w:t>2014</w:t>
            </w:r>
          </w:p>
        </w:tc>
        <w:tc>
          <w:tcPr>
            <w:tcW w:w="850" w:type="dxa"/>
            <w:shd w:val="clear" w:color="auto" w:fill="auto"/>
            <w:noWrap/>
            <w:vAlign w:val="bottom"/>
            <w:hideMark/>
          </w:tcPr>
          <w:p w:rsidRPr="00724A4A" w:rsidR="00724A4A" w:rsidP="00490158" w:rsidRDefault="00724A4A" w14:paraId="55FFF409" w14:textId="77777777">
            <w:pPr>
              <w:spacing w:line="240" w:lineRule="auto"/>
              <w:jc w:val="center"/>
              <w:rPr>
                <w:rFonts w:eastAsia="Times New Roman" w:cstheme="minorHAnsi"/>
                <w:sz w:val="14"/>
                <w:szCs w:val="14"/>
              </w:rPr>
            </w:pPr>
            <w:r w:rsidRPr="00724A4A">
              <w:rPr>
                <w:rFonts w:eastAsia="Times New Roman" w:cstheme="minorHAnsi"/>
                <w:sz w:val="14"/>
                <w:szCs w:val="14"/>
              </w:rPr>
              <w:t>14,50</w:t>
            </w:r>
          </w:p>
        </w:tc>
        <w:tc>
          <w:tcPr>
            <w:tcW w:w="851" w:type="dxa"/>
            <w:shd w:val="clear" w:color="auto" w:fill="auto"/>
            <w:noWrap/>
            <w:vAlign w:val="bottom"/>
            <w:hideMark/>
          </w:tcPr>
          <w:p w:rsidRPr="00724A4A" w:rsidR="00724A4A" w:rsidP="00490158" w:rsidRDefault="00724A4A" w14:paraId="5741D3F6" w14:textId="77777777">
            <w:pPr>
              <w:spacing w:line="240" w:lineRule="auto"/>
              <w:jc w:val="center"/>
              <w:rPr>
                <w:rFonts w:eastAsia="Times New Roman" w:cstheme="minorHAnsi"/>
                <w:sz w:val="14"/>
                <w:szCs w:val="14"/>
              </w:rPr>
            </w:pPr>
            <w:r w:rsidRPr="00724A4A">
              <w:rPr>
                <w:rFonts w:eastAsia="Times New Roman" w:cstheme="minorHAnsi"/>
                <w:sz w:val="14"/>
                <w:szCs w:val="14"/>
              </w:rPr>
              <w:t>114,50</w:t>
            </w:r>
          </w:p>
        </w:tc>
        <w:tc>
          <w:tcPr>
            <w:tcW w:w="850" w:type="dxa"/>
            <w:shd w:val="clear" w:color="auto" w:fill="auto"/>
            <w:noWrap/>
            <w:vAlign w:val="bottom"/>
            <w:hideMark/>
          </w:tcPr>
          <w:p w:rsidRPr="00724A4A" w:rsidR="00724A4A" w:rsidP="00490158" w:rsidRDefault="00724A4A" w14:paraId="136D6447" w14:textId="77777777">
            <w:pPr>
              <w:spacing w:line="240" w:lineRule="auto"/>
              <w:jc w:val="center"/>
              <w:rPr>
                <w:rFonts w:eastAsia="Times New Roman" w:cstheme="minorHAnsi"/>
                <w:sz w:val="14"/>
                <w:szCs w:val="14"/>
              </w:rPr>
            </w:pPr>
            <w:r w:rsidRPr="00724A4A">
              <w:rPr>
                <w:rFonts w:eastAsia="Times New Roman" w:cstheme="minorHAnsi"/>
                <w:sz w:val="14"/>
                <w:szCs w:val="14"/>
              </w:rPr>
              <w:t>11,40</w:t>
            </w:r>
          </w:p>
        </w:tc>
        <w:tc>
          <w:tcPr>
            <w:tcW w:w="851" w:type="dxa"/>
            <w:shd w:val="clear" w:color="auto" w:fill="auto"/>
            <w:noWrap/>
            <w:vAlign w:val="bottom"/>
            <w:hideMark/>
          </w:tcPr>
          <w:p w:rsidRPr="00724A4A" w:rsidR="00724A4A" w:rsidP="00490158" w:rsidRDefault="00724A4A" w14:paraId="66ACBE73" w14:textId="77777777">
            <w:pPr>
              <w:spacing w:line="240" w:lineRule="auto"/>
              <w:jc w:val="center"/>
              <w:rPr>
                <w:rFonts w:eastAsia="Times New Roman" w:cstheme="minorHAnsi"/>
                <w:sz w:val="14"/>
                <w:szCs w:val="14"/>
              </w:rPr>
            </w:pPr>
            <w:r w:rsidRPr="00724A4A">
              <w:rPr>
                <w:rFonts w:eastAsia="Times New Roman" w:cstheme="minorHAnsi"/>
                <w:sz w:val="14"/>
                <w:szCs w:val="14"/>
              </w:rPr>
              <w:t>111,40</w:t>
            </w:r>
          </w:p>
        </w:tc>
        <w:tc>
          <w:tcPr>
            <w:tcW w:w="850" w:type="dxa"/>
            <w:shd w:val="clear" w:color="auto" w:fill="auto"/>
            <w:noWrap/>
            <w:vAlign w:val="bottom"/>
            <w:hideMark/>
          </w:tcPr>
          <w:p w:rsidRPr="00724A4A" w:rsidR="00724A4A" w:rsidP="00490158" w:rsidRDefault="00724A4A" w14:paraId="0C1326A2" w14:textId="77777777">
            <w:pPr>
              <w:spacing w:line="240" w:lineRule="auto"/>
              <w:jc w:val="center"/>
              <w:rPr>
                <w:rFonts w:eastAsia="Times New Roman" w:cstheme="minorHAnsi"/>
                <w:sz w:val="14"/>
                <w:szCs w:val="14"/>
              </w:rPr>
            </w:pPr>
            <w:r w:rsidRPr="00724A4A">
              <w:rPr>
                <w:rFonts w:eastAsia="Times New Roman" w:cstheme="minorHAnsi"/>
                <w:sz w:val="14"/>
                <w:szCs w:val="14"/>
              </w:rPr>
              <w:t>17,80</w:t>
            </w:r>
          </w:p>
        </w:tc>
        <w:tc>
          <w:tcPr>
            <w:tcW w:w="851" w:type="dxa"/>
            <w:shd w:val="clear" w:color="auto" w:fill="auto"/>
            <w:noWrap/>
            <w:vAlign w:val="bottom"/>
            <w:hideMark/>
          </w:tcPr>
          <w:p w:rsidRPr="00724A4A" w:rsidR="00724A4A" w:rsidP="00490158" w:rsidRDefault="00724A4A" w14:paraId="55BDDB0F" w14:textId="77777777">
            <w:pPr>
              <w:spacing w:line="240" w:lineRule="auto"/>
              <w:jc w:val="center"/>
              <w:rPr>
                <w:rFonts w:eastAsia="Times New Roman" w:cstheme="minorHAnsi"/>
                <w:sz w:val="14"/>
                <w:szCs w:val="14"/>
              </w:rPr>
            </w:pPr>
            <w:r w:rsidRPr="00724A4A">
              <w:rPr>
                <w:rFonts w:eastAsia="Times New Roman" w:cstheme="minorHAnsi"/>
                <w:sz w:val="14"/>
                <w:szCs w:val="14"/>
              </w:rPr>
              <w:t>117,80</w:t>
            </w:r>
          </w:p>
        </w:tc>
        <w:tc>
          <w:tcPr>
            <w:tcW w:w="850" w:type="dxa"/>
            <w:shd w:val="clear" w:color="auto" w:fill="auto"/>
            <w:noWrap/>
            <w:vAlign w:val="bottom"/>
            <w:hideMark/>
          </w:tcPr>
          <w:p w:rsidRPr="00724A4A" w:rsidR="00724A4A" w:rsidP="00490158" w:rsidRDefault="00724A4A" w14:paraId="6F89AFDA" w14:textId="77777777">
            <w:pPr>
              <w:spacing w:line="240" w:lineRule="auto"/>
              <w:jc w:val="center"/>
              <w:rPr>
                <w:rFonts w:eastAsia="Times New Roman" w:cstheme="minorHAnsi"/>
                <w:sz w:val="14"/>
                <w:szCs w:val="14"/>
              </w:rPr>
            </w:pPr>
            <w:r w:rsidRPr="00724A4A">
              <w:rPr>
                <w:rFonts w:eastAsia="Times New Roman" w:cstheme="minorHAnsi"/>
                <w:sz w:val="14"/>
                <w:szCs w:val="14"/>
              </w:rPr>
              <w:t>20,60</w:t>
            </w:r>
          </w:p>
        </w:tc>
        <w:tc>
          <w:tcPr>
            <w:tcW w:w="851" w:type="dxa"/>
            <w:shd w:val="clear" w:color="auto" w:fill="auto"/>
            <w:noWrap/>
            <w:vAlign w:val="bottom"/>
            <w:hideMark/>
          </w:tcPr>
          <w:p w:rsidRPr="00724A4A" w:rsidR="00724A4A" w:rsidP="00490158" w:rsidRDefault="00724A4A" w14:paraId="102C437F" w14:textId="77777777">
            <w:pPr>
              <w:spacing w:line="240" w:lineRule="auto"/>
              <w:jc w:val="center"/>
              <w:rPr>
                <w:rFonts w:eastAsia="Times New Roman" w:cstheme="minorHAnsi"/>
                <w:sz w:val="14"/>
                <w:szCs w:val="14"/>
              </w:rPr>
            </w:pPr>
            <w:r w:rsidRPr="00724A4A">
              <w:rPr>
                <w:rFonts w:eastAsia="Times New Roman" w:cstheme="minorHAnsi"/>
                <w:sz w:val="14"/>
                <w:szCs w:val="14"/>
              </w:rPr>
              <w:t>120,60</w:t>
            </w:r>
          </w:p>
        </w:tc>
        <w:tc>
          <w:tcPr>
            <w:tcW w:w="850" w:type="dxa"/>
            <w:shd w:val="clear" w:color="auto" w:fill="auto"/>
            <w:noWrap/>
            <w:vAlign w:val="bottom"/>
            <w:hideMark/>
          </w:tcPr>
          <w:p w:rsidRPr="00724A4A" w:rsidR="00724A4A" w:rsidP="00490158" w:rsidRDefault="00724A4A" w14:paraId="0D261803" w14:textId="77777777">
            <w:pPr>
              <w:spacing w:line="240" w:lineRule="auto"/>
              <w:jc w:val="center"/>
              <w:rPr>
                <w:rFonts w:eastAsia="Times New Roman" w:cstheme="minorHAnsi"/>
                <w:sz w:val="14"/>
                <w:szCs w:val="14"/>
              </w:rPr>
            </w:pPr>
            <w:r w:rsidRPr="00724A4A">
              <w:rPr>
                <w:rFonts w:eastAsia="Times New Roman" w:cstheme="minorHAnsi"/>
                <w:sz w:val="14"/>
                <w:szCs w:val="14"/>
              </w:rPr>
              <w:t>15,50</w:t>
            </w:r>
          </w:p>
        </w:tc>
        <w:tc>
          <w:tcPr>
            <w:tcW w:w="851" w:type="dxa"/>
            <w:shd w:val="clear" w:color="auto" w:fill="auto"/>
            <w:noWrap/>
            <w:vAlign w:val="bottom"/>
            <w:hideMark/>
          </w:tcPr>
          <w:p w:rsidRPr="00724A4A" w:rsidR="00724A4A" w:rsidP="00490158" w:rsidRDefault="00724A4A" w14:paraId="0973D966" w14:textId="77777777">
            <w:pPr>
              <w:spacing w:line="240" w:lineRule="auto"/>
              <w:jc w:val="center"/>
              <w:rPr>
                <w:rFonts w:eastAsia="Times New Roman" w:cstheme="minorHAnsi"/>
                <w:sz w:val="14"/>
                <w:szCs w:val="14"/>
              </w:rPr>
            </w:pPr>
            <w:r w:rsidRPr="00724A4A">
              <w:rPr>
                <w:rFonts w:eastAsia="Times New Roman" w:cstheme="minorHAnsi"/>
                <w:sz w:val="14"/>
                <w:szCs w:val="14"/>
              </w:rPr>
              <w:t>115,50</w:t>
            </w:r>
          </w:p>
        </w:tc>
      </w:tr>
      <w:tr w:rsidRPr="00724A4A" w:rsidR="00724A4A" w:rsidTr="00DE2C45" w14:paraId="08B7BC2A" w14:textId="77777777">
        <w:trPr>
          <w:trHeight w:val="269"/>
        </w:trPr>
        <w:tc>
          <w:tcPr>
            <w:tcW w:w="931" w:type="dxa"/>
            <w:shd w:val="clear" w:color="auto" w:fill="auto"/>
            <w:noWrap/>
            <w:vAlign w:val="bottom"/>
            <w:hideMark/>
          </w:tcPr>
          <w:p w:rsidRPr="00724A4A" w:rsidR="00724A4A" w:rsidP="00490158" w:rsidRDefault="00724A4A" w14:paraId="7753CF43" w14:textId="77777777">
            <w:pPr>
              <w:spacing w:line="240" w:lineRule="auto"/>
              <w:jc w:val="center"/>
              <w:rPr>
                <w:rFonts w:eastAsia="Times New Roman" w:cstheme="minorHAnsi"/>
                <w:sz w:val="14"/>
                <w:szCs w:val="14"/>
              </w:rPr>
            </w:pPr>
            <w:r w:rsidRPr="00724A4A">
              <w:rPr>
                <w:rFonts w:eastAsia="Times New Roman" w:cstheme="minorHAnsi"/>
                <w:sz w:val="14"/>
                <w:szCs w:val="14"/>
              </w:rPr>
              <w:t>2015</w:t>
            </w:r>
          </w:p>
        </w:tc>
        <w:tc>
          <w:tcPr>
            <w:tcW w:w="850" w:type="dxa"/>
            <w:shd w:val="clear" w:color="auto" w:fill="auto"/>
            <w:noWrap/>
            <w:vAlign w:val="bottom"/>
            <w:hideMark/>
          </w:tcPr>
          <w:p w:rsidRPr="00724A4A" w:rsidR="00724A4A" w:rsidP="00490158" w:rsidRDefault="00724A4A" w14:paraId="65433E70" w14:textId="77777777">
            <w:pPr>
              <w:spacing w:line="240" w:lineRule="auto"/>
              <w:jc w:val="center"/>
              <w:rPr>
                <w:rFonts w:eastAsia="Times New Roman" w:cstheme="minorHAnsi"/>
                <w:sz w:val="14"/>
                <w:szCs w:val="14"/>
              </w:rPr>
            </w:pPr>
            <w:r w:rsidRPr="00724A4A">
              <w:rPr>
                <w:rFonts w:eastAsia="Times New Roman" w:cstheme="minorHAnsi"/>
                <w:sz w:val="14"/>
                <w:szCs w:val="14"/>
              </w:rPr>
              <w:t>2,70</w:t>
            </w:r>
          </w:p>
        </w:tc>
        <w:tc>
          <w:tcPr>
            <w:tcW w:w="851" w:type="dxa"/>
            <w:shd w:val="clear" w:color="auto" w:fill="auto"/>
            <w:noWrap/>
            <w:vAlign w:val="bottom"/>
            <w:hideMark/>
          </w:tcPr>
          <w:p w:rsidRPr="00724A4A" w:rsidR="00724A4A" w:rsidP="00490158" w:rsidRDefault="00724A4A" w14:paraId="5FBF4DB0" w14:textId="77777777">
            <w:pPr>
              <w:spacing w:line="240" w:lineRule="auto"/>
              <w:jc w:val="center"/>
              <w:rPr>
                <w:rFonts w:eastAsia="Times New Roman" w:cstheme="minorHAnsi"/>
                <w:sz w:val="14"/>
                <w:szCs w:val="14"/>
              </w:rPr>
            </w:pPr>
            <w:r w:rsidRPr="00724A4A">
              <w:rPr>
                <w:rFonts w:eastAsia="Times New Roman" w:cstheme="minorHAnsi"/>
                <w:sz w:val="14"/>
                <w:szCs w:val="14"/>
              </w:rPr>
              <w:t>117,59</w:t>
            </w:r>
          </w:p>
        </w:tc>
        <w:tc>
          <w:tcPr>
            <w:tcW w:w="850" w:type="dxa"/>
            <w:shd w:val="clear" w:color="auto" w:fill="auto"/>
            <w:noWrap/>
            <w:vAlign w:val="bottom"/>
            <w:hideMark/>
          </w:tcPr>
          <w:p w:rsidRPr="00724A4A" w:rsidR="00724A4A" w:rsidP="00490158" w:rsidRDefault="00724A4A" w14:paraId="49145492" w14:textId="77777777">
            <w:pPr>
              <w:spacing w:line="240" w:lineRule="auto"/>
              <w:jc w:val="center"/>
              <w:rPr>
                <w:rFonts w:eastAsia="Times New Roman" w:cstheme="minorHAnsi"/>
                <w:sz w:val="14"/>
                <w:szCs w:val="14"/>
              </w:rPr>
            </w:pPr>
            <w:r w:rsidRPr="00724A4A">
              <w:rPr>
                <w:rFonts w:eastAsia="Times New Roman" w:cstheme="minorHAnsi"/>
                <w:sz w:val="14"/>
                <w:szCs w:val="14"/>
              </w:rPr>
              <w:t>-5,00</w:t>
            </w:r>
          </w:p>
        </w:tc>
        <w:tc>
          <w:tcPr>
            <w:tcW w:w="851" w:type="dxa"/>
            <w:shd w:val="clear" w:color="auto" w:fill="auto"/>
            <w:noWrap/>
            <w:vAlign w:val="bottom"/>
            <w:hideMark/>
          </w:tcPr>
          <w:p w:rsidRPr="00724A4A" w:rsidR="00724A4A" w:rsidP="00490158" w:rsidRDefault="00724A4A" w14:paraId="2BFD33A4" w14:textId="77777777">
            <w:pPr>
              <w:spacing w:line="240" w:lineRule="auto"/>
              <w:jc w:val="center"/>
              <w:rPr>
                <w:rFonts w:eastAsia="Times New Roman" w:cstheme="minorHAnsi"/>
                <w:sz w:val="14"/>
                <w:szCs w:val="14"/>
              </w:rPr>
            </w:pPr>
            <w:r w:rsidRPr="00724A4A">
              <w:rPr>
                <w:rFonts w:eastAsia="Times New Roman" w:cstheme="minorHAnsi"/>
                <w:sz w:val="14"/>
                <w:szCs w:val="14"/>
              </w:rPr>
              <w:t>105,83</w:t>
            </w:r>
          </w:p>
        </w:tc>
        <w:tc>
          <w:tcPr>
            <w:tcW w:w="850" w:type="dxa"/>
            <w:shd w:val="clear" w:color="auto" w:fill="auto"/>
            <w:noWrap/>
            <w:vAlign w:val="bottom"/>
            <w:hideMark/>
          </w:tcPr>
          <w:p w:rsidRPr="00724A4A" w:rsidR="00724A4A" w:rsidP="00490158" w:rsidRDefault="00724A4A" w14:paraId="2BB2E2D0" w14:textId="77777777">
            <w:pPr>
              <w:spacing w:line="240" w:lineRule="auto"/>
              <w:jc w:val="center"/>
              <w:rPr>
                <w:rFonts w:eastAsia="Times New Roman" w:cstheme="minorHAnsi"/>
                <w:sz w:val="14"/>
                <w:szCs w:val="14"/>
              </w:rPr>
            </w:pPr>
            <w:r w:rsidRPr="00724A4A">
              <w:rPr>
                <w:rFonts w:eastAsia="Times New Roman" w:cstheme="minorHAnsi"/>
                <w:sz w:val="14"/>
                <w:szCs w:val="14"/>
              </w:rPr>
              <w:t>1,00</w:t>
            </w:r>
          </w:p>
        </w:tc>
        <w:tc>
          <w:tcPr>
            <w:tcW w:w="851" w:type="dxa"/>
            <w:shd w:val="clear" w:color="auto" w:fill="auto"/>
            <w:noWrap/>
            <w:vAlign w:val="bottom"/>
            <w:hideMark/>
          </w:tcPr>
          <w:p w:rsidRPr="00724A4A" w:rsidR="00724A4A" w:rsidP="00490158" w:rsidRDefault="00724A4A" w14:paraId="08B3FCF0" w14:textId="77777777">
            <w:pPr>
              <w:spacing w:line="240" w:lineRule="auto"/>
              <w:jc w:val="center"/>
              <w:rPr>
                <w:rFonts w:eastAsia="Times New Roman" w:cstheme="minorHAnsi"/>
                <w:sz w:val="14"/>
                <w:szCs w:val="14"/>
              </w:rPr>
            </w:pPr>
            <w:r w:rsidRPr="00724A4A">
              <w:rPr>
                <w:rFonts w:eastAsia="Times New Roman" w:cstheme="minorHAnsi"/>
                <w:sz w:val="14"/>
                <w:szCs w:val="14"/>
              </w:rPr>
              <w:t>118,98</w:t>
            </w:r>
          </w:p>
        </w:tc>
        <w:tc>
          <w:tcPr>
            <w:tcW w:w="850" w:type="dxa"/>
            <w:shd w:val="clear" w:color="auto" w:fill="auto"/>
            <w:noWrap/>
            <w:vAlign w:val="bottom"/>
            <w:hideMark/>
          </w:tcPr>
          <w:p w:rsidRPr="00724A4A" w:rsidR="00724A4A" w:rsidP="00490158" w:rsidRDefault="00724A4A" w14:paraId="7BFB3F94" w14:textId="77777777">
            <w:pPr>
              <w:spacing w:line="240" w:lineRule="auto"/>
              <w:jc w:val="center"/>
              <w:rPr>
                <w:rFonts w:eastAsia="Times New Roman" w:cstheme="minorHAnsi"/>
                <w:sz w:val="14"/>
                <w:szCs w:val="14"/>
              </w:rPr>
            </w:pPr>
            <w:r w:rsidRPr="00724A4A">
              <w:rPr>
                <w:rFonts w:eastAsia="Times New Roman" w:cstheme="minorHAnsi"/>
                <w:sz w:val="14"/>
                <w:szCs w:val="14"/>
              </w:rPr>
              <w:t>2,29</w:t>
            </w:r>
          </w:p>
        </w:tc>
        <w:tc>
          <w:tcPr>
            <w:tcW w:w="851" w:type="dxa"/>
            <w:shd w:val="clear" w:color="auto" w:fill="auto"/>
            <w:noWrap/>
            <w:vAlign w:val="bottom"/>
            <w:hideMark/>
          </w:tcPr>
          <w:p w:rsidRPr="00724A4A" w:rsidR="00724A4A" w:rsidP="00490158" w:rsidRDefault="00724A4A" w14:paraId="70C2FA0A" w14:textId="77777777">
            <w:pPr>
              <w:spacing w:line="240" w:lineRule="auto"/>
              <w:jc w:val="center"/>
              <w:rPr>
                <w:rFonts w:eastAsia="Times New Roman" w:cstheme="minorHAnsi"/>
                <w:sz w:val="14"/>
                <w:szCs w:val="14"/>
              </w:rPr>
            </w:pPr>
            <w:r w:rsidRPr="00724A4A">
              <w:rPr>
                <w:rFonts w:eastAsia="Times New Roman" w:cstheme="minorHAnsi"/>
                <w:sz w:val="14"/>
                <w:szCs w:val="14"/>
              </w:rPr>
              <w:t>123,36</w:t>
            </w:r>
          </w:p>
        </w:tc>
        <w:tc>
          <w:tcPr>
            <w:tcW w:w="850" w:type="dxa"/>
            <w:shd w:val="clear" w:color="auto" w:fill="auto"/>
            <w:noWrap/>
            <w:vAlign w:val="bottom"/>
            <w:hideMark/>
          </w:tcPr>
          <w:p w:rsidRPr="00724A4A" w:rsidR="00724A4A" w:rsidP="00490158" w:rsidRDefault="00724A4A" w14:paraId="02FF336B" w14:textId="77777777">
            <w:pPr>
              <w:spacing w:line="240" w:lineRule="auto"/>
              <w:jc w:val="center"/>
              <w:rPr>
                <w:rFonts w:eastAsia="Times New Roman" w:cstheme="minorHAnsi"/>
                <w:sz w:val="14"/>
                <w:szCs w:val="14"/>
              </w:rPr>
            </w:pPr>
            <w:r w:rsidRPr="00724A4A">
              <w:rPr>
                <w:rFonts w:eastAsia="Times New Roman" w:cstheme="minorHAnsi"/>
                <w:sz w:val="14"/>
                <w:szCs w:val="14"/>
              </w:rPr>
              <w:t>-0,10</w:t>
            </w:r>
          </w:p>
        </w:tc>
        <w:tc>
          <w:tcPr>
            <w:tcW w:w="851" w:type="dxa"/>
            <w:shd w:val="clear" w:color="auto" w:fill="auto"/>
            <w:noWrap/>
            <w:vAlign w:val="bottom"/>
            <w:hideMark/>
          </w:tcPr>
          <w:p w:rsidRPr="00724A4A" w:rsidR="00724A4A" w:rsidP="00490158" w:rsidRDefault="00724A4A" w14:paraId="13644500" w14:textId="77777777">
            <w:pPr>
              <w:spacing w:line="240" w:lineRule="auto"/>
              <w:jc w:val="center"/>
              <w:rPr>
                <w:rFonts w:eastAsia="Times New Roman" w:cstheme="minorHAnsi"/>
                <w:sz w:val="14"/>
                <w:szCs w:val="14"/>
              </w:rPr>
            </w:pPr>
            <w:r w:rsidRPr="00724A4A">
              <w:rPr>
                <w:rFonts w:eastAsia="Times New Roman" w:cstheme="minorHAnsi"/>
                <w:sz w:val="14"/>
                <w:szCs w:val="14"/>
              </w:rPr>
              <w:t>115,38</w:t>
            </w:r>
          </w:p>
        </w:tc>
      </w:tr>
      <w:tr w:rsidRPr="00724A4A" w:rsidR="00724A4A" w:rsidTr="00DE2C45" w14:paraId="3517DF3A" w14:textId="77777777">
        <w:trPr>
          <w:trHeight w:val="269"/>
        </w:trPr>
        <w:tc>
          <w:tcPr>
            <w:tcW w:w="931" w:type="dxa"/>
            <w:shd w:val="clear" w:color="auto" w:fill="auto"/>
            <w:noWrap/>
            <w:vAlign w:val="bottom"/>
            <w:hideMark/>
          </w:tcPr>
          <w:p w:rsidRPr="00724A4A" w:rsidR="00724A4A" w:rsidP="00490158" w:rsidRDefault="00724A4A" w14:paraId="0BBA535B" w14:textId="77777777">
            <w:pPr>
              <w:spacing w:line="240" w:lineRule="auto"/>
              <w:jc w:val="center"/>
              <w:rPr>
                <w:rFonts w:eastAsia="Times New Roman" w:cstheme="minorHAnsi"/>
                <w:sz w:val="14"/>
                <w:szCs w:val="14"/>
              </w:rPr>
            </w:pPr>
            <w:r w:rsidRPr="00724A4A">
              <w:rPr>
                <w:rFonts w:eastAsia="Times New Roman" w:cstheme="minorHAnsi"/>
                <w:sz w:val="14"/>
                <w:szCs w:val="14"/>
              </w:rPr>
              <w:t>2016</w:t>
            </w:r>
          </w:p>
        </w:tc>
        <w:tc>
          <w:tcPr>
            <w:tcW w:w="850" w:type="dxa"/>
            <w:shd w:val="clear" w:color="auto" w:fill="auto"/>
            <w:noWrap/>
            <w:vAlign w:val="bottom"/>
            <w:hideMark/>
          </w:tcPr>
          <w:p w:rsidRPr="00724A4A" w:rsidR="00724A4A" w:rsidP="00490158" w:rsidRDefault="00724A4A" w14:paraId="061C711A" w14:textId="77777777">
            <w:pPr>
              <w:spacing w:line="240" w:lineRule="auto"/>
              <w:jc w:val="center"/>
              <w:rPr>
                <w:rFonts w:eastAsia="Times New Roman" w:cstheme="minorHAnsi"/>
                <w:sz w:val="14"/>
                <w:szCs w:val="14"/>
              </w:rPr>
            </w:pPr>
            <w:r w:rsidRPr="00724A4A">
              <w:rPr>
                <w:rFonts w:eastAsia="Times New Roman" w:cstheme="minorHAnsi"/>
                <w:sz w:val="14"/>
                <w:szCs w:val="14"/>
              </w:rPr>
              <w:t>9,50</w:t>
            </w:r>
          </w:p>
        </w:tc>
        <w:tc>
          <w:tcPr>
            <w:tcW w:w="851" w:type="dxa"/>
            <w:shd w:val="clear" w:color="auto" w:fill="auto"/>
            <w:noWrap/>
            <w:vAlign w:val="bottom"/>
            <w:hideMark/>
          </w:tcPr>
          <w:p w:rsidRPr="00724A4A" w:rsidR="00724A4A" w:rsidP="00490158" w:rsidRDefault="00724A4A" w14:paraId="0C2B97EA" w14:textId="77777777">
            <w:pPr>
              <w:spacing w:line="240" w:lineRule="auto"/>
              <w:jc w:val="center"/>
              <w:rPr>
                <w:rFonts w:eastAsia="Times New Roman" w:cstheme="minorHAnsi"/>
                <w:sz w:val="14"/>
                <w:szCs w:val="14"/>
              </w:rPr>
            </w:pPr>
            <w:r w:rsidRPr="00724A4A">
              <w:rPr>
                <w:rFonts w:eastAsia="Times New Roman" w:cstheme="minorHAnsi"/>
                <w:sz w:val="14"/>
                <w:szCs w:val="14"/>
              </w:rPr>
              <w:t>128,76</w:t>
            </w:r>
          </w:p>
        </w:tc>
        <w:tc>
          <w:tcPr>
            <w:tcW w:w="850" w:type="dxa"/>
            <w:shd w:val="clear" w:color="auto" w:fill="auto"/>
            <w:noWrap/>
            <w:vAlign w:val="bottom"/>
            <w:hideMark/>
          </w:tcPr>
          <w:p w:rsidRPr="00724A4A" w:rsidR="00724A4A" w:rsidP="00490158" w:rsidRDefault="00724A4A" w14:paraId="7F6F9896" w14:textId="77777777">
            <w:pPr>
              <w:spacing w:line="240" w:lineRule="auto"/>
              <w:jc w:val="center"/>
              <w:rPr>
                <w:rFonts w:eastAsia="Times New Roman" w:cstheme="minorHAnsi"/>
                <w:sz w:val="14"/>
                <w:szCs w:val="14"/>
              </w:rPr>
            </w:pPr>
            <w:r w:rsidRPr="00724A4A">
              <w:rPr>
                <w:rFonts w:eastAsia="Times New Roman" w:cstheme="minorHAnsi"/>
                <w:sz w:val="14"/>
                <w:szCs w:val="14"/>
              </w:rPr>
              <w:t>1,80</w:t>
            </w:r>
          </w:p>
        </w:tc>
        <w:tc>
          <w:tcPr>
            <w:tcW w:w="851" w:type="dxa"/>
            <w:shd w:val="clear" w:color="auto" w:fill="auto"/>
            <w:noWrap/>
            <w:vAlign w:val="bottom"/>
            <w:hideMark/>
          </w:tcPr>
          <w:p w:rsidRPr="00724A4A" w:rsidR="00724A4A" w:rsidP="00490158" w:rsidRDefault="00724A4A" w14:paraId="773DB59D" w14:textId="77777777">
            <w:pPr>
              <w:spacing w:line="240" w:lineRule="auto"/>
              <w:jc w:val="center"/>
              <w:rPr>
                <w:rFonts w:eastAsia="Times New Roman" w:cstheme="minorHAnsi"/>
                <w:sz w:val="14"/>
                <w:szCs w:val="14"/>
              </w:rPr>
            </w:pPr>
            <w:r w:rsidRPr="00724A4A">
              <w:rPr>
                <w:rFonts w:eastAsia="Times New Roman" w:cstheme="minorHAnsi"/>
                <w:sz w:val="14"/>
                <w:szCs w:val="14"/>
              </w:rPr>
              <w:t>107,73</w:t>
            </w:r>
          </w:p>
        </w:tc>
        <w:tc>
          <w:tcPr>
            <w:tcW w:w="850" w:type="dxa"/>
            <w:shd w:val="clear" w:color="auto" w:fill="auto"/>
            <w:noWrap/>
            <w:vAlign w:val="bottom"/>
            <w:hideMark/>
          </w:tcPr>
          <w:p w:rsidRPr="00724A4A" w:rsidR="00724A4A" w:rsidP="00490158" w:rsidRDefault="00724A4A" w14:paraId="156D4372" w14:textId="77777777">
            <w:pPr>
              <w:spacing w:line="240" w:lineRule="auto"/>
              <w:jc w:val="center"/>
              <w:rPr>
                <w:rFonts w:eastAsia="Times New Roman" w:cstheme="minorHAnsi"/>
                <w:sz w:val="14"/>
                <w:szCs w:val="14"/>
              </w:rPr>
            </w:pPr>
            <w:r w:rsidRPr="00724A4A">
              <w:rPr>
                <w:rFonts w:eastAsia="Times New Roman" w:cstheme="minorHAnsi"/>
                <w:sz w:val="14"/>
                <w:szCs w:val="14"/>
              </w:rPr>
              <w:t>10,30</w:t>
            </w:r>
          </w:p>
        </w:tc>
        <w:tc>
          <w:tcPr>
            <w:tcW w:w="851" w:type="dxa"/>
            <w:shd w:val="clear" w:color="auto" w:fill="auto"/>
            <w:noWrap/>
            <w:vAlign w:val="bottom"/>
            <w:hideMark/>
          </w:tcPr>
          <w:p w:rsidRPr="00724A4A" w:rsidR="00724A4A" w:rsidP="00490158" w:rsidRDefault="00724A4A" w14:paraId="1BC12630" w14:textId="77777777">
            <w:pPr>
              <w:spacing w:line="240" w:lineRule="auto"/>
              <w:jc w:val="center"/>
              <w:rPr>
                <w:rFonts w:eastAsia="Times New Roman" w:cstheme="minorHAnsi"/>
                <w:sz w:val="14"/>
                <w:szCs w:val="14"/>
              </w:rPr>
            </w:pPr>
            <w:r w:rsidRPr="00724A4A">
              <w:rPr>
                <w:rFonts w:eastAsia="Times New Roman" w:cstheme="minorHAnsi"/>
                <w:sz w:val="14"/>
                <w:szCs w:val="14"/>
              </w:rPr>
              <w:t>131,23</w:t>
            </w:r>
          </w:p>
        </w:tc>
        <w:tc>
          <w:tcPr>
            <w:tcW w:w="850" w:type="dxa"/>
            <w:shd w:val="clear" w:color="auto" w:fill="auto"/>
            <w:noWrap/>
            <w:vAlign w:val="bottom"/>
            <w:hideMark/>
          </w:tcPr>
          <w:p w:rsidRPr="00724A4A" w:rsidR="00724A4A" w:rsidP="00490158" w:rsidRDefault="00724A4A" w14:paraId="5BE2B4A3" w14:textId="77777777">
            <w:pPr>
              <w:spacing w:line="240" w:lineRule="auto"/>
              <w:jc w:val="center"/>
              <w:rPr>
                <w:rFonts w:eastAsia="Times New Roman" w:cstheme="minorHAnsi"/>
                <w:sz w:val="14"/>
                <w:szCs w:val="14"/>
              </w:rPr>
            </w:pPr>
            <w:r w:rsidRPr="00724A4A">
              <w:rPr>
                <w:rFonts w:eastAsia="Times New Roman" w:cstheme="minorHAnsi"/>
                <w:sz w:val="14"/>
                <w:szCs w:val="14"/>
              </w:rPr>
              <w:t>10,96</w:t>
            </w:r>
          </w:p>
        </w:tc>
        <w:tc>
          <w:tcPr>
            <w:tcW w:w="851" w:type="dxa"/>
            <w:shd w:val="clear" w:color="auto" w:fill="auto"/>
            <w:noWrap/>
            <w:vAlign w:val="bottom"/>
            <w:hideMark/>
          </w:tcPr>
          <w:p w:rsidRPr="00724A4A" w:rsidR="00724A4A" w:rsidP="00490158" w:rsidRDefault="00724A4A" w14:paraId="2338A9B5" w14:textId="77777777">
            <w:pPr>
              <w:spacing w:line="240" w:lineRule="auto"/>
              <w:jc w:val="center"/>
              <w:rPr>
                <w:rFonts w:eastAsia="Times New Roman" w:cstheme="minorHAnsi"/>
                <w:sz w:val="14"/>
                <w:szCs w:val="14"/>
              </w:rPr>
            </w:pPr>
            <w:r w:rsidRPr="00724A4A">
              <w:rPr>
                <w:rFonts w:eastAsia="Times New Roman" w:cstheme="minorHAnsi"/>
                <w:sz w:val="14"/>
                <w:szCs w:val="14"/>
              </w:rPr>
              <w:t>136,88</w:t>
            </w:r>
          </w:p>
        </w:tc>
        <w:tc>
          <w:tcPr>
            <w:tcW w:w="850" w:type="dxa"/>
            <w:shd w:val="clear" w:color="auto" w:fill="auto"/>
            <w:noWrap/>
            <w:vAlign w:val="bottom"/>
            <w:hideMark/>
          </w:tcPr>
          <w:p w:rsidRPr="00724A4A" w:rsidR="00724A4A" w:rsidP="00490158" w:rsidRDefault="00724A4A" w14:paraId="4FD34C16" w14:textId="77777777">
            <w:pPr>
              <w:spacing w:line="240" w:lineRule="auto"/>
              <w:jc w:val="center"/>
              <w:rPr>
                <w:rFonts w:eastAsia="Times New Roman" w:cstheme="minorHAnsi"/>
                <w:sz w:val="14"/>
                <w:szCs w:val="14"/>
              </w:rPr>
            </w:pPr>
            <w:r w:rsidRPr="00724A4A">
              <w:rPr>
                <w:rFonts w:eastAsia="Times New Roman" w:cstheme="minorHAnsi"/>
                <w:sz w:val="14"/>
                <w:szCs w:val="14"/>
              </w:rPr>
              <w:t>12,00</w:t>
            </w:r>
          </w:p>
        </w:tc>
        <w:tc>
          <w:tcPr>
            <w:tcW w:w="851" w:type="dxa"/>
            <w:shd w:val="clear" w:color="auto" w:fill="auto"/>
            <w:noWrap/>
            <w:vAlign w:val="bottom"/>
            <w:hideMark/>
          </w:tcPr>
          <w:p w:rsidRPr="00724A4A" w:rsidR="00724A4A" w:rsidP="00490158" w:rsidRDefault="00724A4A" w14:paraId="781ABED5" w14:textId="77777777">
            <w:pPr>
              <w:spacing w:line="240" w:lineRule="auto"/>
              <w:jc w:val="center"/>
              <w:rPr>
                <w:rFonts w:eastAsia="Times New Roman" w:cstheme="minorHAnsi"/>
                <w:sz w:val="14"/>
                <w:szCs w:val="14"/>
              </w:rPr>
            </w:pPr>
            <w:r w:rsidRPr="00724A4A">
              <w:rPr>
                <w:rFonts w:eastAsia="Times New Roman" w:cstheme="minorHAnsi"/>
                <w:sz w:val="14"/>
                <w:szCs w:val="14"/>
              </w:rPr>
              <w:t>129,23</w:t>
            </w:r>
          </w:p>
        </w:tc>
      </w:tr>
      <w:tr w:rsidRPr="00724A4A" w:rsidR="00724A4A" w:rsidTr="00DE2C45" w14:paraId="0227AAE7" w14:textId="77777777">
        <w:trPr>
          <w:trHeight w:val="269"/>
        </w:trPr>
        <w:tc>
          <w:tcPr>
            <w:tcW w:w="931" w:type="dxa"/>
            <w:shd w:val="clear" w:color="auto" w:fill="auto"/>
            <w:noWrap/>
            <w:vAlign w:val="bottom"/>
            <w:hideMark/>
          </w:tcPr>
          <w:p w:rsidRPr="00724A4A" w:rsidR="00724A4A" w:rsidP="00490158" w:rsidRDefault="00724A4A" w14:paraId="6FDB72A2" w14:textId="77777777">
            <w:pPr>
              <w:spacing w:line="240" w:lineRule="auto"/>
              <w:jc w:val="center"/>
              <w:rPr>
                <w:rFonts w:eastAsia="Times New Roman" w:cstheme="minorHAnsi"/>
                <w:sz w:val="14"/>
                <w:szCs w:val="14"/>
              </w:rPr>
            </w:pPr>
            <w:r w:rsidRPr="00724A4A">
              <w:rPr>
                <w:rFonts w:eastAsia="Times New Roman" w:cstheme="minorHAnsi"/>
                <w:sz w:val="14"/>
                <w:szCs w:val="14"/>
              </w:rPr>
              <w:t>2017</w:t>
            </w:r>
          </w:p>
        </w:tc>
        <w:tc>
          <w:tcPr>
            <w:tcW w:w="850" w:type="dxa"/>
            <w:shd w:val="clear" w:color="auto" w:fill="auto"/>
            <w:noWrap/>
            <w:vAlign w:val="bottom"/>
            <w:hideMark/>
          </w:tcPr>
          <w:p w:rsidRPr="00724A4A" w:rsidR="00724A4A" w:rsidP="00490158" w:rsidRDefault="00724A4A" w14:paraId="50C9A464" w14:textId="77777777">
            <w:pPr>
              <w:spacing w:line="240" w:lineRule="auto"/>
              <w:jc w:val="center"/>
              <w:rPr>
                <w:rFonts w:eastAsia="Times New Roman" w:cstheme="minorHAnsi"/>
                <w:sz w:val="14"/>
                <w:szCs w:val="14"/>
              </w:rPr>
            </w:pPr>
            <w:r w:rsidRPr="00724A4A">
              <w:rPr>
                <w:rFonts w:eastAsia="Times New Roman" w:cstheme="minorHAnsi"/>
                <w:sz w:val="14"/>
                <w:szCs w:val="14"/>
              </w:rPr>
              <w:t>7,60</w:t>
            </w:r>
          </w:p>
        </w:tc>
        <w:tc>
          <w:tcPr>
            <w:tcW w:w="851" w:type="dxa"/>
            <w:shd w:val="clear" w:color="auto" w:fill="auto"/>
            <w:noWrap/>
            <w:vAlign w:val="bottom"/>
            <w:hideMark/>
          </w:tcPr>
          <w:p w:rsidRPr="00724A4A" w:rsidR="00724A4A" w:rsidP="00490158" w:rsidRDefault="00724A4A" w14:paraId="62B46DC3" w14:textId="77777777">
            <w:pPr>
              <w:spacing w:line="240" w:lineRule="auto"/>
              <w:jc w:val="center"/>
              <w:rPr>
                <w:rFonts w:eastAsia="Times New Roman" w:cstheme="minorHAnsi"/>
                <w:sz w:val="14"/>
                <w:szCs w:val="14"/>
              </w:rPr>
            </w:pPr>
            <w:r w:rsidRPr="00724A4A">
              <w:rPr>
                <w:rFonts w:eastAsia="Times New Roman" w:cstheme="minorHAnsi"/>
                <w:sz w:val="14"/>
                <w:szCs w:val="14"/>
              </w:rPr>
              <w:t>138,55</w:t>
            </w:r>
          </w:p>
        </w:tc>
        <w:tc>
          <w:tcPr>
            <w:tcW w:w="850" w:type="dxa"/>
            <w:shd w:val="clear" w:color="auto" w:fill="auto"/>
            <w:noWrap/>
            <w:vAlign w:val="bottom"/>
            <w:hideMark/>
          </w:tcPr>
          <w:p w:rsidRPr="00724A4A" w:rsidR="00724A4A" w:rsidP="00490158" w:rsidRDefault="00724A4A" w14:paraId="3EE3BF16" w14:textId="77777777">
            <w:pPr>
              <w:spacing w:line="240" w:lineRule="auto"/>
              <w:jc w:val="center"/>
              <w:rPr>
                <w:rFonts w:eastAsia="Times New Roman" w:cstheme="minorHAnsi"/>
                <w:sz w:val="14"/>
                <w:szCs w:val="14"/>
              </w:rPr>
            </w:pPr>
            <w:r w:rsidRPr="00724A4A">
              <w:rPr>
                <w:rFonts w:eastAsia="Times New Roman" w:cstheme="minorHAnsi"/>
                <w:sz w:val="14"/>
                <w:szCs w:val="14"/>
              </w:rPr>
              <w:t>2,20</w:t>
            </w:r>
          </w:p>
        </w:tc>
        <w:tc>
          <w:tcPr>
            <w:tcW w:w="851" w:type="dxa"/>
            <w:shd w:val="clear" w:color="auto" w:fill="auto"/>
            <w:noWrap/>
            <w:vAlign w:val="bottom"/>
            <w:hideMark/>
          </w:tcPr>
          <w:p w:rsidRPr="00724A4A" w:rsidR="00724A4A" w:rsidP="00490158" w:rsidRDefault="00724A4A" w14:paraId="42268263" w14:textId="77777777">
            <w:pPr>
              <w:spacing w:line="240" w:lineRule="auto"/>
              <w:jc w:val="center"/>
              <w:rPr>
                <w:rFonts w:eastAsia="Times New Roman" w:cstheme="minorHAnsi"/>
                <w:sz w:val="14"/>
                <w:szCs w:val="14"/>
              </w:rPr>
            </w:pPr>
            <w:r w:rsidRPr="00724A4A">
              <w:rPr>
                <w:rFonts w:eastAsia="Times New Roman" w:cstheme="minorHAnsi"/>
                <w:sz w:val="14"/>
                <w:szCs w:val="14"/>
              </w:rPr>
              <w:t>110,11</w:t>
            </w:r>
          </w:p>
        </w:tc>
        <w:tc>
          <w:tcPr>
            <w:tcW w:w="850" w:type="dxa"/>
            <w:shd w:val="clear" w:color="auto" w:fill="auto"/>
            <w:noWrap/>
            <w:vAlign w:val="bottom"/>
            <w:hideMark/>
          </w:tcPr>
          <w:p w:rsidRPr="00724A4A" w:rsidR="00724A4A" w:rsidP="00490158" w:rsidRDefault="00724A4A" w14:paraId="5A64F02C" w14:textId="77777777">
            <w:pPr>
              <w:spacing w:line="240" w:lineRule="auto"/>
              <w:jc w:val="center"/>
              <w:rPr>
                <w:rFonts w:eastAsia="Times New Roman" w:cstheme="minorHAnsi"/>
                <w:sz w:val="14"/>
                <w:szCs w:val="14"/>
              </w:rPr>
            </w:pPr>
            <w:r w:rsidRPr="00724A4A">
              <w:rPr>
                <w:rFonts w:eastAsia="Times New Roman" w:cstheme="minorHAnsi"/>
                <w:sz w:val="14"/>
                <w:szCs w:val="14"/>
              </w:rPr>
              <w:t>4,70</w:t>
            </w:r>
          </w:p>
        </w:tc>
        <w:tc>
          <w:tcPr>
            <w:tcW w:w="851" w:type="dxa"/>
            <w:shd w:val="clear" w:color="auto" w:fill="auto"/>
            <w:noWrap/>
            <w:vAlign w:val="bottom"/>
            <w:hideMark/>
          </w:tcPr>
          <w:p w:rsidRPr="00724A4A" w:rsidR="00724A4A" w:rsidP="00490158" w:rsidRDefault="00724A4A" w14:paraId="6D5EAA83" w14:textId="77777777">
            <w:pPr>
              <w:spacing w:line="240" w:lineRule="auto"/>
              <w:jc w:val="center"/>
              <w:rPr>
                <w:rFonts w:eastAsia="Times New Roman" w:cstheme="minorHAnsi"/>
                <w:sz w:val="14"/>
                <w:szCs w:val="14"/>
              </w:rPr>
            </w:pPr>
            <w:r w:rsidRPr="00724A4A">
              <w:rPr>
                <w:rFonts w:eastAsia="Times New Roman" w:cstheme="minorHAnsi"/>
                <w:sz w:val="14"/>
                <w:szCs w:val="14"/>
              </w:rPr>
              <w:t>137,40</w:t>
            </w:r>
          </w:p>
        </w:tc>
        <w:tc>
          <w:tcPr>
            <w:tcW w:w="850" w:type="dxa"/>
            <w:shd w:val="clear" w:color="auto" w:fill="auto"/>
            <w:noWrap/>
            <w:vAlign w:val="bottom"/>
            <w:hideMark/>
          </w:tcPr>
          <w:p w:rsidRPr="00724A4A" w:rsidR="00724A4A" w:rsidP="00490158" w:rsidRDefault="00724A4A" w14:paraId="63C05E52" w14:textId="77777777">
            <w:pPr>
              <w:spacing w:line="240" w:lineRule="auto"/>
              <w:jc w:val="center"/>
              <w:rPr>
                <w:rFonts w:eastAsia="Times New Roman" w:cstheme="minorHAnsi"/>
                <w:sz w:val="14"/>
                <w:szCs w:val="14"/>
              </w:rPr>
            </w:pPr>
            <w:r w:rsidRPr="00724A4A">
              <w:rPr>
                <w:rFonts w:eastAsia="Times New Roman" w:cstheme="minorHAnsi"/>
                <w:sz w:val="14"/>
                <w:szCs w:val="14"/>
              </w:rPr>
              <w:t>4,06</w:t>
            </w:r>
          </w:p>
        </w:tc>
        <w:tc>
          <w:tcPr>
            <w:tcW w:w="851" w:type="dxa"/>
            <w:shd w:val="clear" w:color="auto" w:fill="auto"/>
            <w:noWrap/>
            <w:vAlign w:val="bottom"/>
            <w:hideMark/>
          </w:tcPr>
          <w:p w:rsidRPr="00724A4A" w:rsidR="00724A4A" w:rsidP="00490158" w:rsidRDefault="00724A4A" w14:paraId="65EF5E02" w14:textId="77777777">
            <w:pPr>
              <w:spacing w:line="240" w:lineRule="auto"/>
              <w:jc w:val="center"/>
              <w:rPr>
                <w:rFonts w:eastAsia="Times New Roman" w:cstheme="minorHAnsi"/>
                <w:sz w:val="14"/>
                <w:szCs w:val="14"/>
              </w:rPr>
            </w:pPr>
            <w:r w:rsidRPr="00724A4A">
              <w:rPr>
                <w:rFonts w:eastAsia="Times New Roman" w:cstheme="minorHAnsi"/>
                <w:sz w:val="14"/>
                <w:szCs w:val="14"/>
              </w:rPr>
              <w:t>142,44</w:t>
            </w:r>
          </w:p>
        </w:tc>
        <w:tc>
          <w:tcPr>
            <w:tcW w:w="850" w:type="dxa"/>
            <w:shd w:val="clear" w:color="auto" w:fill="auto"/>
            <w:noWrap/>
            <w:vAlign w:val="bottom"/>
            <w:hideMark/>
          </w:tcPr>
          <w:p w:rsidRPr="00724A4A" w:rsidR="00724A4A" w:rsidP="00490158" w:rsidRDefault="00724A4A" w14:paraId="2AF653FC" w14:textId="77777777">
            <w:pPr>
              <w:spacing w:line="240" w:lineRule="auto"/>
              <w:jc w:val="center"/>
              <w:rPr>
                <w:rFonts w:eastAsia="Times New Roman" w:cstheme="minorHAnsi"/>
                <w:sz w:val="14"/>
                <w:szCs w:val="14"/>
              </w:rPr>
            </w:pPr>
            <w:r w:rsidRPr="00724A4A">
              <w:rPr>
                <w:rFonts w:eastAsia="Times New Roman" w:cstheme="minorHAnsi"/>
                <w:sz w:val="14"/>
                <w:szCs w:val="14"/>
              </w:rPr>
              <w:t>5,10</w:t>
            </w:r>
          </w:p>
        </w:tc>
        <w:tc>
          <w:tcPr>
            <w:tcW w:w="851" w:type="dxa"/>
            <w:shd w:val="clear" w:color="auto" w:fill="auto"/>
            <w:noWrap/>
            <w:vAlign w:val="bottom"/>
            <w:hideMark/>
          </w:tcPr>
          <w:p w:rsidRPr="00724A4A" w:rsidR="00724A4A" w:rsidP="00490158" w:rsidRDefault="00724A4A" w14:paraId="4700BB8B" w14:textId="77777777">
            <w:pPr>
              <w:spacing w:line="240" w:lineRule="auto"/>
              <w:jc w:val="center"/>
              <w:rPr>
                <w:rFonts w:eastAsia="Times New Roman" w:cstheme="minorHAnsi"/>
                <w:sz w:val="14"/>
                <w:szCs w:val="14"/>
              </w:rPr>
            </w:pPr>
            <w:r w:rsidRPr="00724A4A">
              <w:rPr>
                <w:rFonts w:eastAsia="Times New Roman" w:cstheme="minorHAnsi"/>
                <w:sz w:val="14"/>
                <w:szCs w:val="14"/>
              </w:rPr>
              <w:t>135,82</w:t>
            </w:r>
          </w:p>
        </w:tc>
      </w:tr>
      <w:tr w:rsidRPr="00724A4A" w:rsidR="00724A4A" w:rsidTr="00DE2C45" w14:paraId="0477E3A4" w14:textId="77777777">
        <w:trPr>
          <w:trHeight w:val="269"/>
        </w:trPr>
        <w:tc>
          <w:tcPr>
            <w:tcW w:w="931" w:type="dxa"/>
            <w:shd w:val="clear" w:color="auto" w:fill="auto"/>
            <w:noWrap/>
            <w:vAlign w:val="bottom"/>
            <w:hideMark/>
          </w:tcPr>
          <w:p w:rsidRPr="00724A4A" w:rsidR="00724A4A" w:rsidP="00490158" w:rsidRDefault="00724A4A" w14:paraId="46D40682" w14:textId="77777777">
            <w:pPr>
              <w:spacing w:line="240" w:lineRule="auto"/>
              <w:jc w:val="center"/>
              <w:rPr>
                <w:rFonts w:eastAsia="Times New Roman" w:cstheme="minorHAnsi"/>
                <w:sz w:val="14"/>
                <w:szCs w:val="14"/>
              </w:rPr>
            </w:pPr>
            <w:r w:rsidRPr="00724A4A">
              <w:rPr>
                <w:rFonts w:eastAsia="Times New Roman" w:cstheme="minorHAnsi"/>
                <w:sz w:val="14"/>
                <w:szCs w:val="14"/>
              </w:rPr>
              <w:t>2018</w:t>
            </w:r>
          </w:p>
        </w:tc>
        <w:tc>
          <w:tcPr>
            <w:tcW w:w="850" w:type="dxa"/>
            <w:shd w:val="clear" w:color="auto" w:fill="auto"/>
            <w:noWrap/>
            <w:vAlign w:val="bottom"/>
            <w:hideMark/>
          </w:tcPr>
          <w:p w:rsidRPr="00724A4A" w:rsidR="00724A4A" w:rsidP="00490158" w:rsidRDefault="00724A4A" w14:paraId="4F0A719C" w14:textId="77777777">
            <w:pPr>
              <w:spacing w:line="240" w:lineRule="auto"/>
              <w:jc w:val="center"/>
              <w:rPr>
                <w:rFonts w:eastAsia="Times New Roman" w:cstheme="minorHAnsi"/>
                <w:sz w:val="14"/>
                <w:szCs w:val="14"/>
              </w:rPr>
            </w:pPr>
            <w:r w:rsidRPr="00724A4A">
              <w:rPr>
                <w:rFonts w:eastAsia="Times New Roman" w:cstheme="minorHAnsi"/>
                <w:sz w:val="14"/>
                <w:szCs w:val="14"/>
              </w:rPr>
              <w:t>-2,30</w:t>
            </w:r>
          </w:p>
        </w:tc>
        <w:tc>
          <w:tcPr>
            <w:tcW w:w="851" w:type="dxa"/>
            <w:shd w:val="clear" w:color="auto" w:fill="auto"/>
            <w:noWrap/>
            <w:vAlign w:val="bottom"/>
            <w:hideMark/>
          </w:tcPr>
          <w:p w:rsidRPr="00724A4A" w:rsidR="00724A4A" w:rsidP="00490158" w:rsidRDefault="00724A4A" w14:paraId="5EB549FB" w14:textId="77777777">
            <w:pPr>
              <w:spacing w:line="240" w:lineRule="auto"/>
              <w:jc w:val="center"/>
              <w:rPr>
                <w:rFonts w:eastAsia="Times New Roman" w:cstheme="minorHAnsi"/>
                <w:sz w:val="14"/>
                <w:szCs w:val="14"/>
              </w:rPr>
            </w:pPr>
            <w:r w:rsidRPr="00724A4A">
              <w:rPr>
                <w:rFonts w:eastAsia="Times New Roman" w:cstheme="minorHAnsi"/>
                <w:sz w:val="14"/>
                <w:szCs w:val="14"/>
              </w:rPr>
              <w:t>135,36</w:t>
            </w:r>
          </w:p>
        </w:tc>
        <w:tc>
          <w:tcPr>
            <w:tcW w:w="850" w:type="dxa"/>
            <w:shd w:val="clear" w:color="auto" w:fill="auto"/>
            <w:noWrap/>
            <w:vAlign w:val="bottom"/>
            <w:hideMark/>
          </w:tcPr>
          <w:p w:rsidRPr="00724A4A" w:rsidR="00724A4A" w:rsidP="00490158" w:rsidRDefault="00724A4A" w14:paraId="6BE419FE" w14:textId="77777777">
            <w:pPr>
              <w:spacing w:line="240" w:lineRule="auto"/>
              <w:jc w:val="center"/>
              <w:rPr>
                <w:rFonts w:eastAsia="Times New Roman" w:cstheme="minorHAnsi"/>
                <w:sz w:val="14"/>
                <w:szCs w:val="14"/>
              </w:rPr>
            </w:pPr>
            <w:r w:rsidRPr="00724A4A">
              <w:rPr>
                <w:rFonts w:eastAsia="Times New Roman" w:cstheme="minorHAnsi"/>
                <w:sz w:val="14"/>
                <w:szCs w:val="14"/>
              </w:rPr>
              <w:t>-1,00</w:t>
            </w:r>
          </w:p>
        </w:tc>
        <w:tc>
          <w:tcPr>
            <w:tcW w:w="851" w:type="dxa"/>
            <w:shd w:val="clear" w:color="auto" w:fill="auto"/>
            <w:noWrap/>
            <w:vAlign w:val="bottom"/>
            <w:hideMark/>
          </w:tcPr>
          <w:p w:rsidRPr="00724A4A" w:rsidR="00724A4A" w:rsidP="00490158" w:rsidRDefault="00724A4A" w14:paraId="28C6101F" w14:textId="77777777">
            <w:pPr>
              <w:spacing w:line="240" w:lineRule="auto"/>
              <w:jc w:val="center"/>
              <w:rPr>
                <w:rFonts w:eastAsia="Times New Roman" w:cstheme="minorHAnsi"/>
                <w:sz w:val="14"/>
                <w:szCs w:val="14"/>
              </w:rPr>
            </w:pPr>
            <w:r w:rsidRPr="00724A4A">
              <w:rPr>
                <w:rFonts w:eastAsia="Times New Roman" w:cstheme="minorHAnsi"/>
                <w:sz w:val="14"/>
                <w:szCs w:val="14"/>
              </w:rPr>
              <w:t>109,00</w:t>
            </w:r>
          </w:p>
        </w:tc>
        <w:tc>
          <w:tcPr>
            <w:tcW w:w="850" w:type="dxa"/>
            <w:shd w:val="clear" w:color="auto" w:fill="auto"/>
            <w:noWrap/>
            <w:vAlign w:val="bottom"/>
            <w:hideMark/>
          </w:tcPr>
          <w:p w:rsidRPr="00724A4A" w:rsidR="00724A4A" w:rsidP="00490158" w:rsidRDefault="00724A4A" w14:paraId="51655000" w14:textId="77777777">
            <w:pPr>
              <w:spacing w:line="240" w:lineRule="auto"/>
              <w:jc w:val="center"/>
              <w:rPr>
                <w:rFonts w:eastAsia="Times New Roman" w:cstheme="minorHAnsi"/>
                <w:sz w:val="14"/>
                <w:szCs w:val="14"/>
              </w:rPr>
            </w:pPr>
            <w:r w:rsidRPr="00724A4A">
              <w:rPr>
                <w:rFonts w:eastAsia="Times New Roman" w:cstheme="minorHAnsi"/>
                <w:sz w:val="14"/>
                <w:szCs w:val="14"/>
              </w:rPr>
              <w:t>-0,90</w:t>
            </w:r>
          </w:p>
        </w:tc>
        <w:tc>
          <w:tcPr>
            <w:tcW w:w="851" w:type="dxa"/>
            <w:shd w:val="clear" w:color="auto" w:fill="auto"/>
            <w:noWrap/>
            <w:vAlign w:val="bottom"/>
            <w:hideMark/>
          </w:tcPr>
          <w:p w:rsidRPr="00724A4A" w:rsidR="00724A4A" w:rsidP="00490158" w:rsidRDefault="00724A4A" w14:paraId="36BAE891" w14:textId="77777777">
            <w:pPr>
              <w:spacing w:line="240" w:lineRule="auto"/>
              <w:jc w:val="center"/>
              <w:rPr>
                <w:rFonts w:eastAsia="Times New Roman" w:cstheme="minorHAnsi"/>
                <w:sz w:val="14"/>
                <w:szCs w:val="14"/>
              </w:rPr>
            </w:pPr>
            <w:r w:rsidRPr="00724A4A">
              <w:rPr>
                <w:rFonts w:eastAsia="Times New Roman" w:cstheme="minorHAnsi"/>
                <w:sz w:val="14"/>
                <w:szCs w:val="14"/>
              </w:rPr>
              <w:t>136,16</w:t>
            </w:r>
          </w:p>
        </w:tc>
        <w:tc>
          <w:tcPr>
            <w:tcW w:w="850" w:type="dxa"/>
            <w:shd w:val="clear" w:color="auto" w:fill="auto"/>
            <w:noWrap/>
            <w:vAlign w:val="bottom"/>
            <w:hideMark/>
          </w:tcPr>
          <w:p w:rsidRPr="00724A4A" w:rsidR="00724A4A" w:rsidP="00490158" w:rsidRDefault="00724A4A" w14:paraId="3B78D0FA" w14:textId="77777777">
            <w:pPr>
              <w:spacing w:line="240" w:lineRule="auto"/>
              <w:jc w:val="center"/>
              <w:rPr>
                <w:rFonts w:eastAsia="Times New Roman" w:cstheme="minorHAnsi"/>
                <w:sz w:val="14"/>
                <w:szCs w:val="14"/>
              </w:rPr>
            </w:pPr>
            <w:r w:rsidRPr="00724A4A">
              <w:rPr>
                <w:rFonts w:eastAsia="Times New Roman" w:cstheme="minorHAnsi"/>
                <w:sz w:val="14"/>
                <w:szCs w:val="14"/>
              </w:rPr>
              <w:t>0,21</w:t>
            </w:r>
          </w:p>
        </w:tc>
        <w:tc>
          <w:tcPr>
            <w:tcW w:w="851" w:type="dxa"/>
            <w:shd w:val="clear" w:color="auto" w:fill="auto"/>
            <w:noWrap/>
            <w:vAlign w:val="bottom"/>
            <w:hideMark/>
          </w:tcPr>
          <w:p w:rsidRPr="00724A4A" w:rsidR="00724A4A" w:rsidP="00490158" w:rsidRDefault="00724A4A" w14:paraId="24F5D98B" w14:textId="77777777">
            <w:pPr>
              <w:spacing w:line="240" w:lineRule="auto"/>
              <w:jc w:val="center"/>
              <w:rPr>
                <w:rFonts w:eastAsia="Times New Roman" w:cstheme="minorHAnsi"/>
                <w:sz w:val="14"/>
                <w:szCs w:val="14"/>
              </w:rPr>
            </w:pPr>
            <w:r w:rsidRPr="00724A4A">
              <w:rPr>
                <w:rFonts w:eastAsia="Times New Roman" w:cstheme="minorHAnsi"/>
                <w:sz w:val="14"/>
                <w:szCs w:val="14"/>
              </w:rPr>
              <w:t>142,74</w:t>
            </w:r>
          </w:p>
        </w:tc>
        <w:tc>
          <w:tcPr>
            <w:tcW w:w="850" w:type="dxa"/>
            <w:shd w:val="clear" w:color="auto" w:fill="auto"/>
            <w:noWrap/>
            <w:vAlign w:val="bottom"/>
            <w:hideMark/>
          </w:tcPr>
          <w:p w:rsidRPr="00724A4A" w:rsidR="00724A4A" w:rsidP="00490158" w:rsidRDefault="00724A4A" w14:paraId="06A7715B" w14:textId="77777777">
            <w:pPr>
              <w:spacing w:line="240" w:lineRule="auto"/>
              <w:jc w:val="center"/>
              <w:rPr>
                <w:rFonts w:eastAsia="Times New Roman" w:cstheme="minorHAnsi"/>
                <w:sz w:val="14"/>
                <w:szCs w:val="14"/>
              </w:rPr>
            </w:pPr>
            <w:r w:rsidRPr="00724A4A">
              <w:rPr>
                <w:rFonts w:eastAsia="Times New Roman" w:cstheme="minorHAnsi"/>
                <w:sz w:val="14"/>
                <w:szCs w:val="14"/>
              </w:rPr>
              <w:t>-0,40</w:t>
            </w:r>
          </w:p>
        </w:tc>
        <w:tc>
          <w:tcPr>
            <w:tcW w:w="851" w:type="dxa"/>
            <w:shd w:val="clear" w:color="auto" w:fill="auto"/>
            <w:noWrap/>
            <w:vAlign w:val="bottom"/>
            <w:hideMark/>
          </w:tcPr>
          <w:p w:rsidRPr="00724A4A" w:rsidR="00724A4A" w:rsidP="00490158" w:rsidRDefault="00724A4A" w14:paraId="60B46AF3" w14:textId="77777777">
            <w:pPr>
              <w:spacing w:line="240" w:lineRule="auto"/>
              <w:jc w:val="center"/>
              <w:rPr>
                <w:rFonts w:eastAsia="Times New Roman" w:cstheme="minorHAnsi"/>
                <w:sz w:val="14"/>
                <w:szCs w:val="14"/>
              </w:rPr>
            </w:pPr>
            <w:r w:rsidRPr="00724A4A">
              <w:rPr>
                <w:rFonts w:eastAsia="Times New Roman" w:cstheme="minorHAnsi"/>
                <w:sz w:val="14"/>
                <w:szCs w:val="14"/>
              </w:rPr>
              <w:t>135,28</w:t>
            </w:r>
          </w:p>
        </w:tc>
      </w:tr>
      <w:tr w:rsidRPr="00724A4A" w:rsidR="00724A4A" w:rsidTr="00DE2C45" w14:paraId="7CAB13AB" w14:textId="77777777">
        <w:trPr>
          <w:trHeight w:val="269"/>
        </w:trPr>
        <w:tc>
          <w:tcPr>
            <w:tcW w:w="931" w:type="dxa"/>
            <w:shd w:val="clear" w:color="auto" w:fill="auto"/>
            <w:noWrap/>
            <w:vAlign w:val="bottom"/>
            <w:hideMark/>
          </w:tcPr>
          <w:p w:rsidRPr="00724A4A" w:rsidR="00724A4A" w:rsidP="00490158" w:rsidRDefault="00724A4A" w14:paraId="0664CB9F" w14:textId="77777777">
            <w:pPr>
              <w:spacing w:line="240" w:lineRule="auto"/>
              <w:jc w:val="center"/>
              <w:rPr>
                <w:rFonts w:eastAsia="Times New Roman" w:cstheme="minorHAnsi"/>
                <w:sz w:val="14"/>
                <w:szCs w:val="14"/>
              </w:rPr>
            </w:pPr>
            <w:r w:rsidRPr="00724A4A">
              <w:rPr>
                <w:rFonts w:eastAsia="Times New Roman" w:cstheme="minorHAnsi"/>
                <w:sz w:val="14"/>
                <w:szCs w:val="14"/>
              </w:rPr>
              <w:t>2019</w:t>
            </w:r>
          </w:p>
        </w:tc>
        <w:tc>
          <w:tcPr>
            <w:tcW w:w="850" w:type="dxa"/>
            <w:shd w:val="clear" w:color="auto" w:fill="auto"/>
            <w:noWrap/>
            <w:vAlign w:val="bottom"/>
            <w:hideMark/>
          </w:tcPr>
          <w:p w:rsidRPr="00724A4A" w:rsidR="00724A4A" w:rsidP="00490158" w:rsidRDefault="00724A4A" w14:paraId="63E43959" w14:textId="77777777">
            <w:pPr>
              <w:spacing w:line="240" w:lineRule="auto"/>
              <w:jc w:val="center"/>
              <w:rPr>
                <w:rFonts w:eastAsia="Times New Roman" w:cstheme="minorHAnsi"/>
                <w:sz w:val="14"/>
                <w:szCs w:val="14"/>
              </w:rPr>
            </w:pPr>
            <w:r w:rsidRPr="00724A4A">
              <w:rPr>
                <w:rFonts w:eastAsia="Times New Roman" w:cstheme="minorHAnsi"/>
                <w:sz w:val="14"/>
                <w:szCs w:val="14"/>
              </w:rPr>
              <w:t>16,80</w:t>
            </w:r>
          </w:p>
        </w:tc>
        <w:tc>
          <w:tcPr>
            <w:tcW w:w="851" w:type="dxa"/>
            <w:shd w:val="clear" w:color="auto" w:fill="auto"/>
            <w:noWrap/>
            <w:vAlign w:val="bottom"/>
            <w:hideMark/>
          </w:tcPr>
          <w:p w:rsidRPr="00724A4A" w:rsidR="00724A4A" w:rsidP="00490158" w:rsidRDefault="00724A4A" w14:paraId="4578FA13" w14:textId="77777777">
            <w:pPr>
              <w:spacing w:line="240" w:lineRule="auto"/>
              <w:jc w:val="center"/>
              <w:rPr>
                <w:rFonts w:eastAsia="Times New Roman" w:cstheme="minorHAnsi"/>
                <w:sz w:val="14"/>
                <w:szCs w:val="14"/>
              </w:rPr>
            </w:pPr>
            <w:r w:rsidRPr="00724A4A">
              <w:rPr>
                <w:rFonts w:eastAsia="Times New Roman" w:cstheme="minorHAnsi"/>
                <w:sz w:val="14"/>
                <w:szCs w:val="14"/>
              </w:rPr>
              <w:t>158,10</w:t>
            </w:r>
          </w:p>
        </w:tc>
        <w:tc>
          <w:tcPr>
            <w:tcW w:w="850" w:type="dxa"/>
            <w:shd w:val="clear" w:color="auto" w:fill="auto"/>
            <w:noWrap/>
            <w:vAlign w:val="bottom"/>
            <w:hideMark/>
          </w:tcPr>
          <w:p w:rsidRPr="00724A4A" w:rsidR="00724A4A" w:rsidP="00490158" w:rsidRDefault="00724A4A" w14:paraId="4D1E9693" w14:textId="77777777">
            <w:pPr>
              <w:spacing w:line="240" w:lineRule="auto"/>
              <w:jc w:val="center"/>
              <w:rPr>
                <w:rFonts w:eastAsia="Times New Roman" w:cstheme="minorHAnsi"/>
                <w:sz w:val="14"/>
                <w:szCs w:val="14"/>
              </w:rPr>
            </w:pPr>
            <w:r w:rsidRPr="00724A4A">
              <w:rPr>
                <w:rFonts w:eastAsia="Times New Roman" w:cstheme="minorHAnsi"/>
                <w:sz w:val="14"/>
                <w:szCs w:val="14"/>
              </w:rPr>
              <w:t>17,90</w:t>
            </w:r>
          </w:p>
        </w:tc>
        <w:tc>
          <w:tcPr>
            <w:tcW w:w="851" w:type="dxa"/>
            <w:shd w:val="clear" w:color="auto" w:fill="auto"/>
            <w:noWrap/>
            <w:vAlign w:val="bottom"/>
            <w:hideMark/>
          </w:tcPr>
          <w:p w:rsidRPr="00724A4A" w:rsidR="00724A4A" w:rsidP="00490158" w:rsidRDefault="00724A4A" w14:paraId="29835FEB" w14:textId="77777777">
            <w:pPr>
              <w:spacing w:line="240" w:lineRule="auto"/>
              <w:jc w:val="center"/>
              <w:rPr>
                <w:rFonts w:eastAsia="Times New Roman" w:cstheme="minorHAnsi"/>
                <w:sz w:val="14"/>
                <w:szCs w:val="14"/>
              </w:rPr>
            </w:pPr>
            <w:r w:rsidRPr="00724A4A">
              <w:rPr>
                <w:rFonts w:eastAsia="Times New Roman" w:cstheme="minorHAnsi"/>
                <w:sz w:val="14"/>
                <w:szCs w:val="14"/>
              </w:rPr>
              <w:t>128,52</w:t>
            </w:r>
          </w:p>
        </w:tc>
        <w:tc>
          <w:tcPr>
            <w:tcW w:w="850" w:type="dxa"/>
            <w:shd w:val="clear" w:color="auto" w:fill="auto"/>
            <w:noWrap/>
            <w:vAlign w:val="bottom"/>
            <w:hideMark/>
          </w:tcPr>
          <w:p w:rsidRPr="00724A4A" w:rsidR="00724A4A" w:rsidP="00490158" w:rsidRDefault="00724A4A" w14:paraId="30037E08" w14:textId="77777777">
            <w:pPr>
              <w:spacing w:line="240" w:lineRule="auto"/>
              <w:jc w:val="center"/>
              <w:rPr>
                <w:rFonts w:eastAsia="Times New Roman" w:cstheme="minorHAnsi"/>
                <w:sz w:val="14"/>
                <w:szCs w:val="14"/>
              </w:rPr>
            </w:pPr>
            <w:r w:rsidRPr="00724A4A">
              <w:rPr>
                <w:rFonts w:eastAsia="Times New Roman" w:cstheme="minorHAnsi"/>
                <w:sz w:val="14"/>
                <w:szCs w:val="14"/>
              </w:rPr>
              <w:t>18,30</w:t>
            </w:r>
          </w:p>
        </w:tc>
        <w:tc>
          <w:tcPr>
            <w:tcW w:w="851" w:type="dxa"/>
            <w:shd w:val="clear" w:color="auto" w:fill="auto"/>
            <w:noWrap/>
            <w:vAlign w:val="bottom"/>
            <w:hideMark/>
          </w:tcPr>
          <w:p w:rsidRPr="00724A4A" w:rsidR="00724A4A" w:rsidP="00490158" w:rsidRDefault="00724A4A" w14:paraId="1106D393" w14:textId="77777777">
            <w:pPr>
              <w:spacing w:line="240" w:lineRule="auto"/>
              <w:jc w:val="center"/>
              <w:rPr>
                <w:rFonts w:eastAsia="Times New Roman" w:cstheme="minorHAnsi"/>
                <w:sz w:val="14"/>
                <w:szCs w:val="14"/>
              </w:rPr>
            </w:pPr>
            <w:r w:rsidRPr="00724A4A">
              <w:rPr>
                <w:rFonts w:eastAsia="Times New Roman" w:cstheme="minorHAnsi"/>
                <w:sz w:val="14"/>
                <w:szCs w:val="14"/>
              </w:rPr>
              <w:t>161,08</w:t>
            </w:r>
          </w:p>
        </w:tc>
        <w:tc>
          <w:tcPr>
            <w:tcW w:w="850" w:type="dxa"/>
            <w:shd w:val="clear" w:color="auto" w:fill="auto"/>
            <w:noWrap/>
            <w:vAlign w:val="bottom"/>
            <w:hideMark/>
          </w:tcPr>
          <w:p w:rsidRPr="00724A4A" w:rsidR="00724A4A" w:rsidP="00490158" w:rsidRDefault="00724A4A" w14:paraId="4DEF59A3" w14:textId="77777777">
            <w:pPr>
              <w:spacing w:line="240" w:lineRule="auto"/>
              <w:jc w:val="center"/>
              <w:rPr>
                <w:rFonts w:eastAsia="Times New Roman" w:cstheme="minorHAnsi"/>
                <w:sz w:val="14"/>
                <w:szCs w:val="14"/>
              </w:rPr>
            </w:pPr>
            <w:r w:rsidRPr="00724A4A">
              <w:rPr>
                <w:rFonts w:eastAsia="Times New Roman" w:cstheme="minorHAnsi"/>
                <w:sz w:val="14"/>
                <w:szCs w:val="14"/>
              </w:rPr>
              <w:t>18,40</w:t>
            </w:r>
          </w:p>
        </w:tc>
        <w:tc>
          <w:tcPr>
            <w:tcW w:w="851" w:type="dxa"/>
            <w:shd w:val="clear" w:color="auto" w:fill="auto"/>
            <w:noWrap/>
            <w:vAlign w:val="bottom"/>
            <w:hideMark/>
          </w:tcPr>
          <w:p w:rsidRPr="00724A4A" w:rsidR="00724A4A" w:rsidP="00490158" w:rsidRDefault="00724A4A" w14:paraId="724E94A2" w14:textId="77777777">
            <w:pPr>
              <w:spacing w:line="240" w:lineRule="auto"/>
              <w:jc w:val="center"/>
              <w:rPr>
                <w:rFonts w:eastAsia="Times New Roman" w:cstheme="minorHAnsi"/>
                <w:sz w:val="14"/>
                <w:szCs w:val="14"/>
              </w:rPr>
            </w:pPr>
            <w:r w:rsidRPr="00724A4A">
              <w:rPr>
                <w:rFonts w:eastAsia="Times New Roman" w:cstheme="minorHAnsi"/>
                <w:sz w:val="14"/>
                <w:szCs w:val="14"/>
              </w:rPr>
              <w:t>169,00</w:t>
            </w:r>
          </w:p>
        </w:tc>
        <w:tc>
          <w:tcPr>
            <w:tcW w:w="850" w:type="dxa"/>
            <w:shd w:val="clear" w:color="auto" w:fill="auto"/>
            <w:noWrap/>
            <w:vAlign w:val="bottom"/>
            <w:hideMark/>
          </w:tcPr>
          <w:p w:rsidRPr="00724A4A" w:rsidR="00724A4A" w:rsidP="00490158" w:rsidRDefault="00724A4A" w14:paraId="4BA90390" w14:textId="77777777">
            <w:pPr>
              <w:spacing w:line="240" w:lineRule="auto"/>
              <w:jc w:val="center"/>
              <w:rPr>
                <w:rFonts w:eastAsia="Times New Roman" w:cstheme="minorHAnsi"/>
                <w:sz w:val="14"/>
                <w:szCs w:val="14"/>
              </w:rPr>
            </w:pPr>
            <w:r w:rsidRPr="00724A4A">
              <w:rPr>
                <w:rFonts w:eastAsia="Times New Roman" w:cstheme="minorHAnsi"/>
                <w:sz w:val="14"/>
                <w:szCs w:val="14"/>
              </w:rPr>
              <w:t>18,80</w:t>
            </w:r>
          </w:p>
        </w:tc>
        <w:tc>
          <w:tcPr>
            <w:tcW w:w="851" w:type="dxa"/>
            <w:shd w:val="clear" w:color="auto" w:fill="auto"/>
            <w:noWrap/>
            <w:vAlign w:val="bottom"/>
            <w:hideMark/>
          </w:tcPr>
          <w:p w:rsidRPr="00724A4A" w:rsidR="00724A4A" w:rsidP="00490158" w:rsidRDefault="00724A4A" w14:paraId="2DFA76C4" w14:textId="77777777">
            <w:pPr>
              <w:spacing w:line="240" w:lineRule="auto"/>
              <w:jc w:val="center"/>
              <w:rPr>
                <w:rFonts w:eastAsia="Times New Roman" w:cstheme="minorHAnsi"/>
                <w:sz w:val="14"/>
                <w:szCs w:val="14"/>
              </w:rPr>
            </w:pPr>
            <w:r w:rsidRPr="00724A4A">
              <w:rPr>
                <w:rFonts w:eastAsia="Times New Roman" w:cstheme="minorHAnsi"/>
                <w:sz w:val="14"/>
                <w:szCs w:val="14"/>
              </w:rPr>
              <w:t>160,71</w:t>
            </w:r>
          </w:p>
        </w:tc>
      </w:tr>
      <w:tr w:rsidRPr="00724A4A" w:rsidR="00724A4A" w:rsidTr="00DE2C45" w14:paraId="12707E95" w14:textId="77777777">
        <w:trPr>
          <w:trHeight w:val="269"/>
        </w:trPr>
        <w:tc>
          <w:tcPr>
            <w:tcW w:w="931" w:type="dxa"/>
            <w:shd w:val="clear" w:color="auto" w:fill="auto"/>
            <w:noWrap/>
            <w:vAlign w:val="bottom"/>
            <w:hideMark/>
          </w:tcPr>
          <w:p w:rsidRPr="00724A4A" w:rsidR="00724A4A" w:rsidP="00490158" w:rsidRDefault="00724A4A" w14:paraId="4A1E787D" w14:textId="77777777">
            <w:pPr>
              <w:spacing w:line="240" w:lineRule="auto"/>
              <w:jc w:val="center"/>
              <w:rPr>
                <w:rFonts w:eastAsia="Times New Roman" w:cstheme="minorHAnsi"/>
                <w:sz w:val="14"/>
                <w:szCs w:val="14"/>
              </w:rPr>
            </w:pPr>
            <w:r w:rsidRPr="00724A4A">
              <w:rPr>
                <w:rFonts w:eastAsia="Times New Roman" w:cstheme="minorHAnsi"/>
                <w:sz w:val="14"/>
                <w:szCs w:val="14"/>
              </w:rPr>
              <w:t>2020</w:t>
            </w:r>
          </w:p>
        </w:tc>
        <w:tc>
          <w:tcPr>
            <w:tcW w:w="850" w:type="dxa"/>
            <w:shd w:val="clear" w:color="auto" w:fill="auto"/>
            <w:noWrap/>
            <w:vAlign w:val="bottom"/>
            <w:hideMark/>
          </w:tcPr>
          <w:p w:rsidRPr="00724A4A" w:rsidR="00724A4A" w:rsidP="00490158" w:rsidRDefault="00724A4A" w14:paraId="0E012682" w14:textId="77777777">
            <w:pPr>
              <w:spacing w:line="240" w:lineRule="auto"/>
              <w:jc w:val="center"/>
              <w:rPr>
                <w:rFonts w:eastAsia="Times New Roman" w:cstheme="minorHAnsi"/>
                <w:sz w:val="14"/>
                <w:szCs w:val="14"/>
              </w:rPr>
            </w:pPr>
            <w:r w:rsidRPr="00724A4A">
              <w:rPr>
                <w:rFonts w:eastAsia="Times New Roman" w:cstheme="minorHAnsi"/>
                <w:sz w:val="14"/>
                <w:szCs w:val="14"/>
              </w:rPr>
              <w:t>6,60</w:t>
            </w:r>
          </w:p>
        </w:tc>
        <w:tc>
          <w:tcPr>
            <w:tcW w:w="851" w:type="dxa"/>
            <w:shd w:val="clear" w:color="auto" w:fill="auto"/>
            <w:noWrap/>
            <w:vAlign w:val="bottom"/>
            <w:hideMark/>
          </w:tcPr>
          <w:p w:rsidRPr="00724A4A" w:rsidR="00724A4A" w:rsidP="00490158" w:rsidRDefault="00724A4A" w14:paraId="5D2F0D8F" w14:textId="77777777">
            <w:pPr>
              <w:spacing w:line="240" w:lineRule="auto"/>
              <w:jc w:val="center"/>
              <w:rPr>
                <w:rFonts w:eastAsia="Times New Roman" w:cstheme="minorHAnsi"/>
                <w:sz w:val="14"/>
                <w:szCs w:val="14"/>
              </w:rPr>
            </w:pPr>
            <w:r w:rsidRPr="00724A4A">
              <w:rPr>
                <w:rFonts w:eastAsia="Times New Roman" w:cstheme="minorHAnsi"/>
                <w:sz w:val="14"/>
                <w:szCs w:val="14"/>
              </w:rPr>
              <w:t>168,54</w:t>
            </w:r>
          </w:p>
        </w:tc>
        <w:tc>
          <w:tcPr>
            <w:tcW w:w="850" w:type="dxa"/>
            <w:shd w:val="clear" w:color="auto" w:fill="auto"/>
            <w:noWrap/>
            <w:vAlign w:val="bottom"/>
            <w:hideMark/>
          </w:tcPr>
          <w:p w:rsidRPr="00724A4A" w:rsidR="00724A4A" w:rsidP="00490158" w:rsidRDefault="00724A4A" w14:paraId="712819F6" w14:textId="77777777">
            <w:pPr>
              <w:spacing w:line="240" w:lineRule="auto"/>
              <w:jc w:val="center"/>
              <w:rPr>
                <w:rFonts w:eastAsia="Times New Roman" w:cstheme="minorHAnsi"/>
                <w:sz w:val="14"/>
                <w:szCs w:val="14"/>
              </w:rPr>
            </w:pPr>
            <w:r w:rsidRPr="00724A4A">
              <w:rPr>
                <w:rFonts w:eastAsia="Times New Roman" w:cstheme="minorHAnsi"/>
                <w:sz w:val="14"/>
                <w:szCs w:val="14"/>
              </w:rPr>
              <w:t>8,90</w:t>
            </w:r>
          </w:p>
        </w:tc>
        <w:tc>
          <w:tcPr>
            <w:tcW w:w="851" w:type="dxa"/>
            <w:shd w:val="clear" w:color="auto" w:fill="auto"/>
            <w:noWrap/>
            <w:vAlign w:val="bottom"/>
            <w:hideMark/>
          </w:tcPr>
          <w:p w:rsidRPr="00724A4A" w:rsidR="00724A4A" w:rsidP="00490158" w:rsidRDefault="00724A4A" w14:paraId="2A78EB9A" w14:textId="77777777">
            <w:pPr>
              <w:spacing w:line="240" w:lineRule="auto"/>
              <w:jc w:val="center"/>
              <w:rPr>
                <w:rFonts w:eastAsia="Times New Roman" w:cstheme="minorHAnsi"/>
                <w:sz w:val="14"/>
                <w:szCs w:val="14"/>
              </w:rPr>
            </w:pPr>
            <w:r w:rsidRPr="00724A4A">
              <w:rPr>
                <w:rFonts w:eastAsia="Times New Roman" w:cstheme="minorHAnsi"/>
                <w:sz w:val="14"/>
                <w:szCs w:val="14"/>
              </w:rPr>
              <w:t>139,95</w:t>
            </w:r>
          </w:p>
        </w:tc>
        <w:tc>
          <w:tcPr>
            <w:tcW w:w="850" w:type="dxa"/>
            <w:shd w:val="clear" w:color="auto" w:fill="auto"/>
            <w:noWrap/>
            <w:vAlign w:val="bottom"/>
            <w:hideMark/>
          </w:tcPr>
          <w:p w:rsidRPr="00724A4A" w:rsidR="00724A4A" w:rsidP="00490158" w:rsidRDefault="00724A4A" w14:paraId="7BF348E2" w14:textId="77777777">
            <w:pPr>
              <w:spacing w:line="240" w:lineRule="auto"/>
              <w:jc w:val="center"/>
              <w:rPr>
                <w:rFonts w:eastAsia="Times New Roman" w:cstheme="minorHAnsi"/>
                <w:sz w:val="14"/>
                <w:szCs w:val="14"/>
              </w:rPr>
            </w:pPr>
            <w:r w:rsidRPr="00724A4A">
              <w:rPr>
                <w:rFonts w:eastAsia="Times New Roman" w:cstheme="minorHAnsi"/>
                <w:sz w:val="14"/>
                <w:szCs w:val="14"/>
              </w:rPr>
              <w:t>10,60</w:t>
            </w:r>
          </w:p>
        </w:tc>
        <w:tc>
          <w:tcPr>
            <w:tcW w:w="851" w:type="dxa"/>
            <w:shd w:val="clear" w:color="auto" w:fill="auto"/>
            <w:noWrap/>
            <w:vAlign w:val="bottom"/>
            <w:hideMark/>
          </w:tcPr>
          <w:p w:rsidRPr="00724A4A" w:rsidR="00724A4A" w:rsidP="00490158" w:rsidRDefault="00724A4A" w14:paraId="3F40136B" w14:textId="77777777">
            <w:pPr>
              <w:spacing w:line="240" w:lineRule="auto"/>
              <w:jc w:val="center"/>
              <w:rPr>
                <w:rFonts w:eastAsia="Times New Roman" w:cstheme="minorHAnsi"/>
                <w:sz w:val="14"/>
                <w:szCs w:val="14"/>
              </w:rPr>
            </w:pPr>
            <w:r w:rsidRPr="00724A4A">
              <w:rPr>
                <w:rFonts w:eastAsia="Times New Roman" w:cstheme="minorHAnsi"/>
                <w:sz w:val="14"/>
                <w:szCs w:val="14"/>
              </w:rPr>
              <w:t>178,16</w:t>
            </w:r>
          </w:p>
        </w:tc>
        <w:tc>
          <w:tcPr>
            <w:tcW w:w="850" w:type="dxa"/>
            <w:shd w:val="clear" w:color="auto" w:fill="auto"/>
            <w:noWrap/>
            <w:vAlign w:val="bottom"/>
            <w:hideMark/>
          </w:tcPr>
          <w:p w:rsidRPr="00724A4A" w:rsidR="00724A4A" w:rsidP="00490158" w:rsidRDefault="00724A4A" w14:paraId="1835B987" w14:textId="77777777">
            <w:pPr>
              <w:spacing w:line="240" w:lineRule="auto"/>
              <w:jc w:val="center"/>
              <w:rPr>
                <w:rFonts w:eastAsia="Times New Roman" w:cstheme="minorHAnsi"/>
                <w:sz w:val="14"/>
                <w:szCs w:val="14"/>
              </w:rPr>
            </w:pPr>
            <w:r w:rsidRPr="00724A4A">
              <w:rPr>
                <w:rFonts w:eastAsia="Times New Roman" w:cstheme="minorHAnsi"/>
                <w:sz w:val="14"/>
                <w:szCs w:val="14"/>
              </w:rPr>
              <w:t>10,60</w:t>
            </w:r>
          </w:p>
        </w:tc>
        <w:tc>
          <w:tcPr>
            <w:tcW w:w="851" w:type="dxa"/>
            <w:shd w:val="clear" w:color="auto" w:fill="auto"/>
            <w:noWrap/>
            <w:vAlign w:val="bottom"/>
            <w:hideMark/>
          </w:tcPr>
          <w:p w:rsidRPr="00724A4A" w:rsidR="00724A4A" w:rsidP="00490158" w:rsidRDefault="00724A4A" w14:paraId="601B38B9" w14:textId="77777777">
            <w:pPr>
              <w:spacing w:line="240" w:lineRule="auto"/>
              <w:jc w:val="center"/>
              <w:rPr>
                <w:rFonts w:eastAsia="Times New Roman" w:cstheme="minorHAnsi"/>
                <w:sz w:val="14"/>
                <w:szCs w:val="14"/>
              </w:rPr>
            </w:pPr>
            <w:r w:rsidRPr="00724A4A">
              <w:rPr>
                <w:rFonts w:eastAsia="Times New Roman" w:cstheme="minorHAnsi"/>
                <w:sz w:val="14"/>
                <w:szCs w:val="14"/>
              </w:rPr>
              <w:t>186,92</w:t>
            </w:r>
          </w:p>
        </w:tc>
        <w:tc>
          <w:tcPr>
            <w:tcW w:w="850" w:type="dxa"/>
            <w:shd w:val="clear" w:color="auto" w:fill="auto"/>
            <w:noWrap/>
            <w:vAlign w:val="bottom"/>
            <w:hideMark/>
          </w:tcPr>
          <w:p w:rsidRPr="00724A4A" w:rsidR="00724A4A" w:rsidP="00490158" w:rsidRDefault="00724A4A" w14:paraId="0F5BF264" w14:textId="77777777">
            <w:pPr>
              <w:spacing w:line="240" w:lineRule="auto"/>
              <w:jc w:val="center"/>
              <w:rPr>
                <w:rFonts w:eastAsia="Times New Roman" w:cstheme="minorHAnsi"/>
                <w:sz w:val="14"/>
                <w:szCs w:val="14"/>
              </w:rPr>
            </w:pPr>
            <w:r w:rsidRPr="00724A4A">
              <w:rPr>
                <w:rFonts w:eastAsia="Times New Roman" w:cstheme="minorHAnsi"/>
                <w:sz w:val="14"/>
                <w:szCs w:val="14"/>
              </w:rPr>
              <w:t>5,60</w:t>
            </w:r>
          </w:p>
        </w:tc>
        <w:tc>
          <w:tcPr>
            <w:tcW w:w="851" w:type="dxa"/>
            <w:shd w:val="clear" w:color="auto" w:fill="auto"/>
            <w:noWrap/>
            <w:vAlign w:val="bottom"/>
            <w:hideMark/>
          </w:tcPr>
          <w:p w:rsidRPr="00724A4A" w:rsidR="00724A4A" w:rsidP="00490158" w:rsidRDefault="00724A4A" w14:paraId="556EB05B" w14:textId="77777777">
            <w:pPr>
              <w:spacing w:line="240" w:lineRule="auto"/>
              <w:jc w:val="center"/>
              <w:rPr>
                <w:rFonts w:eastAsia="Times New Roman" w:cstheme="minorHAnsi"/>
                <w:sz w:val="14"/>
                <w:szCs w:val="14"/>
              </w:rPr>
            </w:pPr>
            <w:r w:rsidRPr="00724A4A">
              <w:rPr>
                <w:rFonts w:eastAsia="Times New Roman" w:cstheme="minorHAnsi"/>
                <w:sz w:val="14"/>
                <w:szCs w:val="14"/>
              </w:rPr>
              <w:t>169,71</w:t>
            </w:r>
          </w:p>
        </w:tc>
      </w:tr>
      <w:tr w:rsidRPr="00724A4A" w:rsidR="00724A4A" w:rsidTr="00DE2C45" w14:paraId="35E8F75A" w14:textId="77777777">
        <w:trPr>
          <w:trHeight w:val="269"/>
        </w:trPr>
        <w:tc>
          <w:tcPr>
            <w:tcW w:w="931" w:type="dxa"/>
            <w:shd w:val="clear" w:color="auto" w:fill="auto"/>
            <w:noWrap/>
            <w:vAlign w:val="bottom"/>
            <w:hideMark/>
          </w:tcPr>
          <w:p w:rsidRPr="00724A4A" w:rsidR="00724A4A" w:rsidP="00490158" w:rsidRDefault="00724A4A" w14:paraId="00B4E6B6" w14:textId="77777777">
            <w:pPr>
              <w:spacing w:line="240" w:lineRule="auto"/>
              <w:jc w:val="center"/>
              <w:rPr>
                <w:rFonts w:eastAsia="Times New Roman" w:cstheme="minorHAnsi"/>
                <w:sz w:val="14"/>
                <w:szCs w:val="14"/>
              </w:rPr>
            </w:pPr>
            <w:r w:rsidRPr="00724A4A">
              <w:rPr>
                <w:rFonts w:eastAsia="Times New Roman" w:cstheme="minorHAnsi"/>
                <w:sz w:val="14"/>
                <w:szCs w:val="14"/>
              </w:rPr>
              <w:t>2021</w:t>
            </w:r>
          </w:p>
        </w:tc>
        <w:tc>
          <w:tcPr>
            <w:tcW w:w="850" w:type="dxa"/>
            <w:shd w:val="clear" w:color="auto" w:fill="auto"/>
            <w:noWrap/>
            <w:vAlign w:val="bottom"/>
            <w:hideMark/>
          </w:tcPr>
          <w:p w:rsidRPr="00724A4A" w:rsidR="00724A4A" w:rsidP="00490158" w:rsidRDefault="00724A4A" w14:paraId="370379A8" w14:textId="77777777">
            <w:pPr>
              <w:spacing w:line="240" w:lineRule="auto"/>
              <w:jc w:val="center"/>
              <w:rPr>
                <w:rFonts w:eastAsia="Times New Roman" w:cstheme="minorHAnsi"/>
                <w:sz w:val="14"/>
                <w:szCs w:val="14"/>
              </w:rPr>
            </w:pPr>
            <w:r w:rsidRPr="00724A4A">
              <w:rPr>
                <w:rFonts w:eastAsia="Times New Roman" w:cstheme="minorHAnsi"/>
                <w:sz w:val="14"/>
                <w:szCs w:val="14"/>
              </w:rPr>
              <w:t>11,40</w:t>
            </w:r>
          </w:p>
        </w:tc>
        <w:tc>
          <w:tcPr>
            <w:tcW w:w="851" w:type="dxa"/>
            <w:shd w:val="clear" w:color="auto" w:fill="auto"/>
            <w:noWrap/>
            <w:vAlign w:val="bottom"/>
            <w:hideMark/>
          </w:tcPr>
          <w:p w:rsidRPr="00724A4A" w:rsidR="00724A4A" w:rsidP="00490158" w:rsidRDefault="00724A4A" w14:paraId="1B5EFBF3" w14:textId="77777777">
            <w:pPr>
              <w:spacing w:line="240" w:lineRule="auto"/>
              <w:jc w:val="center"/>
              <w:rPr>
                <w:rFonts w:eastAsia="Times New Roman" w:cstheme="minorHAnsi"/>
                <w:sz w:val="14"/>
                <w:szCs w:val="14"/>
              </w:rPr>
            </w:pPr>
            <w:r w:rsidRPr="00724A4A">
              <w:rPr>
                <w:rFonts w:eastAsia="Times New Roman" w:cstheme="minorHAnsi"/>
                <w:sz w:val="14"/>
                <w:szCs w:val="14"/>
              </w:rPr>
              <w:t>187,75</w:t>
            </w:r>
          </w:p>
        </w:tc>
        <w:tc>
          <w:tcPr>
            <w:tcW w:w="850" w:type="dxa"/>
            <w:shd w:val="clear" w:color="auto" w:fill="auto"/>
            <w:noWrap/>
            <w:vAlign w:val="bottom"/>
            <w:hideMark/>
          </w:tcPr>
          <w:p w:rsidRPr="00724A4A" w:rsidR="00724A4A" w:rsidP="00490158" w:rsidRDefault="00724A4A" w14:paraId="25F45705" w14:textId="77777777">
            <w:pPr>
              <w:spacing w:line="240" w:lineRule="auto"/>
              <w:jc w:val="center"/>
              <w:rPr>
                <w:rFonts w:eastAsia="Times New Roman" w:cstheme="minorHAnsi"/>
                <w:sz w:val="14"/>
                <w:szCs w:val="14"/>
              </w:rPr>
            </w:pPr>
            <w:r w:rsidRPr="00724A4A">
              <w:rPr>
                <w:rFonts w:eastAsia="Times New Roman" w:cstheme="minorHAnsi"/>
                <w:sz w:val="14"/>
                <w:szCs w:val="14"/>
              </w:rPr>
              <w:t>6,90</w:t>
            </w:r>
          </w:p>
        </w:tc>
        <w:tc>
          <w:tcPr>
            <w:tcW w:w="851" w:type="dxa"/>
            <w:shd w:val="clear" w:color="auto" w:fill="auto"/>
            <w:noWrap/>
            <w:vAlign w:val="bottom"/>
            <w:hideMark/>
          </w:tcPr>
          <w:p w:rsidRPr="00724A4A" w:rsidR="00724A4A" w:rsidP="00490158" w:rsidRDefault="00724A4A" w14:paraId="29BB2812" w14:textId="77777777">
            <w:pPr>
              <w:spacing w:line="240" w:lineRule="auto"/>
              <w:jc w:val="center"/>
              <w:rPr>
                <w:rFonts w:eastAsia="Times New Roman" w:cstheme="minorHAnsi"/>
                <w:sz w:val="14"/>
                <w:szCs w:val="14"/>
              </w:rPr>
            </w:pPr>
            <w:r w:rsidRPr="00724A4A">
              <w:rPr>
                <w:rFonts w:eastAsia="Times New Roman" w:cstheme="minorHAnsi"/>
                <w:sz w:val="14"/>
                <w:szCs w:val="14"/>
              </w:rPr>
              <w:t>149,61</w:t>
            </w:r>
          </w:p>
        </w:tc>
        <w:tc>
          <w:tcPr>
            <w:tcW w:w="850" w:type="dxa"/>
            <w:shd w:val="clear" w:color="auto" w:fill="auto"/>
            <w:noWrap/>
            <w:vAlign w:val="bottom"/>
            <w:hideMark/>
          </w:tcPr>
          <w:p w:rsidRPr="00724A4A" w:rsidR="00724A4A" w:rsidP="00490158" w:rsidRDefault="00724A4A" w14:paraId="0BFCF86F" w14:textId="77777777">
            <w:pPr>
              <w:spacing w:line="240" w:lineRule="auto"/>
              <w:jc w:val="center"/>
              <w:rPr>
                <w:rFonts w:eastAsia="Times New Roman" w:cstheme="minorHAnsi"/>
                <w:sz w:val="14"/>
                <w:szCs w:val="14"/>
              </w:rPr>
            </w:pPr>
            <w:r w:rsidRPr="00724A4A">
              <w:rPr>
                <w:rFonts w:eastAsia="Times New Roman" w:cstheme="minorHAnsi"/>
                <w:sz w:val="14"/>
                <w:szCs w:val="14"/>
              </w:rPr>
              <w:t>3,90</w:t>
            </w:r>
          </w:p>
        </w:tc>
        <w:tc>
          <w:tcPr>
            <w:tcW w:w="851" w:type="dxa"/>
            <w:shd w:val="clear" w:color="auto" w:fill="auto"/>
            <w:noWrap/>
            <w:vAlign w:val="bottom"/>
            <w:hideMark/>
          </w:tcPr>
          <w:p w:rsidRPr="00724A4A" w:rsidR="00724A4A" w:rsidP="00490158" w:rsidRDefault="00724A4A" w14:paraId="02D36F27" w14:textId="77777777">
            <w:pPr>
              <w:spacing w:line="240" w:lineRule="auto"/>
              <w:jc w:val="center"/>
              <w:rPr>
                <w:rFonts w:eastAsia="Times New Roman" w:cstheme="minorHAnsi"/>
                <w:sz w:val="14"/>
                <w:szCs w:val="14"/>
              </w:rPr>
            </w:pPr>
            <w:r w:rsidRPr="00724A4A">
              <w:rPr>
                <w:rFonts w:eastAsia="Times New Roman" w:cstheme="minorHAnsi"/>
                <w:sz w:val="14"/>
                <w:szCs w:val="14"/>
              </w:rPr>
              <w:t>185,10</w:t>
            </w:r>
          </w:p>
        </w:tc>
        <w:tc>
          <w:tcPr>
            <w:tcW w:w="850" w:type="dxa"/>
            <w:shd w:val="clear" w:color="auto" w:fill="auto"/>
            <w:noWrap/>
            <w:vAlign w:val="bottom"/>
            <w:hideMark/>
          </w:tcPr>
          <w:p w:rsidRPr="00724A4A" w:rsidR="00724A4A" w:rsidP="00490158" w:rsidRDefault="00724A4A" w14:paraId="045BE0D2" w14:textId="77777777">
            <w:pPr>
              <w:spacing w:line="240" w:lineRule="auto"/>
              <w:jc w:val="center"/>
              <w:rPr>
                <w:rFonts w:eastAsia="Times New Roman" w:cstheme="minorHAnsi"/>
                <w:sz w:val="14"/>
                <w:szCs w:val="14"/>
              </w:rPr>
            </w:pPr>
            <w:r w:rsidRPr="00724A4A">
              <w:rPr>
                <w:rFonts w:eastAsia="Times New Roman" w:cstheme="minorHAnsi"/>
                <w:sz w:val="14"/>
                <w:szCs w:val="14"/>
              </w:rPr>
              <w:t>3,60</w:t>
            </w:r>
          </w:p>
        </w:tc>
        <w:tc>
          <w:tcPr>
            <w:tcW w:w="851" w:type="dxa"/>
            <w:shd w:val="clear" w:color="auto" w:fill="auto"/>
            <w:noWrap/>
            <w:vAlign w:val="bottom"/>
            <w:hideMark/>
          </w:tcPr>
          <w:p w:rsidRPr="00724A4A" w:rsidR="00724A4A" w:rsidP="00490158" w:rsidRDefault="00724A4A" w14:paraId="53CC8DDD" w14:textId="77777777">
            <w:pPr>
              <w:spacing w:line="240" w:lineRule="auto"/>
              <w:jc w:val="center"/>
              <w:rPr>
                <w:rFonts w:eastAsia="Times New Roman" w:cstheme="minorHAnsi"/>
                <w:sz w:val="14"/>
                <w:szCs w:val="14"/>
              </w:rPr>
            </w:pPr>
            <w:r w:rsidRPr="00724A4A">
              <w:rPr>
                <w:rFonts w:eastAsia="Times New Roman" w:cstheme="minorHAnsi"/>
                <w:sz w:val="14"/>
                <w:szCs w:val="14"/>
              </w:rPr>
              <w:t>193,65</w:t>
            </w:r>
          </w:p>
        </w:tc>
        <w:tc>
          <w:tcPr>
            <w:tcW w:w="850" w:type="dxa"/>
            <w:shd w:val="clear" w:color="auto" w:fill="auto"/>
            <w:noWrap/>
            <w:vAlign w:val="bottom"/>
            <w:hideMark/>
          </w:tcPr>
          <w:p w:rsidRPr="00724A4A" w:rsidR="00724A4A" w:rsidP="00490158" w:rsidRDefault="00724A4A" w14:paraId="696B433F" w14:textId="77777777">
            <w:pPr>
              <w:spacing w:line="240" w:lineRule="auto"/>
              <w:jc w:val="center"/>
              <w:rPr>
                <w:rFonts w:eastAsia="Times New Roman" w:cstheme="minorHAnsi"/>
                <w:sz w:val="14"/>
                <w:szCs w:val="14"/>
              </w:rPr>
            </w:pPr>
            <w:r w:rsidRPr="00724A4A">
              <w:rPr>
                <w:rFonts w:eastAsia="Times New Roman" w:cstheme="minorHAnsi"/>
                <w:sz w:val="14"/>
                <w:szCs w:val="14"/>
              </w:rPr>
              <w:t>8,20</w:t>
            </w:r>
          </w:p>
        </w:tc>
        <w:tc>
          <w:tcPr>
            <w:tcW w:w="851" w:type="dxa"/>
            <w:shd w:val="clear" w:color="auto" w:fill="auto"/>
            <w:noWrap/>
            <w:vAlign w:val="bottom"/>
            <w:hideMark/>
          </w:tcPr>
          <w:p w:rsidRPr="00724A4A" w:rsidR="00724A4A" w:rsidP="00490158" w:rsidRDefault="00724A4A" w14:paraId="52FFAEFD" w14:textId="77777777">
            <w:pPr>
              <w:spacing w:line="240" w:lineRule="auto"/>
              <w:jc w:val="center"/>
              <w:rPr>
                <w:rFonts w:eastAsia="Times New Roman" w:cstheme="minorHAnsi"/>
                <w:sz w:val="14"/>
                <w:szCs w:val="14"/>
              </w:rPr>
            </w:pPr>
            <w:r w:rsidRPr="00724A4A">
              <w:rPr>
                <w:rFonts w:eastAsia="Times New Roman" w:cstheme="minorHAnsi"/>
                <w:sz w:val="14"/>
                <w:szCs w:val="14"/>
              </w:rPr>
              <w:t>183,63</w:t>
            </w:r>
          </w:p>
        </w:tc>
      </w:tr>
      <w:tr w:rsidRPr="00724A4A" w:rsidR="00724A4A" w:rsidTr="00DE2C45" w14:paraId="25FE69CF" w14:textId="77777777">
        <w:trPr>
          <w:trHeight w:val="269"/>
        </w:trPr>
        <w:tc>
          <w:tcPr>
            <w:tcW w:w="931" w:type="dxa"/>
            <w:shd w:val="clear" w:color="auto" w:fill="auto"/>
            <w:noWrap/>
            <w:vAlign w:val="bottom"/>
            <w:hideMark/>
          </w:tcPr>
          <w:p w:rsidRPr="00724A4A" w:rsidR="00724A4A" w:rsidP="00490158" w:rsidRDefault="00724A4A" w14:paraId="4566108F" w14:textId="77777777">
            <w:pPr>
              <w:spacing w:line="240" w:lineRule="auto"/>
              <w:jc w:val="center"/>
              <w:rPr>
                <w:rFonts w:eastAsia="Times New Roman" w:cstheme="minorHAnsi"/>
                <w:sz w:val="14"/>
                <w:szCs w:val="14"/>
              </w:rPr>
            </w:pPr>
            <w:r w:rsidRPr="00724A4A">
              <w:rPr>
                <w:rFonts w:eastAsia="Times New Roman" w:cstheme="minorHAnsi"/>
                <w:sz w:val="14"/>
                <w:szCs w:val="14"/>
              </w:rPr>
              <w:t>2022</w:t>
            </w:r>
          </w:p>
        </w:tc>
        <w:tc>
          <w:tcPr>
            <w:tcW w:w="850" w:type="dxa"/>
            <w:shd w:val="clear" w:color="auto" w:fill="auto"/>
            <w:noWrap/>
            <w:vAlign w:val="bottom"/>
            <w:hideMark/>
          </w:tcPr>
          <w:p w:rsidRPr="00724A4A" w:rsidR="00724A4A" w:rsidP="00490158" w:rsidRDefault="00724A4A" w14:paraId="7796281F" w14:textId="77777777">
            <w:pPr>
              <w:spacing w:line="240" w:lineRule="auto"/>
              <w:jc w:val="center"/>
              <w:rPr>
                <w:rFonts w:eastAsia="Times New Roman" w:cstheme="minorHAnsi"/>
                <w:sz w:val="14"/>
                <w:szCs w:val="14"/>
              </w:rPr>
            </w:pPr>
            <w:r w:rsidRPr="00724A4A">
              <w:rPr>
                <w:rFonts w:eastAsia="Times New Roman" w:cstheme="minorHAnsi"/>
                <w:sz w:val="14"/>
                <w:szCs w:val="14"/>
              </w:rPr>
              <w:t>-17,60</w:t>
            </w:r>
          </w:p>
        </w:tc>
        <w:tc>
          <w:tcPr>
            <w:tcW w:w="851" w:type="dxa"/>
            <w:shd w:val="clear" w:color="auto" w:fill="auto"/>
            <w:noWrap/>
            <w:vAlign w:val="bottom"/>
            <w:hideMark/>
          </w:tcPr>
          <w:p w:rsidRPr="00724A4A" w:rsidR="00724A4A" w:rsidP="00490158" w:rsidRDefault="00724A4A" w14:paraId="568E15DC" w14:textId="77777777">
            <w:pPr>
              <w:spacing w:line="240" w:lineRule="auto"/>
              <w:jc w:val="center"/>
              <w:rPr>
                <w:rFonts w:eastAsia="Times New Roman" w:cstheme="minorHAnsi"/>
                <w:sz w:val="14"/>
                <w:szCs w:val="14"/>
              </w:rPr>
            </w:pPr>
            <w:r w:rsidRPr="00724A4A">
              <w:rPr>
                <w:rFonts w:eastAsia="Times New Roman" w:cstheme="minorHAnsi"/>
                <w:sz w:val="14"/>
                <w:szCs w:val="14"/>
              </w:rPr>
              <w:t>154,71</w:t>
            </w:r>
          </w:p>
        </w:tc>
        <w:tc>
          <w:tcPr>
            <w:tcW w:w="850" w:type="dxa"/>
            <w:shd w:val="clear" w:color="auto" w:fill="auto"/>
            <w:noWrap/>
            <w:vAlign w:val="bottom"/>
            <w:hideMark/>
          </w:tcPr>
          <w:p w:rsidRPr="00724A4A" w:rsidR="00724A4A" w:rsidP="00490158" w:rsidRDefault="00724A4A" w14:paraId="23E988A4" w14:textId="77777777">
            <w:pPr>
              <w:spacing w:line="240" w:lineRule="auto"/>
              <w:jc w:val="center"/>
              <w:rPr>
                <w:rFonts w:eastAsia="Times New Roman" w:cstheme="minorHAnsi"/>
                <w:sz w:val="14"/>
                <w:szCs w:val="14"/>
              </w:rPr>
            </w:pPr>
            <w:r w:rsidRPr="00724A4A">
              <w:rPr>
                <w:rFonts w:eastAsia="Times New Roman" w:cstheme="minorHAnsi"/>
                <w:sz w:val="14"/>
                <w:szCs w:val="14"/>
              </w:rPr>
              <w:t>-21,40</w:t>
            </w:r>
          </w:p>
        </w:tc>
        <w:tc>
          <w:tcPr>
            <w:tcW w:w="851" w:type="dxa"/>
            <w:shd w:val="clear" w:color="auto" w:fill="auto"/>
            <w:noWrap/>
            <w:vAlign w:val="bottom"/>
            <w:hideMark/>
          </w:tcPr>
          <w:p w:rsidRPr="00724A4A" w:rsidR="00724A4A" w:rsidP="00490158" w:rsidRDefault="00724A4A" w14:paraId="512BCEBF" w14:textId="77777777">
            <w:pPr>
              <w:spacing w:line="240" w:lineRule="auto"/>
              <w:jc w:val="center"/>
              <w:rPr>
                <w:rFonts w:eastAsia="Times New Roman" w:cstheme="minorHAnsi"/>
                <w:sz w:val="14"/>
                <w:szCs w:val="14"/>
              </w:rPr>
            </w:pPr>
            <w:r w:rsidRPr="00724A4A">
              <w:rPr>
                <w:rFonts w:eastAsia="Times New Roman" w:cstheme="minorHAnsi"/>
                <w:sz w:val="14"/>
                <w:szCs w:val="14"/>
              </w:rPr>
              <w:t>117,59</w:t>
            </w:r>
          </w:p>
        </w:tc>
        <w:tc>
          <w:tcPr>
            <w:tcW w:w="850" w:type="dxa"/>
            <w:shd w:val="clear" w:color="auto" w:fill="auto"/>
            <w:noWrap/>
            <w:vAlign w:val="bottom"/>
            <w:hideMark/>
          </w:tcPr>
          <w:p w:rsidRPr="00724A4A" w:rsidR="00724A4A" w:rsidP="00490158" w:rsidRDefault="00724A4A" w14:paraId="18A7670E" w14:textId="77777777">
            <w:pPr>
              <w:spacing w:line="240" w:lineRule="auto"/>
              <w:jc w:val="center"/>
              <w:rPr>
                <w:rFonts w:eastAsia="Times New Roman" w:cstheme="minorHAnsi"/>
                <w:sz w:val="14"/>
                <w:szCs w:val="14"/>
              </w:rPr>
            </w:pPr>
            <w:r w:rsidRPr="00724A4A">
              <w:rPr>
                <w:rFonts w:eastAsia="Times New Roman" w:cstheme="minorHAnsi"/>
                <w:sz w:val="14"/>
                <w:szCs w:val="14"/>
              </w:rPr>
              <w:t>-23,30</w:t>
            </w:r>
          </w:p>
        </w:tc>
        <w:tc>
          <w:tcPr>
            <w:tcW w:w="851" w:type="dxa"/>
            <w:shd w:val="clear" w:color="auto" w:fill="auto"/>
            <w:noWrap/>
            <w:vAlign w:val="bottom"/>
            <w:hideMark/>
          </w:tcPr>
          <w:p w:rsidRPr="00724A4A" w:rsidR="00724A4A" w:rsidP="00490158" w:rsidRDefault="00724A4A" w14:paraId="69294C9D" w14:textId="77777777">
            <w:pPr>
              <w:spacing w:line="240" w:lineRule="auto"/>
              <w:jc w:val="center"/>
              <w:rPr>
                <w:rFonts w:eastAsia="Times New Roman" w:cstheme="minorHAnsi"/>
                <w:sz w:val="14"/>
                <w:szCs w:val="14"/>
              </w:rPr>
            </w:pPr>
            <w:r w:rsidRPr="00724A4A">
              <w:rPr>
                <w:rFonts w:eastAsia="Times New Roman" w:cstheme="minorHAnsi"/>
                <w:sz w:val="14"/>
                <w:szCs w:val="14"/>
              </w:rPr>
              <w:t>141,98</w:t>
            </w:r>
          </w:p>
        </w:tc>
        <w:tc>
          <w:tcPr>
            <w:tcW w:w="850" w:type="dxa"/>
            <w:shd w:val="clear" w:color="auto" w:fill="auto"/>
            <w:noWrap/>
            <w:vAlign w:val="bottom"/>
            <w:hideMark/>
          </w:tcPr>
          <w:p w:rsidRPr="00724A4A" w:rsidR="00724A4A" w:rsidP="00490158" w:rsidRDefault="00724A4A" w14:paraId="706D1CA4" w14:textId="77777777">
            <w:pPr>
              <w:spacing w:line="240" w:lineRule="auto"/>
              <w:jc w:val="center"/>
              <w:rPr>
                <w:rFonts w:eastAsia="Times New Roman" w:cstheme="minorHAnsi"/>
                <w:sz w:val="14"/>
                <w:szCs w:val="14"/>
              </w:rPr>
            </w:pPr>
            <w:r w:rsidRPr="00724A4A">
              <w:rPr>
                <w:rFonts w:eastAsia="Times New Roman" w:cstheme="minorHAnsi"/>
                <w:sz w:val="14"/>
                <w:szCs w:val="14"/>
              </w:rPr>
              <w:t>-27,50</w:t>
            </w:r>
          </w:p>
        </w:tc>
        <w:tc>
          <w:tcPr>
            <w:tcW w:w="851" w:type="dxa"/>
            <w:shd w:val="clear" w:color="auto" w:fill="auto"/>
            <w:noWrap/>
            <w:vAlign w:val="bottom"/>
            <w:hideMark/>
          </w:tcPr>
          <w:p w:rsidRPr="00724A4A" w:rsidR="00724A4A" w:rsidP="00490158" w:rsidRDefault="00724A4A" w14:paraId="24F0B837" w14:textId="77777777">
            <w:pPr>
              <w:spacing w:line="240" w:lineRule="auto"/>
              <w:jc w:val="center"/>
              <w:rPr>
                <w:rFonts w:eastAsia="Times New Roman" w:cstheme="minorHAnsi"/>
                <w:sz w:val="14"/>
                <w:szCs w:val="14"/>
              </w:rPr>
            </w:pPr>
            <w:r w:rsidRPr="00724A4A">
              <w:rPr>
                <w:rFonts w:eastAsia="Times New Roman" w:cstheme="minorHAnsi"/>
                <w:sz w:val="14"/>
                <w:szCs w:val="14"/>
              </w:rPr>
              <w:t>140,39</w:t>
            </w:r>
          </w:p>
        </w:tc>
        <w:tc>
          <w:tcPr>
            <w:tcW w:w="850" w:type="dxa"/>
            <w:shd w:val="clear" w:color="auto" w:fill="auto"/>
            <w:noWrap/>
            <w:vAlign w:val="bottom"/>
            <w:hideMark/>
          </w:tcPr>
          <w:p w:rsidRPr="00724A4A" w:rsidR="00724A4A" w:rsidP="00490158" w:rsidRDefault="00724A4A" w14:paraId="41D7DA8A" w14:textId="77777777">
            <w:pPr>
              <w:spacing w:line="240" w:lineRule="auto"/>
              <w:jc w:val="center"/>
              <w:rPr>
                <w:rFonts w:eastAsia="Times New Roman" w:cstheme="minorHAnsi"/>
                <w:sz w:val="14"/>
                <w:szCs w:val="14"/>
              </w:rPr>
            </w:pPr>
            <w:r w:rsidRPr="00724A4A">
              <w:rPr>
                <w:rFonts w:eastAsia="Times New Roman" w:cstheme="minorHAnsi"/>
                <w:sz w:val="14"/>
                <w:szCs w:val="14"/>
              </w:rPr>
              <w:t>-22,60</w:t>
            </w:r>
          </w:p>
        </w:tc>
        <w:tc>
          <w:tcPr>
            <w:tcW w:w="851" w:type="dxa"/>
            <w:shd w:val="clear" w:color="auto" w:fill="auto"/>
            <w:noWrap/>
            <w:vAlign w:val="bottom"/>
            <w:hideMark/>
          </w:tcPr>
          <w:p w:rsidRPr="00724A4A" w:rsidR="00724A4A" w:rsidP="00490158" w:rsidRDefault="00724A4A" w14:paraId="10E7C1B1" w14:textId="77777777">
            <w:pPr>
              <w:spacing w:line="240" w:lineRule="auto"/>
              <w:jc w:val="center"/>
              <w:rPr>
                <w:rFonts w:eastAsia="Times New Roman" w:cstheme="minorHAnsi"/>
                <w:sz w:val="14"/>
                <w:szCs w:val="14"/>
              </w:rPr>
            </w:pPr>
            <w:r w:rsidRPr="00724A4A">
              <w:rPr>
                <w:rFonts w:eastAsia="Times New Roman" w:cstheme="minorHAnsi"/>
                <w:sz w:val="14"/>
                <w:szCs w:val="14"/>
              </w:rPr>
              <w:t>142,13</w:t>
            </w:r>
          </w:p>
        </w:tc>
      </w:tr>
      <w:tr w:rsidRPr="00724A4A" w:rsidR="00724A4A" w:rsidTr="00DE2C45" w14:paraId="3843AF54" w14:textId="77777777">
        <w:trPr>
          <w:trHeight w:val="269"/>
        </w:trPr>
        <w:tc>
          <w:tcPr>
            <w:tcW w:w="931" w:type="dxa"/>
            <w:shd w:val="clear" w:color="auto" w:fill="auto"/>
            <w:noWrap/>
            <w:vAlign w:val="bottom"/>
            <w:hideMark/>
          </w:tcPr>
          <w:p w:rsidRPr="00724A4A" w:rsidR="00724A4A" w:rsidP="00490158" w:rsidRDefault="00724A4A" w14:paraId="2C2E011E" w14:textId="77777777">
            <w:pPr>
              <w:spacing w:line="240" w:lineRule="auto"/>
              <w:jc w:val="center"/>
              <w:rPr>
                <w:rFonts w:eastAsia="Times New Roman" w:cstheme="minorHAnsi"/>
                <w:sz w:val="14"/>
                <w:szCs w:val="14"/>
              </w:rPr>
            </w:pPr>
            <w:r w:rsidRPr="00724A4A">
              <w:rPr>
                <w:rFonts w:eastAsia="Times New Roman" w:cstheme="minorHAnsi"/>
                <w:sz w:val="14"/>
                <w:szCs w:val="14"/>
              </w:rPr>
              <w:t>2023</w:t>
            </w:r>
          </w:p>
        </w:tc>
        <w:tc>
          <w:tcPr>
            <w:tcW w:w="850" w:type="dxa"/>
            <w:shd w:val="clear" w:color="auto" w:fill="auto"/>
            <w:noWrap/>
            <w:vAlign w:val="bottom"/>
            <w:hideMark/>
          </w:tcPr>
          <w:p w:rsidRPr="00724A4A" w:rsidR="00724A4A" w:rsidP="00490158" w:rsidRDefault="00724A4A" w14:paraId="7BEDAA58" w14:textId="77777777">
            <w:pPr>
              <w:spacing w:line="240" w:lineRule="auto"/>
              <w:jc w:val="center"/>
              <w:rPr>
                <w:rFonts w:eastAsia="Times New Roman" w:cstheme="minorHAnsi"/>
                <w:sz w:val="14"/>
                <w:szCs w:val="14"/>
              </w:rPr>
            </w:pPr>
            <w:r w:rsidRPr="00724A4A">
              <w:rPr>
                <w:rFonts w:eastAsia="Times New Roman" w:cstheme="minorHAnsi"/>
                <w:sz w:val="14"/>
                <w:szCs w:val="14"/>
              </w:rPr>
              <w:t>9,30</w:t>
            </w:r>
          </w:p>
        </w:tc>
        <w:tc>
          <w:tcPr>
            <w:tcW w:w="851" w:type="dxa"/>
            <w:shd w:val="clear" w:color="auto" w:fill="auto"/>
            <w:noWrap/>
            <w:vAlign w:val="bottom"/>
            <w:hideMark/>
          </w:tcPr>
          <w:p w:rsidRPr="00724A4A" w:rsidR="00724A4A" w:rsidP="00490158" w:rsidRDefault="00724A4A" w14:paraId="67ACF8FD" w14:textId="77777777">
            <w:pPr>
              <w:spacing w:line="240" w:lineRule="auto"/>
              <w:jc w:val="center"/>
              <w:rPr>
                <w:rFonts w:eastAsia="Times New Roman" w:cstheme="minorHAnsi"/>
                <w:sz w:val="14"/>
                <w:szCs w:val="14"/>
              </w:rPr>
            </w:pPr>
            <w:r w:rsidRPr="00724A4A">
              <w:rPr>
                <w:rFonts w:eastAsia="Times New Roman" w:cstheme="minorHAnsi"/>
                <w:sz w:val="14"/>
                <w:szCs w:val="14"/>
              </w:rPr>
              <w:t>169,09</w:t>
            </w:r>
          </w:p>
        </w:tc>
        <w:tc>
          <w:tcPr>
            <w:tcW w:w="850" w:type="dxa"/>
            <w:shd w:val="clear" w:color="auto" w:fill="auto"/>
            <w:noWrap/>
            <w:vAlign w:val="bottom"/>
            <w:hideMark/>
          </w:tcPr>
          <w:p w:rsidRPr="00724A4A" w:rsidR="00724A4A" w:rsidP="00490158" w:rsidRDefault="00724A4A" w14:paraId="71D8E809" w14:textId="77777777">
            <w:pPr>
              <w:spacing w:line="240" w:lineRule="auto"/>
              <w:jc w:val="center"/>
              <w:rPr>
                <w:rFonts w:eastAsia="Times New Roman" w:cstheme="minorHAnsi"/>
                <w:sz w:val="14"/>
                <w:szCs w:val="14"/>
              </w:rPr>
            </w:pPr>
            <w:r w:rsidRPr="00724A4A">
              <w:rPr>
                <w:rFonts w:eastAsia="Times New Roman" w:cstheme="minorHAnsi"/>
                <w:sz w:val="14"/>
                <w:szCs w:val="14"/>
              </w:rPr>
              <w:t>7,70</w:t>
            </w:r>
          </w:p>
        </w:tc>
        <w:tc>
          <w:tcPr>
            <w:tcW w:w="851" w:type="dxa"/>
            <w:shd w:val="clear" w:color="auto" w:fill="auto"/>
            <w:noWrap/>
            <w:vAlign w:val="bottom"/>
            <w:hideMark/>
          </w:tcPr>
          <w:p w:rsidRPr="00724A4A" w:rsidR="00724A4A" w:rsidP="00490158" w:rsidRDefault="00724A4A" w14:paraId="294A9137" w14:textId="77777777">
            <w:pPr>
              <w:spacing w:line="240" w:lineRule="auto"/>
              <w:jc w:val="center"/>
              <w:rPr>
                <w:rFonts w:eastAsia="Times New Roman" w:cstheme="minorHAnsi"/>
                <w:sz w:val="14"/>
                <w:szCs w:val="14"/>
              </w:rPr>
            </w:pPr>
            <w:r w:rsidRPr="00724A4A">
              <w:rPr>
                <w:rFonts w:eastAsia="Times New Roman" w:cstheme="minorHAnsi"/>
                <w:sz w:val="14"/>
                <w:szCs w:val="14"/>
              </w:rPr>
              <w:t>126,65</w:t>
            </w:r>
          </w:p>
        </w:tc>
        <w:tc>
          <w:tcPr>
            <w:tcW w:w="850" w:type="dxa"/>
            <w:shd w:val="clear" w:color="auto" w:fill="auto"/>
            <w:noWrap/>
            <w:vAlign w:val="bottom"/>
            <w:hideMark/>
          </w:tcPr>
          <w:p w:rsidRPr="00724A4A" w:rsidR="00724A4A" w:rsidP="00490158" w:rsidRDefault="00724A4A" w14:paraId="2CB1ACD8" w14:textId="77777777">
            <w:pPr>
              <w:spacing w:line="240" w:lineRule="auto"/>
              <w:jc w:val="center"/>
              <w:rPr>
                <w:rFonts w:eastAsia="Times New Roman" w:cstheme="minorHAnsi"/>
                <w:sz w:val="14"/>
                <w:szCs w:val="14"/>
              </w:rPr>
            </w:pPr>
            <w:r w:rsidRPr="00724A4A">
              <w:rPr>
                <w:rFonts w:eastAsia="Times New Roman" w:cstheme="minorHAnsi"/>
                <w:sz w:val="14"/>
                <w:szCs w:val="14"/>
              </w:rPr>
              <w:t>8,70</w:t>
            </w:r>
          </w:p>
        </w:tc>
        <w:tc>
          <w:tcPr>
            <w:tcW w:w="851" w:type="dxa"/>
            <w:shd w:val="clear" w:color="auto" w:fill="auto"/>
            <w:noWrap/>
            <w:vAlign w:val="bottom"/>
            <w:hideMark/>
          </w:tcPr>
          <w:p w:rsidRPr="00724A4A" w:rsidR="00724A4A" w:rsidP="00490158" w:rsidRDefault="00724A4A" w14:paraId="3740A759" w14:textId="77777777">
            <w:pPr>
              <w:spacing w:line="240" w:lineRule="auto"/>
              <w:jc w:val="center"/>
              <w:rPr>
                <w:rFonts w:eastAsia="Times New Roman" w:cstheme="minorHAnsi"/>
                <w:sz w:val="14"/>
                <w:szCs w:val="14"/>
              </w:rPr>
            </w:pPr>
            <w:r w:rsidRPr="00724A4A">
              <w:rPr>
                <w:rFonts w:eastAsia="Times New Roman" w:cstheme="minorHAnsi"/>
                <w:sz w:val="14"/>
                <w:szCs w:val="14"/>
              </w:rPr>
              <w:t>154,33</w:t>
            </w:r>
          </w:p>
        </w:tc>
        <w:tc>
          <w:tcPr>
            <w:tcW w:w="850" w:type="dxa"/>
            <w:shd w:val="clear" w:color="auto" w:fill="auto"/>
            <w:noWrap/>
            <w:vAlign w:val="bottom"/>
            <w:hideMark/>
          </w:tcPr>
          <w:p w:rsidRPr="00724A4A" w:rsidR="00724A4A" w:rsidP="00490158" w:rsidRDefault="00724A4A" w14:paraId="4660C2BF" w14:textId="77777777">
            <w:pPr>
              <w:spacing w:line="240" w:lineRule="auto"/>
              <w:jc w:val="center"/>
              <w:rPr>
                <w:rFonts w:eastAsia="Times New Roman" w:cstheme="minorHAnsi"/>
                <w:sz w:val="14"/>
                <w:szCs w:val="14"/>
              </w:rPr>
            </w:pPr>
            <w:r w:rsidRPr="00724A4A">
              <w:rPr>
                <w:rFonts w:eastAsia="Times New Roman" w:cstheme="minorHAnsi"/>
                <w:sz w:val="14"/>
                <w:szCs w:val="14"/>
              </w:rPr>
              <w:t>8,40</w:t>
            </w:r>
          </w:p>
        </w:tc>
        <w:tc>
          <w:tcPr>
            <w:tcW w:w="851" w:type="dxa"/>
            <w:shd w:val="clear" w:color="auto" w:fill="auto"/>
            <w:noWrap/>
            <w:vAlign w:val="bottom"/>
            <w:hideMark/>
          </w:tcPr>
          <w:p w:rsidRPr="00724A4A" w:rsidR="00724A4A" w:rsidP="00490158" w:rsidRDefault="00724A4A" w14:paraId="091BE2D2" w14:textId="77777777">
            <w:pPr>
              <w:spacing w:line="240" w:lineRule="auto"/>
              <w:jc w:val="center"/>
              <w:rPr>
                <w:rFonts w:eastAsia="Times New Roman" w:cstheme="minorHAnsi"/>
                <w:sz w:val="14"/>
                <w:szCs w:val="14"/>
              </w:rPr>
            </w:pPr>
            <w:r w:rsidRPr="00724A4A">
              <w:rPr>
                <w:rFonts w:eastAsia="Times New Roman" w:cstheme="minorHAnsi"/>
                <w:sz w:val="14"/>
                <w:szCs w:val="14"/>
              </w:rPr>
              <w:t>152,19</w:t>
            </w:r>
          </w:p>
        </w:tc>
        <w:tc>
          <w:tcPr>
            <w:tcW w:w="850" w:type="dxa"/>
            <w:shd w:val="clear" w:color="auto" w:fill="auto"/>
            <w:noWrap/>
            <w:vAlign w:val="bottom"/>
            <w:hideMark/>
          </w:tcPr>
          <w:p w:rsidRPr="00724A4A" w:rsidR="00724A4A" w:rsidP="00490158" w:rsidRDefault="00724A4A" w14:paraId="0DD94611" w14:textId="77777777">
            <w:pPr>
              <w:spacing w:line="240" w:lineRule="auto"/>
              <w:jc w:val="center"/>
              <w:rPr>
                <w:rFonts w:eastAsia="Times New Roman" w:cstheme="minorHAnsi"/>
                <w:sz w:val="14"/>
                <w:szCs w:val="14"/>
              </w:rPr>
            </w:pPr>
            <w:r w:rsidRPr="00724A4A">
              <w:rPr>
                <w:rFonts w:eastAsia="Times New Roman" w:cstheme="minorHAnsi"/>
                <w:sz w:val="14"/>
                <w:szCs w:val="14"/>
              </w:rPr>
              <w:t>8,70</w:t>
            </w:r>
          </w:p>
        </w:tc>
        <w:tc>
          <w:tcPr>
            <w:tcW w:w="851" w:type="dxa"/>
            <w:shd w:val="clear" w:color="auto" w:fill="auto"/>
            <w:noWrap/>
            <w:vAlign w:val="bottom"/>
            <w:hideMark/>
          </w:tcPr>
          <w:p w:rsidRPr="00724A4A" w:rsidR="00724A4A" w:rsidP="00490158" w:rsidRDefault="00724A4A" w14:paraId="6361C15B" w14:textId="77777777">
            <w:pPr>
              <w:spacing w:line="240" w:lineRule="auto"/>
              <w:jc w:val="center"/>
              <w:rPr>
                <w:rFonts w:eastAsia="Times New Roman" w:cstheme="minorHAnsi"/>
                <w:sz w:val="14"/>
                <w:szCs w:val="14"/>
              </w:rPr>
            </w:pPr>
            <w:r w:rsidRPr="00724A4A">
              <w:rPr>
                <w:rFonts w:eastAsia="Times New Roman" w:cstheme="minorHAnsi"/>
                <w:sz w:val="14"/>
                <w:szCs w:val="14"/>
              </w:rPr>
              <w:t>154,49</w:t>
            </w:r>
          </w:p>
        </w:tc>
      </w:tr>
      <w:tr w:rsidRPr="00724A4A" w:rsidR="00724A4A" w:rsidTr="00DE2C45" w14:paraId="6EEC3710" w14:textId="77777777">
        <w:trPr>
          <w:trHeight w:val="269"/>
        </w:trPr>
        <w:tc>
          <w:tcPr>
            <w:tcW w:w="931" w:type="dxa"/>
            <w:shd w:val="clear" w:color="auto" w:fill="auto"/>
            <w:noWrap/>
            <w:vAlign w:val="bottom"/>
            <w:hideMark/>
          </w:tcPr>
          <w:p w:rsidRPr="00724A4A" w:rsidR="00724A4A" w:rsidP="00490158" w:rsidRDefault="00724A4A" w14:paraId="17A9F93E" w14:textId="77777777">
            <w:pPr>
              <w:spacing w:line="240" w:lineRule="auto"/>
              <w:jc w:val="center"/>
              <w:rPr>
                <w:rFonts w:eastAsia="Times New Roman" w:cstheme="minorHAnsi"/>
                <w:sz w:val="14"/>
                <w:szCs w:val="14"/>
              </w:rPr>
            </w:pPr>
            <w:r w:rsidRPr="00724A4A">
              <w:rPr>
                <w:rFonts w:eastAsia="Times New Roman" w:cstheme="minorHAnsi"/>
                <w:sz w:val="14"/>
                <w:szCs w:val="14"/>
              </w:rPr>
              <w:t>2024</w:t>
            </w:r>
          </w:p>
        </w:tc>
        <w:tc>
          <w:tcPr>
            <w:tcW w:w="850" w:type="dxa"/>
            <w:shd w:val="clear" w:color="auto" w:fill="auto"/>
            <w:noWrap/>
            <w:vAlign w:val="bottom"/>
            <w:hideMark/>
          </w:tcPr>
          <w:p w:rsidRPr="00724A4A" w:rsidR="00724A4A" w:rsidP="00490158" w:rsidRDefault="00724A4A" w14:paraId="6ECB7D30" w14:textId="77777777">
            <w:pPr>
              <w:spacing w:line="240" w:lineRule="auto"/>
              <w:jc w:val="center"/>
              <w:rPr>
                <w:rFonts w:eastAsia="Times New Roman" w:cstheme="minorHAnsi"/>
                <w:sz w:val="14"/>
                <w:szCs w:val="14"/>
              </w:rPr>
            </w:pPr>
            <w:r w:rsidRPr="00724A4A">
              <w:rPr>
                <w:rFonts w:eastAsia="Times New Roman" w:cstheme="minorHAnsi"/>
                <w:sz w:val="14"/>
                <w:szCs w:val="14"/>
              </w:rPr>
              <w:t>8,4</w:t>
            </w:r>
          </w:p>
        </w:tc>
        <w:tc>
          <w:tcPr>
            <w:tcW w:w="851" w:type="dxa"/>
            <w:shd w:val="clear" w:color="auto" w:fill="auto"/>
            <w:noWrap/>
            <w:vAlign w:val="bottom"/>
            <w:hideMark/>
          </w:tcPr>
          <w:p w:rsidRPr="00724A4A" w:rsidR="00724A4A" w:rsidP="00490158" w:rsidRDefault="00724A4A" w14:paraId="0F8E8716" w14:textId="77777777">
            <w:pPr>
              <w:spacing w:line="240" w:lineRule="auto"/>
              <w:jc w:val="center"/>
              <w:rPr>
                <w:rFonts w:eastAsia="Times New Roman" w:cstheme="minorHAnsi"/>
                <w:sz w:val="14"/>
                <w:szCs w:val="14"/>
              </w:rPr>
            </w:pPr>
            <w:r w:rsidRPr="00724A4A">
              <w:rPr>
                <w:rFonts w:eastAsia="Times New Roman" w:cstheme="minorHAnsi"/>
                <w:sz w:val="14"/>
                <w:szCs w:val="14"/>
              </w:rPr>
              <w:t>183,30</w:t>
            </w:r>
          </w:p>
        </w:tc>
        <w:tc>
          <w:tcPr>
            <w:tcW w:w="850" w:type="dxa"/>
            <w:shd w:val="clear" w:color="auto" w:fill="auto"/>
            <w:noWrap/>
            <w:vAlign w:val="bottom"/>
            <w:hideMark/>
          </w:tcPr>
          <w:p w:rsidRPr="00724A4A" w:rsidR="00724A4A" w:rsidP="00490158" w:rsidRDefault="00724A4A" w14:paraId="69E11927" w14:textId="77777777">
            <w:pPr>
              <w:spacing w:line="240" w:lineRule="auto"/>
              <w:jc w:val="center"/>
              <w:rPr>
                <w:rFonts w:eastAsia="Times New Roman" w:cstheme="minorHAnsi"/>
                <w:sz w:val="14"/>
                <w:szCs w:val="14"/>
              </w:rPr>
            </w:pPr>
            <w:r w:rsidRPr="00724A4A">
              <w:rPr>
                <w:rFonts w:eastAsia="Times New Roman" w:cstheme="minorHAnsi"/>
                <w:sz w:val="14"/>
                <w:szCs w:val="14"/>
              </w:rPr>
              <w:t>7,60</w:t>
            </w:r>
          </w:p>
        </w:tc>
        <w:tc>
          <w:tcPr>
            <w:tcW w:w="851" w:type="dxa"/>
            <w:shd w:val="clear" w:color="auto" w:fill="auto"/>
            <w:noWrap/>
            <w:vAlign w:val="bottom"/>
            <w:hideMark/>
          </w:tcPr>
          <w:p w:rsidRPr="00724A4A" w:rsidR="00724A4A" w:rsidP="00490158" w:rsidRDefault="00724A4A" w14:paraId="7B8ED5EA" w14:textId="77777777">
            <w:pPr>
              <w:spacing w:line="240" w:lineRule="auto"/>
              <w:jc w:val="center"/>
              <w:rPr>
                <w:rFonts w:eastAsia="Times New Roman" w:cstheme="minorHAnsi"/>
                <w:sz w:val="14"/>
                <w:szCs w:val="14"/>
              </w:rPr>
            </w:pPr>
            <w:r w:rsidRPr="00724A4A">
              <w:rPr>
                <w:rFonts w:eastAsia="Times New Roman" w:cstheme="minorHAnsi"/>
                <w:sz w:val="14"/>
                <w:szCs w:val="14"/>
              </w:rPr>
              <w:t>136,27</w:t>
            </w:r>
          </w:p>
        </w:tc>
        <w:tc>
          <w:tcPr>
            <w:tcW w:w="850" w:type="dxa"/>
            <w:shd w:val="clear" w:color="auto" w:fill="auto"/>
            <w:noWrap/>
            <w:vAlign w:val="bottom"/>
            <w:hideMark/>
          </w:tcPr>
          <w:p w:rsidRPr="00724A4A" w:rsidR="00724A4A" w:rsidP="00490158" w:rsidRDefault="00724A4A" w14:paraId="31B16FAA" w14:textId="77777777">
            <w:pPr>
              <w:spacing w:line="240" w:lineRule="auto"/>
              <w:jc w:val="center"/>
              <w:rPr>
                <w:rFonts w:eastAsia="Times New Roman" w:cstheme="minorHAnsi"/>
                <w:sz w:val="14"/>
                <w:szCs w:val="14"/>
              </w:rPr>
            </w:pPr>
            <w:r w:rsidRPr="00724A4A">
              <w:rPr>
                <w:rFonts w:eastAsia="Times New Roman" w:cstheme="minorHAnsi"/>
                <w:sz w:val="14"/>
                <w:szCs w:val="14"/>
              </w:rPr>
              <w:t>8,70</w:t>
            </w:r>
          </w:p>
        </w:tc>
        <w:tc>
          <w:tcPr>
            <w:tcW w:w="851" w:type="dxa"/>
            <w:shd w:val="clear" w:color="auto" w:fill="auto"/>
            <w:noWrap/>
            <w:vAlign w:val="bottom"/>
            <w:hideMark/>
          </w:tcPr>
          <w:p w:rsidRPr="00724A4A" w:rsidR="00724A4A" w:rsidP="00490158" w:rsidRDefault="00724A4A" w14:paraId="7F1597C2" w14:textId="77777777">
            <w:pPr>
              <w:spacing w:line="240" w:lineRule="auto"/>
              <w:jc w:val="center"/>
              <w:rPr>
                <w:rFonts w:eastAsia="Times New Roman" w:cstheme="minorHAnsi"/>
                <w:sz w:val="14"/>
                <w:szCs w:val="14"/>
              </w:rPr>
            </w:pPr>
            <w:r w:rsidRPr="00724A4A">
              <w:rPr>
                <w:rFonts w:eastAsia="Times New Roman" w:cstheme="minorHAnsi"/>
                <w:sz w:val="14"/>
                <w:szCs w:val="14"/>
              </w:rPr>
              <w:t>167,75</w:t>
            </w:r>
          </w:p>
        </w:tc>
        <w:tc>
          <w:tcPr>
            <w:tcW w:w="850" w:type="dxa"/>
            <w:shd w:val="clear" w:color="auto" w:fill="auto"/>
            <w:noWrap/>
            <w:vAlign w:val="bottom"/>
            <w:hideMark/>
          </w:tcPr>
          <w:p w:rsidRPr="00724A4A" w:rsidR="00724A4A" w:rsidP="00490158" w:rsidRDefault="00724A4A" w14:paraId="7A6BE6DB" w14:textId="77777777">
            <w:pPr>
              <w:spacing w:line="240" w:lineRule="auto"/>
              <w:jc w:val="center"/>
              <w:rPr>
                <w:rFonts w:eastAsia="Times New Roman" w:cstheme="minorHAnsi"/>
                <w:sz w:val="14"/>
                <w:szCs w:val="14"/>
              </w:rPr>
            </w:pPr>
            <w:r w:rsidRPr="00724A4A">
              <w:rPr>
                <w:rFonts w:eastAsia="Times New Roman" w:cstheme="minorHAnsi"/>
                <w:sz w:val="14"/>
                <w:szCs w:val="14"/>
              </w:rPr>
              <w:t>8,20</w:t>
            </w:r>
          </w:p>
        </w:tc>
        <w:tc>
          <w:tcPr>
            <w:tcW w:w="851" w:type="dxa"/>
            <w:shd w:val="clear" w:color="auto" w:fill="auto"/>
            <w:noWrap/>
            <w:vAlign w:val="bottom"/>
            <w:hideMark/>
          </w:tcPr>
          <w:p w:rsidRPr="00724A4A" w:rsidR="00724A4A" w:rsidP="00490158" w:rsidRDefault="00724A4A" w14:paraId="188469A7" w14:textId="77777777">
            <w:pPr>
              <w:spacing w:line="240" w:lineRule="auto"/>
              <w:jc w:val="center"/>
              <w:rPr>
                <w:rFonts w:eastAsia="Times New Roman" w:cstheme="minorHAnsi"/>
                <w:sz w:val="14"/>
                <w:szCs w:val="14"/>
              </w:rPr>
            </w:pPr>
            <w:r w:rsidRPr="00724A4A">
              <w:rPr>
                <w:rFonts w:eastAsia="Times New Roman" w:cstheme="minorHAnsi"/>
                <w:sz w:val="14"/>
                <w:szCs w:val="14"/>
              </w:rPr>
              <w:t>164,67</w:t>
            </w:r>
          </w:p>
        </w:tc>
        <w:tc>
          <w:tcPr>
            <w:tcW w:w="850" w:type="dxa"/>
            <w:shd w:val="clear" w:color="auto" w:fill="auto"/>
            <w:noWrap/>
            <w:vAlign w:val="bottom"/>
            <w:hideMark/>
          </w:tcPr>
          <w:p w:rsidRPr="00724A4A" w:rsidR="00724A4A" w:rsidP="00490158" w:rsidRDefault="00724A4A" w14:paraId="2AD5FC84" w14:textId="77777777">
            <w:pPr>
              <w:spacing w:line="240" w:lineRule="auto"/>
              <w:jc w:val="center"/>
              <w:rPr>
                <w:rFonts w:eastAsia="Times New Roman" w:cstheme="minorHAnsi"/>
                <w:sz w:val="14"/>
                <w:szCs w:val="14"/>
              </w:rPr>
            </w:pPr>
            <w:r w:rsidRPr="00724A4A">
              <w:rPr>
                <w:rFonts w:eastAsia="Times New Roman" w:cstheme="minorHAnsi"/>
                <w:sz w:val="14"/>
                <w:szCs w:val="14"/>
              </w:rPr>
              <w:t>8,00</w:t>
            </w:r>
          </w:p>
        </w:tc>
        <w:tc>
          <w:tcPr>
            <w:tcW w:w="851" w:type="dxa"/>
            <w:shd w:val="clear" w:color="auto" w:fill="auto"/>
            <w:noWrap/>
            <w:vAlign w:val="bottom"/>
            <w:hideMark/>
          </w:tcPr>
          <w:p w:rsidRPr="00724A4A" w:rsidR="00724A4A" w:rsidP="00490158" w:rsidRDefault="00724A4A" w14:paraId="6E452D6A" w14:textId="77777777">
            <w:pPr>
              <w:spacing w:line="240" w:lineRule="auto"/>
              <w:jc w:val="center"/>
              <w:rPr>
                <w:rFonts w:eastAsia="Times New Roman" w:cstheme="minorHAnsi"/>
                <w:sz w:val="14"/>
                <w:szCs w:val="14"/>
              </w:rPr>
            </w:pPr>
            <w:r w:rsidRPr="00724A4A">
              <w:rPr>
                <w:rFonts w:eastAsia="Times New Roman" w:cstheme="minorHAnsi"/>
                <w:sz w:val="14"/>
                <w:szCs w:val="14"/>
              </w:rPr>
              <w:t>166,85</w:t>
            </w:r>
          </w:p>
        </w:tc>
      </w:tr>
      <w:tr w:rsidRPr="00724A4A" w:rsidR="00724A4A" w:rsidTr="00DE2C45" w14:paraId="4DF59A09" w14:textId="77777777">
        <w:trPr>
          <w:trHeight w:val="269"/>
        </w:trPr>
        <w:tc>
          <w:tcPr>
            <w:tcW w:w="931" w:type="dxa"/>
            <w:shd w:val="clear" w:color="auto" w:fill="auto"/>
            <w:noWrap/>
            <w:vAlign w:val="bottom"/>
            <w:hideMark/>
          </w:tcPr>
          <w:p w:rsidRPr="00724A4A" w:rsidR="00724A4A" w:rsidP="00490158" w:rsidRDefault="00724A4A" w14:paraId="77094EE1" w14:textId="77777777">
            <w:pPr>
              <w:spacing w:line="240" w:lineRule="auto"/>
              <w:jc w:val="center"/>
              <w:rPr>
                <w:rFonts w:eastAsia="Times New Roman" w:cstheme="minorHAnsi"/>
                <w:sz w:val="14"/>
                <w:szCs w:val="14"/>
              </w:rPr>
            </w:pPr>
            <w:r w:rsidRPr="00724A4A">
              <w:rPr>
                <w:rFonts w:eastAsia="Times New Roman" w:cstheme="minorHAnsi"/>
                <w:sz w:val="14"/>
                <w:szCs w:val="14"/>
              </w:rPr>
              <w:t>2025</w:t>
            </w:r>
          </w:p>
        </w:tc>
        <w:tc>
          <w:tcPr>
            <w:tcW w:w="850" w:type="dxa"/>
            <w:shd w:val="clear" w:color="auto" w:fill="auto"/>
            <w:noWrap/>
            <w:vAlign w:val="bottom"/>
            <w:hideMark/>
          </w:tcPr>
          <w:p w:rsidRPr="00724A4A" w:rsidR="00724A4A" w:rsidP="00490158" w:rsidRDefault="00724A4A" w14:paraId="3B24077F" w14:textId="77777777">
            <w:pPr>
              <w:spacing w:line="240" w:lineRule="auto"/>
              <w:jc w:val="center"/>
              <w:rPr>
                <w:rFonts w:eastAsia="Times New Roman" w:cstheme="minorHAnsi"/>
                <w:sz w:val="14"/>
                <w:szCs w:val="14"/>
              </w:rPr>
            </w:pPr>
            <w:r w:rsidRPr="00724A4A">
              <w:rPr>
                <w:rFonts w:eastAsia="Times New Roman" w:cstheme="minorHAnsi"/>
                <w:sz w:val="14"/>
                <w:szCs w:val="14"/>
              </w:rPr>
              <w:t>-1,6</w:t>
            </w:r>
          </w:p>
        </w:tc>
        <w:tc>
          <w:tcPr>
            <w:tcW w:w="851" w:type="dxa"/>
            <w:shd w:val="clear" w:color="auto" w:fill="auto"/>
            <w:noWrap/>
            <w:vAlign w:val="bottom"/>
            <w:hideMark/>
          </w:tcPr>
          <w:p w:rsidRPr="00724A4A" w:rsidR="00724A4A" w:rsidP="00490158" w:rsidRDefault="00724A4A" w14:paraId="7040736B" w14:textId="77777777">
            <w:pPr>
              <w:spacing w:line="240" w:lineRule="auto"/>
              <w:jc w:val="center"/>
              <w:rPr>
                <w:rFonts w:eastAsia="Times New Roman" w:cstheme="minorHAnsi"/>
                <w:sz w:val="14"/>
                <w:szCs w:val="14"/>
              </w:rPr>
            </w:pPr>
            <w:r w:rsidRPr="00724A4A">
              <w:rPr>
                <w:rFonts w:eastAsia="Times New Roman" w:cstheme="minorHAnsi"/>
                <w:sz w:val="14"/>
                <w:szCs w:val="14"/>
              </w:rPr>
              <w:t>180,37</w:t>
            </w:r>
          </w:p>
        </w:tc>
        <w:tc>
          <w:tcPr>
            <w:tcW w:w="850" w:type="dxa"/>
            <w:shd w:val="clear" w:color="auto" w:fill="auto"/>
            <w:noWrap/>
            <w:vAlign w:val="bottom"/>
            <w:hideMark/>
          </w:tcPr>
          <w:p w:rsidRPr="00724A4A" w:rsidR="002958E6" w:rsidP="002958E6" w:rsidRDefault="002958E6" w14:paraId="7398B95E" w14:textId="297D9D7F">
            <w:pPr>
              <w:spacing w:line="240" w:lineRule="auto"/>
              <w:jc w:val="center"/>
              <w:rPr>
                <w:rFonts w:eastAsia="Times New Roman" w:cstheme="minorHAnsi"/>
                <w:sz w:val="14"/>
                <w:szCs w:val="14"/>
              </w:rPr>
            </w:pPr>
            <w:r>
              <w:rPr>
                <w:rFonts w:eastAsia="Times New Roman" w:cstheme="minorHAnsi"/>
                <w:sz w:val="14"/>
                <w:szCs w:val="14"/>
              </w:rPr>
              <w:t>-3,9</w:t>
            </w:r>
          </w:p>
        </w:tc>
        <w:tc>
          <w:tcPr>
            <w:tcW w:w="851" w:type="dxa"/>
            <w:shd w:val="clear" w:color="auto" w:fill="auto"/>
            <w:noWrap/>
            <w:vAlign w:val="bottom"/>
            <w:hideMark/>
          </w:tcPr>
          <w:p w:rsidRPr="00724A4A" w:rsidR="00724A4A" w:rsidP="00490158" w:rsidRDefault="002958E6" w14:paraId="450C41C3" w14:textId="3B49BA28">
            <w:pPr>
              <w:spacing w:line="240" w:lineRule="auto"/>
              <w:jc w:val="center"/>
              <w:rPr>
                <w:rFonts w:eastAsia="Times New Roman" w:cstheme="minorHAnsi"/>
                <w:sz w:val="14"/>
                <w:szCs w:val="14"/>
              </w:rPr>
            </w:pPr>
            <w:r w:rsidRPr="002958E6">
              <w:rPr>
                <w:rFonts w:eastAsia="Times New Roman" w:cstheme="minorHAnsi"/>
                <w:sz w:val="14"/>
                <w:szCs w:val="14"/>
              </w:rPr>
              <w:t>130,96</w:t>
            </w:r>
          </w:p>
        </w:tc>
        <w:tc>
          <w:tcPr>
            <w:tcW w:w="850" w:type="dxa"/>
            <w:shd w:val="clear" w:color="auto" w:fill="auto"/>
            <w:noWrap/>
            <w:vAlign w:val="bottom"/>
            <w:hideMark/>
          </w:tcPr>
          <w:p w:rsidRPr="00724A4A" w:rsidR="00724A4A" w:rsidP="00490158" w:rsidRDefault="00AE5776" w14:paraId="02439E00" w14:textId="1E2437BB">
            <w:pPr>
              <w:spacing w:line="240" w:lineRule="auto"/>
              <w:jc w:val="center"/>
              <w:rPr>
                <w:rFonts w:eastAsia="Times New Roman" w:cstheme="minorHAnsi"/>
                <w:sz w:val="14"/>
                <w:szCs w:val="14"/>
              </w:rPr>
            </w:pPr>
            <w:r>
              <w:rPr>
                <w:rFonts w:eastAsia="Times New Roman" w:cstheme="minorHAnsi"/>
                <w:sz w:val="14"/>
                <w:szCs w:val="14"/>
              </w:rPr>
              <w:t>-3,0</w:t>
            </w:r>
          </w:p>
        </w:tc>
        <w:tc>
          <w:tcPr>
            <w:tcW w:w="851" w:type="dxa"/>
            <w:shd w:val="clear" w:color="auto" w:fill="auto"/>
            <w:noWrap/>
            <w:vAlign w:val="bottom"/>
            <w:hideMark/>
          </w:tcPr>
          <w:p w:rsidRPr="00724A4A" w:rsidR="00724A4A" w:rsidP="00490158" w:rsidRDefault="00AE5776" w14:paraId="77111667" w14:textId="307AA410">
            <w:pPr>
              <w:spacing w:line="240" w:lineRule="auto"/>
              <w:jc w:val="center"/>
              <w:rPr>
                <w:rFonts w:eastAsia="Times New Roman" w:cstheme="minorHAnsi"/>
                <w:sz w:val="14"/>
                <w:szCs w:val="14"/>
              </w:rPr>
            </w:pPr>
            <w:r>
              <w:rPr>
                <w:rFonts w:eastAsia="Times New Roman" w:cstheme="minorHAnsi"/>
                <w:sz w:val="14"/>
                <w:szCs w:val="14"/>
              </w:rPr>
              <w:t>162,72</w:t>
            </w:r>
          </w:p>
        </w:tc>
        <w:tc>
          <w:tcPr>
            <w:tcW w:w="850" w:type="dxa"/>
            <w:shd w:val="clear" w:color="auto" w:fill="auto"/>
            <w:noWrap/>
            <w:vAlign w:val="bottom"/>
            <w:hideMark/>
          </w:tcPr>
          <w:p w:rsidRPr="00724A4A" w:rsidR="00724A4A" w:rsidP="00490158" w:rsidRDefault="00F35176" w14:paraId="6595544B" w14:textId="53D14B3B">
            <w:pPr>
              <w:spacing w:line="240" w:lineRule="auto"/>
              <w:jc w:val="center"/>
              <w:rPr>
                <w:rFonts w:eastAsia="Times New Roman" w:cstheme="minorHAnsi"/>
                <w:sz w:val="14"/>
                <w:szCs w:val="14"/>
              </w:rPr>
            </w:pPr>
            <w:r>
              <w:rPr>
                <w:rFonts w:eastAsia="Times New Roman" w:cstheme="minorHAnsi"/>
                <w:sz w:val="14"/>
                <w:szCs w:val="14"/>
              </w:rPr>
              <w:t>-5,9</w:t>
            </w:r>
          </w:p>
        </w:tc>
        <w:tc>
          <w:tcPr>
            <w:tcW w:w="851" w:type="dxa"/>
            <w:shd w:val="clear" w:color="auto" w:fill="auto"/>
            <w:noWrap/>
            <w:vAlign w:val="bottom"/>
            <w:hideMark/>
          </w:tcPr>
          <w:p w:rsidRPr="00724A4A" w:rsidR="00F35176" w:rsidP="00F35176" w:rsidRDefault="00F35176" w14:paraId="2CCFC126" w14:textId="7ECABD37">
            <w:pPr>
              <w:spacing w:line="240" w:lineRule="auto"/>
              <w:jc w:val="center"/>
              <w:rPr>
                <w:rFonts w:eastAsia="Times New Roman" w:cstheme="minorHAnsi"/>
                <w:sz w:val="14"/>
                <w:szCs w:val="14"/>
              </w:rPr>
            </w:pPr>
            <w:r>
              <w:rPr>
                <w:rFonts w:eastAsia="Times New Roman" w:cstheme="minorHAnsi"/>
                <w:sz w:val="14"/>
                <w:szCs w:val="14"/>
              </w:rPr>
              <w:t>154,95</w:t>
            </w:r>
          </w:p>
        </w:tc>
        <w:tc>
          <w:tcPr>
            <w:tcW w:w="850" w:type="dxa"/>
            <w:shd w:val="clear" w:color="auto" w:fill="auto"/>
            <w:noWrap/>
            <w:vAlign w:val="bottom"/>
            <w:hideMark/>
          </w:tcPr>
          <w:p w:rsidRPr="00724A4A" w:rsidR="00724A4A" w:rsidP="00490158" w:rsidRDefault="00724A4A" w14:paraId="3931AAF8" w14:textId="77777777">
            <w:pPr>
              <w:spacing w:line="240" w:lineRule="auto"/>
              <w:jc w:val="center"/>
              <w:rPr>
                <w:rFonts w:eastAsia="Times New Roman" w:cstheme="minorHAnsi"/>
                <w:sz w:val="14"/>
                <w:szCs w:val="14"/>
              </w:rPr>
            </w:pPr>
            <w:r w:rsidRPr="00724A4A">
              <w:rPr>
                <w:rFonts w:eastAsia="Times New Roman" w:cstheme="minorHAnsi"/>
                <w:sz w:val="14"/>
                <w:szCs w:val="14"/>
              </w:rPr>
              <w:t>-3,80</w:t>
            </w:r>
          </w:p>
        </w:tc>
        <w:tc>
          <w:tcPr>
            <w:tcW w:w="851" w:type="dxa"/>
            <w:shd w:val="clear" w:color="auto" w:fill="auto"/>
            <w:noWrap/>
            <w:vAlign w:val="bottom"/>
            <w:hideMark/>
          </w:tcPr>
          <w:p w:rsidRPr="00724A4A" w:rsidR="00724A4A" w:rsidP="00490158" w:rsidRDefault="00724A4A" w14:paraId="4178AF9B" w14:textId="77777777">
            <w:pPr>
              <w:spacing w:line="240" w:lineRule="auto"/>
              <w:jc w:val="center"/>
              <w:rPr>
                <w:rFonts w:eastAsia="Times New Roman" w:cstheme="minorHAnsi"/>
                <w:sz w:val="14"/>
                <w:szCs w:val="14"/>
              </w:rPr>
            </w:pPr>
            <w:r w:rsidRPr="00724A4A">
              <w:rPr>
                <w:rFonts w:eastAsia="Times New Roman" w:cstheme="minorHAnsi"/>
                <w:sz w:val="14"/>
                <w:szCs w:val="14"/>
              </w:rPr>
              <w:t>160,51</w:t>
            </w:r>
          </w:p>
        </w:tc>
      </w:tr>
      <w:tr w:rsidRPr="00724A4A" w:rsidR="00724A4A" w:rsidTr="009148FB" w14:paraId="25D36A33" w14:textId="77777777">
        <w:trPr>
          <w:trHeight w:val="269"/>
        </w:trPr>
        <w:tc>
          <w:tcPr>
            <w:tcW w:w="931" w:type="dxa"/>
            <w:shd w:val="clear" w:color="auto" w:fill="auto"/>
            <w:noWrap/>
            <w:vAlign w:val="bottom"/>
          </w:tcPr>
          <w:p w:rsidRPr="00724A4A" w:rsidR="00724A4A" w:rsidP="00490158" w:rsidRDefault="002958E6" w14:paraId="6223251B" w14:textId="1AB38C1D">
            <w:pPr>
              <w:spacing w:line="240" w:lineRule="auto"/>
              <w:jc w:val="center"/>
              <w:rPr>
                <w:rFonts w:eastAsia="Times New Roman" w:cstheme="minorHAnsi"/>
                <w:sz w:val="14"/>
                <w:szCs w:val="14"/>
              </w:rPr>
            </w:pPr>
            <w:r>
              <w:rPr>
                <w:rFonts w:eastAsia="Times New Roman" w:cstheme="minorHAnsi"/>
                <w:sz w:val="14"/>
                <w:szCs w:val="14"/>
              </w:rPr>
              <w:t>CAGR</w:t>
            </w:r>
            <w:r w:rsidR="009148FB">
              <w:rPr>
                <w:rStyle w:val="Voetnootmarkering"/>
                <w:rFonts w:eastAsia="Times New Roman" w:cstheme="minorHAnsi"/>
                <w:sz w:val="14"/>
                <w:szCs w:val="14"/>
              </w:rPr>
              <w:footnoteReference w:id="20"/>
            </w:r>
          </w:p>
        </w:tc>
        <w:tc>
          <w:tcPr>
            <w:tcW w:w="850" w:type="dxa"/>
            <w:shd w:val="clear" w:color="auto" w:fill="auto"/>
            <w:noWrap/>
            <w:vAlign w:val="bottom"/>
          </w:tcPr>
          <w:p w:rsidRPr="00724A4A" w:rsidR="00724A4A" w:rsidP="00490158" w:rsidRDefault="00724A4A" w14:paraId="795374D7" w14:textId="7512F712">
            <w:pPr>
              <w:spacing w:line="240" w:lineRule="auto"/>
              <w:jc w:val="center"/>
              <w:rPr>
                <w:rFonts w:eastAsia="Times New Roman" w:cstheme="minorHAnsi"/>
                <w:sz w:val="14"/>
                <w:szCs w:val="14"/>
              </w:rPr>
            </w:pPr>
          </w:p>
        </w:tc>
        <w:tc>
          <w:tcPr>
            <w:tcW w:w="851" w:type="dxa"/>
            <w:shd w:val="clear" w:color="auto" w:fill="auto"/>
            <w:noWrap/>
            <w:vAlign w:val="bottom"/>
          </w:tcPr>
          <w:p w:rsidRPr="00724A4A" w:rsidR="00724A4A" w:rsidP="00490158" w:rsidRDefault="0060173E" w14:paraId="11B65BDD" w14:textId="40487E43">
            <w:pPr>
              <w:spacing w:line="240" w:lineRule="auto"/>
              <w:jc w:val="center"/>
              <w:rPr>
                <w:rFonts w:eastAsia="Times New Roman" w:cstheme="minorHAnsi"/>
                <w:sz w:val="14"/>
                <w:szCs w:val="14"/>
              </w:rPr>
            </w:pPr>
            <w:r>
              <w:rPr>
                <w:rFonts w:eastAsia="Times New Roman" w:cstheme="minorHAnsi"/>
                <w:sz w:val="14"/>
                <w:szCs w:val="14"/>
              </w:rPr>
              <w:t>5,04</w:t>
            </w:r>
          </w:p>
        </w:tc>
        <w:tc>
          <w:tcPr>
            <w:tcW w:w="850" w:type="dxa"/>
            <w:shd w:val="clear" w:color="auto" w:fill="auto"/>
            <w:noWrap/>
            <w:vAlign w:val="bottom"/>
          </w:tcPr>
          <w:p w:rsidRPr="00724A4A" w:rsidR="00724A4A" w:rsidP="00490158" w:rsidRDefault="00724A4A" w14:paraId="1BEED539" w14:textId="739D52C4">
            <w:pPr>
              <w:spacing w:line="240" w:lineRule="auto"/>
              <w:jc w:val="center"/>
              <w:rPr>
                <w:rFonts w:eastAsia="Times New Roman" w:cstheme="minorHAnsi"/>
                <w:sz w:val="14"/>
                <w:szCs w:val="14"/>
              </w:rPr>
            </w:pPr>
          </w:p>
        </w:tc>
        <w:tc>
          <w:tcPr>
            <w:tcW w:w="851" w:type="dxa"/>
            <w:shd w:val="clear" w:color="auto" w:fill="auto"/>
            <w:noWrap/>
            <w:vAlign w:val="bottom"/>
          </w:tcPr>
          <w:p w:rsidRPr="00724A4A" w:rsidR="00724A4A" w:rsidP="00490158" w:rsidRDefault="002958E6" w14:paraId="3476BE6E" w14:textId="3820A2D6">
            <w:pPr>
              <w:spacing w:line="240" w:lineRule="auto"/>
              <w:jc w:val="center"/>
              <w:rPr>
                <w:rFonts w:eastAsia="Times New Roman" w:cstheme="minorHAnsi"/>
                <w:sz w:val="14"/>
                <w:szCs w:val="14"/>
              </w:rPr>
            </w:pPr>
            <w:r w:rsidRPr="002958E6">
              <w:rPr>
                <w:rFonts w:eastAsia="Times New Roman" w:cstheme="minorHAnsi"/>
                <w:sz w:val="14"/>
                <w:szCs w:val="14"/>
              </w:rPr>
              <w:t>2,</w:t>
            </w:r>
            <w:r w:rsidR="0060173E">
              <w:rPr>
                <w:rFonts w:eastAsia="Times New Roman" w:cstheme="minorHAnsi"/>
                <w:sz w:val="14"/>
                <w:szCs w:val="14"/>
              </w:rPr>
              <w:t>27</w:t>
            </w:r>
          </w:p>
        </w:tc>
        <w:tc>
          <w:tcPr>
            <w:tcW w:w="850" w:type="dxa"/>
            <w:shd w:val="clear" w:color="auto" w:fill="auto"/>
            <w:noWrap/>
            <w:vAlign w:val="bottom"/>
          </w:tcPr>
          <w:p w:rsidRPr="00724A4A" w:rsidR="00724A4A" w:rsidP="00490158" w:rsidRDefault="00724A4A" w14:paraId="4A7449D1" w14:textId="757D1253">
            <w:pPr>
              <w:spacing w:line="240" w:lineRule="auto"/>
              <w:jc w:val="center"/>
              <w:rPr>
                <w:rFonts w:eastAsia="Times New Roman" w:cstheme="minorHAnsi"/>
                <w:sz w:val="14"/>
                <w:szCs w:val="14"/>
              </w:rPr>
            </w:pPr>
          </w:p>
        </w:tc>
        <w:tc>
          <w:tcPr>
            <w:tcW w:w="851" w:type="dxa"/>
            <w:shd w:val="clear" w:color="auto" w:fill="auto"/>
            <w:noWrap/>
            <w:vAlign w:val="bottom"/>
          </w:tcPr>
          <w:p w:rsidRPr="00724A4A" w:rsidR="00724A4A" w:rsidP="00490158" w:rsidRDefault="002958E6" w14:paraId="6A40B82E" w14:textId="2C7B97B5">
            <w:pPr>
              <w:spacing w:line="240" w:lineRule="auto"/>
              <w:jc w:val="center"/>
              <w:rPr>
                <w:rFonts w:eastAsia="Times New Roman" w:cstheme="minorHAnsi"/>
                <w:sz w:val="14"/>
                <w:szCs w:val="14"/>
              </w:rPr>
            </w:pPr>
            <w:r w:rsidRPr="002958E6">
              <w:rPr>
                <w:rFonts w:eastAsia="Times New Roman" w:cstheme="minorHAnsi"/>
                <w:sz w:val="14"/>
                <w:szCs w:val="14"/>
              </w:rPr>
              <w:t>4,</w:t>
            </w:r>
            <w:r w:rsidR="00AE5776">
              <w:rPr>
                <w:rFonts w:eastAsia="Times New Roman" w:cstheme="minorHAnsi"/>
                <w:sz w:val="14"/>
                <w:szCs w:val="14"/>
              </w:rPr>
              <w:t>14</w:t>
            </w:r>
          </w:p>
        </w:tc>
        <w:tc>
          <w:tcPr>
            <w:tcW w:w="850" w:type="dxa"/>
            <w:shd w:val="clear" w:color="auto" w:fill="auto"/>
            <w:noWrap/>
            <w:vAlign w:val="bottom"/>
          </w:tcPr>
          <w:p w:rsidRPr="00724A4A" w:rsidR="00724A4A" w:rsidP="00490158" w:rsidRDefault="00724A4A" w14:paraId="4FE6B412" w14:textId="5A34F45C">
            <w:pPr>
              <w:spacing w:line="240" w:lineRule="auto"/>
              <w:jc w:val="center"/>
              <w:rPr>
                <w:rFonts w:eastAsia="Times New Roman" w:cstheme="minorHAnsi"/>
                <w:sz w:val="14"/>
                <w:szCs w:val="14"/>
              </w:rPr>
            </w:pPr>
          </w:p>
        </w:tc>
        <w:tc>
          <w:tcPr>
            <w:tcW w:w="851" w:type="dxa"/>
            <w:shd w:val="clear" w:color="auto" w:fill="auto"/>
            <w:noWrap/>
            <w:vAlign w:val="bottom"/>
          </w:tcPr>
          <w:p w:rsidRPr="00724A4A" w:rsidR="00724A4A" w:rsidP="00490158" w:rsidRDefault="00F35176" w14:paraId="6096FDF0" w14:textId="4DBB11BA">
            <w:pPr>
              <w:spacing w:line="240" w:lineRule="auto"/>
              <w:jc w:val="center"/>
              <w:rPr>
                <w:rFonts w:eastAsia="Times New Roman" w:cstheme="minorHAnsi"/>
                <w:sz w:val="14"/>
                <w:szCs w:val="14"/>
              </w:rPr>
            </w:pPr>
            <w:r>
              <w:rPr>
                <w:rFonts w:eastAsia="Times New Roman" w:cstheme="minorHAnsi"/>
                <w:sz w:val="14"/>
                <w:szCs w:val="14"/>
              </w:rPr>
              <w:t>3,72</w:t>
            </w:r>
          </w:p>
        </w:tc>
        <w:tc>
          <w:tcPr>
            <w:tcW w:w="850" w:type="dxa"/>
            <w:shd w:val="clear" w:color="auto" w:fill="auto"/>
            <w:noWrap/>
            <w:vAlign w:val="bottom"/>
          </w:tcPr>
          <w:p w:rsidRPr="00724A4A" w:rsidR="00724A4A" w:rsidP="00490158" w:rsidRDefault="00724A4A" w14:paraId="1B98D381" w14:textId="3C8F5127">
            <w:pPr>
              <w:spacing w:line="240" w:lineRule="auto"/>
              <w:jc w:val="center"/>
              <w:rPr>
                <w:rFonts w:eastAsia="Times New Roman" w:cstheme="minorHAnsi"/>
                <w:sz w:val="14"/>
                <w:szCs w:val="14"/>
              </w:rPr>
            </w:pPr>
          </w:p>
        </w:tc>
        <w:tc>
          <w:tcPr>
            <w:tcW w:w="851" w:type="dxa"/>
            <w:shd w:val="clear" w:color="auto" w:fill="auto"/>
            <w:noWrap/>
            <w:vAlign w:val="bottom"/>
            <w:hideMark/>
          </w:tcPr>
          <w:p w:rsidRPr="00724A4A" w:rsidR="00724A4A" w:rsidP="00490158" w:rsidRDefault="0060173E" w14:paraId="50F6C43E" w14:textId="3AA54E17">
            <w:pPr>
              <w:spacing w:line="240" w:lineRule="auto"/>
              <w:jc w:val="center"/>
              <w:rPr>
                <w:rFonts w:eastAsia="Times New Roman" w:cstheme="minorHAnsi"/>
                <w:sz w:val="14"/>
                <w:szCs w:val="14"/>
              </w:rPr>
            </w:pPr>
            <w:r>
              <w:rPr>
                <w:rFonts w:eastAsia="Times New Roman" w:cstheme="minorHAnsi"/>
                <w:sz w:val="14"/>
                <w:szCs w:val="14"/>
              </w:rPr>
              <w:t>4,02</w:t>
            </w:r>
          </w:p>
        </w:tc>
      </w:tr>
    </w:tbl>
    <w:tbl>
      <w:tblPr>
        <w:tblpPr w:leftFromText="141" w:rightFromText="141" w:vertAnchor="text" w:horzAnchor="margin" w:tblpY="242"/>
        <w:tblW w:w="6274" w:type="pct"/>
        <w:tblCellMar>
          <w:left w:w="70" w:type="dxa"/>
          <w:right w:w="70" w:type="dxa"/>
        </w:tblCellMar>
        <w:tblLook w:val="04A0" w:firstRow="1" w:lastRow="0" w:firstColumn="1" w:lastColumn="0" w:noHBand="0" w:noVBand="1"/>
      </w:tblPr>
      <w:tblGrid>
        <w:gridCol w:w="658"/>
        <w:gridCol w:w="983"/>
        <w:gridCol w:w="778"/>
        <w:gridCol w:w="983"/>
        <w:gridCol w:w="778"/>
        <w:gridCol w:w="983"/>
        <w:gridCol w:w="778"/>
        <w:gridCol w:w="983"/>
        <w:gridCol w:w="778"/>
        <w:gridCol w:w="983"/>
        <w:gridCol w:w="778"/>
      </w:tblGrid>
      <w:tr w:rsidRPr="00724A4A" w:rsidR="00724A4A" w:rsidTr="006E0EC3" w14:paraId="2C2DE93D" w14:textId="77777777">
        <w:trPr>
          <w:trHeight w:val="248"/>
        </w:trPr>
        <w:tc>
          <w:tcPr>
            <w:tcW w:w="3658" w:type="pct"/>
            <w:gridSpan w:val="8"/>
            <w:tcBorders>
              <w:top w:val="nil"/>
              <w:left w:val="nil"/>
              <w:bottom w:val="single" w:color="auto" w:sz="4" w:space="0"/>
              <w:right w:val="nil"/>
            </w:tcBorders>
            <w:noWrap/>
            <w:vAlign w:val="bottom"/>
            <w:hideMark/>
          </w:tcPr>
          <w:p w:rsidR="005D5BC9" w:rsidP="006E0EC3" w:rsidRDefault="005D5BC9" w14:paraId="3FBAFFCF" w14:textId="77777777">
            <w:pPr>
              <w:spacing w:line="240" w:lineRule="auto"/>
              <w:rPr>
                <w:rFonts w:eastAsia="Times New Roman" w:cs="Calibri"/>
                <w:b/>
                <w:bCs/>
                <w:sz w:val="14"/>
                <w:szCs w:val="14"/>
              </w:rPr>
            </w:pPr>
          </w:p>
          <w:p w:rsidR="002958E6" w:rsidP="006E0EC3" w:rsidRDefault="002958E6" w14:paraId="18D68225" w14:textId="77777777">
            <w:pPr>
              <w:spacing w:line="240" w:lineRule="auto"/>
              <w:rPr>
                <w:rFonts w:eastAsia="Times New Roman" w:cs="Calibri"/>
                <w:b/>
                <w:bCs/>
                <w:sz w:val="14"/>
                <w:szCs w:val="14"/>
              </w:rPr>
            </w:pPr>
          </w:p>
          <w:p w:rsidR="002958E6" w:rsidP="006E0EC3" w:rsidRDefault="002958E6" w14:paraId="7A6989DF" w14:textId="77777777">
            <w:pPr>
              <w:spacing w:line="240" w:lineRule="auto"/>
              <w:rPr>
                <w:rFonts w:eastAsia="Times New Roman" w:cs="Calibri"/>
                <w:b/>
                <w:bCs/>
                <w:sz w:val="14"/>
                <w:szCs w:val="14"/>
              </w:rPr>
            </w:pPr>
          </w:p>
          <w:p w:rsidR="002958E6" w:rsidP="006E0EC3" w:rsidRDefault="002958E6" w14:paraId="72C7F1AC" w14:textId="77777777">
            <w:pPr>
              <w:spacing w:line="240" w:lineRule="auto"/>
              <w:rPr>
                <w:rFonts w:eastAsia="Times New Roman" w:cs="Calibri"/>
                <w:b/>
                <w:bCs/>
                <w:sz w:val="14"/>
                <w:szCs w:val="14"/>
              </w:rPr>
            </w:pPr>
          </w:p>
          <w:p w:rsidR="005D5BC9" w:rsidP="006E0EC3" w:rsidRDefault="005D5BC9" w14:paraId="56756812" w14:textId="77777777">
            <w:pPr>
              <w:spacing w:line="240" w:lineRule="auto"/>
              <w:rPr>
                <w:rFonts w:eastAsia="Times New Roman" w:cs="Calibri"/>
                <w:b/>
                <w:bCs/>
                <w:sz w:val="14"/>
                <w:szCs w:val="14"/>
              </w:rPr>
            </w:pPr>
          </w:p>
          <w:p w:rsidRPr="00724A4A" w:rsidR="00724A4A" w:rsidP="006E0EC3" w:rsidRDefault="00724A4A" w14:paraId="194ECCF0" w14:textId="03F483EA">
            <w:pPr>
              <w:spacing w:line="240" w:lineRule="auto"/>
              <w:rPr>
                <w:rFonts w:eastAsia="Times New Roman" w:cs="Times New Roman"/>
                <w:sz w:val="14"/>
                <w:szCs w:val="14"/>
              </w:rPr>
            </w:pPr>
            <w:r w:rsidRPr="00724A4A">
              <w:rPr>
                <w:rFonts w:eastAsia="Times New Roman" w:cs="Calibri"/>
                <w:b/>
                <w:bCs/>
                <w:sz w:val="14"/>
                <w:szCs w:val="14"/>
              </w:rPr>
              <w:t>Tabel 2: Dekkings- en beleidsdekkingsgraad per fonds (in percentages)</w:t>
            </w:r>
          </w:p>
        </w:tc>
        <w:tc>
          <w:tcPr>
            <w:tcW w:w="411" w:type="pct"/>
            <w:tcBorders>
              <w:top w:val="nil"/>
              <w:left w:val="nil"/>
              <w:bottom w:val="single" w:color="auto" w:sz="4" w:space="0"/>
              <w:right w:val="nil"/>
            </w:tcBorders>
            <w:noWrap/>
            <w:vAlign w:val="bottom"/>
            <w:hideMark/>
          </w:tcPr>
          <w:p w:rsidRPr="00724A4A" w:rsidR="00724A4A" w:rsidP="006E0EC3" w:rsidRDefault="00724A4A" w14:paraId="7F18CB3B" w14:textId="77777777">
            <w:pPr>
              <w:spacing w:line="240" w:lineRule="auto"/>
              <w:rPr>
                <w:rFonts w:eastAsia="Times New Roman" w:cs="Times New Roman"/>
                <w:sz w:val="14"/>
                <w:szCs w:val="14"/>
              </w:rPr>
            </w:pPr>
          </w:p>
        </w:tc>
        <w:tc>
          <w:tcPr>
            <w:tcW w:w="519" w:type="pct"/>
            <w:tcBorders>
              <w:top w:val="nil"/>
              <w:left w:val="nil"/>
              <w:bottom w:val="single" w:color="auto" w:sz="4" w:space="0"/>
              <w:right w:val="nil"/>
            </w:tcBorders>
            <w:noWrap/>
            <w:vAlign w:val="bottom"/>
            <w:hideMark/>
          </w:tcPr>
          <w:p w:rsidRPr="00724A4A" w:rsidR="00724A4A" w:rsidP="006E0EC3" w:rsidRDefault="00724A4A" w14:paraId="7539918A" w14:textId="77777777">
            <w:pPr>
              <w:spacing w:line="240" w:lineRule="auto"/>
              <w:rPr>
                <w:rFonts w:eastAsia="Times New Roman" w:cs="Times New Roman"/>
                <w:sz w:val="14"/>
                <w:szCs w:val="14"/>
              </w:rPr>
            </w:pPr>
          </w:p>
        </w:tc>
        <w:tc>
          <w:tcPr>
            <w:tcW w:w="411" w:type="pct"/>
            <w:tcBorders>
              <w:top w:val="nil"/>
              <w:left w:val="nil"/>
              <w:bottom w:val="single" w:color="auto" w:sz="4" w:space="0"/>
              <w:right w:val="nil"/>
            </w:tcBorders>
            <w:noWrap/>
            <w:vAlign w:val="bottom"/>
            <w:hideMark/>
          </w:tcPr>
          <w:p w:rsidRPr="00724A4A" w:rsidR="00724A4A" w:rsidP="006E0EC3" w:rsidRDefault="00724A4A" w14:paraId="3C9145C2" w14:textId="77777777">
            <w:pPr>
              <w:spacing w:line="240" w:lineRule="auto"/>
              <w:rPr>
                <w:rFonts w:eastAsia="Times New Roman" w:cs="Times New Roman"/>
                <w:sz w:val="14"/>
                <w:szCs w:val="14"/>
              </w:rPr>
            </w:pPr>
          </w:p>
        </w:tc>
      </w:tr>
      <w:tr w:rsidRPr="00724A4A" w:rsidR="00724A4A" w:rsidTr="006E0EC3" w14:paraId="3E99C42E" w14:textId="77777777">
        <w:trPr>
          <w:trHeight w:val="255"/>
        </w:trPr>
        <w:tc>
          <w:tcPr>
            <w:tcW w:w="348"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785980C1" w14:textId="77777777">
            <w:pPr>
              <w:spacing w:line="240" w:lineRule="auto"/>
              <w:rPr>
                <w:rFonts w:eastAsia="Times New Roman" w:cs="Times New Roman"/>
                <w:sz w:val="14"/>
                <w:szCs w:val="14"/>
              </w:rPr>
            </w:pPr>
          </w:p>
        </w:tc>
        <w:tc>
          <w:tcPr>
            <w:tcW w:w="930" w:type="pct"/>
            <w:gridSpan w:val="2"/>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CAD63C7" w14:textId="77777777">
            <w:pPr>
              <w:spacing w:line="240" w:lineRule="auto"/>
              <w:jc w:val="center"/>
              <w:rPr>
                <w:rFonts w:eastAsia="Times New Roman" w:cs="Calibri"/>
                <w:b/>
                <w:bCs/>
                <w:sz w:val="14"/>
                <w:szCs w:val="14"/>
              </w:rPr>
            </w:pPr>
            <w:r w:rsidRPr="00724A4A">
              <w:rPr>
                <w:rFonts w:eastAsia="Times New Roman" w:cs="Calibri"/>
                <w:b/>
                <w:bCs/>
                <w:sz w:val="14"/>
                <w:szCs w:val="14"/>
              </w:rPr>
              <w:t>ABP</w:t>
            </w:r>
          </w:p>
        </w:tc>
        <w:tc>
          <w:tcPr>
            <w:tcW w:w="930" w:type="pct"/>
            <w:gridSpan w:val="2"/>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42D97FEA" w14:textId="77777777">
            <w:pPr>
              <w:spacing w:line="240" w:lineRule="auto"/>
              <w:jc w:val="center"/>
              <w:rPr>
                <w:rFonts w:eastAsia="Times New Roman" w:cs="Calibri"/>
                <w:b/>
                <w:bCs/>
                <w:sz w:val="14"/>
                <w:szCs w:val="14"/>
              </w:rPr>
            </w:pPr>
            <w:r w:rsidRPr="00724A4A">
              <w:rPr>
                <w:rFonts w:eastAsia="Times New Roman" w:cs="Calibri"/>
                <w:b/>
                <w:bCs/>
                <w:sz w:val="14"/>
                <w:szCs w:val="14"/>
              </w:rPr>
              <w:t>Bouw</w:t>
            </w:r>
          </w:p>
        </w:tc>
        <w:tc>
          <w:tcPr>
            <w:tcW w:w="930" w:type="pct"/>
            <w:gridSpan w:val="2"/>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D0D1DCF" w14:textId="77777777">
            <w:pPr>
              <w:spacing w:line="240" w:lineRule="auto"/>
              <w:jc w:val="center"/>
              <w:rPr>
                <w:rFonts w:eastAsia="Times New Roman" w:cs="Calibri"/>
                <w:b/>
                <w:bCs/>
                <w:sz w:val="14"/>
                <w:szCs w:val="14"/>
              </w:rPr>
            </w:pPr>
            <w:r w:rsidRPr="00724A4A">
              <w:rPr>
                <w:rFonts w:eastAsia="Times New Roman" w:cs="Calibri"/>
                <w:b/>
                <w:bCs/>
                <w:sz w:val="14"/>
                <w:szCs w:val="14"/>
              </w:rPr>
              <w:t>PME</w:t>
            </w:r>
          </w:p>
        </w:tc>
        <w:tc>
          <w:tcPr>
            <w:tcW w:w="930" w:type="pct"/>
            <w:gridSpan w:val="2"/>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B3D53F5" w14:textId="77777777">
            <w:pPr>
              <w:spacing w:line="240" w:lineRule="auto"/>
              <w:jc w:val="center"/>
              <w:rPr>
                <w:rFonts w:eastAsia="Times New Roman" w:cs="Calibri"/>
                <w:b/>
                <w:bCs/>
                <w:sz w:val="14"/>
                <w:szCs w:val="14"/>
              </w:rPr>
            </w:pPr>
            <w:r w:rsidRPr="00724A4A">
              <w:rPr>
                <w:rFonts w:eastAsia="Times New Roman" w:cs="Calibri"/>
                <w:b/>
                <w:bCs/>
                <w:sz w:val="14"/>
                <w:szCs w:val="14"/>
              </w:rPr>
              <w:t>PMT</w:t>
            </w:r>
          </w:p>
        </w:tc>
        <w:tc>
          <w:tcPr>
            <w:tcW w:w="930" w:type="pct"/>
            <w:gridSpan w:val="2"/>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ACABBF7" w14:textId="77777777">
            <w:pPr>
              <w:spacing w:line="240" w:lineRule="auto"/>
              <w:jc w:val="center"/>
              <w:rPr>
                <w:rFonts w:eastAsia="Times New Roman" w:cs="Calibri"/>
                <w:b/>
                <w:bCs/>
                <w:sz w:val="14"/>
                <w:szCs w:val="14"/>
              </w:rPr>
            </w:pPr>
            <w:r w:rsidRPr="00724A4A">
              <w:rPr>
                <w:rFonts w:eastAsia="Times New Roman" w:cs="Calibri"/>
                <w:b/>
                <w:bCs/>
                <w:sz w:val="14"/>
                <w:szCs w:val="14"/>
              </w:rPr>
              <w:t>PFZW</w:t>
            </w:r>
          </w:p>
        </w:tc>
      </w:tr>
      <w:tr w:rsidRPr="00724A4A" w:rsidR="00724A4A" w:rsidTr="006E0EC3" w14:paraId="65D7C14E" w14:textId="77777777">
        <w:trPr>
          <w:trHeight w:val="255"/>
        </w:trPr>
        <w:tc>
          <w:tcPr>
            <w:tcW w:w="348" w:type="pct"/>
            <w:tcBorders>
              <w:top w:val="single" w:color="auto" w:sz="4" w:space="0"/>
              <w:left w:val="single" w:color="auto" w:sz="4" w:space="0"/>
              <w:bottom w:val="single" w:color="auto" w:sz="4" w:space="0"/>
              <w:right w:val="single" w:color="auto" w:sz="4" w:space="0"/>
            </w:tcBorders>
            <w:noWrap/>
            <w:hideMark/>
          </w:tcPr>
          <w:p w:rsidRPr="00724A4A" w:rsidR="00724A4A" w:rsidP="006E0EC3" w:rsidRDefault="00724A4A" w14:paraId="2C07DD32" w14:textId="77777777">
            <w:pPr>
              <w:spacing w:line="240" w:lineRule="auto"/>
              <w:jc w:val="center"/>
              <w:rPr>
                <w:rFonts w:eastAsia="Times New Roman" w:cs="Calibri"/>
                <w:b/>
                <w:bCs/>
                <w:sz w:val="14"/>
                <w:szCs w:val="14"/>
              </w:rPr>
            </w:pPr>
            <w:r w:rsidRPr="00724A4A">
              <w:rPr>
                <w:rFonts w:eastAsia="Times New Roman" w:cs="Calibri"/>
                <w:b/>
                <w:bCs/>
                <w:sz w:val="14"/>
                <w:szCs w:val="14"/>
              </w:rPr>
              <w:t>Ultimo</w:t>
            </w:r>
          </w:p>
        </w:tc>
        <w:tc>
          <w:tcPr>
            <w:tcW w:w="519" w:type="pct"/>
            <w:tcBorders>
              <w:top w:val="single" w:color="auto" w:sz="4" w:space="0"/>
              <w:left w:val="nil"/>
              <w:bottom w:val="single" w:color="auto" w:sz="4" w:space="0"/>
              <w:right w:val="single" w:color="auto" w:sz="4" w:space="0"/>
            </w:tcBorders>
            <w:noWrap/>
            <w:vAlign w:val="bottom"/>
            <w:hideMark/>
          </w:tcPr>
          <w:p w:rsidRPr="00724A4A" w:rsidR="00724A4A" w:rsidP="006E0EC3" w:rsidRDefault="00724A4A" w14:paraId="44BDA1C1" w14:textId="77777777">
            <w:pPr>
              <w:spacing w:line="240" w:lineRule="auto"/>
              <w:jc w:val="center"/>
              <w:rPr>
                <w:rFonts w:eastAsia="Times New Roman" w:cs="Calibri"/>
                <w:sz w:val="14"/>
                <w:szCs w:val="14"/>
              </w:rPr>
            </w:pPr>
            <w:r w:rsidRPr="00724A4A">
              <w:rPr>
                <w:rFonts w:eastAsia="Times New Roman" w:cs="Calibri"/>
                <w:sz w:val="14"/>
                <w:szCs w:val="14"/>
              </w:rPr>
              <w:t>Dekkingsgr.</w:t>
            </w:r>
          </w:p>
        </w:tc>
        <w:tc>
          <w:tcPr>
            <w:tcW w:w="411" w:type="pct"/>
            <w:tcBorders>
              <w:top w:val="single" w:color="auto" w:sz="4" w:space="0"/>
              <w:left w:val="nil"/>
              <w:bottom w:val="single" w:color="auto" w:sz="4" w:space="0"/>
              <w:right w:val="single" w:color="auto" w:sz="4" w:space="0"/>
            </w:tcBorders>
            <w:noWrap/>
            <w:vAlign w:val="bottom"/>
            <w:hideMark/>
          </w:tcPr>
          <w:p w:rsidRPr="00724A4A" w:rsidR="00724A4A" w:rsidP="006E0EC3" w:rsidRDefault="00724A4A" w14:paraId="39F333BE" w14:textId="77777777">
            <w:pPr>
              <w:spacing w:line="240" w:lineRule="auto"/>
              <w:jc w:val="center"/>
              <w:rPr>
                <w:rFonts w:eastAsia="Times New Roman" w:cs="Calibri"/>
                <w:sz w:val="14"/>
                <w:szCs w:val="14"/>
              </w:rPr>
            </w:pPr>
            <w:r w:rsidRPr="00724A4A">
              <w:rPr>
                <w:rFonts w:eastAsia="Times New Roman" w:cs="Calibri"/>
                <w:sz w:val="14"/>
                <w:szCs w:val="14"/>
              </w:rPr>
              <w:t>Beleidsd.</w:t>
            </w:r>
          </w:p>
        </w:tc>
        <w:tc>
          <w:tcPr>
            <w:tcW w:w="519" w:type="pct"/>
            <w:tcBorders>
              <w:top w:val="single" w:color="auto" w:sz="4" w:space="0"/>
              <w:left w:val="nil"/>
              <w:bottom w:val="single" w:color="auto" w:sz="4" w:space="0"/>
              <w:right w:val="single" w:color="auto" w:sz="4" w:space="0"/>
            </w:tcBorders>
            <w:noWrap/>
            <w:vAlign w:val="bottom"/>
            <w:hideMark/>
          </w:tcPr>
          <w:p w:rsidRPr="00724A4A" w:rsidR="00724A4A" w:rsidP="006E0EC3" w:rsidRDefault="00724A4A" w14:paraId="4214D691" w14:textId="77777777">
            <w:pPr>
              <w:spacing w:line="240" w:lineRule="auto"/>
              <w:jc w:val="center"/>
              <w:rPr>
                <w:rFonts w:eastAsia="Times New Roman" w:cs="Calibri"/>
                <w:sz w:val="14"/>
                <w:szCs w:val="14"/>
              </w:rPr>
            </w:pPr>
            <w:r w:rsidRPr="00724A4A">
              <w:rPr>
                <w:rFonts w:eastAsia="Times New Roman" w:cs="Calibri"/>
                <w:sz w:val="14"/>
                <w:szCs w:val="14"/>
              </w:rPr>
              <w:t>Dekkingsgr.</w:t>
            </w:r>
          </w:p>
        </w:tc>
        <w:tc>
          <w:tcPr>
            <w:tcW w:w="411" w:type="pct"/>
            <w:tcBorders>
              <w:top w:val="single" w:color="auto" w:sz="4" w:space="0"/>
              <w:left w:val="nil"/>
              <w:bottom w:val="single" w:color="auto" w:sz="4" w:space="0"/>
              <w:right w:val="single" w:color="auto" w:sz="4" w:space="0"/>
            </w:tcBorders>
            <w:noWrap/>
            <w:vAlign w:val="bottom"/>
            <w:hideMark/>
          </w:tcPr>
          <w:p w:rsidRPr="00724A4A" w:rsidR="00724A4A" w:rsidP="006E0EC3" w:rsidRDefault="00724A4A" w14:paraId="34784AA6" w14:textId="77777777">
            <w:pPr>
              <w:spacing w:line="240" w:lineRule="auto"/>
              <w:jc w:val="center"/>
              <w:rPr>
                <w:rFonts w:eastAsia="Times New Roman" w:cs="Calibri"/>
                <w:sz w:val="14"/>
                <w:szCs w:val="14"/>
              </w:rPr>
            </w:pPr>
            <w:r w:rsidRPr="00724A4A">
              <w:rPr>
                <w:rFonts w:eastAsia="Times New Roman" w:cs="Calibri"/>
                <w:sz w:val="14"/>
                <w:szCs w:val="14"/>
              </w:rPr>
              <w:t>Beleidsd.</w:t>
            </w:r>
          </w:p>
        </w:tc>
        <w:tc>
          <w:tcPr>
            <w:tcW w:w="519" w:type="pct"/>
            <w:tcBorders>
              <w:top w:val="single" w:color="auto" w:sz="4" w:space="0"/>
              <w:left w:val="nil"/>
              <w:bottom w:val="single" w:color="auto" w:sz="4" w:space="0"/>
              <w:right w:val="single" w:color="auto" w:sz="4" w:space="0"/>
            </w:tcBorders>
            <w:noWrap/>
            <w:vAlign w:val="bottom"/>
            <w:hideMark/>
          </w:tcPr>
          <w:p w:rsidRPr="00724A4A" w:rsidR="00724A4A" w:rsidP="006E0EC3" w:rsidRDefault="00724A4A" w14:paraId="05D49135" w14:textId="77777777">
            <w:pPr>
              <w:spacing w:line="240" w:lineRule="auto"/>
              <w:jc w:val="center"/>
              <w:rPr>
                <w:rFonts w:eastAsia="Times New Roman" w:cs="Calibri"/>
                <w:sz w:val="14"/>
                <w:szCs w:val="14"/>
              </w:rPr>
            </w:pPr>
            <w:r w:rsidRPr="00724A4A">
              <w:rPr>
                <w:rFonts w:eastAsia="Times New Roman" w:cs="Calibri"/>
                <w:sz w:val="14"/>
                <w:szCs w:val="14"/>
              </w:rPr>
              <w:t>Dekkingsgr.</w:t>
            </w:r>
          </w:p>
        </w:tc>
        <w:tc>
          <w:tcPr>
            <w:tcW w:w="411" w:type="pct"/>
            <w:tcBorders>
              <w:top w:val="single" w:color="auto" w:sz="4" w:space="0"/>
              <w:left w:val="nil"/>
              <w:bottom w:val="single" w:color="auto" w:sz="4" w:space="0"/>
              <w:right w:val="single" w:color="auto" w:sz="4" w:space="0"/>
            </w:tcBorders>
            <w:noWrap/>
            <w:vAlign w:val="bottom"/>
            <w:hideMark/>
          </w:tcPr>
          <w:p w:rsidRPr="00724A4A" w:rsidR="00724A4A" w:rsidP="006E0EC3" w:rsidRDefault="00724A4A" w14:paraId="46D35BFF" w14:textId="77777777">
            <w:pPr>
              <w:spacing w:line="240" w:lineRule="auto"/>
              <w:jc w:val="center"/>
              <w:rPr>
                <w:rFonts w:eastAsia="Times New Roman" w:cs="Calibri"/>
                <w:sz w:val="14"/>
                <w:szCs w:val="14"/>
              </w:rPr>
            </w:pPr>
            <w:r w:rsidRPr="00724A4A">
              <w:rPr>
                <w:rFonts w:eastAsia="Times New Roman" w:cs="Calibri"/>
                <w:sz w:val="14"/>
                <w:szCs w:val="14"/>
              </w:rPr>
              <w:t>Beleidsd.</w:t>
            </w:r>
          </w:p>
        </w:tc>
        <w:tc>
          <w:tcPr>
            <w:tcW w:w="519" w:type="pct"/>
            <w:tcBorders>
              <w:top w:val="single" w:color="auto" w:sz="4" w:space="0"/>
              <w:left w:val="nil"/>
              <w:bottom w:val="single" w:color="auto" w:sz="4" w:space="0"/>
              <w:right w:val="single" w:color="auto" w:sz="4" w:space="0"/>
            </w:tcBorders>
            <w:noWrap/>
            <w:vAlign w:val="bottom"/>
            <w:hideMark/>
          </w:tcPr>
          <w:p w:rsidRPr="00724A4A" w:rsidR="00724A4A" w:rsidP="006E0EC3" w:rsidRDefault="00724A4A" w14:paraId="357D12E4" w14:textId="77777777">
            <w:pPr>
              <w:spacing w:line="240" w:lineRule="auto"/>
              <w:jc w:val="center"/>
              <w:rPr>
                <w:rFonts w:eastAsia="Times New Roman" w:cs="Calibri"/>
                <w:sz w:val="14"/>
                <w:szCs w:val="14"/>
              </w:rPr>
            </w:pPr>
            <w:r w:rsidRPr="00724A4A">
              <w:rPr>
                <w:rFonts w:eastAsia="Times New Roman" w:cs="Calibri"/>
                <w:sz w:val="14"/>
                <w:szCs w:val="14"/>
              </w:rPr>
              <w:t>Dekkingsgr.</w:t>
            </w:r>
          </w:p>
        </w:tc>
        <w:tc>
          <w:tcPr>
            <w:tcW w:w="411" w:type="pct"/>
            <w:tcBorders>
              <w:top w:val="single" w:color="auto" w:sz="4" w:space="0"/>
              <w:left w:val="nil"/>
              <w:bottom w:val="single" w:color="auto" w:sz="4" w:space="0"/>
              <w:right w:val="single" w:color="auto" w:sz="4" w:space="0"/>
            </w:tcBorders>
            <w:noWrap/>
            <w:vAlign w:val="bottom"/>
            <w:hideMark/>
          </w:tcPr>
          <w:p w:rsidRPr="00724A4A" w:rsidR="00724A4A" w:rsidP="006E0EC3" w:rsidRDefault="00724A4A" w14:paraId="1A4A72B9" w14:textId="77777777">
            <w:pPr>
              <w:spacing w:line="240" w:lineRule="auto"/>
              <w:jc w:val="center"/>
              <w:rPr>
                <w:rFonts w:eastAsia="Times New Roman" w:cs="Calibri"/>
                <w:sz w:val="14"/>
                <w:szCs w:val="14"/>
              </w:rPr>
            </w:pPr>
            <w:r w:rsidRPr="00724A4A">
              <w:rPr>
                <w:rFonts w:eastAsia="Times New Roman" w:cs="Calibri"/>
                <w:sz w:val="14"/>
                <w:szCs w:val="14"/>
              </w:rPr>
              <w:t>Beleidsd.</w:t>
            </w:r>
          </w:p>
        </w:tc>
        <w:tc>
          <w:tcPr>
            <w:tcW w:w="519" w:type="pct"/>
            <w:tcBorders>
              <w:top w:val="single" w:color="auto" w:sz="4" w:space="0"/>
              <w:left w:val="nil"/>
              <w:bottom w:val="single" w:color="auto" w:sz="4" w:space="0"/>
              <w:right w:val="single" w:color="auto" w:sz="4" w:space="0"/>
            </w:tcBorders>
            <w:noWrap/>
            <w:vAlign w:val="bottom"/>
            <w:hideMark/>
          </w:tcPr>
          <w:p w:rsidRPr="00724A4A" w:rsidR="00724A4A" w:rsidP="006E0EC3" w:rsidRDefault="00724A4A" w14:paraId="351FD808" w14:textId="77777777">
            <w:pPr>
              <w:spacing w:line="240" w:lineRule="auto"/>
              <w:jc w:val="center"/>
              <w:rPr>
                <w:rFonts w:eastAsia="Times New Roman" w:cs="Calibri"/>
                <w:sz w:val="14"/>
                <w:szCs w:val="14"/>
              </w:rPr>
            </w:pPr>
            <w:r w:rsidRPr="00724A4A">
              <w:rPr>
                <w:rFonts w:eastAsia="Times New Roman" w:cs="Calibri"/>
                <w:sz w:val="14"/>
                <w:szCs w:val="14"/>
              </w:rPr>
              <w:t>Dekkingsgr.</w:t>
            </w:r>
          </w:p>
        </w:tc>
        <w:tc>
          <w:tcPr>
            <w:tcW w:w="411" w:type="pct"/>
            <w:tcBorders>
              <w:top w:val="single" w:color="auto" w:sz="4" w:space="0"/>
              <w:left w:val="nil"/>
              <w:bottom w:val="single" w:color="auto" w:sz="4" w:space="0"/>
              <w:right w:val="single" w:color="auto" w:sz="4" w:space="0"/>
            </w:tcBorders>
            <w:noWrap/>
            <w:vAlign w:val="bottom"/>
            <w:hideMark/>
          </w:tcPr>
          <w:p w:rsidRPr="00724A4A" w:rsidR="00724A4A" w:rsidP="006E0EC3" w:rsidRDefault="00724A4A" w14:paraId="21AF86EC" w14:textId="77777777">
            <w:pPr>
              <w:spacing w:line="240" w:lineRule="auto"/>
              <w:jc w:val="center"/>
              <w:rPr>
                <w:rFonts w:eastAsia="Times New Roman" w:cs="Calibri"/>
                <w:sz w:val="14"/>
                <w:szCs w:val="14"/>
              </w:rPr>
            </w:pPr>
            <w:r w:rsidRPr="00724A4A">
              <w:rPr>
                <w:rFonts w:eastAsia="Times New Roman" w:cs="Calibri"/>
                <w:sz w:val="14"/>
                <w:szCs w:val="14"/>
              </w:rPr>
              <w:t>Beleidsd.</w:t>
            </w:r>
          </w:p>
        </w:tc>
      </w:tr>
      <w:tr w:rsidRPr="00724A4A" w:rsidR="00724A4A" w:rsidTr="006E0EC3" w14:paraId="7A2E40AC" w14:textId="77777777">
        <w:trPr>
          <w:trHeight w:val="255"/>
        </w:trPr>
        <w:tc>
          <w:tcPr>
            <w:tcW w:w="348"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11FC8AC" w14:textId="77777777">
            <w:pPr>
              <w:spacing w:line="240" w:lineRule="auto"/>
              <w:jc w:val="center"/>
              <w:rPr>
                <w:rFonts w:eastAsia="Times New Roman" w:cs="Calibri"/>
                <w:sz w:val="14"/>
                <w:szCs w:val="14"/>
              </w:rPr>
            </w:pPr>
            <w:r w:rsidRPr="00724A4A">
              <w:rPr>
                <w:rFonts w:eastAsia="Times New Roman" w:cs="Calibri"/>
                <w:sz w:val="14"/>
                <w:szCs w:val="14"/>
              </w:rPr>
              <w:t>2014</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B622136" w14:textId="77777777">
            <w:pPr>
              <w:spacing w:line="240" w:lineRule="auto"/>
              <w:jc w:val="center"/>
              <w:rPr>
                <w:rFonts w:eastAsia="Times New Roman" w:cs="Calibri"/>
                <w:sz w:val="14"/>
                <w:szCs w:val="14"/>
              </w:rPr>
            </w:pPr>
            <w:r w:rsidRPr="00724A4A">
              <w:rPr>
                <w:rFonts w:eastAsia="Times New Roman" w:cs="Calibri"/>
                <w:sz w:val="14"/>
                <w:szCs w:val="14"/>
              </w:rPr>
              <w:t>101,1</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EA0ED55" w14:textId="77777777">
            <w:pPr>
              <w:spacing w:line="240" w:lineRule="auto"/>
              <w:jc w:val="center"/>
              <w:rPr>
                <w:rFonts w:eastAsia="Times New Roman" w:cs="Calibri"/>
                <w:sz w:val="14"/>
                <w:szCs w:val="14"/>
              </w:rPr>
            </w:pPr>
            <w:r w:rsidRPr="00724A4A">
              <w:rPr>
                <w:rFonts w:eastAsia="Times New Roman" w:cs="Calibri"/>
                <w:sz w:val="14"/>
                <w:szCs w:val="14"/>
              </w:rPr>
              <w:t>104,7</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EBDB21D" w14:textId="77777777">
            <w:pPr>
              <w:spacing w:line="240" w:lineRule="auto"/>
              <w:jc w:val="center"/>
              <w:rPr>
                <w:rFonts w:eastAsia="Times New Roman" w:cs="Calibri"/>
                <w:sz w:val="14"/>
                <w:szCs w:val="14"/>
              </w:rPr>
            </w:pPr>
            <w:r w:rsidRPr="00724A4A">
              <w:rPr>
                <w:rFonts w:eastAsia="Times New Roman" w:cs="Calibri"/>
                <w:sz w:val="14"/>
                <w:szCs w:val="14"/>
              </w:rPr>
              <w:t>115,1</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E66F361" w14:textId="77777777">
            <w:pPr>
              <w:spacing w:line="240" w:lineRule="auto"/>
              <w:jc w:val="center"/>
              <w:rPr>
                <w:rFonts w:eastAsia="Times New Roman" w:cs="Calibri"/>
                <w:sz w:val="14"/>
                <w:szCs w:val="14"/>
              </w:rPr>
            </w:pPr>
            <w:r w:rsidRPr="00724A4A">
              <w:rPr>
                <w:rFonts w:eastAsia="Times New Roman" w:cs="Calibri"/>
                <w:sz w:val="14"/>
                <w:szCs w:val="14"/>
              </w:rPr>
              <w:t>115</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E9398D8" w14:textId="77777777">
            <w:pPr>
              <w:spacing w:line="240" w:lineRule="auto"/>
              <w:jc w:val="center"/>
              <w:rPr>
                <w:rFonts w:eastAsia="Times New Roman" w:cs="Calibri"/>
                <w:sz w:val="14"/>
                <w:szCs w:val="14"/>
              </w:rPr>
            </w:pPr>
            <w:r w:rsidRPr="00724A4A">
              <w:rPr>
                <w:rFonts w:eastAsia="Times New Roman" w:cs="Calibri"/>
                <w:sz w:val="14"/>
                <w:szCs w:val="14"/>
              </w:rPr>
              <w:t>101,7</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F5B70AF" w14:textId="77777777">
            <w:pPr>
              <w:spacing w:line="240" w:lineRule="auto"/>
              <w:jc w:val="center"/>
              <w:rPr>
                <w:rFonts w:eastAsia="Times New Roman" w:cs="Calibri"/>
                <w:sz w:val="14"/>
                <w:szCs w:val="14"/>
              </w:rPr>
            </w:pPr>
            <w:r w:rsidRPr="00724A4A">
              <w:rPr>
                <w:rFonts w:eastAsia="Times New Roman" w:cs="Calibri"/>
                <w:sz w:val="14"/>
                <w:szCs w:val="14"/>
              </w:rPr>
              <w:t>104,1</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1FEB7BA" w14:textId="77777777">
            <w:pPr>
              <w:spacing w:line="240" w:lineRule="auto"/>
              <w:jc w:val="center"/>
              <w:rPr>
                <w:rFonts w:eastAsia="Times New Roman" w:cs="Calibri"/>
                <w:sz w:val="14"/>
                <w:szCs w:val="14"/>
              </w:rPr>
            </w:pP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3DB1F5C" w14:textId="77777777">
            <w:pPr>
              <w:spacing w:line="240" w:lineRule="auto"/>
              <w:jc w:val="center"/>
              <w:rPr>
                <w:rFonts w:eastAsia="Times New Roman" w:cs="Times New Roman"/>
                <w:sz w:val="14"/>
                <w:szCs w:val="14"/>
              </w:rPr>
            </w:pP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84EB628" w14:textId="77777777">
            <w:pPr>
              <w:spacing w:line="240" w:lineRule="auto"/>
              <w:jc w:val="center"/>
              <w:rPr>
                <w:rFonts w:eastAsia="Times New Roman" w:cs="Calibri"/>
                <w:sz w:val="14"/>
                <w:szCs w:val="14"/>
              </w:rPr>
            </w:pPr>
            <w:r w:rsidRPr="00724A4A">
              <w:rPr>
                <w:rFonts w:eastAsia="Times New Roman" w:cs="Calibri"/>
                <w:sz w:val="14"/>
                <w:szCs w:val="14"/>
              </w:rPr>
              <w:t>102,2</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EAEFD0A" w14:textId="77777777">
            <w:pPr>
              <w:spacing w:line="240" w:lineRule="auto"/>
              <w:jc w:val="center"/>
              <w:rPr>
                <w:rFonts w:eastAsia="Times New Roman" w:cs="Calibri"/>
                <w:sz w:val="14"/>
                <w:szCs w:val="14"/>
              </w:rPr>
            </w:pPr>
            <w:r w:rsidRPr="00724A4A">
              <w:rPr>
                <w:rFonts w:eastAsia="Times New Roman" w:cs="Calibri"/>
                <w:sz w:val="14"/>
                <w:szCs w:val="14"/>
              </w:rPr>
              <w:t>107,6</w:t>
            </w:r>
          </w:p>
        </w:tc>
      </w:tr>
      <w:tr w:rsidRPr="00724A4A" w:rsidR="00724A4A" w:rsidTr="006E0EC3" w14:paraId="5E833AD7" w14:textId="77777777">
        <w:trPr>
          <w:trHeight w:val="255"/>
        </w:trPr>
        <w:tc>
          <w:tcPr>
            <w:tcW w:w="348"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B73F0BB" w14:textId="77777777">
            <w:pPr>
              <w:spacing w:line="240" w:lineRule="auto"/>
              <w:jc w:val="center"/>
              <w:rPr>
                <w:rFonts w:eastAsia="Times New Roman" w:cs="Calibri"/>
                <w:sz w:val="14"/>
                <w:szCs w:val="14"/>
              </w:rPr>
            </w:pPr>
            <w:r w:rsidRPr="00724A4A">
              <w:rPr>
                <w:rFonts w:eastAsia="Times New Roman" w:cs="Calibri"/>
                <w:sz w:val="14"/>
                <w:szCs w:val="14"/>
              </w:rPr>
              <w:t>2015</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09E725A8" w14:textId="77777777">
            <w:pPr>
              <w:spacing w:line="240" w:lineRule="auto"/>
              <w:jc w:val="center"/>
              <w:rPr>
                <w:rFonts w:eastAsia="Times New Roman" w:cs="Calibri"/>
                <w:sz w:val="14"/>
                <w:szCs w:val="14"/>
              </w:rPr>
            </w:pPr>
            <w:r w:rsidRPr="00724A4A">
              <w:rPr>
                <w:rFonts w:eastAsia="Times New Roman" w:cs="Calibri"/>
                <w:sz w:val="14"/>
                <w:szCs w:val="14"/>
              </w:rPr>
              <w:t>97,2</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039C4AD8" w14:textId="77777777">
            <w:pPr>
              <w:spacing w:line="240" w:lineRule="auto"/>
              <w:jc w:val="center"/>
              <w:rPr>
                <w:rFonts w:eastAsia="Times New Roman" w:cs="Calibri"/>
                <w:sz w:val="14"/>
                <w:szCs w:val="14"/>
              </w:rPr>
            </w:pPr>
            <w:r w:rsidRPr="00724A4A">
              <w:rPr>
                <w:rFonts w:eastAsia="Times New Roman" w:cs="Calibri"/>
                <w:sz w:val="14"/>
                <w:szCs w:val="14"/>
              </w:rPr>
              <w:t>98,7</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DEFE569" w14:textId="77777777">
            <w:pPr>
              <w:spacing w:line="240" w:lineRule="auto"/>
              <w:jc w:val="center"/>
              <w:rPr>
                <w:rFonts w:eastAsia="Times New Roman" w:cs="Calibri"/>
                <w:sz w:val="14"/>
                <w:szCs w:val="14"/>
              </w:rPr>
            </w:pPr>
            <w:r w:rsidRPr="00724A4A">
              <w:rPr>
                <w:rFonts w:eastAsia="Times New Roman" w:cs="Calibri"/>
                <w:sz w:val="14"/>
                <w:szCs w:val="14"/>
              </w:rPr>
              <w:t>108,7</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740B5AE" w14:textId="77777777">
            <w:pPr>
              <w:spacing w:line="240" w:lineRule="auto"/>
              <w:jc w:val="center"/>
              <w:rPr>
                <w:rFonts w:eastAsia="Times New Roman" w:cs="Calibri"/>
                <w:sz w:val="14"/>
                <w:szCs w:val="14"/>
              </w:rPr>
            </w:pPr>
            <w:r w:rsidRPr="00724A4A">
              <w:rPr>
                <w:rFonts w:eastAsia="Times New Roman" w:cs="Calibri"/>
                <w:sz w:val="14"/>
                <w:szCs w:val="14"/>
              </w:rPr>
              <w:t>110,9</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8868118" w14:textId="77777777">
            <w:pPr>
              <w:spacing w:line="240" w:lineRule="auto"/>
              <w:jc w:val="center"/>
              <w:rPr>
                <w:rFonts w:eastAsia="Times New Roman" w:cs="Calibri"/>
                <w:sz w:val="14"/>
                <w:szCs w:val="14"/>
              </w:rPr>
            </w:pPr>
            <w:r w:rsidRPr="00724A4A">
              <w:rPr>
                <w:rFonts w:eastAsia="Times New Roman" w:cs="Calibri"/>
                <w:sz w:val="14"/>
                <w:szCs w:val="14"/>
              </w:rPr>
              <w:t>96,1</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4B1347FD" w14:textId="77777777">
            <w:pPr>
              <w:spacing w:line="240" w:lineRule="auto"/>
              <w:jc w:val="center"/>
              <w:rPr>
                <w:rFonts w:eastAsia="Times New Roman" w:cs="Calibri"/>
                <w:sz w:val="14"/>
                <w:szCs w:val="14"/>
              </w:rPr>
            </w:pPr>
            <w:r w:rsidRPr="00724A4A">
              <w:rPr>
                <w:rFonts w:eastAsia="Times New Roman" w:cs="Calibri"/>
                <w:sz w:val="14"/>
                <w:szCs w:val="14"/>
              </w:rPr>
              <w:t>97,6</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DBD9FAF" w14:textId="77777777">
            <w:pPr>
              <w:spacing w:line="240" w:lineRule="auto"/>
              <w:jc w:val="center"/>
              <w:rPr>
                <w:rFonts w:eastAsia="Times New Roman" w:cs="Calibri"/>
                <w:sz w:val="14"/>
                <w:szCs w:val="14"/>
              </w:rPr>
            </w:pPr>
            <w:r w:rsidRPr="00724A4A">
              <w:rPr>
                <w:rFonts w:eastAsia="Times New Roman" w:cs="Calibri"/>
                <w:sz w:val="14"/>
                <w:szCs w:val="14"/>
              </w:rPr>
              <w:t>98,5</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EA3D032" w14:textId="77777777">
            <w:pPr>
              <w:spacing w:line="240" w:lineRule="auto"/>
              <w:jc w:val="center"/>
              <w:rPr>
                <w:rFonts w:eastAsia="Times New Roman" w:cs="Calibri"/>
                <w:sz w:val="14"/>
                <w:szCs w:val="14"/>
              </w:rPr>
            </w:pPr>
            <w:r w:rsidRPr="00724A4A">
              <w:rPr>
                <w:rFonts w:eastAsia="Times New Roman" w:cs="Calibri"/>
                <w:sz w:val="14"/>
                <w:szCs w:val="14"/>
              </w:rPr>
              <w:t>98,5</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D76DCEA" w14:textId="77777777">
            <w:pPr>
              <w:spacing w:line="240" w:lineRule="auto"/>
              <w:jc w:val="center"/>
              <w:rPr>
                <w:rFonts w:eastAsia="Times New Roman" w:cs="Calibri"/>
                <w:sz w:val="14"/>
                <w:szCs w:val="14"/>
              </w:rPr>
            </w:pPr>
            <w:r w:rsidRPr="00724A4A">
              <w:rPr>
                <w:rFonts w:eastAsia="Times New Roman" w:cs="Calibri"/>
                <w:sz w:val="14"/>
                <w:szCs w:val="14"/>
              </w:rPr>
              <w:t>95,1</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405D32D" w14:textId="77777777">
            <w:pPr>
              <w:spacing w:line="240" w:lineRule="auto"/>
              <w:jc w:val="center"/>
              <w:rPr>
                <w:rFonts w:eastAsia="Times New Roman" w:cs="Calibri"/>
                <w:sz w:val="14"/>
                <w:szCs w:val="14"/>
              </w:rPr>
            </w:pPr>
            <w:r w:rsidRPr="00724A4A">
              <w:rPr>
                <w:rFonts w:eastAsia="Times New Roman" w:cs="Calibri"/>
                <w:sz w:val="14"/>
                <w:szCs w:val="14"/>
              </w:rPr>
              <w:t>97,1</w:t>
            </w:r>
          </w:p>
        </w:tc>
      </w:tr>
      <w:tr w:rsidRPr="00724A4A" w:rsidR="00724A4A" w:rsidTr="006E0EC3" w14:paraId="409AE1CE" w14:textId="77777777">
        <w:trPr>
          <w:trHeight w:val="255"/>
        </w:trPr>
        <w:tc>
          <w:tcPr>
            <w:tcW w:w="348"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B752D9C" w14:textId="77777777">
            <w:pPr>
              <w:spacing w:line="240" w:lineRule="auto"/>
              <w:jc w:val="center"/>
              <w:rPr>
                <w:rFonts w:eastAsia="Times New Roman" w:cs="Calibri"/>
                <w:sz w:val="14"/>
                <w:szCs w:val="14"/>
              </w:rPr>
            </w:pPr>
            <w:r w:rsidRPr="00724A4A">
              <w:rPr>
                <w:rFonts w:eastAsia="Times New Roman" w:cs="Calibri"/>
                <w:sz w:val="14"/>
                <w:szCs w:val="14"/>
              </w:rPr>
              <w:t>2016</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09639BE8" w14:textId="77777777">
            <w:pPr>
              <w:spacing w:line="240" w:lineRule="auto"/>
              <w:jc w:val="center"/>
              <w:rPr>
                <w:rFonts w:eastAsia="Times New Roman" w:cs="Calibri"/>
                <w:sz w:val="14"/>
                <w:szCs w:val="14"/>
              </w:rPr>
            </w:pPr>
            <w:r w:rsidRPr="00724A4A">
              <w:rPr>
                <w:rFonts w:eastAsia="Times New Roman" w:cs="Calibri"/>
                <w:sz w:val="14"/>
                <w:szCs w:val="14"/>
              </w:rPr>
              <w:t>96,7</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4D60CBDA" w14:textId="77777777">
            <w:pPr>
              <w:spacing w:line="240" w:lineRule="auto"/>
              <w:jc w:val="center"/>
              <w:rPr>
                <w:rFonts w:eastAsia="Times New Roman" w:cs="Calibri"/>
                <w:sz w:val="14"/>
                <w:szCs w:val="14"/>
              </w:rPr>
            </w:pPr>
            <w:r w:rsidRPr="00724A4A">
              <w:rPr>
                <w:rFonts w:eastAsia="Times New Roman" w:cs="Calibri"/>
                <w:sz w:val="14"/>
                <w:szCs w:val="14"/>
              </w:rPr>
              <w:t>91,7</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579495B" w14:textId="77777777">
            <w:pPr>
              <w:spacing w:line="240" w:lineRule="auto"/>
              <w:jc w:val="center"/>
              <w:rPr>
                <w:rFonts w:eastAsia="Times New Roman" w:cs="Calibri"/>
                <w:sz w:val="14"/>
                <w:szCs w:val="14"/>
              </w:rPr>
            </w:pPr>
            <w:r w:rsidRPr="00724A4A">
              <w:rPr>
                <w:rFonts w:eastAsia="Times New Roman" w:cs="Calibri"/>
                <w:sz w:val="14"/>
                <w:szCs w:val="14"/>
              </w:rPr>
              <w:t>110,5</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8FFF5C2" w14:textId="77777777">
            <w:pPr>
              <w:spacing w:line="240" w:lineRule="auto"/>
              <w:jc w:val="center"/>
              <w:rPr>
                <w:rFonts w:eastAsia="Times New Roman" w:cs="Calibri"/>
                <w:sz w:val="14"/>
                <w:szCs w:val="14"/>
              </w:rPr>
            </w:pPr>
            <w:r w:rsidRPr="00724A4A">
              <w:rPr>
                <w:rFonts w:eastAsia="Times New Roman" w:cs="Calibri"/>
                <w:sz w:val="14"/>
                <w:szCs w:val="14"/>
              </w:rPr>
              <w:t>105,4</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E83FB2D" w14:textId="77777777">
            <w:pPr>
              <w:spacing w:line="240" w:lineRule="auto"/>
              <w:jc w:val="center"/>
              <w:rPr>
                <w:rFonts w:eastAsia="Times New Roman" w:cs="Calibri"/>
                <w:sz w:val="14"/>
                <w:szCs w:val="14"/>
              </w:rPr>
            </w:pPr>
            <w:r w:rsidRPr="00724A4A">
              <w:rPr>
                <w:rFonts w:eastAsia="Times New Roman" w:cs="Calibri"/>
                <w:sz w:val="14"/>
                <w:szCs w:val="14"/>
              </w:rPr>
              <w:t>96,2</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847D62C" w14:textId="77777777">
            <w:pPr>
              <w:spacing w:line="240" w:lineRule="auto"/>
              <w:jc w:val="center"/>
              <w:rPr>
                <w:rFonts w:eastAsia="Times New Roman" w:cs="Calibri"/>
                <w:sz w:val="14"/>
                <w:szCs w:val="14"/>
              </w:rPr>
            </w:pPr>
            <w:r w:rsidRPr="00724A4A">
              <w:rPr>
                <w:rFonts w:eastAsia="Times New Roman" w:cs="Calibri"/>
                <w:sz w:val="14"/>
                <w:szCs w:val="14"/>
              </w:rPr>
              <w:t>91,8</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6F0343F" w14:textId="77777777">
            <w:pPr>
              <w:spacing w:line="240" w:lineRule="auto"/>
              <w:jc w:val="center"/>
              <w:rPr>
                <w:rFonts w:eastAsia="Times New Roman" w:cs="Calibri"/>
                <w:sz w:val="14"/>
                <w:szCs w:val="14"/>
              </w:rPr>
            </w:pPr>
            <w:r w:rsidRPr="00724A4A">
              <w:rPr>
                <w:rFonts w:eastAsia="Times New Roman" w:cs="Calibri"/>
                <w:sz w:val="14"/>
                <w:szCs w:val="14"/>
              </w:rPr>
              <w:t>98,5</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8111BB1" w14:textId="77777777">
            <w:pPr>
              <w:spacing w:line="240" w:lineRule="auto"/>
              <w:jc w:val="center"/>
              <w:rPr>
                <w:rFonts w:eastAsia="Times New Roman" w:cs="Calibri"/>
                <w:sz w:val="14"/>
                <w:szCs w:val="14"/>
              </w:rPr>
            </w:pPr>
            <w:r w:rsidRPr="00724A4A">
              <w:rPr>
                <w:rFonts w:eastAsia="Times New Roman" w:cs="Calibri"/>
                <w:sz w:val="14"/>
                <w:szCs w:val="14"/>
              </w:rPr>
              <w:t>92,8</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73604817" w14:textId="77777777">
            <w:pPr>
              <w:spacing w:line="240" w:lineRule="auto"/>
              <w:jc w:val="center"/>
              <w:rPr>
                <w:rFonts w:eastAsia="Times New Roman" w:cs="Calibri"/>
                <w:sz w:val="14"/>
                <w:szCs w:val="14"/>
              </w:rPr>
            </w:pPr>
            <w:r w:rsidRPr="00724A4A">
              <w:rPr>
                <w:rFonts w:eastAsia="Times New Roman" w:cs="Calibri"/>
                <w:sz w:val="14"/>
                <w:szCs w:val="14"/>
              </w:rPr>
              <w:t>95,3</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4FBA7EAF" w14:textId="77777777">
            <w:pPr>
              <w:spacing w:line="240" w:lineRule="auto"/>
              <w:jc w:val="center"/>
              <w:rPr>
                <w:rFonts w:eastAsia="Times New Roman" w:cs="Calibri"/>
                <w:sz w:val="14"/>
                <w:szCs w:val="14"/>
              </w:rPr>
            </w:pPr>
            <w:r w:rsidRPr="00724A4A">
              <w:rPr>
                <w:rFonts w:eastAsia="Times New Roman" w:cs="Calibri"/>
                <w:sz w:val="14"/>
                <w:szCs w:val="14"/>
              </w:rPr>
              <w:t>90,1</w:t>
            </w:r>
          </w:p>
        </w:tc>
      </w:tr>
      <w:tr w:rsidRPr="00724A4A" w:rsidR="00724A4A" w:rsidTr="006E0EC3" w14:paraId="004934D2" w14:textId="77777777">
        <w:trPr>
          <w:trHeight w:val="255"/>
        </w:trPr>
        <w:tc>
          <w:tcPr>
            <w:tcW w:w="348"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0D57AB3" w14:textId="77777777">
            <w:pPr>
              <w:spacing w:line="240" w:lineRule="auto"/>
              <w:jc w:val="center"/>
              <w:rPr>
                <w:rFonts w:eastAsia="Times New Roman" w:cs="Calibri"/>
                <w:sz w:val="14"/>
                <w:szCs w:val="14"/>
              </w:rPr>
            </w:pPr>
            <w:r w:rsidRPr="00724A4A">
              <w:rPr>
                <w:rFonts w:eastAsia="Times New Roman" w:cs="Calibri"/>
                <w:sz w:val="14"/>
                <w:szCs w:val="14"/>
              </w:rPr>
              <w:t>2017</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8D0D6DA" w14:textId="77777777">
            <w:pPr>
              <w:spacing w:line="240" w:lineRule="auto"/>
              <w:jc w:val="center"/>
              <w:rPr>
                <w:rFonts w:eastAsia="Times New Roman" w:cs="Calibri"/>
                <w:sz w:val="14"/>
                <w:szCs w:val="14"/>
              </w:rPr>
            </w:pPr>
            <w:r w:rsidRPr="00724A4A">
              <w:rPr>
                <w:rFonts w:eastAsia="Times New Roman" w:cs="Calibri"/>
                <w:sz w:val="14"/>
                <w:szCs w:val="14"/>
              </w:rPr>
              <w:t>104,4</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ECF6162" w14:textId="77777777">
            <w:pPr>
              <w:spacing w:line="240" w:lineRule="auto"/>
              <w:jc w:val="center"/>
              <w:rPr>
                <w:rFonts w:eastAsia="Times New Roman" w:cs="Calibri"/>
                <w:sz w:val="14"/>
                <w:szCs w:val="14"/>
              </w:rPr>
            </w:pPr>
            <w:r w:rsidRPr="00724A4A">
              <w:rPr>
                <w:rFonts w:eastAsia="Times New Roman" w:cs="Calibri"/>
                <w:sz w:val="14"/>
                <w:szCs w:val="14"/>
              </w:rPr>
              <w:t>101,5</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4D7AD90" w14:textId="77777777">
            <w:pPr>
              <w:spacing w:line="240" w:lineRule="auto"/>
              <w:jc w:val="center"/>
              <w:rPr>
                <w:rFonts w:eastAsia="Times New Roman" w:cs="Calibri"/>
                <w:sz w:val="14"/>
                <w:szCs w:val="14"/>
              </w:rPr>
            </w:pPr>
            <w:r w:rsidRPr="00724A4A">
              <w:rPr>
                <w:rFonts w:eastAsia="Times New Roman" w:cs="Calibri"/>
                <w:sz w:val="14"/>
                <w:szCs w:val="14"/>
              </w:rPr>
              <w:t>118,1</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412A59A9" w14:textId="77777777">
            <w:pPr>
              <w:spacing w:line="240" w:lineRule="auto"/>
              <w:jc w:val="center"/>
              <w:rPr>
                <w:rFonts w:eastAsia="Times New Roman" w:cs="Calibri"/>
                <w:sz w:val="14"/>
                <w:szCs w:val="14"/>
              </w:rPr>
            </w:pPr>
            <w:r w:rsidRPr="00724A4A">
              <w:rPr>
                <w:rFonts w:eastAsia="Times New Roman" w:cs="Calibri"/>
                <w:sz w:val="14"/>
                <w:szCs w:val="14"/>
              </w:rPr>
              <w:t>115,2</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0BE74E6" w14:textId="77777777">
            <w:pPr>
              <w:spacing w:line="240" w:lineRule="auto"/>
              <w:jc w:val="center"/>
              <w:rPr>
                <w:rFonts w:eastAsia="Times New Roman" w:cs="Calibri"/>
                <w:sz w:val="14"/>
                <w:szCs w:val="14"/>
              </w:rPr>
            </w:pPr>
            <w:r w:rsidRPr="00724A4A">
              <w:rPr>
                <w:rFonts w:eastAsia="Times New Roman" w:cs="Calibri"/>
                <w:sz w:val="14"/>
                <w:szCs w:val="14"/>
              </w:rPr>
              <w:t>101,6</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7597607C" w14:textId="77777777">
            <w:pPr>
              <w:spacing w:line="240" w:lineRule="auto"/>
              <w:jc w:val="center"/>
              <w:rPr>
                <w:rFonts w:eastAsia="Times New Roman" w:cs="Calibri"/>
                <w:sz w:val="14"/>
                <w:szCs w:val="14"/>
              </w:rPr>
            </w:pPr>
            <w:r w:rsidRPr="00724A4A">
              <w:rPr>
                <w:rFonts w:eastAsia="Times New Roman" w:cs="Calibri"/>
                <w:sz w:val="14"/>
                <w:szCs w:val="14"/>
              </w:rPr>
              <w:t>100,1</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4B5D7972" w14:textId="77777777">
            <w:pPr>
              <w:spacing w:line="240" w:lineRule="auto"/>
              <w:jc w:val="center"/>
              <w:rPr>
                <w:rFonts w:eastAsia="Times New Roman" w:cs="Calibri"/>
                <w:sz w:val="14"/>
                <w:szCs w:val="14"/>
              </w:rPr>
            </w:pPr>
            <w:r w:rsidRPr="00724A4A">
              <w:rPr>
                <w:rFonts w:eastAsia="Times New Roman" w:cs="Calibri"/>
                <w:sz w:val="14"/>
                <w:szCs w:val="14"/>
              </w:rPr>
              <w:t>102,2</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C08E2C1" w14:textId="77777777">
            <w:pPr>
              <w:spacing w:line="240" w:lineRule="auto"/>
              <w:jc w:val="center"/>
              <w:rPr>
                <w:rFonts w:eastAsia="Times New Roman" w:cs="Calibri"/>
                <w:sz w:val="14"/>
                <w:szCs w:val="14"/>
              </w:rPr>
            </w:pPr>
            <w:r w:rsidRPr="00724A4A">
              <w:rPr>
                <w:rFonts w:eastAsia="Times New Roman" w:cs="Calibri"/>
                <w:sz w:val="14"/>
                <w:szCs w:val="14"/>
              </w:rPr>
              <w:t>100,6</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BEFE5DF" w14:textId="77777777">
            <w:pPr>
              <w:spacing w:line="240" w:lineRule="auto"/>
              <w:jc w:val="center"/>
              <w:rPr>
                <w:rFonts w:eastAsia="Times New Roman" w:cs="Calibri"/>
                <w:sz w:val="14"/>
                <w:szCs w:val="14"/>
              </w:rPr>
            </w:pPr>
            <w:r w:rsidRPr="00724A4A">
              <w:rPr>
                <w:rFonts w:eastAsia="Times New Roman" w:cs="Calibri"/>
                <w:sz w:val="14"/>
                <w:szCs w:val="14"/>
              </w:rPr>
              <w:t>101,1</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D527B19" w14:textId="77777777">
            <w:pPr>
              <w:spacing w:line="240" w:lineRule="auto"/>
              <w:jc w:val="center"/>
              <w:rPr>
                <w:rFonts w:eastAsia="Times New Roman" w:cs="Calibri"/>
                <w:sz w:val="14"/>
                <w:szCs w:val="14"/>
              </w:rPr>
            </w:pPr>
            <w:r w:rsidRPr="00724A4A">
              <w:rPr>
                <w:rFonts w:eastAsia="Times New Roman" w:cs="Calibri"/>
                <w:sz w:val="14"/>
                <w:szCs w:val="14"/>
              </w:rPr>
              <w:t>98,6</w:t>
            </w:r>
          </w:p>
        </w:tc>
      </w:tr>
      <w:tr w:rsidRPr="00724A4A" w:rsidR="00724A4A" w:rsidTr="006E0EC3" w14:paraId="161C53C7" w14:textId="77777777">
        <w:trPr>
          <w:trHeight w:val="255"/>
        </w:trPr>
        <w:tc>
          <w:tcPr>
            <w:tcW w:w="348"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37BFB63" w14:textId="77777777">
            <w:pPr>
              <w:spacing w:line="240" w:lineRule="auto"/>
              <w:jc w:val="center"/>
              <w:rPr>
                <w:rFonts w:eastAsia="Times New Roman" w:cs="Calibri"/>
                <w:sz w:val="14"/>
                <w:szCs w:val="14"/>
              </w:rPr>
            </w:pPr>
            <w:r w:rsidRPr="00724A4A">
              <w:rPr>
                <w:rFonts w:eastAsia="Times New Roman" w:cs="Calibri"/>
                <w:sz w:val="14"/>
                <w:szCs w:val="14"/>
              </w:rPr>
              <w:t>2018</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667C70E" w14:textId="77777777">
            <w:pPr>
              <w:spacing w:line="240" w:lineRule="auto"/>
              <w:jc w:val="center"/>
              <w:rPr>
                <w:rFonts w:eastAsia="Times New Roman" w:cs="Calibri"/>
                <w:sz w:val="14"/>
                <w:szCs w:val="14"/>
              </w:rPr>
            </w:pPr>
            <w:r w:rsidRPr="00724A4A">
              <w:rPr>
                <w:rFonts w:eastAsia="Times New Roman" w:cs="Calibri"/>
                <w:sz w:val="14"/>
                <w:szCs w:val="14"/>
              </w:rPr>
              <w:t>97,1</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64C2DE0" w14:textId="77777777">
            <w:pPr>
              <w:spacing w:line="240" w:lineRule="auto"/>
              <w:jc w:val="center"/>
              <w:rPr>
                <w:rFonts w:eastAsia="Times New Roman" w:cs="Calibri"/>
                <w:sz w:val="14"/>
                <w:szCs w:val="14"/>
              </w:rPr>
            </w:pPr>
            <w:r w:rsidRPr="00724A4A">
              <w:rPr>
                <w:rFonts w:eastAsia="Times New Roman" w:cs="Calibri"/>
                <w:sz w:val="14"/>
                <w:szCs w:val="14"/>
              </w:rPr>
              <w:t>103,8</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388A27A" w14:textId="77777777">
            <w:pPr>
              <w:spacing w:line="240" w:lineRule="auto"/>
              <w:jc w:val="center"/>
              <w:rPr>
                <w:rFonts w:eastAsia="Times New Roman" w:cs="Calibri"/>
                <w:sz w:val="14"/>
                <w:szCs w:val="14"/>
              </w:rPr>
            </w:pPr>
            <w:r w:rsidRPr="00724A4A">
              <w:rPr>
                <w:rFonts w:eastAsia="Times New Roman" w:cs="Calibri"/>
                <w:sz w:val="14"/>
                <w:szCs w:val="14"/>
              </w:rPr>
              <w:t>113,9</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BCE05E7" w14:textId="77777777">
            <w:pPr>
              <w:spacing w:line="240" w:lineRule="auto"/>
              <w:jc w:val="center"/>
              <w:rPr>
                <w:rFonts w:eastAsia="Times New Roman" w:cs="Calibri"/>
                <w:sz w:val="14"/>
                <w:szCs w:val="14"/>
              </w:rPr>
            </w:pPr>
            <w:r w:rsidRPr="00724A4A">
              <w:rPr>
                <w:rFonts w:eastAsia="Times New Roman" w:cs="Calibri"/>
                <w:sz w:val="14"/>
                <w:szCs w:val="14"/>
              </w:rPr>
              <w:t>118,3</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9C531C0" w14:textId="77777777">
            <w:pPr>
              <w:spacing w:line="240" w:lineRule="auto"/>
              <w:jc w:val="center"/>
              <w:rPr>
                <w:rFonts w:eastAsia="Times New Roman" w:cs="Calibri"/>
                <w:sz w:val="14"/>
                <w:szCs w:val="14"/>
              </w:rPr>
            </w:pPr>
            <w:r w:rsidRPr="00724A4A">
              <w:rPr>
                <w:rFonts w:eastAsia="Times New Roman" w:cs="Calibri"/>
                <w:sz w:val="14"/>
                <w:szCs w:val="14"/>
              </w:rPr>
              <w:t>97,7</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4D1293DA" w14:textId="77777777">
            <w:pPr>
              <w:spacing w:line="240" w:lineRule="auto"/>
              <w:jc w:val="center"/>
              <w:rPr>
                <w:rFonts w:eastAsia="Times New Roman" w:cs="Calibri"/>
                <w:sz w:val="14"/>
                <w:szCs w:val="14"/>
              </w:rPr>
            </w:pPr>
            <w:r w:rsidRPr="00724A4A">
              <w:rPr>
                <w:rFonts w:eastAsia="Times New Roman" w:cs="Calibri"/>
                <w:sz w:val="14"/>
                <w:szCs w:val="14"/>
              </w:rPr>
              <w:t>101,3</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CBEEAC2" w14:textId="77777777">
            <w:pPr>
              <w:spacing w:line="240" w:lineRule="auto"/>
              <w:jc w:val="center"/>
              <w:rPr>
                <w:rFonts w:eastAsia="Times New Roman" w:cs="Calibri"/>
                <w:sz w:val="14"/>
                <w:szCs w:val="14"/>
              </w:rPr>
            </w:pPr>
            <w:r w:rsidRPr="00724A4A">
              <w:rPr>
                <w:rFonts w:eastAsia="Times New Roman" w:cs="Calibri"/>
                <w:sz w:val="14"/>
                <w:szCs w:val="14"/>
              </w:rPr>
              <w:t>99,4</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3410924" w14:textId="77777777">
            <w:pPr>
              <w:spacing w:line="240" w:lineRule="auto"/>
              <w:jc w:val="center"/>
              <w:rPr>
                <w:rFonts w:eastAsia="Times New Roman" w:cs="Calibri"/>
                <w:sz w:val="14"/>
                <w:szCs w:val="14"/>
              </w:rPr>
            </w:pPr>
            <w:r w:rsidRPr="00724A4A">
              <w:rPr>
                <w:rFonts w:eastAsia="Times New Roman" w:cs="Calibri"/>
                <w:sz w:val="14"/>
                <w:szCs w:val="14"/>
              </w:rPr>
              <w:t>102,3</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1087CCD" w14:textId="77777777">
            <w:pPr>
              <w:spacing w:line="240" w:lineRule="auto"/>
              <w:jc w:val="center"/>
              <w:rPr>
                <w:rFonts w:eastAsia="Times New Roman" w:cs="Calibri"/>
                <w:sz w:val="14"/>
                <w:szCs w:val="14"/>
              </w:rPr>
            </w:pPr>
            <w:r w:rsidRPr="00724A4A">
              <w:rPr>
                <w:rFonts w:eastAsia="Times New Roman" w:cs="Calibri"/>
                <w:sz w:val="14"/>
                <w:szCs w:val="14"/>
              </w:rPr>
              <w:t>97,5</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0DA88C55" w14:textId="77777777">
            <w:pPr>
              <w:spacing w:line="240" w:lineRule="auto"/>
              <w:jc w:val="center"/>
              <w:rPr>
                <w:rFonts w:eastAsia="Times New Roman" w:cs="Calibri"/>
                <w:sz w:val="14"/>
                <w:szCs w:val="14"/>
              </w:rPr>
            </w:pPr>
            <w:r w:rsidRPr="00724A4A">
              <w:rPr>
                <w:rFonts w:eastAsia="Times New Roman" w:cs="Calibri"/>
                <w:sz w:val="14"/>
                <w:szCs w:val="14"/>
              </w:rPr>
              <w:t>101,3</w:t>
            </w:r>
          </w:p>
        </w:tc>
      </w:tr>
      <w:tr w:rsidRPr="00724A4A" w:rsidR="00724A4A" w:rsidTr="006E0EC3" w14:paraId="6C6E052E" w14:textId="77777777">
        <w:trPr>
          <w:trHeight w:val="255"/>
        </w:trPr>
        <w:tc>
          <w:tcPr>
            <w:tcW w:w="348"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7C6A3ED" w14:textId="77777777">
            <w:pPr>
              <w:spacing w:line="240" w:lineRule="auto"/>
              <w:jc w:val="center"/>
              <w:rPr>
                <w:rFonts w:eastAsia="Times New Roman" w:cs="Calibri"/>
                <w:sz w:val="14"/>
                <w:szCs w:val="14"/>
              </w:rPr>
            </w:pPr>
            <w:r w:rsidRPr="00724A4A">
              <w:rPr>
                <w:rFonts w:eastAsia="Times New Roman" w:cs="Calibri"/>
                <w:sz w:val="14"/>
                <w:szCs w:val="14"/>
              </w:rPr>
              <w:t>2019</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7A8BA27F" w14:textId="77777777">
            <w:pPr>
              <w:spacing w:line="240" w:lineRule="auto"/>
              <w:jc w:val="center"/>
              <w:rPr>
                <w:rFonts w:eastAsia="Times New Roman" w:cs="Calibri"/>
                <w:sz w:val="14"/>
                <w:szCs w:val="14"/>
              </w:rPr>
            </w:pPr>
            <w:r w:rsidRPr="00724A4A">
              <w:rPr>
                <w:rFonts w:eastAsia="Times New Roman" w:cs="Calibri"/>
                <w:sz w:val="14"/>
                <w:szCs w:val="14"/>
              </w:rPr>
              <w:t>97,8</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9E5D573" w14:textId="77777777">
            <w:pPr>
              <w:spacing w:line="240" w:lineRule="auto"/>
              <w:jc w:val="center"/>
              <w:rPr>
                <w:rFonts w:eastAsia="Times New Roman" w:cs="Calibri"/>
                <w:sz w:val="14"/>
                <w:szCs w:val="14"/>
              </w:rPr>
            </w:pPr>
            <w:r w:rsidRPr="00724A4A">
              <w:rPr>
                <w:rFonts w:eastAsia="Times New Roman" w:cs="Calibri"/>
                <w:sz w:val="14"/>
                <w:szCs w:val="14"/>
              </w:rPr>
              <w:t>95,8</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13A8B98" w14:textId="77777777">
            <w:pPr>
              <w:spacing w:line="240" w:lineRule="auto"/>
              <w:jc w:val="center"/>
              <w:rPr>
                <w:rFonts w:eastAsia="Times New Roman" w:cs="Calibri"/>
                <w:sz w:val="14"/>
                <w:szCs w:val="14"/>
              </w:rPr>
            </w:pPr>
            <w:r w:rsidRPr="00724A4A">
              <w:rPr>
                <w:rFonts w:eastAsia="Times New Roman" w:cs="Calibri"/>
                <w:sz w:val="14"/>
                <w:szCs w:val="14"/>
              </w:rPr>
              <w:t>114,4</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E0A38DD" w14:textId="77777777">
            <w:pPr>
              <w:spacing w:line="240" w:lineRule="auto"/>
              <w:jc w:val="center"/>
              <w:rPr>
                <w:rFonts w:eastAsia="Times New Roman" w:cs="Calibri"/>
                <w:sz w:val="14"/>
                <w:szCs w:val="14"/>
              </w:rPr>
            </w:pPr>
            <w:r w:rsidRPr="00724A4A">
              <w:rPr>
                <w:rFonts w:eastAsia="Times New Roman" w:cs="Calibri"/>
                <w:sz w:val="14"/>
                <w:szCs w:val="14"/>
              </w:rPr>
              <w:t>112,4</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09342651" w14:textId="77777777">
            <w:pPr>
              <w:spacing w:line="240" w:lineRule="auto"/>
              <w:jc w:val="center"/>
              <w:rPr>
                <w:rFonts w:eastAsia="Times New Roman" w:cs="Calibri"/>
                <w:sz w:val="14"/>
                <w:szCs w:val="14"/>
              </w:rPr>
            </w:pPr>
            <w:r w:rsidRPr="00724A4A">
              <w:rPr>
                <w:rFonts w:eastAsia="Times New Roman" w:cs="Calibri"/>
                <w:sz w:val="14"/>
                <w:szCs w:val="14"/>
              </w:rPr>
              <w:t>98,9</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0AEB576" w14:textId="77777777">
            <w:pPr>
              <w:spacing w:line="240" w:lineRule="auto"/>
              <w:jc w:val="center"/>
              <w:rPr>
                <w:rFonts w:eastAsia="Times New Roman" w:cs="Calibri"/>
                <w:sz w:val="14"/>
                <w:szCs w:val="14"/>
              </w:rPr>
            </w:pPr>
            <w:r w:rsidRPr="00724A4A">
              <w:rPr>
                <w:rFonts w:eastAsia="Times New Roman" w:cs="Calibri"/>
                <w:sz w:val="14"/>
                <w:szCs w:val="14"/>
              </w:rPr>
              <w:t>96,9</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9744702" w14:textId="77777777">
            <w:pPr>
              <w:spacing w:line="240" w:lineRule="auto"/>
              <w:jc w:val="center"/>
              <w:rPr>
                <w:rFonts w:eastAsia="Times New Roman" w:cs="Calibri"/>
                <w:sz w:val="14"/>
                <w:szCs w:val="14"/>
              </w:rPr>
            </w:pPr>
            <w:r w:rsidRPr="00724A4A">
              <w:rPr>
                <w:rFonts w:eastAsia="Times New Roman" w:cs="Calibri"/>
                <w:sz w:val="14"/>
                <w:szCs w:val="14"/>
              </w:rPr>
              <w:t>99,1</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CD4FB15" w14:textId="77777777">
            <w:pPr>
              <w:spacing w:line="240" w:lineRule="auto"/>
              <w:jc w:val="center"/>
              <w:rPr>
                <w:rFonts w:eastAsia="Times New Roman" w:cs="Calibri"/>
                <w:sz w:val="14"/>
                <w:szCs w:val="14"/>
              </w:rPr>
            </w:pPr>
            <w:r w:rsidRPr="00724A4A">
              <w:rPr>
                <w:rFonts w:eastAsia="Times New Roman" w:cs="Calibri"/>
                <w:sz w:val="14"/>
                <w:szCs w:val="14"/>
              </w:rPr>
              <w:t>97,6</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1B128EC" w14:textId="77777777">
            <w:pPr>
              <w:spacing w:line="240" w:lineRule="auto"/>
              <w:jc w:val="center"/>
              <w:rPr>
                <w:rFonts w:eastAsia="Times New Roman" w:cs="Calibri"/>
                <w:sz w:val="14"/>
                <w:szCs w:val="14"/>
              </w:rPr>
            </w:pPr>
            <w:r w:rsidRPr="00724A4A">
              <w:rPr>
                <w:rFonts w:eastAsia="Times New Roman" w:cs="Calibri"/>
                <w:sz w:val="14"/>
                <w:szCs w:val="14"/>
              </w:rPr>
              <w:t>99,2</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47BCCD7" w14:textId="77777777">
            <w:pPr>
              <w:spacing w:line="240" w:lineRule="auto"/>
              <w:jc w:val="center"/>
              <w:rPr>
                <w:rFonts w:eastAsia="Times New Roman" w:cs="Calibri"/>
                <w:sz w:val="14"/>
                <w:szCs w:val="14"/>
              </w:rPr>
            </w:pPr>
            <w:r w:rsidRPr="00724A4A">
              <w:rPr>
                <w:rFonts w:eastAsia="Times New Roman" w:cs="Calibri"/>
                <w:sz w:val="14"/>
                <w:szCs w:val="14"/>
              </w:rPr>
              <w:t>96,5</w:t>
            </w:r>
          </w:p>
        </w:tc>
      </w:tr>
      <w:tr w:rsidRPr="00724A4A" w:rsidR="00724A4A" w:rsidTr="006E0EC3" w14:paraId="6C3A3EEF" w14:textId="77777777">
        <w:trPr>
          <w:trHeight w:val="255"/>
        </w:trPr>
        <w:tc>
          <w:tcPr>
            <w:tcW w:w="348"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3C9B4F0" w14:textId="77777777">
            <w:pPr>
              <w:spacing w:line="240" w:lineRule="auto"/>
              <w:jc w:val="center"/>
              <w:rPr>
                <w:rFonts w:eastAsia="Times New Roman" w:cs="Calibri"/>
                <w:sz w:val="14"/>
                <w:szCs w:val="14"/>
              </w:rPr>
            </w:pPr>
            <w:r w:rsidRPr="00724A4A">
              <w:rPr>
                <w:rFonts w:eastAsia="Times New Roman" w:cs="Calibri"/>
                <w:sz w:val="14"/>
                <w:szCs w:val="14"/>
              </w:rPr>
              <w:t>2020</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7C2F4582" w14:textId="77777777">
            <w:pPr>
              <w:spacing w:line="240" w:lineRule="auto"/>
              <w:jc w:val="center"/>
              <w:rPr>
                <w:rFonts w:eastAsia="Times New Roman" w:cs="Calibri"/>
                <w:sz w:val="14"/>
                <w:szCs w:val="14"/>
              </w:rPr>
            </w:pPr>
            <w:r w:rsidRPr="00724A4A">
              <w:rPr>
                <w:rFonts w:eastAsia="Times New Roman" w:cs="Calibri"/>
                <w:sz w:val="14"/>
                <w:szCs w:val="14"/>
              </w:rPr>
              <w:t>93,5</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C8A82C3" w14:textId="77777777">
            <w:pPr>
              <w:spacing w:line="240" w:lineRule="auto"/>
              <w:jc w:val="center"/>
              <w:rPr>
                <w:rFonts w:eastAsia="Times New Roman" w:cs="Calibri"/>
                <w:sz w:val="14"/>
                <w:szCs w:val="14"/>
              </w:rPr>
            </w:pPr>
            <w:r w:rsidRPr="00724A4A">
              <w:rPr>
                <w:rFonts w:eastAsia="Times New Roman" w:cs="Calibri"/>
                <w:sz w:val="14"/>
                <w:szCs w:val="14"/>
              </w:rPr>
              <w:t>87,6</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8C75A78" w14:textId="77777777">
            <w:pPr>
              <w:spacing w:line="240" w:lineRule="auto"/>
              <w:jc w:val="center"/>
              <w:rPr>
                <w:rFonts w:eastAsia="Times New Roman" w:cs="Calibri"/>
                <w:sz w:val="14"/>
                <w:szCs w:val="14"/>
              </w:rPr>
            </w:pPr>
            <w:r w:rsidRPr="00724A4A">
              <w:rPr>
                <w:rFonts w:eastAsia="Times New Roman" w:cs="Calibri"/>
                <w:sz w:val="14"/>
                <w:szCs w:val="14"/>
              </w:rPr>
              <w:t>111,6</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02E66917" w14:textId="77777777">
            <w:pPr>
              <w:spacing w:line="240" w:lineRule="auto"/>
              <w:jc w:val="center"/>
              <w:rPr>
                <w:rFonts w:eastAsia="Times New Roman" w:cs="Calibri"/>
                <w:sz w:val="14"/>
                <w:szCs w:val="14"/>
              </w:rPr>
            </w:pPr>
            <w:r w:rsidRPr="00724A4A">
              <w:rPr>
                <w:rFonts w:eastAsia="Times New Roman" w:cs="Calibri"/>
                <w:sz w:val="14"/>
                <w:szCs w:val="14"/>
              </w:rPr>
              <w:t>105,7</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C5A535F" w14:textId="77777777">
            <w:pPr>
              <w:spacing w:line="240" w:lineRule="auto"/>
              <w:jc w:val="center"/>
              <w:rPr>
                <w:rFonts w:eastAsia="Times New Roman" w:cs="Calibri"/>
                <w:sz w:val="14"/>
                <w:szCs w:val="14"/>
              </w:rPr>
            </w:pPr>
            <w:r w:rsidRPr="00724A4A">
              <w:rPr>
                <w:rFonts w:eastAsia="Times New Roman" w:cs="Calibri"/>
                <w:sz w:val="14"/>
                <w:szCs w:val="14"/>
              </w:rPr>
              <w:t>97,6</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03D5050" w14:textId="77777777">
            <w:pPr>
              <w:spacing w:line="240" w:lineRule="auto"/>
              <w:jc w:val="center"/>
              <w:rPr>
                <w:rFonts w:eastAsia="Times New Roman" w:cs="Calibri"/>
                <w:sz w:val="14"/>
                <w:szCs w:val="14"/>
              </w:rPr>
            </w:pPr>
            <w:r w:rsidRPr="00724A4A">
              <w:rPr>
                <w:rFonts w:eastAsia="Times New Roman" w:cs="Calibri"/>
                <w:sz w:val="14"/>
                <w:szCs w:val="14"/>
              </w:rPr>
              <w:t>92,3</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B3ECDA7" w14:textId="77777777">
            <w:pPr>
              <w:spacing w:line="240" w:lineRule="auto"/>
              <w:jc w:val="center"/>
              <w:rPr>
                <w:rFonts w:eastAsia="Times New Roman" w:cs="Calibri"/>
                <w:sz w:val="14"/>
                <w:szCs w:val="14"/>
              </w:rPr>
            </w:pPr>
            <w:r w:rsidRPr="00724A4A">
              <w:rPr>
                <w:rFonts w:eastAsia="Times New Roman" w:cs="Calibri"/>
                <w:sz w:val="14"/>
                <w:szCs w:val="14"/>
              </w:rPr>
              <w:t>96,3</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364492C" w14:textId="77777777">
            <w:pPr>
              <w:spacing w:line="240" w:lineRule="auto"/>
              <w:jc w:val="center"/>
              <w:rPr>
                <w:rFonts w:eastAsia="Times New Roman" w:cs="Calibri"/>
                <w:sz w:val="14"/>
                <w:szCs w:val="14"/>
              </w:rPr>
            </w:pPr>
            <w:r w:rsidRPr="00724A4A">
              <w:rPr>
                <w:rFonts w:eastAsia="Times New Roman" w:cs="Calibri"/>
                <w:sz w:val="14"/>
                <w:szCs w:val="14"/>
              </w:rPr>
              <w:t>91,3</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4957FE17" w14:textId="77777777">
            <w:pPr>
              <w:spacing w:line="240" w:lineRule="auto"/>
              <w:jc w:val="center"/>
              <w:rPr>
                <w:rFonts w:eastAsia="Times New Roman" w:cs="Calibri"/>
                <w:sz w:val="14"/>
                <w:szCs w:val="14"/>
              </w:rPr>
            </w:pPr>
            <w:r w:rsidRPr="00724A4A">
              <w:rPr>
                <w:rFonts w:eastAsia="Times New Roman" w:cs="Calibri"/>
                <w:sz w:val="14"/>
                <w:szCs w:val="14"/>
              </w:rPr>
              <w:t>92,6</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4FBBA1C7" w14:textId="77777777">
            <w:pPr>
              <w:spacing w:line="240" w:lineRule="auto"/>
              <w:jc w:val="center"/>
              <w:rPr>
                <w:rFonts w:eastAsia="Times New Roman" w:cs="Calibri"/>
                <w:sz w:val="14"/>
                <w:szCs w:val="14"/>
              </w:rPr>
            </w:pPr>
            <w:r w:rsidRPr="00724A4A">
              <w:rPr>
                <w:rFonts w:eastAsia="Times New Roman" w:cs="Calibri"/>
                <w:sz w:val="14"/>
                <w:szCs w:val="14"/>
              </w:rPr>
              <w:t>88,3</w:t>
            </w:r>
          </w:p>
        </w:tc>
      </w:tr>
      <w:tr w:rsidRPr="00724A4A" w:rsidR="00724A4A" w:rsidTr="006E0EC3" w14:paraId="1F7985A1" w14:textId="77777777">
        <w:trPr>
          <w:trHeight w:val="255"/>
        </w:trPr>
        <w:tc>
          <w:tcPr>
            <w:tcW w:w="348"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18D4965" w14:textId="77777777">
            <w:pPr>
              <w:spacing w:line="240" w:lineRule="auto"/>
              <w:jc w:val="center"/>
              <w:rPr>
                <w:rFonts w:eastAsia="Times New Roman" w:cs="Calibri"/>
                <w:sz w:val="14"/>
                <w:szCs w:val="14"/>
              </w:rPr>
            </w:pPr>
            <w:r w:rsidRPr="00724A4A">
              <w:rPr>
                <w:rFonts w:eastAsia="Times New Roman" w:cs="Calibri"/>
                <w:sz w:val="14"/>
                <w:szCs w:val="14"/>
              </w:rPr>
              <w:t>2021</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744550D3" w14:textId="77777777">
            <w:pPr>
              <w:spacing w:line="240" w:lineRule="auto"/>
              <w:jc w:val="center"/>
              <w:rPr>
                <w:rFonts w:eastAsia="Times New Roman" w:cs="Calibri"/>
                <w:sz w:val="14"/>
                <w:szCs w:val="14"/>
              </w:rPr>
            </w:pPr>
            <w:r w:rsidRPr="00724A4A">
              <w:rPr>
                <w:rFonts w:eastAsia="Times New Roman" w:cs="Calibri"/>
                <w:sz w:val="14"/>
                <w:szCs w:val="14"/>
              </w:rPr>
              <w:t>110,6</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23AA424" w14:textId="77777777">
            <w:pPr>
              <w:spacing w:line="240" w:lineRule="auto"/>
              <w:jc w:val="center"/>
              <w:rPr>
                <w:rFonts w:eastAsia="Times New Roman" w:cs="Calibri"/>
                <w:sz w:val="14"/>
                <w:szCs w:val="14"/>
              </w:rPr>
            </w:pPr>
            <w:r w:rsidRPr="00724A4A">
              <w:rPr>
                <w:rFonts w:eastAsia="Times New Roman" w:cs="Calibri"/>
                <w:sz w:val="14"/>
                <w:szCs w:val="14"/>
              </w:rPr>
              <w:t>102,8</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EB7CBB9" w14:textId="77777777">
            <w:pPr>
              <w:spacing w:line="240" w:lineRule="auto"/>
              <w:jc w:val="center"/>
              <w:rPr>
                <w:rFonts w:eastAsia="Times New Roman" w:cs="Calibri"/>
                <w:sz w:val="14"/>
                <w:szCs w:val="14"/>
              </w:rPr>
            </w:pPr>
            <w:r w:rsidRPr="00724A4A">
              <w:rPr>
                <w:rFonts w:eastAsia="Times New Roman" w:cs="Calibri"/>
                <w:sz w:val="14"/>
                <w:szCs w:val="14"/>
              </w:rPr>
              <w:t>125,3</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C0F5F76" w14:textId="77777777">
            <w:pPr>
              <w:spacing w:line="240" w:lineRule="auto"/>
              <w:jc w:val="center"/>
              <w:rPr>
                <w:rFonts w:eastAsia="Times New Roman" w:cs="Calibri"/>
                <w:sz w:val="14"/>
                <w:szCs w:val="14"/>
              </w:rPr>
            </w:pPr>
            <w:r w:rsidRPr="00724A4A">
              <w:rPr>
                <w:rFonts w:eastAsia="Times New Roman" w:cs="Calibri"/>
                <w:sz w:val="14"/>
                <w:szCs w:val="14"/>
              </w:rPr>
              <w:t>119,3</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4CDF0E1" w14:textId="77777777">
            <w:pPr>
              <w:spacing w:line="240" w:lineRule="auto"/>
              <w:jc w:val="center"/>
              <w:rPr>
                <w:rFonts w:eastAsia="Times New Roman" w:cs="Calibri"/>
                <w:sz w:val="14"/>
                <w:szCs w:val="14"/>
              </w:rPr>
            </w:pPr>
            <w:r w:rsidRPr="00724A4A">
              <w:rPr>
                <w:rFonts w:eastAsia="Times New Roman" w:cs="Calibri"/>
                <w:sz w:val="14"/>
                <w:szCs w:val="14"/>
              </w:rPr>
              <w:t>108,3</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4B9EDEB9" w14:textId="77777777">
            <w:pPr>
              <w:spacing w:line="240" w:lineRule="auto"/>
              <w:jc w:val="center"/>
              <w:rPr>
                <w:rFonts w:eastAsia="Times New Roman" w:cs="Calibri"/>
                <w:sz w:val="14"/>
                <w:szCs w:val="14"/>
              </w:rPr>
            </w:pPr>
            <w:r w:rsidRPr="00724A4A">
              <w:rPr>
                <w:rFonts w:eastAsia="Times New Roman" w:cs="Calibri"/>
                <w:sz w:val="14"/>
                <w:szCs w:val="14"/>
              </w:rPr>
              <w:t>103,2</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8D34A22" w14:textId="77777777">
            <w:pPr>
              <w:spacing w:line="240" w:lineRule="auto"/>
              <w:jc w:val="center"/>
              <w:rPr>
                <w:rFonts w:eastAsia="Times New Roman" w:cs="Calibri"/>
                <w:sz w:val="14"/>
                <w:szCs w:val="14"/>
              </w:rPr>
            </w:pPr>
            <w:r w:rsidRPr="00724A4A">
              <w:rPr>
                <w:rFonts w:eastAsia="Times New Roman" w:cs="Calibri"/>
                <w:sz w:val="14"/>
                <w:szCs w:val="14"/>
              </w:rPr>
              <w:t>106,7</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4CCFB58B" w14:textId="77777777">
            <w:pPr>
              <w:spacing w:line="240" w:lineRule="auto"/>
              <w:jc w:val="center"/>
              <w:rPr>
                <w:rFonts w:eastAsia="Times New Roman" w:cs="Calibri"/>
                <w:sz w:val="14"/>
                <w:szCs w:val="14"/>
              </w:rPr>
            </w:pPr>
            <w:r w:rsidRPr="00724A4A">
              <w:rPr>
                <w:rFonts w:eastAsia="Times New Roman" w:cs="Calibri"/>
                <w:sz w:val="14"/>
                <w:szCs w:val="14"/>
              </w:rPr>
              <w:t>100,9</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774825E" w14:textId="77777777">
            <w:pPr>
              <w:spacing w:line="240" w:lineRule="auto"/>
              <w:jc w:val="center"/>
              <w:rPr>
                <w:rFonts w:eastAsia="Times New Roman" w:cs="Calibri"/>
                <w:sz w:val="14"/>
                <w:szCs w:val="14"/>
              </w:rPr>
            </w:pPr>
            <w:r w:rsidRPr="00724A4A">
              <w:rPr>
                <w:rFonts w:eastAsia="Times New Roman" w:cs="Calibri"/>
                <w:sz w:val="14"/>
                <w:szCs w:val="14"/>
              </w:rPr>
              <w:t>106,6</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BBA2711" w14:textId="77777777">
            <w:pPr>
              <w:spacing w:line="240" w:lineRule="auto"/>
              <w:jc w:val="center"/>
              <w:rPr>
                <w:rFonts w:eastAsia="Times New Roman" w:cs="Calibri"/>
                <w:sz w:val="14"/>
                <w:szCs w:val="14"/>
              </w:rPr>
            </w:pPr>
            <w:r w:rsidRPr="00724A4A">
              <w:rPr>
                <w:rFonts w:eastAsia="Times New Roman" w:cs="Calibri"/>
                <w:sz w:val="14"/>
                <w:szCs w:val="14"/>
              </w:rPr>
              <w:t>99,7</w:t>
            </w:r>
          </w:p>
        </w:tc>
      </w:tr>
      <w:tr w:rsidRPr="00724A4A" w:rsidR="00724A4A" w:rsidTr="006E0EC3" w14:paraId="1D97B7EC" w14:textId="77777777">
        <w:trPr>
          <w:trHeight w:val="255"/>
        </w:trPr>
        <w:tc>
          <w:tcPr>
            <w:tcW w:w="348"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4082BC9" w14:textId="77777777">
            <w:pPr>
              <w:spacing w:line="240" w:lineRule="auto"/>
              <w:jc w:val="center"/>
              <w:rPr>
                <w:rFonts w:eastAsia="Times New Roman" w:cs="Calibri"/>
                <w:sz w:val="14"/>
                <w:szCs w:val="14"/>
              </w:rPr>
            </w:pPr>
            <w:r w:rsidRPr="00724A4A">
              <w:rPr>
                <w:rFonts w:eastAsia="Times New Roman" w:cs="Calibri"/>
                <w:sz w:val="14"/>
                <w:szCs w:val="14"/>
              </w:rPr>
              <w:t>2022</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8847DA3" w14:textId="77777777">
            <w:pPr>
              <w:spacing w:line="240" w:lineRule="auto"/>
              <w:jc w:val="center"/>
              <w:rPr>
                <w:rFonts w:eastAsia="Times New Roman" w:cs="Calibri"/>
                <w:sz w:val="14"/>
                <w:szCs w:val="14"/>
              </w:rPr>
            </w:pPr>
            <w:r w:rsidRPr="00724A4A">
              <w:rPr>
                <w:rFonts w:eastAsia="Times New Roman" w:cs="Calibri"/>
                <w:sz w:val="14"/>
                <w:szCs w:val="14"/>
              </w:rPr>
              <w:t>110,9</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DD491DC" w14:textId="77777777">
            <w:pPr>
              <w:spacing w:line="240" w:lineRule="auto"/>
              <w:jc w:val="center"/>
              <w:rPr>
                <w:rFonts w:eastAsia="Times New Roman" w:cs="Calibri"/>
                <w:sz w:val="14"/>
                <w:szCs w:val="14"/>
              </w:rPr>
            </w:pPr>
            <w:r w:rsidRPr="00724A4A">
              <w:rPr>
                <w:rFonts w:eastAsia="Times New Roman" w:cs="Calibri"/>
                <w:sz w:val="14"/>
                <w:szCs w:val="14"/>
              </w:rPr>
              <w:t>118,6</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4EEC6EE0" w14:textId="77777777">
            <w:pPr>
              <w:spacing w:line="240" w:lineRule="auto"/>
              <w:jc w:val="center"/>
              <w:rPr>
                <w:rFonts w:eastAsia="Times New Roman" w:cs="Calibri"/>
                <w:sz w:val="14"/>
                <w:szCs w:val="14"/>
              </w:rPr>
            </w:pPr>
            <w:r w:rsidRPr="00724A4A">
              <w:rPr>
                <w:rFonts w:eastAsia="Times New Roman" w:cs="Calibri"/>
                <w:sz w:val="14"/>
                <w:szCs w:val="14"/>
              </w:rPr>
              <w:t>122,1</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F666BED" w14:textId="77777777">
            <w:pPr>
              <w:spacing w:line="240" w:lineRule="auto"/>
              <w:jc w:val="center"/>
              <w:rPr>
                <w:rFonts w:eastAsia="Times New Roman" w:cs="Calibri"/>
                <w:sz w:val="14"/>
                <w:szCs w:val="14"/>
              </w:rPr>
            </w:pPr>
            <w:r w:rsidRPr="00724A4A">
              <w:rPr>
                <w:rFonts w:eastAsia="Times New Roman" w:cs="Calibri"/>
                <w:sz w:val="14"/>
                <w:szCs w:val="14"/>
              </w:rPr>
              <w:t>131,5</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77475A28" w14:textId="77777777">
            <w:pPr>
              <w:spacing w:line="240" w:lineRule="auto"/>
              <w:jc w:val="center"/>
              <w:rPr>
                <w:rFonts w:eastAsia="Times New Roman" w:cs="Calibri"/>
                <w:sz w:val="14"/>
                <w:szCs w:val="14"/>
              </w:rPr>
            </w:pPr>
            <w:r w:rsidRPr="00724A4A">
              <w:rPr>
                <w:rFonts w:eastAsia="Times New Roman" w:cs="Calibri"/>
                <w:sz w:val="14"/>
                <w:szCs w:val="14"/>
              </w:rPr>
              <w:t>110,4</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075AA26D" w14:textId="77777777">
            <w:pPr>
              <w:spacing w:line="240" w:lineRule="auto"/>
              <w:jc w:val="center"/>
              <w:rPr>
                <w:rFonts w:eastAsia="Times New Roman" w:cs="Calibri"/>
                <w:sz w:val="14"/>
                <w:szCs w:val="14"/>
              </w:rPr>
            </w:pPr>
            <w:r w:rsidRPr="00724A4A">
              <w:rPr>
                <w:rFonts w:eastAsia="Times New Roman" w:cs="Calibri"/>
                <w:sz w:val="14"/>
                <w:szCs w:val="14"/>
              </w:rPr>
              <w:t>107,8</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B15E6AC" w14:textId="77777777">
            <w:pPr>
              <w:spacing w:line="240" w:lineRule="auto"/>
              <w:jc w:val="center"/>
              <w:rPr>
                <w:rFonts w:eastAsia="Times New Roman" w:cs="Calibri"/>
                <w:sz w:val="14"/>
                <w:szCs w:val="14"/>
              </w:rPr>
            </w:pPr>
            <w:r w:rsidRPr="00724A4A">
              <w:rPr>
                <w:rFonts w:eastAsia="Times New Roman" w:cs="Calibri"/>
                <w:sz w:val="14"/>
                <w:szCs w:val="14"/>
              </w:rPr>
              <w:t>106,7</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23F1B5E" w14:textId="77777777">
            <w:pPr>
              <w:spacing w:line="240" w:lineRule="auto"/>
              <w:jc w:val="center"/>
              <w:rPr>
                <w:rFonts w:eastAsia="Times New Roman" w:cs="Calibri"/>
                <w:sz w:val="14"/>
                <w:szCs w:val="14"/>
              </w:rPr>
            </w:pPr>
            <w:r w:rsidRPr="00724A4A">
              <w:rPr>
                <w:rFonts w:eastAsia="Times New Roman" w:cs="Calibri"/>
                <w:sz w:val="14"/>
                <w:szCs w:val="14"/>
              </w:rPr>
              <w:t>108,1</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A09B88B" w14:textId="77777777">
            <w:pPr>
              <w:spacing w:line="240" w:lineRule="auto"/>
              <w:jc w:val="center"/>
              <w:rPr>
                <w:rFonts w:eastAsia="Times New Roman" w:cs="Calibri"/>
                <w:sz w:val="14"/>
                <w:szCs w:val="14"/>
              </w:rPr>
            </w:pPr>
            <w:r w:rsidRPr="00724A4A">
              <w:rPr>
                <w:rFonts w:eastAsia="Times New Roman" w:cs="Calibri"/>
                <w:sz w:val="14"/>
                <w:szCs w:val="14"/>
              </w:rPr>
              <w:t>108,7</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41F98CB4" w14:textId="77777777">
            <w:pPr>
              <w:spacing w:line="240" w:lineRule="auto"/>
              <w:jc w:val="center"/>
              <w:rPr>
                <w:rFonts w:eastAsia="Times New Roman" w:cs="Calibri"/>
                <w:sz w:val="14"/>
                <w:szCs w:val="14"/>
              </w:rPr>
            </w:pPr>
            <w:r w:rsidRPr="00724A4A">
              <w:rPr>
                <w:rFonts w:eastAsia="Times New Roman" w:cs="Calibri"/>
                <w:sz w:val="14"/>
                <w:szCs w:val="14"/>
              </w:rPr>
              <w:t>111,5</w:t>
            </w:r>
          </w:p>
        </w:tc>
      </w:tr>
      <w:tr w:rsidRPr="00724A4A" w:rsidR="00724A4A" w:rsidTr="006E0EC3" w14:paraId="18E6EB70" w14:textId="77777777">
        <w:trPr>
          <w:trHeight w:val="255"/>
        </w:trPr>
        <w:tc>
          <w:tcPr>
            <w:tcW w:w="348"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077AD1A" w14:textId="77777777">
            <w:pPr>
              <w:spacing w:line="240" w:lineRule="auto"/>
              <w:jc w:val="center"/>
              <w:rPr>
                <w:rFonts w:eastAsia="Times New Roman" w:cs="Calibri"/>
                <w:sz w:val="14"/>
                <w:szCs w:val="14"/>
              </w:rPr>
            </w:pPr>
            <w:r w:rsidRPr="00724A4A">
              <w:rPr>
                <w:rFonts w:eastAsia="Times New Roman" w:cs="Calibri"/>
                <w:sz w:val="14"/>
                <w:szCs w:val="14"/>
              </w:rPr>
              <w:t>2023</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A38AC83" w14:textId="77777777">
            <w:pPr>
              <w:spacing w:line="240" w:lineRule="auto"/>
              <w:jc w:val="center"/>
              <w:rPr>
                <w:rFonts w:eastAsia="Times New Roman" w:cs="Calibri"/>
                <w:sz w:val="14"/>
                <w:szCs w:val="14"/>
              </w:rPr>
            </w:pPr>
            <w:r w:rsidRPr="00724A4A">
              <w:rPr>
                <w:rFonts w:eastAsia="Times New Roman" w:cs="Calibri"/>
                <w:sz w:val="14"/>
                <w:szCs w:val="14"/>
              </w:rPr>
              <w:t>110,5</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B3F1747" w14:textId="77777777">
            <w:pPr>
              <w:spacing w:line="240" w:lineRule="auto"/>
              <w:jc w:val="center"/>
              <w:rPr>
                <w:rFonts w:eastAsia="Times New Roman" w:cs="Calibri"/>
                <w:sz w:val="14"/>
                <w:szCs w:val="14"/>
              </w:rPr>
            </w:pPr>
            <w:r w:rsidRPr="00724A4A">
              <w:rPr>
                <w:rFonts w:eastAsia="Times New Roman" w:cs="Calibri"/>
                <w:sz w:val="14"/>
                <w:szCs w:val="14"/>
              </w:rPr>
              <w:t>113,9</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5E6CB1AB" w14:textId="77777777">
            <w:pPr>
              <w:spacing w:line="240" w:lineRule="auto"/>
              <w:jc w:val="center"/>
              <w:rPr>
                <w:rFonts w:eastAsia="Times New Roman" w:cs="Calibri"/>
                <w:sz w:val="14"/>
                <w:szCs w:val="14"/>
              </w:rPr>
            </w:pPr>
            <w:r w:rsidRPr="00724A4A">
              <w:rPr>
                <w:rFonts w:eastAsia="Times New Roman" w:cs="Calibri"/>
                <w:sz w:val="14"/>
                <w:szCs w:val="14"/>
              </w:rPr>
              <w:t>123,9</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0AE8D3C7" w14:textId="77777777">
            <w:pPr>
              <w:spacing w:line="240" w:lineRule="auto"/>
              <w:jc w:val="center"/>
              <w:rPr>
                <w:rFonts w:eastAsia="Times New Roman" w:cs="Calibri"/>
                <w:sz w:val="14"/>
                <w:szCs w:val="14"/>
              </w:rPr>
            </w:pPr>
            <w:r w:rsidRPr="00724A4A">
              <w:rPr>
                <w:rFonts w:eastAsia="Times New Roman" w:cs="Calibri"/>
                <w:sz w:val="14"/>
                <w:szCs w:val="14"/>
              </w:rPr>
              <w:t>124,7</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11126ED" w14:textId="77777777">
            <w:pPr>
              <w:spacing w:line="240" w:lineRule="auto"/>
              <w:jc w:val="center"/>
              <w:rPr>
                <w:rFonts w:eastAsia="Times New Roman" w:cs="Calibri"/>
                <w:sz w:val="14"/>
                <w:szCs w:val="14"/>
              </w:rPr>
            </w:pPr>
            <w:r w:rsidRPr="00724A4A">
              <w:rPr>
                <w:rFonts w:eastAsia="Times New Roman" w:cs="Calibri"/>
                <w:sz w:val="14"/>
                <w:szCs w:val="14"/>
              </w:rPr>
              <w:t>109,4</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A0F1D54" w14:textId="77777777">
            <w:pPr>
              <w:spacing w:line="240" w:lineRule="auto"/>
              <w:jc w:val="center"/>
              <w:rPr>
                <w:rFonts w:eastAsia="Times New Roman" w:cs="Calibri"/>
                <w:sz w:val="14"/>
                <w:szCs w:val="14"/>
              </w:rPr>
            </w:pPr>
            <w:r w:rsidRPr="00724A4A">
              <w:rPr>
                <w:rFonts w:eastAsia="Times New Roman" w:cs="Calibri"/>
                <w:sz w:val="14"/>
                <w:szCs w:val="14"/>
              </w:rPr>
              <w:t>113,3</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20E4E115" w14:textId="77777777">
            <w:pPr>
              <w:spacing w:line="240" w:lineRule="auto"/>
              <w:jc w:val="center"/>
              <w:rPr>
                <w:rFonts w:eastAsia="Times New Roman" w:cs="Calibri"/>
                <w:sz w:val="14"/>
                <w:szCs w:val="14"/>
              </w:rPr>
            </w:pPr>
            <w:r w:rsidRPr="00724A4A">
              <w:rPr>
                <w:rFonts w:eastAsia="Times New Roman" w:cs="Calibri"/>
                <w:sz w:val="14"/>
                <w:szCs w:val="14"/>
              </w:rPr>
              <w:t>105,8</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079B93A3" w14:textId="77777777">
            <w:pPr>
              <w:spacing w:line="240" w:lineRule="auto"/>
              <w:jc w:val="center"/>
              <w:rPr>
                <w:rFonts w:eastAsia="Times New Roman" w:cs="Calibri"/>
                <w:sz w:val="14"/>
                <w:szCs w:val="14"/>
              </w:rPr>
            </w:pPr>
            <w:r w:rsidRPr="00724A4A">
              <w:rPr>
                <w:rFonts w:eastAsia="Times New Roman" w:cs="Calibri"/>
                <w:sz w:val="14"/>
                <w:szCs w:val="14"/>
              </w:rPr>
              <w:t>109,9</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767B7FBF" w14:textId="77777777">
            <w:pPr>
              <w:spacing w:line="240" w:lineRule="auto"/>
              <w:jc w:val="center"/>
              <w:rPr>
                <w:rFonts w:eastAsia="Times New Roman" w:cs="Calibri"/>
                <w:sz w:val="14"/>
                <w:szCs w:val="14"/>
              </w:rPr>
            </w:pPr>
            <w:r w:rsidRPr="00724A4A">
              <w:rPr>
                <w:rFonts w:eastAsia="Times New Roman" w:cs="Calibri"/>
                <w:sz w:val="14"/>
                <w:szCs w:val="14"/>
              </w:rPr>
              <w:t>106,1</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7AE0B0AE" w14:textId="77777777">
            <w:pPr>
              <w:spacing w:line="240" w:lineRule="auto"/>
              <w:jc w:val="center"/>
              <w:rPr>
                <w:rFonts w:eastAsia="Times New Roman" w:cs="Calibri"/>
                <w:sz w:val="14"/>
                <w:szCs w:val="14"/>
              </w:rPr>
            </w:pPr>
            <w:r w:rsidRPr="00724A4A">
              <w:rPr>
                <w:rFonts w:eastAsia="Times New Roman" w:cs="Calibri"/>
                <w:sz w:val="14"/>
                <w:szCs w:val="14"/>
              </w:rPr>
              <w:t>112</w:t>
            </w:r>
          </w:p>
        </w:tc>
      </w:tr>
      <w:tr w:rsidRPr="00724A4A" w:rsidR="00724A4A" w:rsidTr="006E0EC3" w14:paraId="3B014499" w14:textId="77777777">
        <w:trPr>
          <w:trHeight w:val="255"/>
        </w:trPr>
        <w:tc>
          <w:tcPr>
            <w:tcW w:w="348"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DE2F4A3" w14:textId="77777777">
            <w:pPr>
              <w:spacing w:line="240" w:lineRule="auto"/>
              <w:jc w:val="center"/>
              <w:rPr>
                <w:rFonts w:eastAsia="Times New Roman" w:cs="Calibri"/>
                <w:sz w:val="14"/>
                <w:szCs w:val="14"/>
              </w:rPr>
            </w:pPr>
            <w:r w:rsidRPr="00724A4A">
              <w:rPr>
                <w:rFonts w:eastAsia="Times New Roman" w:cs="Calibri"/>
                <w:sz w:val="14"/>
                <w:szCs w:val="14"/>
              </w:rPr>
              <w:t>2024</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6CFFFF6" w14:textId="77777777">
            <w:pPr>
              <w:spacing w:line="240" w:lineRule="auto"/>
              <w:jc w:val="center"/>
              <w:rPr>
                <w:rFonts w:eastAsia="Times New Roman" w:cs="Calibri"/>
                <w:sz w:val="14"/>
                <w:szCs w:val="14"/>
              </w:rPr>
            </w:pPr>
            <w:r w:rsidRPr="00724A4A">
              <w:rPr>
                <w:rFonts w:eastAsia="Times New Roman" w:cs="Calibri"/>
                <w:sz w:val="14"/>
                <w:szCs w:val="14"/>
              </w:rPr>
              <w:t>111,7</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49B45D3" w14:textId="77777777">
            <w:pPr>
              <w:spacing w:line="240" w:lineRule="auto"/>
              <w:jc w:val="center"/>
              <w:rPr>
                <w:rFonts w:eastAsia="Times New Roman" w:cs="Calibri"/>
                <w:sz w:val="14"/>
                <w:szCs w:val="14"/>
              </w:rPr>
            </w:pPr>
            <w:r w:rsidRPr="00724A4A">
              <w:rPr>
                <w:rFonts w:eastAsia="Times New Roman" w:cs="Calibri"/>
                <w:sz w:val="14"/>
                <w:szCs w:val="14"/>
              </w:rPr>
              <w:t>113,1</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3D2981A" w14:textId="77777777">
            <w:pPr>
              <w:spacing w:line="240" w:lineRule="auto"/>
              <w:jc w:val="center"/>
              <w:rPr>
                <w:rFonts w:eastAsia="Times New Roman" w:cs="Calibri"/>
                <w:sz w:val="14"/>
                <w:szCs w:val="14"/>
              </w:rPr>
            </w:pPr>
            <w:r w:rsidRPr="00724A4A">
              <w:rPr>
                <w:rFonts w:eastAsia="Times New Roman" w:cs="Calibri"/>
                <w:sz w:val="14"/>
                <w:szCs w:val="14"/>
              </w:rPr>
              <w:t>125,6</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3121FF3A" w14:textId="77777777">
            <w:pPr>
              <w:spacing w:line="240" w:lineRule="auto"/>
              <w:jc w:val="center"/>
              <w:rPr>
                <w:rFonts w:eastAsia="Times New Roman" w:cs="Calibri"/>
                <w:sz w:val="14"/>
                <w:szCs w:val="14"/>
              </w:rPr>
            </w:pPr>
            <w:r w:rsidRPr="00724A4A">
              <w:rPr>
                <w:rFonts w:eastAsia="Times New Roman" w:cs="Calibri"/>
                <w:sz w:val="14"/>
                <w:szCs w:val="14"/>
              </w:rPr>
              <w:t>126,3</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00492F7D" w14:textId="77777777">
            <w:pPr>
              <w:spacing w:line="240" w:lineRule="auto"/>
              <w:jc w:val="center"/>
              <w:rPr>
                <w:rFonts w:eastAsia="Times New Roman" w:cs="Calibri"/>
                <w:sz w:val="14"/>
                <w:szCs w:val="14"/>
              </w:rPr>
            </w:pPr>
            <w:r w:rsidRPr="00724A4A">
              <w:rPr>
                <w:rFonts w:eastAsia="Times New Roman" w:cs="Calibri"/>
                <w:sz w:val="14"/>
                <w:szCs w:val="14"/>
              </w:rPr>
              <w:t>113</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12AF729B" w14:textId="77777777">
            <w:pPr>
              <w:spacing w:line="240" w:lineRule="auto"/>
              <w:jc w:val="center"/>
              <w:rPr>
                <w:rFonts w:eastAsia="Times New Roman" w:cs="Calibri"/>
                <w:sz w:val="14"/>
                <w:szCs w:val="14"/>
              </w:rPr>
            </w:pPr>
            <w:r w:rsidRPr="00724A4A">
              <w:rPr>
                <w:rFonts w:eastAsia="Times New Roman" w:cs="Calibri"/>
                <w:sz w:val="14"/>
                <w:szCs w:val="14"/>
              </w:rPr>
              <w:t>112,7</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FCC4D85" w14:textId="77777777">
            <w:pPr>
              <w:spacing w:line="240" w:lineRule="auto"/>
              <w:jc w:val="center"/>
              <w:rPr>
                <w:rFonts w:eastAsia="Times New Roman" w:cs="Calibri"/>
                <w:sz w:val="14"/>
                <w:szCs w:val="14"/>
              </w:rPr>
            </w:pPr>
            <w:r w:rsidRPr="00724A4A">
              <w:rPr>
                <w:rFonts w:eastAsia="Times New Roman" w:cs="Calibri"/>
                <w:sz w:val="14"/>
                <w:szCs w:val="14"/>
              </w:rPr>
              <w:t>108,4</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0BC6CBC8" w14:textId="77777777">
            <w:pPr>
              <w:spacing w:line="240" w:lineRule="auto"/>
              <w:jc w:val="center"/>
              <w:rPr>
                <w:rFonts w:eastAsia="Times New Roman" w:cs="Calibri"/>
                <w:sz w:val="14"/>
                <w:szCs w:val="14"/>
              </w:rPr>
            </w:pPr>
            <w:r w:rsidRPr="00724A4A">
              <w:rPr>
                <w:rFonts w:eastAsia="Times New Roman" w:cs="Calibri"/>
                <w:sz w:val="14"/>
                <w:szCs w:val="14"/>
              </w:rPr>
              <w:t>108,4</w:t>
            </w:r>
          </w:p>
        </w:tc>
        <w:tc>
          <w:tcPr>
            <w:tcW w:w="519"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648462E3" w14:textId="77777777">
            <w:pPr>
              <w:spacing w:line="240" w:lineRule="auto"/>
              <w:jc w:val="center"/>
              <w:rPr>
                <w:rFonts w:eastAsia="Times New Roman" w:cs="Calibri"/>
                <w:sz w:val="14"/>
                <w:szCs w:val="14"/>
              </w:rPr>
            </w:pPr>
            <w:r w:rsidRPr="00724A4A">
              <w:rPr>
                <w:rFonts w:eastAsia="Times New Roman" w:cs="Calibri"/>
                <w:sz w:val="14"/>
                <w:szCs w:val="14"/>
              </w:rPr>
              <w:t>109,8</w:t>
            </w:r>
          </w:p>
        </w:tc>
        <w:tc>
          <w:tcPr>
            <w:tcW w:w="411" w:type="pct"/>
            <w:tcBorders>
              <w:top w:val="single" w:color="auto" w:sz="4" w:space="0"/>
              <w:left w:val="single" w:color="auto" w:sz="4" w:space="0"/>
              <w:bottom w:val="single" w:color="auto" w:sz="4" w:space="0"/>
              <w:right w:val="single" w:color="auto" w:sz="4" w:space="0"/>
            </w:tcBorders>
            <w:noWrap/>
            <w:vAlign w:val="bottom"/>
            <w:hideMark/>
          </w:tcPr>
          <w:p w:rsidRPr="00724A4A" w:rsidR="00724A4A" w:rsidP="006E0EC3" w:rsidRDefault="00724A4A" w14:paraId="45D29740" w14:textId="77777777">
            <w:pPr>
              <w:spacing w:line="240" w:lineRule="auto"/>
              <w:jc w:val="center"/>
              <w:rPr>
                <w:rFonts w:eastAsia="Times New Roman" w:cs="Calibri"/>
                <w:sz w:val="14"/>
                <w:szCs w:val="14"/>
              </w:rPr>
            </w:pPr>
            <w:r w:rsidRPr="00724A4A">
              <w:rPr>
                <w:rFonts w:eastAsia="Times New Roman" w:cs="Calibri"/>
                <w:sz w:val="14"/>
                <w:szCs w:val="14"/>
              </w:rPr>
              <w:t>108,9</w:t>
            </w:r>
          </w:p>
        </w:tc>
      </w:tr>
      <w:tr w:rsidRPr="00724A4A" w:rsidR="00724A4A" w:rsidTr="006E0EC3" w14:paraId="7A988F4C" w14:textId="77777777">
        <w:trPr>
          <w:trHeight w:val="255"/>
        </w:trPr>
        <w:tc>
          <w:tcPr>
            <w:tcW w:w="348" w:type="pct"/>
            <w:tcBorders>
              <w:top w:val="single" w:color="auto" w:sz="4" w:space="0"/>
              <w:left w:val="single" w:color="auto" w:sz="4" w:space="0"/>
              <w:bottom w:val="single" w:color="auto" w:sz="4" w:space="0"/>
              <w:right w:val="single" w:color="auto" w:sz="4" w:space="0"/>
            </w:tcBorders>
            <w:noWrap/>
            <w:vAlign w:val="bottom"/>
          </w:tcPr>
          <w:p w:rsidRPr="00724A4A" w:rsidR="00724A4A" w:rsidP="006E0EC3" w:rsidRDefault="00724A4A" w14:paraId="3AB16CF6" w14:textId="77777777">
            <w:pPr>
              <w:spacing w:line="240" w:lineRule="auto"/>
              <w:jc w:val="center"/>
              <w:rPr>
                <w:rFonts w:eastAsia="Times New Roman" w:cs="Calibri"/>
                <w:sz w:val="14"/>
                <w:szCs w:val="14"/>
              </w:rPr>
            </w:pPr>
            <w:r w:rsidRPr="00724A4A">
              <w:rPr>
                <w:rFonts w:eastAsia="Times New Roman" w:cs="Calibri"/>
                <w:sz w:val="14"/>
                <w:szCs w:val="14"/>
              </w:rPr>
              <w:t>2025</w:t>
            </w:r>
          </w:p>
        </w:tc>
        <w:tc>
          <w:tcPr>
            <w:tcW w:w="519" w:type="pct"/>
            <w:tcBorders>
              <w:top w:val="single" w:color="auto" w:sz="4" w:space="0"/>
              <w:left w:val="single" w:color="auto" w:sz="4" w:space="0"/>
              <w:bottom w:val="single" w:color="auto" w:sz="4" w:space="0"/>
              <w:right w:val="single" w:color="auto" w:sz="4" w:space="0"/>
            </w:tcBorders>
            <w:noWrap/>
            <w:vAlign w:val="bottom"/>
          </w:tcPr>
          <w:p w:rsidRPr="00724A4A" w:rsidR="00724A4A" w:rsidP="006E0EC3" w:rsidRDefault="00724A4A" w14:paraId="43ADE8DE" w14:textId="77777777">
            <w:pPr>
              <w:spacing w:line="240" w:lineRule="auto"/>
              <w:jc w:val="center"/>
              <w:rPr>
                <w:rFonts w:eastAsia="Times New Roman" w:cs="Calibri"/>
                <w:sz w:val="14"/>
                <w:szCs w:val="14"/>
              </w:rPr>
            </w:pPr>
            <w:r w:rsidRPr="00724A4A">
              <w:rPr>
                <w:rFonts w:eastAsia="Times New Roman" w:cs="Calibri"/>
                <w:sz w:val="14"/>
                <w:szCs w:val="14"/>
              </w:rPr>
              <w:t>123,5</w:t>
            </w:r>
          </w:p>
        </w:tc>
        <w:tc>
          <w:tcPr>
            <w:tcW w:w="411" w:type="pct"/>
            <w:tcBorders>
              <w:top w:val="single" w:color="auto" w:sz="4" w:space="0"/>
              <w:left w:val="single" w:color="auto" w:sz="4" w:space="0"/>
              <w:bottom w:val="single" w:color="auto" w:sz="4" w:space="0"/>
              <w:right w:val="single" w:color="auto" w:sz="4" w:space="0"/>
            </w:tcBorders>
            <w:noWrap/>
            <w:vAlign w:val="bottom"/>
          </w:tcPr>
          <w:p w:rsidRPr="00724A4A" w:rsidR="00724A4A" w:rsidP="006E0EC3" w:rsidRDefault="00724A4A" w14:paraId="01CB5BC7" w14:textId="77777777">
            <w:pPr>
              <w:spacing w:line="240" w:lineRule="auto"/>
              <w:jc w:val="center"/>
              <w:rPr>
                <w:rFonts w:eastAsia="Times New Roman" w:cs="Calibri"/>
                <w:sz w:val="14"/>
                <w:szCs w:val="14"/>
              </w:rPr>
            </w:pPr>
            <w:r w:rsidRPr="00724A4A">
              <w:rPr>
                <w:rFonts w:eastAsia="Times New Roman" w:cs="Calibri"/>
                <w:sz w:val="14"/>
                <w:szCs w:val="14"/>
              </w:rPr>
              <w:t>118,3</w:t>
            </w:r>
          </w:p>
        </w:tc>
        <w:tc>
          <w:tcPr>
            <w:tcW w:w="519" w:type="pct"/>
            <w:tcBorders>
              <w:top w:val="single" w:color="auto" w:sz="4" w:space="0"/>
              <w:left w:val="single" w:color="auto" w:sz="4" w:space="0"/>
              <w:bottom w:val="single" w:color="auto" w:sz="4" w:space="0"/>
              <w:right w:val="single" w:color="auto" w:sz="4" w:space="0"/>
            </w:tcBorders>
            <w:noWrap/>
            <w:vAlign w:val="bottom"/>
          </w:tcPr>
          <w:p w:rsidRPr="00724A4A" w:rsidR="00724A4A" w:rsidP="006E0EC3" w:rsidRDefault="00724A4A" w14:paraId="718C8D93" w14:textId="77777777">
            <w:pPr>
              <w:spacing w:line="240" w:lineRule="auto"/>
              <w:jc w:val="center"/>
              <w:rPr>
                <w:rFonts w:eastAsia="Times New Roman" w:cs="Calibri"/>
                <w:sz w:val="14"/>
                <w:szCs w:val="14"/>
              </w:rPr>
            </w:pPr>
            <w:r w:rsidRPr="00724A4A">
              <w:rPr>
                <w:rFonts w:eastAsia="Times New Roman" w:cs="Calibri"/>
                <w:sz w:val="14"/>
                <w:szCs w:val="14"/>
              </w:rPr>
              <w:t>141,1</w:t>
            </w:r>
          </w:p>
        </w:tc>
        <w:tc>
          <w:tcPr>
            <w:tcW w:w="411" w:type="pct"/>
            <w:tcBorders>
              <w:top w:val="single" w:color="auto" w:sz="4" w:space="0"/>
              <w:left w:val="single" w:color="auto" w:sz="4" w:space="0"/>
              <w:bottom w:val="single" w:color="auto" w:sz="4" w:space="0"/>
              <w:right w:val="single" w:color="auto" w:sz="4" w:space="0"/>
            </w:tcBorders>
            <w:noWrap/>
            <w:vAlign w:val="bottom"/>
          </w:tcPr>
          <w:p w:rsidRPr="00724A4A" w:rsidR="00724A4A" w:rsidP="006E0EC3" w:rsidRDefault="00724A4A" w14:paraId="382027A8" w14:textId="77777777">
            <w:pPr>
              <w:spacing w:line="240" w:lineRule="auto"/>
              <w:jc w:val="center"/>
              <w:rPr>
                <w:rFonts w:eastAsia="Times New Roman" w:cs="Calibri"/>
                <w:sz w:val="14"/>
                <w:szCs w:val="14"/>
              </w:rPr>
            </w:pPr>
            <w:r w:rsidRPr="00724A4A">
              <w:rPr>
                <w:rFonts w:eastAsia="Times New Roman" w:cs="Calibri"/>
                <w:sz w:val="14"/>
                <w:szCs w:val="14"/>
              </w:rPr>
              <w:t>133,1</w:t>
            </w:r>
          </w:p>
        </w:tc>
        <w:tc>
          <w:tcPr>
            <w:tcW w:w="519" w:type="pct"/>
            <w:tcBorders>
              <w:top w:val="single" w:color="auto" w:sz="4" w:space="0"/>
              <w:left w:val="single" w:color="auto" w:sz="4" w:space="0"/>
              <w:bottom w:val="single" w:color="auto" w:sz="4" w:space="0"/>
              <w:right w:val="single" w:color="auto" w:sz="4" w:space="0"/>
            </w:tcBorders>
            <w:noWrap/>
            <w:vAlign w:val="bottom"/>
          </w:tcPr>
          <w:p w:rsidRPr="00724A4A" w:rsidR="00724A4A" w:rsidP="006E0EC3" w:rsidRDefault="00724A4A" w14:paraId="449E2E20" w14:textId="77777777">
            <w:pPr>
              <w:spacing w:line="240" w:lineRule="auto"/>
              <w:jc w:val="center"/>
              <w:rPr>
                <w:rFonts w:eastAsia="Times New Roman" w:cs="Calibri"/>
                <w:sz w:val="14"/>
                <w:szCs w:val="14"/>
              </w:rPr>
            </w:pPr>
            <w:r w:rsidRPr="00724A4A">
              <w:rPr>
                <w:rFonts w:eastAsia="Times New Roman" w:cs="Calibri"/>
                <w:sz w:val="14"/>
                <w:szCs w:val="14"/>
              </w:rPr>
              <w:t>125,3</w:t>
            </w:r>
          </w:p>
        </w:tc>
        <w:tc>
          <w:tcPr>
            <w:tcW w:w="411" w:type="pct"/>
            <w:tcBorders>
              <w:top w:val="single" w:color="auto" w:sz="4" w:space="0"/>
              <w:left w:val="single" w:color="auto" w:sz="4" w:space="0"/>
              <w:bottom w:val="single" w:color="auto" w:sz="4" w:space="0"/>
              <w:right w:val="single" w:color="auto" w:sz="4" w:space="0"/>
            </w:tcBorders>
            <w:noWrap/>
            <w:vAlign w:val="bottom"/>
          </w:tcPr>
          <w:p w:rsidRPr="00724A4A" w:rsidR="00724A4A" w:rsidP="006E0EC3" w:rsidRDefault="00724A4A" w14:paraId="035C5027" w14:textId="77777777">
            <w:pPr>
              <w:spacing w:line="240" w:lineRule="auto"/>
              <w:jc w:val="center"/>
              <w:rPr>
                <w:rFonts w:eastAsia="Times New Roman" w:cs="Calibri"/>
                <w:sz w:val="14"/>
                <w:szCs w:val="14"/>
              </w:rPr>
            </w:pPr>
            <w:r w:rsidRPr="00724A4A">
              <w:rPr>
                <w:rFonts w:eastAsia="Times New Roman" w:cs="Calibri"/>
                <w:sz w:val="14"/>
                <w:szCs w:val="14"/>
              </w:rPr>
              <w:t>120,1</w:t>
            </w:r>
          </w:p>
        </w:tc>
        <w:tc>
          <w:tcPr>
            <w:tcW w:w="519" w:type="pct"/>
            <w:tcBorders>
              <w:top w:val="single" w:color="auto" w:sz="4" w:space="0"/>
              <w:left w:val="single" w:color="auto" w:sz="4" w:space="0"/>
              <w:bottom w:val="single" w:color="auto" w:sz="4" w:space="0"/>
              <w:right w:val="single" w:color="auto" w:sz="4" w:space="0"/>
            </w:tcBorders>
            <w:noWrap/>
            <w:vAlign w:val="bottom"/>
          </w:tcPr>
          <w:p w:rsidRPr="00724A4A" w:rsidR="00724A4A" w:rsidP="006E0EC3" w:rsidRDefault="00724A4A" w14:paraId="077BA96F" w14:textId="77777777">
            <w:pPr>
              <w:spacing w:line="240" w:lineRule="auto"/>
              <w:jc w:val="center"/>
              <w:rPr>
                <w:rFonts w:eastAsia="Times New Roman" w:cs="Calibri"/>
                <w:sz w:val="14"/>
                <w:szCs w:val="14"/>
              </w:rPr>
            </w:pPr>
            <w:r w:rsidRPr="00724A4A">
              <w:rPr>
                <w:rFonts w:eastAsia="Times New Roman" w:cs="Calibri"/>
                <w:sz w:val="14"/>
                <w:szCs w:val="14"/>
              </w:rPr>
              <w:t>122,3</w:t>
            </w:r>
          </w:p>
        </w:tc>
        <w:tc>
          <w:tcPr>
            <w:tcW w:w="411" w:type="pct"/>
            <w:tcBorders>
              <w:top w:val="single" w:color="auto" w:sz="4" w:space="0"/>
              <w:left w:val="single" w:color="auto" w:sz="4" w:space="0"/>
              <w:bottom w:val="single" w:color="auto" w:sz="4" w:space="0"/>
              <w:right w:val="single" w:color="auto" w:sz="4" w:space="0"/>
            </w:tcBorders>
            <w:noWrap/>
            <w:vAlign w:val="bottom"/>
          </w:tcPr>
          <w:p w:rsidRPr="00724A4A" w:rsidR="00724A4A" w:rsidP="006E0EC3" w:rsidRDefault="00724A4A" w14:paraId="2E1FC2D2" w14:textId="77777777">
            <w:pPr>
              <w:spacing w:line="240" w:lineRule="auto"/>
              <w:jc w:val="center"/>
              <w:rPr>
                <w:rFonts w:eastAsia="Times New Roman" w:cs="Calibri"/>
                <w:sz w:val="14"/>
                <w:szCs w:val="14"/>
              </w:rPr>
            </w:pPr>
            <w:r w:rsidRPr="00724A4A">
              <w:rPr>
                <w:rFonts w:eastAsia="Times New Roman" w:cs="Calibri"/>
                <w:sz w:val="14"/>
                <w:szCs w:val="14"/>
              </w:rPr>
              <w:t>115,3</w:t>
            </w:r>
          </w:p>
        </w:tc>
        <w:tc>
          <w:tcPr>
            <w:tcW w:w="519" w:type="pct"/>
            <w:tcBorders>
              <w:top w:val="single" w:color="auto" w:sz="4" w:space="0"/>
              <w:left w:val="single" w:color="auto" w:sz="4" w:space="0"/>
              <w:bottom w:val="single" w:color="auto" w:sz="4" w:space="0"/>
              <w:right w:val="single" w:color="auto" w:sz="4" w:space="0"/>
            </w:tcBorders>
            <w:noWrap/>
            <w:vAlign w:val="bottom"/>
          </w:tcPr>
          <w:p w:rsidRPr="00724A4A" w:rsidR="00724A4A" w:rsidP="006E0EC3" w:rsidRDefault="00724A4A" w14:paraId="1381AE4F" w14:textId="77777777">
            <w:pPr>
              <w:spacing w:line="240" w:lineRule="auto"/>
              <w:jc w:val="center"/>
              <w:rPr>
                <w:rFonts w:eastAsia="Times New Roman" w:cs="Calibri"/>
                <w:sz w:val="14"/>
                <w:szCs w:val="14"/>
              </w:rPr>
            </w:pPr>
            <w:r w:rsidRPr="00724A4A">
              <w:rPr>
                <w:rFonts w:eastAsia="Times New Roman" w:cs="Calibri"/>
                <w:sz w:val="14"/>
                <w:szCs w:val="14"/>
              </w:rPr>
              <w:t>126,0</w:t>
            </w:r>
          </w:p>
        </w:tc>
        <w:tc>
          <w:tcPr>
            <w:tcW w:w="411" w:type="pct"/>
            <w:tcBorders>
              <w:top w:val="single" w:color="auto" w:sz="4" w:space="0"/>
              <w:left w:val="single" w:color="auto" w:sz="4" w:space="0"/>
              <w:bottom w:val="single" w:color="auto" w:sz="4" w:space="0"/>
              <w:right w:val="single" w:color="auto" w:sz="4" w:space="0"/>
            </w:tcBorders>
            <w:noWrap/>
            <w:vAlign w:val="bottom"/>
          </w:tcPr>
          <w:p w:rsidRPr="00724A4A" w:rsidR="00724A4A" w:rsidP="006E0EC3" w:rsidRDefault="00724A4A" w14:paraId="7108D321" w14:textId="77777777">
            <w:pPr>
              <w:spacing w:line="240" w:lineRule="auto"/>
              <w:jc w:val="center"/>
              <w:rPr>
                <w:rFonts w:eastAsia="Times New Roman" w:cs="Calibri"/>
                <w:sz w:val="14"/>
                <w:szCs w:val="14"/>
              </w:rPr>
            </w:pPr>
            <w:r w:rsidRPr="00724A4A">
              <w:rPr>
                <w:rFonts w:eastAsia="Times New Roman" w:cs="Calibri"/>
                <w:sz w:val="14"/>
                <w:szCs w:val="14"/>
              </w:rPr>
              <w:t>117,7</w:t>
            </w:r>
          </w:p>
        </w:tc>
      </w:tr>
    </w:tbl>
    <w:p w:rsidRPr="00724A4A" w:rsidR="00D0583B" w:rsidP="00030AE3" w:rsidRDefault="00030AE3" w14:paraId="49E7EBE1" w14:textId="20B09B30">
      <w:pPr>
        <w:rPr>
          <w:sz w:val="14"/>
          <w:szCs w:val="14"/>
        </w:rPr>
      </w:pPr>
      <w:r w:rsidRPr="00724A4A">
        <w:rPr>
          <w:sz w:val="14"/>
          <w:szCs w:val="14"/>
        </w:rPr>
        <w:t>Bron: Jaarverslagen pensioenfondsen</w:t>
      </w:r>
    </w:p>
    <w:p w:rsidRPr="00724A4A" w:rsidR="00D0583B" w:rsidP="00D0583B" w:rsidRDefault="00D0583B" w14:paraId="4EB0D357" w14:textId="77777777">
      <w:pPr>
        <w:rPr>
          <w:sz w:val="14"/>
          <w:szCs w:val="14"/>
        </w:rPr>
      </w:pPr>
      <w:r w:rsidRPr="00724A4A">
        <w:rPr>
          <w:sz w:val="14"/>
          <w:szCs w:val="14"/>
        </w:rPr>
        <w:t>Bron: Jaarverslagen pensioenfondsen, website pensioenfondsen</w:t>
      </w:r>
    </w:p>
    <w:p w:rsidR="005D5BC9" w:rsidP="00030AE3" w:rsidRDefault="005D5BC9" w14:paraId="64A1942E" w14:textId="77777777">
      <w:pPr>
        <w:rPr>
          <w:sz w:val="14"/>
          <w:szCs w:val="14"/>
        </w:rPr>
      </w:pPr>
    </w:p>
    <w:p w:rsidR="005D5BC9" w:rsidP="00030AE3" w:rsidRDefault="005D5BC9" w14:paraId="1B1E7051" w14:textId="77777777">
      <w:pPr>
        <w:rPr>
          <w:sz w:val="14"/>
          <w:szCs w:val="14"/>
        </w:rPr>
      </w:pPr>
    </w:p>
    <w:p w:rsidR="005D5BC9" w:rsidP="00030AE3" w:rsidRDefault="005D5BC9" w14:paraId="77FC2D2A" w14:textId="77777777">
      <w:pPr>
        <w:rPr>
          <w:sz w:val="14"/>
          <w:szCs w:val="14"/>
        </w:rPr>
      </w:pPr>
    </w:p>
    <w:p w:rsidR="009148FB" w:rsidP="00030AE3" w:rsidRDefault="009148FB" w14:paraId="1DD39C7F" w14:textId="77777777">
      <w:pPr>
        <w:rPr>
          <w:sz w:val="14"/>
          <w:szCs w:val="14"/>
        </w:rPr>
      </w:pPr>
    </w:p>
    <w:p w:rsidR="009148FB" w:rsidP="00030AE3" w:rsidRDefault="009148FB" w14:paraId="35D5972A" w14:textId="77777777">
      <w:pPr>
        <w:rPr>
          <w:sz w:val="14"/>
          <w:szCs w:val="14"/>
        </w:rPr>
      </w:pPr>
    </w:p>
    <w:p w:rsidR="009148FB" w:rsidP="00030AE3" w:rsidRDefault="009148FB" w14:paraId="64364D55" w14:textId="77777777">
      <w:pPr>
        <w:rPr>
          <w:sz w:val="14"/>
          <w:szCs w:val="14"/>
        </w:rPr>
      </w:pPr>
    </w:p>
    <w:p w:rsidR="009148FB" w:rsidP="00030AE3" w:rsidRDefault="009148FB" w14:paraId="7C638746" w14:textId="77777777">
      <w:pPr>
        <w:rPr>
          <w:sz w:val="14"/>
          <w:szCs w:val="14"/>
        </w:rPr>
      </w:pPr>
    </w:p>
    <w:p w:rsidR="009148FB" w:rsidP="00030AE3" w:rsidRDefault="009148FB" w14:paraId="4C95A5FA" w14:textId="77777777">
      <w:pPr>
        <w:rPr>
          <w:sz w:val="14"/>
          <w:szCs w:val="14"/>
        </w:rPr>
      </w:pPr>
    </w:p>
    <w:p w:rsidRPr="00724A4A" w:rsidR="009148FB" w:rsidP="00030AE3" w:rsidRDefault="009148FB" w14:paraId="2A35723C" w14:textId="77777777">
      <w:pPr>
        <w:rPr>
          <w:sz w:val="14"/>
          <w:szCs w:val="14"/>
        </w:rPr>
      </w:pPr>
    </w:p>
    <w:tbl>
      <w:tblPr>
        <w:tblW w:w="6296" w:type="pct"/>
        <w:tblCellMar>
          <w:left w:w="70" w:type="dxa"/>
          <w:right w:w="70" w:type="dxa"/>
        </w:tblCellMar>
        <w:tblLook w:val="04A0" w:firstRow="1" w:lastRow="0" w:firstColumn="1" w:lastColumn="0" w:noHBand="0" w:noVBand="1"/>
      </w:tblPr>
      <w:tblGrid>
        <w:gridCol w:w="578"/>
        <w:gridCol w:w="1115"/>
        <w:gridCol w:w="1176"/>
        <w:gridCol w:w="957"/>
        <w:gridCol w:w="815"/>
        <w:gridCol w:w="883"/>
        <w:gridCol w:w="819"/>
        <w:gridCol w:w="887"/>
        <w:gridCol w:w="743"/>
        <w:gridCol w:w="820"/>
        <w:gridCol w:w="703"/>
      </w:tblGrid>
      <w:tr w:rsidRPr="00724A4A" w:rsidR="00FC73AD" w:rsidTr="00E85184" w14:paraId="41F4FCEC" w14:textId="77777777">
        <w:tc>
          <w:tcPr>
            <w:tcW w:w="3807" w:type="pct"/>
            <w:gridSpan w:val="8"/>
            <w:tcBorders>
              <w:top w:val="nil"/>
              <w:left w:val="nil"/>
              <w:bottom w:val="single" w:color="auto" w:sz="4" w:space="0"/>
              <w:right w:val="nil"/>
            </w:tcBorders>
            <w:noWrap/>
            <w:vAlign w:val="bottom"/>
            <w:hideMark/>
          </w:tcPr>
          <w:p w:rsidRPr="00724A4A" w:rsidR="00030AE3" w:rsidP="00B20234" w:rsidRDefault="00176BD2" w14:paraId="138A7EE6" w14:textId="3B416238">
            <w:pPr>
              <w:spacing w:line="240" w:lineRule="auto"/>
              <w:rPr>
                <w:rFonts w:eastAsia="Times New Roman" w:cs="Times New Roman"/>
                <w:sz w:val="14"/>
                <w:szCs w:val="14"/>
              </w:rPr>
            </w:pPr>
            <w:r w:rsidRPr="00724A4A">
              <w:rPr>
                <w:rFonts w:eastAsia="Times New Roman" w:cs="Calibri"/>
                <w:b/>
                <w:bCs/>
                <w:sz w:val="14"/>
                <w:szCs w:val="14"/>
              </w:rPr>
              <w:lastRenderedPageBreak/>
              <w:t>T</w:t>
            </w:r>
            <w:r w:rsidRPr="00724A4A" w:rsidR="00030AE3">
              <w:rPr>
                <w:rFonts w:eastAsia="Times New Roman" w:cs="Calibri"/>
                <w:b/>
                <w:bCs/>
                <w:sz w:val="14"/>
                <w:szCs w:val="14"/>
              </w:rPr>
              <w:t>abel 3: Verleende indexatie per fonds (in percentages) en cumulatieve indexatie</w:t>
            </w:r>
          </w:p>
        </w:tc>
        <w:tc>
          <w:tcPr>
            <w:tcW w:w="391" w:type="pct"/>
            <w:tcBorders>
              <w:top w:val="nil"/>
              <w:left w:val="nil"/>
              <w:bottom w:val="single" w:color="auto" w:sz="4" w:space="0"/>
              <w:right w:val="nil"/>
            </w:tcBorders>
            <w:noWrap/>
            <w:vAlign w:val="bottom"/>
            <w:hideMark/>
          </w:tcPr>
          <w:p w:rsidRPr="00724A4A" w:rsidR="00030AE3" w:rsidP="00B20234" w:rsidRDefault="00030AE3" w14:paraId="4332F587" w14:textId="77777777">
            <w:pPr>
              <w:spacing w:line="240" w:lineRule="auto"/>
              <w:rPr>
                <w:rFonts w:eastAsia="Times New Roman" w:cs="Times New Roman"/>
                <w:sz w:val="14"/>
                <w:szCs w:val="14"/>
              </w:rPr>
            </w:pPr>
          </w:p>
        </w:tc>
        <w:tc>
          <w:tcPr>
            <w:tcW w:w="432" w:type="pct"/>
            <w:tcBorders>
              <w:top w:val="nil"/>
              <w:left w:val="nil"/>
              <w:bottom w:val="single" w:color="auto" w:sz="4" w:space="0"/>
              <w:right w:val="nil"/>
            </w:tcBorders>
            <w:noWrap/>
            <w:vAlign w:val="bottom"/>
            <w:hideMark/>
          </w:tcPr>
          <w:p w:rsidRPr="00724A4A" w:rsidR="00030AE3" w:rsidP="00B20234" w:rsidRDefault="00030AE3" w14:paraId="150209D2" w14:textId="77777777">
            <w:pPr>
              <w:spacing w:line="240" w:lineRule="auto"/>
              <w:rPr>
                <w:rFonts w:eastAsia="Times New Roman" w:cs="Times New Roman"/>
                <w:sz w:val="14"/>
                <w:szCs w:val="14"/>
              </w:rPr>
            </w:pPr>
          </w:p>
        </w:tc>
        <w:tc>
          <w:tcPr>
            <w:tcW w:w="370" w:type="pct"/>
            <w:tcBorders>
              <w:top w:val="nil"/>
              <w:left w:val="nil"/>
              <w:bottom w:val="single" w:color="auto" w:sz="4" w:space="0"/>
              <w:right w:val="nil"/>
            </w:tcBorders>
            <w:noWrap/>
            <w:vAlign w:val="bottom"/>
            <w:hideMark/>
          </w:tcPr>
          <w:p w:rsidRPr="00724A4A" w:rsidR="00030AE3" w:rsidP="00B20234" w:rsidRDefault="00030AE3" w14:paraId="0A3F8599" w14:textId="77777777">
            <w:pPr>
              <w:spacing w:line="240" w:lineRule="auto"/>
              <w:rPr>
                <w:rFonts w:eastAsia="Times New Roman" w:cs="Times New Roman"/>
                <w:sz w:val="14"/>
                <w:szCs w:val="14"/>
              </w:rPr>
            </w:pPr>
          </w:p>
        </w:tc>
      </w:tr>
      <w:tr w:rsidRPr="00724A4A" w:rsidR="00B760E8" w:rsidTr="00E85184" w14:paraId="59602A19" w14:textId="77777777">
        <w:trPr>
          <w:trHeight w:val="227"/>
        </w:trPr>
        <w:tc>
          <w:tcPr>
            <w:tcW w:w="305" w:type="pct"/>
            <w:tcBorders>
              <w:top w:val="single" w:color="auto" w:sz="4" w:space="0"/>
              <w:left w:val="single" w:color="auto" w:sz="4" w:space="0"/>
              <w:bottom w:val="single" w:color="auto" w:sz="4" w:space="0"/>
              <w:right w:val="single" w:color="auto" w:sz="4" w:space="0"/>
            </w:tcBorders>
            <w:noWrap/>
            <w:vAlign w:val="bottom"/>
            <w:hideMark/>
          </w:tcPr>
          <w:p w:rsidRPr="00724A4A" w:rsidR="00030AE3" w:rsidP="00B20234" w:rsidRDefault="00030AE3" w14:paraId="6E97C85E" w14:textId="77777777">
            <w:pPr>
              <w:spacing w:line="240" w:lineRule="auto"/>
              <w:rPr>
                <w:rFonts w:eastAsia="Times New Roman" w:cs="Times New Roman"/>
                <w:sz w:val="14"/>
                <w:szCs w:val="14"/>
              </w:rPr>
            </w:pPr>
          </w:p>
        </w:tc>
        <w:tc>
          <w:tcPr>
            <w:tcW w:w="1206" w:type="pct"/>
            <w:gridSpan w:val="2"/>
            <w:tcBorders>
              <w:top w:val="single" w:color="auto" w:sz="4" w:space="0"/>
              <w:left w:val="single" w:color="auto" w:sz="4" w:space="0"/>
              <w:bottom w:val="single" w:color="auto" w:sz="4" w:space="0"/>
              <w:right w:val="single" w:color="auto" w:sz="4" w:space="0"/>
            </w:tcBorders>
            <w:noWrap/>
            <w:vAlign w:val="center"/>
            <w:hideMark/>
          </w:tcPr>
          <w:p w:rsidRPr="00724A4A" w:rsidR="00030AE3" w:rsidP="00E85184" w:rsidRDefault="00030AE3" w14:paraId="4FEEA7CC" w14:textId="77777777">
            <w:pPr>
              <w:spacing w:line="240" w:lineRule="auto"/>
              <w:jc w:val="center"/>
              <w:rPr>
                <w:rFonts w:eastAsia="Times New Roman" w:cs="Calibri"/>
                <w:b/>
                <w:bCs/>
                <w:sz w:val="14"/>
                <w:szCs w:val="14"/>
              </w:rPr>
            </w:pPr>
            <w:r w:rsidRPr="00724A4A">
              <w:rPr>
                <w:rFonts w:eastAsia="Times New Roman" w:cs="Calibri"/>
                <w:b/>
                <w:bCs/>
                <w:sz w:val="14"/>
                <w:szCs w:val="14"/>
              </w:rPr>
              <w:t>ABP</w:t>
            </w:r>
          </w:p>
        </w:tc>
        <w:tc>
          <w:tcPr>
            <w:tcW w:w="933" w:type="pct"/>
            <w:gridSpan w:val="2"/>
            <w:tcBorders>
              <w:top w:val="single" w:color="auto" w:sz="4" w:space="0"/>
              <w:left w:val="single" w:color="auto" w:sz="4" w:space="0"/>
              <w:bottom w:val="single" w:color="auto" w:sz="4" w:space="0"/>
              <w:right w:val="single" w:color="auto" w:sz="4" w:space="0"/>
            </w:tcBorders>
            <w:noWrap/>
            <w:vAlign w:val="center"/>
            <w:hideMark/>
          </w:tcPr>
          <w:p w:rsidRPr="00724A4A" w:rsidR="00030AE3" w:rsidP="00E85184" w:rsidRDefault="00030AE3" w14:paraId="11A81B72" w14:textId="77777777">
            <w:pPr>
              <w:spacing w:line="240" w:lineRule="auto"/>
              <w:jc w:val="center"/>
              <w:rPr>
                <w:rFonts w:eastAsia="Times New Roman" w:cs="Calibri"/>
                <w:b/>
                <w:bCs/>
                <w:sz w:val="14"/>
                <w:szCs w:val="14"/>
              </w:rPr>
            </w:pPr>
            <w:r w:rsidRPr="00724A4A">
              <w:rPr>
                <w:rFonts w:eastAsia="Times New Roman" w:cs="Calibri"/>
                <w:b/>
                <w:bCs/>
                <w:sz w:val="14"/>
                <w:szCs w:val="14"/>
              </w:rPr>
              <w:t>Bouw</w:t>
            </w:r>
          </w:p>
        </w:tc>
        <w:tc>
          <w:tcPr>
            <w:tcW w:w="896" w:type="pct"/>
            <w:gridSpan w:val="2"/>
            <w:tcBorders>
              <w:top w:val="single" w:color="auto" w:sz="4" w:space="0"/>
              <w:left w:val="single" w:color="auto" w:sz="4" w:space="0"/>
              <w:bottom w:val="single" w:color="auto" w:sz="4" w:space="0"/>
              <w:right w:val="single" w:color="auto" w:sz="4" w:space="0"/>
            </w:tcBorders>
            <w:noWrap/>
            <w:vAlign w:val="center"/>
            <w:hideMark/>
          </w:tcPr>
          <w:p w:rsidRPr="00724A4A" w:rsidR="00030AE3" w:rsidP="00E85184" w:rsidRDefault="00030AE3" w14:paraId="7931B230" w14:textId="77777777">
            <w:pPr>
              <w:spacing w:line="240" w:lineRule="auto"/>
              <w:jc w:val="center"/>
              <w:rPr>
                <w:rFonts w:eastAsia="Times New Roman" w:cs="Calibri"/>
                <w:b/>
                <w:bCs/>
                <w:sz w:val="14"/>
                <w:szCs w:val="14"/>
              </w:rPr>
            </w:pPr>
            <w:r w:rsidRPr="00724A4A">
              <w:rPr>
                <w:rFonts w:eastAsia="Times New Roman" w:cs="Calibri"/>
                <w:b/>
                <w:bCs/>
                <w:sz w:val="14"/>
                <w:szCs w:val="14"/>
              </w:rPr>
              <w:t>PME</w:t>
            </w:r>
          </w:p>
        </w:tc>
        <w:tc>
          <w:tcPr>
            <w:tcW w:w="857" w:type="pct"/>
            <w:gridSpan w:val="2"/>
            <w:tcBorders>
              <w:top w:val="single" w:color="auto" w:sz="4" w:space="0"/>
              <w:left w:val="single" w:color="auto" w:sz="4" w:space="0"/>
              <w:bottom w:val="single" w:color="auto" w:sz="4" w:space="0"/>
              <w:right w:val="single" w:color="auto" w:sz="4" w:space="0"/>
            </w:tcBorders>
            <w:noWrap/>
            <w:vAlign w:val="center"/>
            <w:hideMark/>
          </w:tcPr>
          <w:p w:rsidRPr="00724A4A" w:rsidR="00030AE3" w:rsidP="00E85184" w:rsidRDefault="00030AE3" w14:paraId="028DCA1C" w14:textId="77777777">
            <w:pPr>
              <w:spacing w:line="240" w:lineRule="auto"/>
              <w:jc w:val="center"/>
              <w:rPr>
                <w:rFonts w:eastAsia="Times New Roman" w:cs="Calibri"/>
                <w:b/>
                <w:bCs/>
                <w:sz w:val="14"/>
                <w:szCs w:val="14"/>
              </w:rPr>
            </w:pPr>
            <w:r w:rsidRPr="00724A4A">
              <w:rPr>
                <w:rFonts w:eastAsia="Times New Roman" w:cs="Calibri"/>
                <w:b/>
                <w:bCs/>
                <w:sz w:val="14"/>
                <w:szCs w:val="14"/>
              </w:rPr>
              <w:t>PMT</w:t>
            </w:r>
          </w:p>
        </w:tc>
        <w:tc>
          <w:tcPr>
            <w:tcW w:w="802" w:type="pct"/>
            <w:gridSpan w:val="2"/>
            <w:tcBorders>
              <w:top w:val="single" w:color="auto" w:sz="4" w:space="0"/>
              <w:left w:val="single" w:color="auto" w:sz="4" w:space="0"/>
              <w:bottom w:val="single" w:color="auto" w:sz="4" w:space="0"/>
              <w:right w:val="single" w:color="auto" w:sz="4" w:space="0"/>
            </w:tcBorders>
            <w:noWrap/>
            <w:vAlign w:val="center"/>
            <w:hideMark/>
          </w:tcPr>
          <w:p w:rsidRPr="00724A4A" w:rsidR="00030AE3" w:rsidP="00E85184" w:rsidRDefault="00030AE3" w14:paraId="148F5297" w14:textId="77777777">
            <w:pPr>
              <w:spacing w:line="240" w:lineRule="auto"/>
              <w:jc w:val="center"/>
              <w:rPr>
                <w:rFonts w:eastAsia="Times New Roman" w:cs="Calibri"/>
                <w:b/>
                <w:bCs/>
                <w:sz w:val="14"/>
                <w:szCs w:val="14"/>
              </w:rPr>
            </w:pPr>
            <w:r w:rsidRPr="00724A4A">
              <w:rPr>
                <w:rFonts w:eastAsia="Times New Roman" w:cs="Calibri"/>
                <w:b/>
                <w:bCs/>
                <w:sz w:val="14"/>
                <w:szCs w:val="14"/>
              </w:rPr>
              <w:t>PFZW</w:t>
            </w:r>
          </w:p>
        </w:tc>
      </w:tr>
      <w:tr w:rsidRPr="00724A4A" w:rsidR="00FC73AD" w:rsidTr="00E85184" w14:paraId="5D7117D6" w14:textId="77777777">
        <w:trPr>
          <w:trHeight w:val="227"/>
        </w:trPr>
        <w:tc>
          <w:tcPr>
            <w:tcW w:w="305" w:type="pct"/>
            <w:tcBorders>
              <w:top w:val="single" w:color="auto" w:sz="4" w:space="0"/>
              <w:left w:val="single" w:color="auto" w:sz="4" w:space="0"/>
              <w:bottom w:val="single" w:color="auto" w:sz="4" w:space="0"/>
              <w:right w:val="single" w:color="auto" w:sz="4" w:space="0"/>
            </w:tcBorders>
            <w:noWrap/>
            <w:hideMark/>
          </w:tcPr>
          <w:p w:rsidRPr="00724A4A" w:rsidR="00FC73AD" w:rsidP="00B20234" w:rsidRDefault="00FC73AD" w14:paraId="593BD740" w14:textId="77777777">
            <w:pPr>
              <w:spacing w:line="240" w:lineRule="auto"/>
              <w:jc w:val="center"/>
              <w:rPr>
                <w:rFonts w:eastAsia="Times New Roman" w:cs="Calibri"/>
                <w:b/>
                <w:bCs/>
                <w:sz w:val="14"/>
                <w:szCs w:val="14"/>
              </w:rPr>
            </w:pPr>
            <w:r w:rsidRPr="00724A4A">
              <w:rPr>
                <w:rFonts w:eastAsia="Times New Roman" w:cs="Calibri"/>
                <w:b/>
                <w:bCs/>
                <w:sz w:val="14"/>
                <w:szCs w:val="14"/>
              </w:rPr>
              <w:t>Jaar</w:t>
            </w:r>
          </w:p>
        </w:tc>
        <w:tc>
          <w:tcPr>
            <w:tcW w:w="587" w:type="pct"/>
            <w:tcBorders>
              <w:top w:val="single" w:color="auto" w:sz="4" w:space="0"/>
              <w:left w:val="nil"/>
              <w:bottom w:val="single" w:color="auto" w:sz="4" w:space="0"/>
              <w:right w:val="single" w:color="auto" w:sz="4" w:space="0"/>
            </w:tcBorders>
            <w:noWrap/>
            <w:vAlign w:val="center"/>
            <w:hideMark/>
          </w:tcPr>
          <w:p w:rsidRPr="00724A4A" w:rsidR="00FC73AD" w:rsidP="00E85184" w:rsidRDefault="00FC73AD" w14:paraId="4CB218C0" w14:textId="77777777">
            <w:pPr>
              <w:spacing w:line="240" w:lineRule="auto"/>
              <w:jc w:val="center"/>
              <w:rPr>
                <w:rFonts w:eastAsia="Times New Roman" w:cs="Calibri"/>
                <w:b/>
                <w:bCs/>
                <w:sz w:val="14"/>
                <w:szCs w:val="14"/>
              </w:rPr>
            </w:pPr>
            <w:r w:rsidRPr="00724A4A">
              <w:rPr>
                <w:rFonts w:eastAsia="Times New Roman" w:cs="Calibri"/>
                <w:b/>
                <w:bCs/>
                <w:sz w:val="14"/>
                <w:szCs w:val="14"/>
              </w:rPr>
              <w:t>Groei</w:t>
            </w:r>
          </w:p>
        </w:tc>
        <w:tc>
          <w:tcPr>
            <w:tcW w:w="619" w:type="pct"/>
            <w:tcBorders>
              <w:top w:val="single" w:color="auto" w:sz="4" w:space="0"/>
              <w:left w:val="nil"/>
              <w:bottom w:val="single" w:color="auto" w:sz="4" w:space="0"/>
              <w:right w:val="single" w:color="auto" w:sz="4" w:space="0"/>
            </w:tcBorders>
            <w:vAlign w:val="center"/>
          </w:tcPr>
          <w:p w:rsidRPr="00724A4A" w:rsidR="00FC73AD" w:rsidP="00E85184" w:rsidRDefault="00FC73AD" w14:paraId="6D0D6787" w14:textId="7BCEEEF5">
            <w:pPr>
              <w:spacing w:line="240" w:lineRule="auto"/>
              <w:jc w:val="center"/>
              <w:rPr>
                <w:rFonts w:eastAsia="Times New Roman" w:cs="Calibri"/>
                <w:b/>
                <w:bCs/>
                <w:sz w:val="14"/>
                <w:szCs w:val="14"/>
              </w:rPr>
            </w:pPr>
            <w:r w:rsidRPr="00724A4A">
              <w:rPr>
                <w:rFonts w:eastAsia="Times New Roman" w:cs="Calibri"/>
                <w:b/>
                <w:bCs/>
                <w:sz w:val="14"/>
                <w:szCs w:val="14"/>
              </w:rPr>
              <w:t>Cum</w:t>
            </w:r>
            <w:r>
              <w:rPr>
                <w:rFonts w:eastAsia="Times New Roman" w:cs="Calibri"/>
                <w:b/>
                <w:bCs/>
                <w:sz w:val="14"/>
                <w:szCs w:val="14"/>
              </w:rPr>
              <w:t>.</w:t>
            </w:r>
          </w:p>
        </w:tc>
        <w:tc>
          <w:tcPr>
            <w:tcW w:w="504" w:type="pct"/>
            <w:tcBorders>
              <w:top w:val="single" w:color="auto" w:sz="4" w:space="0"/>
              <w:left w:val="nil"/>
              <w:bottom w:val="single" w:color="auto" w:sz="4" w:space="0"/>
              <w:right w:val="single" w:color="auto" w:sz="4" w:space="0"/>
            </w:tcBorders>
            <w:noWrap/>
            <w:vAlign w:val="center"/>
            <w:hideMark/>
          </w:tcPr>
          <w:p w:rsidRPr="00724A4A" w:rsidR="00FC73AD" w:rsidP="00E85184" w:rsidRDefault="00FC73AD" w14:paraId="36498846" w14:textId="77777777">
            <w:pPr>
              <w:spacing w:line="240" w:lineRule="auto"/>
              <w:jc w:val="center"/>
              <w:rPr>
                <w:rFonts w:eastAsia="Times New Roman" w:cs="Calibri"/>
                <w:b/>
                <w:bCs/>
                <w:sz w:val="14"/>
                <w:szCs w:val="14"/>
              </w:rPr>
            </w:pPr>
            <w:r w:rsidRPr="00724A4A">
              <w:rPr>
                <w:rFonts w:eastAsia="Times New Roman" w:cs="Calibri"/>
                <w:b/>
                <w:bCs/>
                <w:sz w:val="14"/>
                <w:szCs w:val="14"/>
              </w:rPr>
              <w:t>Groei</w:t>
            </w:r>
          </w:p>
        </w:tc>
        <w:tc>
          <w:tcPr>
            <w:tcW w:w="429" w:type="pct"/>
            <w:tcBorders>
              <w:top w:val="single" w:color="auto" w:sz="4" w:space="0"/>
              <w:left w:val="nil"/>
              <w:bottom w:val="single" w:color="auto" w:sz="4" w:space="0"/>
              <w:right w:val="single" w:color="auto" w:sz="4" w:space="0"/>
            </w:tcBorders>
            <w:noWrap/>
            <w:vAlign w:val="center"/>
            <w:hideMark/>
          </w:tcPr>
          <w:p w:rsidRPr="00724A4A" w:rsidR="00FC73AD" w:rsidP="00E85184" w:rsidRDefault="00FC73AD" w14:paraId="3DFDC45D" w14:textId="0A9A9AF1">
            <w:pPr>
              <w:spacing w:line="240" w:lineRule="auto"/>
              <w:jc w:val="center"/>
              <w:rPr>
                <w:rFonts w:eastAsia="Times New Roman" w:cs="Calibri"/>
                <w:b/>
                <w:bCs/>
                <w:sz w:val="14"/>
                <w:szCs w:val="14"/>
              </w:rPr>
            </w:pPr>
            <w:r w:rsidRPr="00724A4A">
              <w:rPr>
                <w:rFonts w:eastAsia="Times New Roman" w:cs="Calibri"/>
                <w:b/>
                <w:bCs/>
                <w:sz w:val="14"/>
                <w:szCs w:val="14"/>
              </w:rPr>
              <w:t>Cum</w:t>
            </w:r>
            <w:r>
              <w:rPr>
                <w:rFonts w:eastAsia="Times New Roman" w:cs="Calibri"/>
                <w:b/>
                <w:bCs/>
                <w:sz w:val="14"/>
                <w:szCs w:val="14"/>
              </w:rPr>
              <w:t>.</w:t>
            </w:r>
          </w:p>
        </w:tc>
        <w:tc>
          <w:tcPr>
            <w:tcW w:w="465" w:type="pct"/>
            <w:tcBorders>
              <w:top w:val="single" w:color="auto" w:sz="4" w:space="0"/>
              <w:left w:val="nil"/>
              <w:bottom w:val="single" w:color="auto" w:sz="4" w:space="0"/>
              <w:right w:val="single" w:color="auto" w:sz="4" w:space="0"/>
            </w:tcBorders>
            <w:noWrap/>
            <w:vAlign w:val="center"/>
            <w:hideMark/>
          </w:tcPr>
          <w:p w:rsidRPr="00724A4A" w:rsidR="00FC73AD" w:rsidP="00E85184" w:rsidRDefault="00FC73AD" w14:paraId="4B6302F2" w14:textId="77777777">
            <w:pPr>
              <w:spacing w:line="240" w:lineRule="auto"/>
              <w:jc w:val="center"/>
              <w:rPr>
                <w:rFonts w:eastAsia="Times New Roman" w:cs="Calibri"/>
                <w:b/>
                <w:bCs/>
                <w:sz w:val="14"/>
                <w:szCs w:val="14"/>
              </w:rPr>
            </w:pPr>
            <w:r w:rsidRPr="00724A4A">
              <w:rPr>
                <w:rFonts w:eastAsia="Times New Roman" w:cs="Calibri"/>
                <w:b/>
                <w:bCs/>
                <w:sz w:val="14"/>
                <w:szCs w:val="14"/>
              </w:rPr>
              <w:t>Groei</w:t>
            </w:r>
          </w:p>
        </w:tc>
        <w:tc>
          <w:tcPr>
            <w:tcW w:w="431" w:type="pct"/>
            <w:tcBorders>
              <w:top w:val="single" w:color="auto" w:sz="4" w:space="0"/>
              <w:left w:val="nil"/>
              <w:bottom w:val="single" w:color="auto" w:sz="4" w:space="0"/>
              <w:right w:val="single" w:color="auto" w:sz="4" w:space="0"/>
            </w:tcBorders>
            <w:noWrap/>
            <w:vAlign w:val="center"/>
            <w:hideMark/>
          </w:tcPr>
          <w:p w:rsidRPr="00724A4A" w:rsidR="00FC73AD" w:rsidP="00E85184" w:rsidRDefault="00FC73AD" w14:paraId="3074CB9E" w14:textId="1669464A">
            <w:pPr>
              <w:spacing w:line="240" w:lineRule="auto"/>
              <w:jc w:val="center"/>
              <w:rPr>
                <w:rFonts w:eastAsia="Times New Roman" w:cs="Calibri"/>
                <w:b/>
                <w:bCs/>
                <w:sz w:val="14"/>
                <w:szCs w:val="14"/>
              </w:rPr>
            </w:pPr>
            <w:r w:rsidRPr="00724A4A">
              <w:rPr>
                <w:rFonts w:eastAsia="Times New Roman" w:cs="Calibri"/>
                <w:b/>
                <w:bCs/>
                <w:sz w:val="14"/>
                <w:szCs w:val="14"/>
              </w:rPr>
              <w:t>Cum</w:t>
            </w:r>
            <w:r>
              <w:rPr>
                <w:rFonts w:eastAsia="Times New Roman" w:cs="Calibri"/>
                <w:b/>
                <w:bCs/>
                <w:sz w:val="14"/>
                <w:szCs w:val="14"/>
              </w:rPr>
              <w:t>.</w:t>
            </w:r>
          </w:p>
        </w:tc>
        <w:tc>
          <w:tcPr>
            <w:tcW w:w="466" w:type="pct"/>
            <w:tcBorders>
              <w:top w:val="single" w:color="auto" w:sz="4" w:space="0"/>
              <w:left w:val="nil"/>
              <w:bottom w:val="single" w:color="auto" w:sz="4" w:space="0"/>
              <w:right w:val="single" w:color="auto" w:sz="4" w:space="0"/>
            </w:tcBorders>
            <w:noWrap/>
            <w:vAlign w:val="center"/>
            <w:hideMark/>
          </w:tcPr>
          <w:p w:rsidRPr="00724A4A" w:rsidR="00FC73AD" w:rsidP="00E85184" w:rsidRDefault="00FC73AD" w14:paraId="0BB42DBD" w14:textId="77777777">
            <w:pPr>
              <w:spacing w:line="240" w:lineRule="auto"/>
              <w:jc w:val="center"/>
              <w:rPr>
                <w:rFonts w:eastAsia="Times New Roman" w:cs="Calibri"/>
                <w:b/>
                <w:bCs/>
                <w:sz w:val="14"/>
                <w:szCs w:val="14"/>
              </w:rPr>
            </w:pPr>
            <w:r w:rsidRPr="00724A4A">
              <w:rPr>
                <w:rFonts w:eastAsia="Times New Roman" w:cs="Calibri"/>
                <w:b/>
                <w:bCs/>
                <w:sz w:val="14"/>
                <w:szCs w:val="14"/>
              </w:rPr>
              <w:t>Groei</w:t>
            </w:r>
          </w:p>
        </w:tc>
        <w:tc>
          <w:tcPr>
            <w:tcW w:w="391" w:type="pct"/>
            <w:tcBorders>
              <w:top w:val="single" w:color="auto" w:sz="4" w:space="0"/>
              <w:left w:val="nil"/>
              <w:bottom w:val="single" w:color="auto" w:sz="4" w:space="0"/>
              <w:right w:val="single" w:color="auto" w:sz="4" w:space="0"/>
            </w:tcBorders>
            <w:noWrap/>
            <w:vAlign w:val="center"/>
            <w:hideMark/>
          </w:tcPr>
          <w:p w:rsidRPr="00724A4A" w:rsidR="00FC73AD" w:rsidP="00E85184" w:rsidRDefault="00FC73AD" w14:paraId="1A4B6E20" w14:textId="070827FA">
            <w:pPr>
              <w:spacing w:line="240" w:lineRule="auto"/>
              <w:jc w:val="center"/>
              <w:rPr>
                <w:rFonts w:eastAsia="Times New Roman" w:cs="Calibri"/>
                <w:b/>
                <w:bCs/>
                <w:sz w:val="14"/>
                <w:szCs w:val="14"/>
              </w:rPr>
            </w:pPr>
            <w:r w:rsidRPr="00724A4A">
              <w:rPr>
                <w:rFonts w:eastAsia="Times New Roman" w:cs="Calibri"/>
                <w:b/>
                <w:bCs/>
                <w:sz w:val="14"/>
                <w:szCs w:val="14"/>
              </w:rPr>
              <w:t>Cum</w:t>
            </w:r>
            <w:r>
              <w:rPr>
                <w:rFonts w:eastAsia="Times New Roman" w:cs="Calibri"/>
                <w:b/>
                <w:bCs/>
                <w:sz w:val="14"/>
                <w:szCs w:val="14"/>
              </w:rPr>
              <w:t>.</w:t>
            </w:r>
          </w:p>
        </w:tc>
        <w:tc>
          <w:tcPr>
            <w:tcW w:w="432" w:type="pct"/>
            <w:tcBorders>
              <w:top w:val="single" w:color="auto" w:sz="4" w:space="0"/>
              <w:left w:val="nil"/>
              <w:bottom w:val="single" w:color="auto" w:sz="4" w:space="0"/>
              <w:right w:val="single" w:color="auto" w:sz="4" w:space="0"/>
            </w:tcBorders>
            <w:noWrap/>
            <w:vAlign w:val="center"/>
            <w:hideMark/>
          </w:tcPr>
          <w:p w:rsidRPr="00724A4A" w:rsidR="00FC73AD" w:rsidP="00E85184" w:rsidRDefault="00FC73AD" w14:paraId="5ACC7985" w14:textId="77777777">
            <w:pPr>
              <w:spacing w:line="240" w:lineRule="auto"/>
              <w:jc w:val="center"/>
              <w:rPr>
                <w:rFonts w:eastAsia="Times New Roman" w:cs="Calibri"/>
                <w:b/>
                <w:bCs/>
                <w:sz w:val="14"/>
                <w:szCs w:val="14"/>
              </w:rPr>
            </w:pPr>
            <w:r w:rsidRPr="00724A4A">
              <w:rPr>
                <w:rFonts w:eastAsia="Times New Roman" w:cs="Calibri"/>
                <w:b/>
                <w:bCs/>
                <w:sz w:val="14"/>
                <w:szCs w:val="14"/>
              </w:rPr>
              <w:t>Groei</w:t>
            </w:r>
          </w:p>
        </w:tc>
        <w:tc>
          <w:tcPr>
            <w:tcW w:w="370" w:type="pct"/>
            <w:tcBorders>
              <w:top w:val="single" w:color="auto" w:sz="4" w:space="0"/>
              <w:left w:val="nil"/>
              <w:bottom w:val="single" w:color="auto" w:sz="4" w:space="0"/>
              <w:right w:val="single" w:color="auto" w:sz="4" w:space="0"/>
            </w:tcBorders>
            <w:noWrap/>
            <w:vAlign w:val="center"/>
            <w:hideMark/>
          </w:tcPr>
          <w:p w:rsidRPr="00724A4A" w:rsidR="00FC73AD" w:rsidP="00E85184" w:rsidRDefault="00FC73AD" w14:paraId="715ED07C" w14:textId="104F26D7">
            <w:pPr>
              <w:spacing w:line="240" w:lineRule="auto"/>
              <w:jc w:val="center"/>
              <w:rPr>
                <w:rFonts w:eastAsia="Times New Roman" w:cs="Calibri"/>
                <w:b/>
                <w:bCs/>
                <w:sz w:val="14"/>
                <w:szCs w:val="14"/>
              </w:rPr>
            </w:pPr>
            <w:r w:rsidRPr="00724A4A">
              <w:rPr>
                <w:rFonts w:eastAsia="Times New Roman" w:cs="Calibri"/>
                <w:b/>
                <w:bCs/>
                <w:sz w:val="14"/>
                <w:szCs w:val="14"/>
              </w:rPr>
              <w:t>Cum</w:t>
            </w:r>
            <w:r>
              <w:rPr>
                <w:rFonts w:eastAsia="Times New Roman" w:cs="Calibri"/>
                <w:b/>
                <w:bCs/>
                <w:sz w:val="14"/>
                <w:szCs w:val="14"/>
              </w:rPr>
              <w:t>.</w:t>
            </w:r>
          </w:p>
        </w:tc>
      </w:tr>
      <w:tr w:rsidRPr="00724A4A" w:rsidR="00E85184" w:rsidTr="00E85184" w14:paraId="45FA3E4E" w14:textId="77777777">
        <w:trPr>
          <w:trHeight w:val="227"/>
        </w:trPr>
        <w:tc>
          <w:tcPr>
            <w:tcW w:w="305" w:type="pct"/>
            <w:tcBorders>
              <w:top w:val="single" w:color="auto" w:sz="4" w:space="0"/>
              <w:left w:val="single" w:color="auto" w:sz="4" w:space="0"/>
              <w:bottom w:val="single" w:color="auto" w:sz="4" w:space="0"/>
              <w:right w:val="single" w:color="auto" w:sz="4" w:space="0"/>
            </w:tcBorders>
            <w:noWrap/>
            <w:vAlign w:val="bottom"/>
            <w:hideMark/>
          </w:tcPr>
          <w:p w:rsidRPr="00724A4A" w:rsidR="00030AE3" w:rsidP="00B20234" w:rsidRDefault="00030AE3" w14:paraId="56AC5112" w14:textId="77777777">
            <w:pPr>
              <w:spacing w:line="240" w:lineRule="auto"/>
              <w:jc w:val="center"/>
              <w:rPr>
                <w:rFonts w:eastAsia="Times New Roman" w:cs="Calibri"/>
                <w:sz w:val="14"/>
                <w:szCs w:val="14"/>
              </w:rPr>
            </w:pPr>
            <w:r w:rsidRPr="00724A4A">
              <w:rPr>
                <w:rFonts w:eastAsia="Times New Roman" w:cs="Calibri"/>
                <w:sz w:val="14"/>
                <w:szCs w:val="14"/>
              </w:rPr>
              <w:t>2013</w:t>
            </w:r>
          </w:p>
        </w:tc>
        <w:tc>
          <w:tcPr>
            <w:tcW w:w="587"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BAF01B2"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61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73E0E18D"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504"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539E0E7" w14:textId="77777777">
            <w:pPr>
              <w:spacing w:line="240" w:lineRule="auto"/>
              <w:jc w:val="center"/>
              <w:rPr>
                <w:rFonts w:eastAsia="Times New Roman" w:cs="Calibri"/>
                <w:sz w:val="14"/>
                <w:szCs w:val="14"/>
              </w:rPr>
            </w:pPr>
            <w:r w:rsidRPr="00724A4A">
              <w:rPr>
                <w:rFonts w:eastAsia="Times New Roman" w:cs="Calibri"/>
                <w:sz w:val="14"/>
                <w:szCs w:val="14"/>
              </w:rPr>
              <w:t> </w:t>
            </w:r>
          </w:p>
        </w:tc>
        <w:tc>
          <w:tcPr>
            <w:tcW w:w="42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6875A900"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465"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4E14FDA" w14:textId="77777777">
            <w:pPr>
              <w:spacing w:line="240" w:lineRule="auto"/>
              <w:jc w:val="center"/>
              <w:rPr>
                <w:rFonts w:eastAsia="Times New Roman" w:cs="Calibri"/>
                <w:sz w:val="14"/>
                <w:szCs w:val="14"/>
              </w:rPr>
            </w:pPr>
            <w:r w:rsidRPr="00724A4A">
              <w:rPr>
                <w:rFonts w:eastAsia="Times New Roman" w:cs="Calibri"/>
                <w:sz w:val="14"/>
                <w:szCs w:val="14"/>
              </w:rPr>
              <w:t> </w:t>
            </w:r>
          </w:p>
        </w:tc>
        <w:tc>
          <w:tcPr>
            <w:tcW w:w="43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52C1126B"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466"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53EC83DD" w14:textId="77777777">
            <w:pPr>
              <w:spacing w:line="240" w:lineRule="auto"/>
              <w:jc w:val="center"/>
              <w:rPr>
                <w:rFonts w:eastAsia="Times New Roman" w:cs="Calibri"/>
                <w:sz w:val="14"/>
                <w:szCs w:val="14"/>
              </w:rPr>
            </w:pPr>
            <w:r w:rsidRPr="00724A4A">
              <w:rPr>
                <w:rFonts w:eastAsia="Times New Roman" w:cs="Calibri"/>
                <w:sz w:val="14"/>
                <w:szCs w:val="14"/>
              </w:rPr>
              <w:t> </w:t>
            </w:r>
          </w:p>
        </w:tc>
        <w:tc>
          <w:tcPr>
            <w:tcW w:w="39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38B8BD4"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432"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B8015FE" w14:textId="77777777">
            <w:pPr>
              <w:spacing w:line="240" w:lineRule="auto"/>
              <w:jc w:val="center"/>
              <w:rPr>
                <w:rFonts w:eastAsia="Times New Roman" w:cs="Calibri"/>
                <w:sz w:val="14"/>
                <w:szCs w:val="14"/>
              </w:rPr>
            </w:pPr>
            <w:r w:rsidRPr="00724A4A">
              <w:rPr>
                <w:rFonts w:eastAsia="Times New Roman" w:cs="Calibri"/>
                <w:sz w:val="14"/>
                <w:szCs w:val="14"/>
              </w:rPr>
              <w:t> </w:t>
            </w:r>
          </w:p>
        </w:tc>
        <w:tc>
          <w:tcPr>
            <w:tcW w:w="370"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4BD859CF" w14:textId="77777777">
            <w:pPr>
              <w:spacing w:line="240" w:lineRule="auto"/>
              <w:jc w:val="center"/>
              <w:rPr>
                <w:rFonts w:eastAsia="Times New Roman" w:cs="Calibri"/>
                <w:sz w:val="14"/>
                <w:szCs w:val="14"/>
              </w:rPr>
            </w:pPr>
            <w:r w:rsidRPr="00724A4A">
              <w:rPr>
                <w:rFonts w:eastAsia="Times New Roman" w:cs="Calibri"/>
                <w:sz w:val="14"/>
                <w:szCs w:val="14"/>
              </w:rPr>
              <w:t>100,0</w:t>
            </w:r>
          </w:p>
        </w:tc>
      </w:tr>
      <w:tr w:rsidRPr="00724A4A" w:rsidR="00E85184" w:rsidTr="00E85184" w14:paraId="394E13B5" w14:textId="77777777">
        <w:trPr>
          <w:trHeight w:val="227"/>
        </w:trPr>
        <w:tc>
          <w:tcPr>
            <w:tcW w:w="305" w:type="pct"/>
            <w:tcBorders>
              <w:top w:val="single" w:color="auto" w:sz="4" w:space="0"/>
              <w:left w:val="single" w:color="auto" w:sz="4" w:space="0"/>
              <w:bottom w:val="single" w:color="auto" w:sz="4" w:space="0"/>
              <w:right w:val="single" w:color="auto" w:sz="4" w:space="0"/>
            </w:tcBorders>
            <w:noWrap/>
            <w:vAlign w:val="bottom"/>
            <w:hideMark/>
          </w:tcPr>
          <w:p w:rsidRPr="00724A4A" w:rsidR="00030AE3" w:rsidP="00B20234" w:rsidRDefault="00030AE3" w14:paraId="2C350397" w14:textId="77777777">
            <w:pPr>
              <w:spacing w:line="240" w:lineRule="auto"/>
              <w:jc w:val="center"/>
              <w:rPr>
                <w:rFonts w:eastAsia="Times New Roman" w:cs="Calibri"/>
                <w:sz w:val="14"/>
                <w:szCs w:val="14"/>
              </w:rPr>
            </w:pPr>
            <w:r w:rsidRPr="00724A4A">
              <w:rPr>
                <w:rFonts w:eastAsia="Times New Roman" w:cs="Calibri"/>
                <w:sz w:val="14"/>
                <w:szCs w:val="14"/>
              </w:rPr>
              <w:t>2014</w:t>
            </w:r>
          </w:p>
        </w:tc>
        <w:tc>
          <w:tcPr>
            <w:tcW w:w="587"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8D775C0"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61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4CCCFB93"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504"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6EDC1269" w14:textId="77777777">
            <w:pPr>
              <w:spacing w:line="240" w:lineRule="auto"/>
              <w:jc w:val="center"/>
              <w:rPr>
                <w:rFonts w:eastAsia="Times New Roman" w:cs="Calibri"/>
                <w:sz w:val="14"/>
                <w:szCs w:val="14"/>
              </w:rPr>
            </w:pPr>
            <w:r w:rsidRPr="00724A4A">
              <w:rPr>
                <w:rFonts w:eastAsia="Times New Roman" w:cs="Calibri"/>
                <w:sz w:val="14"/>
                <w:szCs w:val="14"/>
              </w:rPr>
              <w:t>0,2</w:t>
            </w:r>
          </w:p>
        </w:tc>
        <w:tc>
          <w:tcPr>
            <w:tcW w:w="42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BBB4873" w14:textId="77777777">
            <w:pPr>
              <w:spacing w:line="240" w:lineRule="auto"/>
              <w:jc w:val="center"/>
              <w:rPr>
                <w:rFonts w:eastAsia="Times New Roman" w:cs="Calibri"/>
                <w:sz w:val="14"/>
                <w:szCs w:val="14"/>
              </w:rPr>
            </w:pPr>
            <w:r w:rsidRPr="00724A4A">
              <w:rPr>
                <w:rFonts w:eastAsia="Times New Roman" w:cs="Calibri"/>
                <w:sz w:val="14"/>
                <w:szCs w:val="14"/>
              </w:rPr>
              <w:t>100,2</w:t>
            </w:r>
          </w:p>
        </w:tc>
        <w:tc>
          <w:tcPr>
            <w:tcW w:w="465"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AD71276"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43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7EBF291"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466"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51C552E8" w14:textId="77777777">
            <w:pPr>
              <w:spacing w:line="240" w:lineRule="auto"/>
              <w:jc w:val="center"/>
              <w:rPr>
                <w:rFonts w:eastAsia="Times New Roman" w:cs="Calibri"/>
                <w:sz w:val="14"/>
                <w:szCs w:val="14"/>
              </w:rPr>
            </w:pPr>
            <w:r w:rsidRPr="00724A4A">
              <w:rPr>
                <w:rFonts w:eastAsia="Times New Roman" w:cs="Calibri"/>
                <w:sz w:val="14"/>
                <w:szCs w:val="14"/>
              </w:rPr>
              <w:t>-0,4</w:t>
            </w:r>
          </w:p>
        </w:tc>
        <w:tc>
          <w:tcPr>
            <w:tcW w:w="39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A0A6AE5" w14:textId="77777777">
            <w:pPr>
              <w:spacing w:line="240" w:lineRule="auto"/>
              <w:jc w:val="center"/>
              <w:rPr>
                <w:rFonts w:eastAsia="Times New Roman" w:cs="Calibri"/>
                <w:sz w:val="14"/>
                <w:szCs w:val="14"/>
              </w:rPr>
            </w:pPr>
            <w:r w:rsidRPr="00724A4A">
              <w:rPr>
                <w:rFonts w:eastAsia="Times New Roman" w:cs="Calibri"/>
                <w:sz w:val="14"/>
                <w:szCs w:val="14"/>
              </w:rPr>
              <w:t>99,6</w:t>
            </w:r>
          </w:p>
        </w:tc>
        <w:tc>
          <w:tcPr>
            <w:tcW w:w="432"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CB39A27"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70"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12D7E2B" w14:textId="77777777">
            <w:pPr>
              <w:spacing w:line="240" w:lineRule="auto"/>
              <w:jc w:val="center"/>
              <w:rPr>
                <w:rFonts w:eastAsia="Times New Roman" w:cs="Calibri"/>
                <w:sz w:val="14"/>
                <w:szCs w:val="14"/>
              </w:rPr>
            </w:pPr>
            <w:r w:rsidRPr="00724A4A">
              <w:rPr>
                <w:rFonts w:eastAsia="Times New Roman" w:cs="Calibri"/>
                <w:sz w:val="14"/>
                <w:szCs w:val="14"/>
              </w:rPr>
              <w:t>100,0</w:t>
            </w:r>
          </w:p>
        </w:tc>
      </w:tr>
      <w:tr w:rsidRPr="00724A4A" w:rsidR="00E85184" w:rsidTr="00E85184" w14:paraId="1E14C0B6" w14:textId="77777777">
        <w:trPr>
          <w:trHeight w:val="227"/>
        </w:trPr>
        <w:tc>
          <w:tcPr>
            <w:tcW w:w="305" w:type="pct"/>
            <w:tcBorders>
              <w:top w:val="single" w:color="auto" w:sz="4" w:space="0"/>
              <w:left w:val="single" w:color="auto" w:sz="4" w:space="0"/>
              <w:bottom w:val="single" w:color="auto" w:sz="4" w:space="0"/>
              <w:right w:val="single" w:color="auto" w:sz="4" w:space="0"/>
            </w:tcBorders>
            <w:noWrap/>
            <w:vAlign w:val="bottom"/>
            <w:hideMark/>
          </w:tcPr>
          <w:p w:rsidRPr="00724A4A" w:rsidR="00030AE3" w:rsidP="00B20234" w:rsidRDefault="00030AE3" w14:paraId="0356E9AA" w14:textId="77777777">
            <w:pPr>
              <w:spacing w:line="240" w:lineRule="auto"/>
              <w:jc w:val="center"/>
              <w:rPr>
                <w:rFonts w:eastAsia="Times New Roman" w:cs="Calibri"/>
                <w:sz w:val="14"/>
                <w:szCs w:val="14"/>
              </w:rPr>
            </w:pPr>
            <w:r w:rsidRPr="00724A4A">
              <w:rPr>
                <w:rFonts w:eastAsia="Times New Roman" w:cs="Calibri"/>
                <w:sz w:val="14"/>
                <w:szCs w:val="14"/>
              </w:rPr>
              <w:t>2015</w:t>
            </w:r>
          </w:p>
        </w:tc>
        <w:tc>
          <w:tcPr>
            <w:tcW w:w="587"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84EC93E"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61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418B28FD"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504"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2B0471B"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42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FA49E71" w14:textId="77777777">
            <w:pPr>
              <w:spacing w:line="240" w:lineRule="auto"/>
              <w:jc w:val="center"/>
              <w:rPr>
                <w:rFonts w:eastAsia="Times New Roman" w:cs="Calibri"/>
                <w:sz w:val="14"/>
                <w:szCs w:val="14"/>
              </w:rPr>
            </w:pPr>
            <w:r w:rsidRPr="00724A4A">
              <w:rPr>
                <w:rFonts w:eastAsia="Times New Roman" w:cs="Calibri"/>
                <w:sz w:val="14"/>
                <w:szCs w:val="14"/>
              </w:rPr>
              <w:t>100,2</w:t>
            </w:r>
          </w:p>
        </w:tc>
        <w:tc>
          <w:tcPr>
            <w:tcW w:w="465"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95F2167"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43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19149C8"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466"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DC83D93"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9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55EEE18E" w14:textId="77777777">
            <w:pPr>
              <w:spacing w:line="240" w:lineRule="auto"/>
              <w:jc w:val="center"/>
              <w:rPr>
                <w:rFonts w:eastAsia="Times New Roman" w:cs="Calibri"/>
                <w:sz w:val="14"/>
                <w:szCs w:val="14"/>
              </w:rPr>
            </w:pPr>
            <w:r w:rsidRPr="00724A4A">
              <w:rPr>
                <w:rFonts w:eastAsia="Times New Roman" w:cs="Calibri"/>
                <w:sz w:val="14"/>
                <w:szCs w:val="14"/>
              </w:rPr>
              <w:t>99,6</w:t>
            </w:r>
          </w:p>
        </w:tc>
        <w:tc>
          <w:tcPr>
            <w:tcW w:w="432"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484FE46B"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70"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BFAC2ED" w14:textId="77777777">
            <w:pPr>
              <w:spacing w:line="240" w:lineRule="auto"/>
              <w:jc w:val="center"/>
              <w:rPr>
                <w:rFonts w:eastAsia="Times New Roman" w:cs="Calibri"/>
                <w:sz w:val="14"/>
                <w:szCs w:val="14"/>
              </w:rPr>
            </w:pPr>
            <w:r w:rsidRPr="00724A4A">
              <w:rPr>
                <w:rFonts w:eastAsia="Times New Roman" w:cs="Calibri"/>
                <w:sz w:val="14"/>
                <w:szCs w:val="14"/>
              </w:rPr>
              <w:t>100,0</w:t>
            </w:r>
          </w:p>
        </w:tc>
      </w:tr>
      <w:tr w:rsidRPr="00724A4A" w:rsidR="00E85184" w:rsidTr="00E85184" w14:paraId="06E58F2B" w14:textId="77777777">
        <w:trPr>
          <w:trHeight w:val="227"/>
        </w:trPr>
        <w:tc>
          <w:tcPr>
            <w:tcW w:w="305" w:type="pct"/>
            <w:tcBorders>
              <w:top w:val="single" w:color="auto" w:sz="4" w:space="0"/>
              <w:left w:val="single" w:color="auto" w:sz="4" w:space="0"/>
              <w:bottom w:val="single" w:color="auto" w:sz="4" w:space="0"/>
              <w:right w:val="single" w:color="auto" w:sz="4" w:space="0"/>
            </w:tcBorders>
            <w:noWrap/>
            <w:vAlign w:val="bottom"/>
            <w:hideMark/>
          </w:tcPr>
          <w:p w:rsidRPr="00724A4A" w:rsidR="00030AE3" w:rsidP="00B20234" w:rsidRDefault="00030AE3" w14:paraId="1D31CBF4" w14:textId="77777777">
            <w:pPr>
              <w:spacing w:line="240" w:lineRule="auto"/>
              <w:jc w:val="center"/>
              <w:rPr>
                <w:rFonts w:eastAsia="Times New Roman" w:cs="Calibri"/>
                <w:sz w:val="14"/>
                <w:szCs w:val="14"/>
              </w:rPr>
            </w:pPr>
            <w:r w:rsidRPr="00724A4A">
              <w:rPr>
                <w:rFonts w:eastAsia="Times New Roman" w:cs="Calibri"/>
                <w:sz w:val="14"/>
                <w:szCs w:val="14"/>
              </w:rPr>
              <w:t>2016</w:t>
            </w:r>
          </w:p>
        </w:tc>
        <w:tc>
          <w:tcPr>
            <w:tcW w:w="587"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A6A0E35"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61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71AFD46D"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504"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1755D40"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42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E871946" w14:textId="77777777">
            <w:pPr>
              <w:spacing w:line="240" w:lineRule="auto"/>
              <w:jc w:val="center"/>
              <w:rPr>
                <w:rFonts w:eastAsia="Times New Roman" w:cs="Calibri"/>
                <w:sz w:val="14"/>
                <w:szCs w:val="14"/>
              </w:rPr>
            </w:pPr>
            <w:r w:rsidRPr="00724A4A">
              <w:rPr>
                <w:rFonts w:eastAsia="Times New Roman" w:cs="Calibri"/>
                <w:sz w:val="14"/>
                <w:szCs w:val="14"/>
              </w:rPr>
              <w:t>100,2</w:t>
            </w:r>
          </w:p>
        </w:tc>
        <w:tc>
          <w:tcPr>
            <w:tcW w:w="465"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6FE14EAC"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43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1940353"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466"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6505980"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9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3864EE1" w14:textId="77777777">
            <w:pPr>
              <w:spacing w:line="240" w:lineRule="auto"/>
              <w:jc w:val="center"/>
              <w:rPr>
                <w:rFonts w:eastAsia="Times New Roman" w:cs="Calibri"/>
                <w:sz w:val="14"/>
                <w:szCs w:val="14"/>
              </w:rPr>
            </w:pPr>
            <w:r w:rsidRPr="00724A4A">
              <w:rPr>
                <w:rFonts w:eastAsia="Times New Roman" w:cs="Calibri"/>
                <w:sz w:val="14"/>
                <w:szCs w:val="14"/>
              </w:rPr>
              <w:t>99,6</w:t>
            </w:r>
          </w:p>
        </w:tc>
        <w:tc>
          <w:tcPr>
            <w:tcW w:w="432"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728CDD3C"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70"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1103C49" w14:textId="77777777">
            <w:pPr>
              <w:spacing w:line="240" w:lineRule="auto"/>
              <w:jc w:val="center"/>
              <w:rPr>
                <w:rFonts w:eastAsia="Times New Roman" w:cs="Calibri"/>
                <w:sz w:val="14"/>
                <w:szCs w:val="14"/>
              </w:rPr>
            </w:pPr>
            <w:r w:rsidRPr="00724A4A">
              <w:rPr>
                <w:rFonts w:eastAsia="Times New Roman" w:cs="Calibri"/>
                <w:sz w:val="14"/>
                <w:szCs w:val="14"/>
              </w:rPr>
              <w:t>100,0</w:t>
            </w:r>
          </w:p>
        </w:tc>
      </w:tr>
      <w:tr w:rsidRPr="00724A4A" w:rsidR="00E85184" w:rsidTr="00E85184" w14:paraId="20CF35C2" w14:textId="77777777">
        <w:trPr>
          <w:trHeight w:val="227"/>
        </w:trPr>
        <w:tc>
          <w:tcPr>
            <w:tcW w:w="305" w:type="pct"/>
            <w:tcBorders>
              <w:top w:val="single" w:color="auto" w:sz="4" w:space="0"/>
              <w:left w:val="single" w:color="auto" w:sz="4" w:space="0"/>
              <w:bottom w:val="single" w:color="auto" w:sz="4" w:space="0"/>
              <w:right w:val="single" w:color="auto" w:sz="4" w:space="0"/>
            </w:tcBorders>
            <w:noWrap/>
            <w:vAlign w:val="bottom"/>
            <w:hideMark/>
          </w:tcPr>
          <w:p w:rsidRPr="00724A4A" w:rsidR="00030AE3" w:rsidP="00B20234" w:rsidRDefault="00030AE3" w14:paraId="2FB22583" w14:textId="77777777">
            <w:pPr>
              <w:spacing w:line="240" w:lineRule="auto"/>
              <w:jc w:val="center"/>
              <w:rPr>
                <w:rFonts w:eastAsia="Times New Roman" w:cs="Calibri"/>
                <w:sz w:val="14"/>
                <w:szCs w:val="14"/>
              </w:rPr>
            </w:pPr>
            <w:r w:rsidRPr="00724A4A">
              <w:rPr>
                <w:rFonts w:eastAsia="Times New Roman" w:cs="Calibri"/>
                <w:sz w:val="14"/>
                <w:szCs w:val="14"/>
              </w:rPr>
              <w:t>2017</w:t>
            </w:r>
          </w:p>
        </w:tc>
        <w:tc>
          <w:tcPr>
            <w:tcW w:w="587"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6055D19A"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61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5756F7EE"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504"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E725062" w14:textId="77777777">
            <w:pPr>
              <w:spacing w:line="240" w:lineRule="auto"/>
              <w:jc w:val="center"/>
              <w:rPr>
                <w:rFonts w:eastAsia="Times New Roman" w:cs="Calibri"/>
                <w:sz w:val="14"/>
                <w:szCs w:val="14"/>
              </w:rPr>
            </w:pPr>
            <w:r w:rsidRPr="00724A4A">
              <w:rPr>
                <w:rFonts w:eastAsia="Times New Roman" w:cs="Calibri"/>
                <w:sz w:val="14"/>
                <w:szCs w:val="14"/>
              </w:rPr>
              <w:t>0,59</w:t>
            </w:r>
          </w:p>
        </w:tc>
        <w:tc>
          <w:tcPr>
            <w:tcW w:w="42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4282A129" w14:textId="77777777">
            <w:pPr>
              <w:spacing w:line="240" w:lineRule="auto"/>
              <w:jc w:val="center"/>
              <w:rPr>
                <w:rFonts w:eastAsia="Times New Roman" w:cs="Calibri"/>
                <w:sz w:val="14"/>
                <w:szCs w:val="14"/>
              </w:rPr>
            </w:pPr>
            <w:r w:rsidRPr="00724A4A">
              <w:rPr>
                <w:rFonts w:eastAsia="Times New Roman" w:cs="Calibri"/>
                <w:sz w:val="14"/>
                <w:szCs w:val="14"/>
              </w:rPr>
              <w:t>100,8</w:t>
            </w:r>
          </w:p>
        </w:tc>
        <w:tc>
          <w:tcPr>
            <w:tcW w:w="465"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86D6867"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43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84B0E57"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466"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4271C7B1"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9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206B1F6" w14:textId="77777777">
            <w:pPr>
              <w:spacing w:line="240" w:lineRule="auto"/>
              <w:jc w:val="center"/>
              <w:rPr>
                <w:rFonts w:eastAsia="Times New Roman" w:cs="Calibri"/>
                <w:sz w:val="14"/>
                <w:szCs w:val="14"/>
              </w:rPr>
            </w:pPr>
            <w:r w:rsidRPr="00724A4A">
              <w:rPr>
                <w:rFonts w:eastAsia="Times New Roman" w:cs="Calibri"/>
                <w:sz w:val="14"/>
                <w:szCs w:val="14"/>
              </w:rPr>
              <w:t>99,6</w:t>
            </w:r>
          </w:p>
        </w:tc>
        <w:tc>
          <w:tcPr>
            <w:tcW w:w="432"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75E5E9FA"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70"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04E2431" w14:textId="77777777">
            <w:pPr>
              <w:spacing w:line="240" w:lineRule="auto"/>
              <w:jc w:val="center"/>
              <w:rPr>
                <w:rFonts w:eastAsia="Times New Roman" w:cs="Calibri"/>
                <w:sz w:val="14"/>
                <w:szCs w:val="14"/>
              </w:rPr>
            </w:pPr>
            <w:r w:rsidRPr="00724A4A">
              <w:rPr>
                <w:rFonts w:eastAsia="Times New Roman" w:cs="Calibri"/>
                <w:sz w:val="14"/>
                <w:szCs w:val="14"/>
              </w:rPr>
              <w:t>100,0</w:t>
            </w:r>
          </w:p>
        </w:tc>
      </w:tr>
      <w:tr w:rsidRPr="00724A4A" w:rsidR="00E85184" w:rsidTr="00E85184" w14:paraId="12A91FE5" w14:textId="77777777">
        <w:trPr>
          <w:trHeight w:val="227"/>
        </w:trPr>
        <w:tc>
          <w:tcPr>
            <w:tcW w:w="305" w:type="pct"/>
            <w:tcBorders>
              <w:top w:val="single" w:color="auto" w:sz="4" w:space="0"/>
              <w:left w:val="single" w:color="auto" w:sz="4" w:space="0"/>
              <w:bottom w:val="single" w:color="auto" w:sz="4" w:space="0"/>
              <w:right w:val="single" w:color="auto" w:sz="4" w:space="0"/>
            </w:tcBorders>
            <w:noWrap/>
            <w:vAlign w:val="bottom"/>
            <w:hideMark/>
          </w:tcPr>
          <w:p w:rsidRPr="00724A4A" w:rsidR="00030AE3" w:rsidP="00B20234" w:rsidRDefault="00030AE3" w14:paraId="484E11AB" w14:textId="77777777">
            <w:pPr>
              <w:spacing w:line="240" w:lineRule="auto"/>
              <w:jc w:val="center"/>
              <w:rPr>
                <w:rFonts w:eastAsia="Times New Roman" w:cs="Calibri"/>
                <w:sz w:val="14"/>
                <w:szCs w:val="14"/>
              </w:rPr>
            </w:pPr>
            <w:r w:rsidRPr="00724A4A">
              <w:rPr>
                <w:rFonts w:eastAsia="Times New Roman" w:cs="Calibri"/>
                <w:sz w:val="14"/>
                <w:szCs w:val="14"/>
              </w:rPr>
              <w:t>2018</w:t>
            </w:r>
          </w:p>
        </w:tc>
        <w:tc>
          <w:tcPr>
            <w:tcW w:w="587"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76089DD1"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61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439B4CD1"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504"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7DECB5D" w14:textId="77777777">
            <w:pPr>
              <w:spacing w:line="240" w:lineRule="auto"/>
              <w:jc w:val="center"/>
              <w:rPr>
                <w:rFonts w:eastAsia="Times New Roman" w:cs="Calibri"/>
                <w:sz w:val="14"/>
                <w:szCs w:val="14"/>
              </w:rPr>
            </w:pPr>
            <w:r w:rsidRPr="00724A4A">
              <w:rPr>
                <w:rFonts w:eastAsia="Times New Roman" w:cs="Calibri"/>
                <w:sz w:val="14"/>
                <w:szCs w:val="14"/>
              </w:rPr>
              <w:t>1,07</w:t>
            </w:r>
          </w:p>
        </w:tc>
        <w:tc>
          <w:tcPr>
            <w:tcW w:w="42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792C75AA" w14:textId="77777777">
            <w:pPr>
              <w:spacing w:line="240" w:lineRule="auto"/>
              <w:jc w:val="center"/>
              <w:rPr>
                <w:rFonts w:eastAsia="Times New Roman" w:cs="Calibri"/>
                <w:sz w:val="14"/>
                <w:szCs w:val="14"/>
              </w:rPr>
            </w:pPr>
            <w:r w:rsidRPr="00724A4A">
              <w:rPr>
                <w:rFonts w:eastAsia="Times New Roman" w:cs="Calibri"/>
                <w:sz w:val="14"/>
                <w:szCs w:val="14"/>
              </w:rPr>
              <w:t>101,9</w:t>
            </w:r>
          </w:p>
        </w:tc>
        <w:tc>
          <w:tcPr>
            <w:tcW w:w="465"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9AAF484"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43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6E734C3C"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466"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5840834B"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9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DF9CADC" w14:textId="77777777">
            <w:pPr>
              <w:spacing w:line="240" w:lineRule="auto"/>
              <w:jc w:val="center"/>
              <w:rPr>
                <w:rFonts w:eastAsia="Times New Roman" w:cs="Calibri"/>
                <w:sz w:val="14"/>
                <w:szCs w:val="14"/>
              </w:rPr>
            </w:pPr>
            <w:r w:rsidRPr="00724A4A">
              <w:rPr>
                <w:rFonts w:eastAsia="Times New Roman" w:cs="Calibri"/>
                <w:sz w:val="14"/>
                <w:szCs w:val="14"/>
              </w:rPr>
              <w:t>99,6</w:t>
            </w:r>
          </w:p>
        </w:tc>
        <w:tc>
          <w:tcPr>
            <w:tcW w:w="432"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2E82201"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70"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E6D502A" w14:textId="77777777">
            <w:pPr>
              <w:spacing w:line="240" w:lineRule="auto"/>
              <w:jc w:val="center"/>
              <w:rPr>
                <w:rFonts w:eastAsia="Times New Roman" w:cs="Calibri"/>
                <w:sz w:val="14"/>
                <w:szCs w:val="14"/>
              </w:rPr>
            </w:pPr>
            <w:r w:rsidRPr="00724A4A">
              <w:rPr>
                <w:rFonts w:eastAsia="Times New Roman" w:cs="Calibri"/>
                <w:sz w:val="14"/>
                <w:szCs w:val="14"/>
              </w:rPr>
              <w:t>100,0</w:t>
            </w:r>
          </w:p>
        </w:tc>
      </w:tr>
      <w:tr w:rsidRPr="00724A4A" w:rsidR="00E85184" w:rsidTr="00E85184" w14:paraId="237AE292" w14:textId="77777777">
        <w:trPr>
          <w:trHeight w:val="227"/>
        </w:trPr>
        <w:tc>
          <w:tcPr>
            <w:tcW w:w="305" w:type="pct"/>
            <w:tcBorders>
              <w:top w:val="single" w:color="auto" w:sz="4" w:space="0"/>
              <w:left w:val="single" w:color="auto" w:sz="4" w:space="0"/>
              <w:bottom w:val="single" w:color="auto" w:sz="4" w:space="0"/>
              <w:right w:val="single" w:color="auto" w:sz="4" w:space="0"/>
            </w:tcBorders>
            <w:noWrap/>
            <w:vAlign w:val="bottom"/>
            <w:hideMark/>
          </w:tcPr>
          <w:p w:rsidRPr="00724A4A" w:rsidR="00030AE3" w:rsidP="00B20234" w:rsidRDefault="00030AE3" w14:paraId="7D39565A" w14:textId="77777777">
            <w:pPr>
              <w:spacing w:line="240" w:lineRule="auto"/>
              <w:jc w:val="center"/>
              <w:rPr>
                <w:rFonts w:eastAsia="Times New Roman" w:cs="Calibri"/>
                <w:sz w:val="14"/>
                <w:szCs w:val="14"/>
              </w:rPr>
            </w:pPr>
            <w:r w:rsidRPr="00724A4A">
              <w:rPr>
                <w:rFonts w:eastAsia="Times New Roman" w:cs="Calibri"/>
                <w:sz w:val="14"/>
                <w:szCs w:val="14"/>
              </w:rPr>
              <w:t>2019</w:t>
            </w:r>
          </w:p>
        </w:tc>
        <w:tc>
          <w:tcPr>
            <w:tcW w:w="587"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BB2A373"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61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F3523DB"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504"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4AD616D" w14:textId="77777777">
            <w:pPr>
              <w:spacing w:line="240" w:lineRule="auto"/>
              <w:jc w:val="center"/>
              <w:rPr>
                <w:rFonts w:eastAsia="Times New Roman" w:cs="Calibri"/>
                <w:sz w:val="14"/>
                <w:szCs w:val="14"/>
              </w:rPr>
            </w:pPr>
            <w:r w:rsidRPr="00724A4A">
              <w:rPr>
                <w:rFonts w:eastAsia="Times New Roman" w:cs="Calibri"/>
                <w:sz w:val="14"/>
                <w:szCs w:val="14"/>
              </w:rPr>
              <w:t>0,26</w:t>
            </w:r>
          </w:p>
        </w:tc>
        <w:tc>
          <w:tcPr>
            <w:tcW w:w="42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A7F5669" w14:textId="77777777">
            <w:pPr>
              <w:spacing w:line="240" w:lineRule="auto"/>
              <w:jc w:val="center"/>
              <w:rPr>
                <w:rFonts w:eastAsia="Times New Roman" w:cs="Calibri"/>
                <w:sz w:val="14"/>
                <w:szCs w:val="14"/>
              </w:rPr>
            </w:pPr>
            <w:r w:rsidRPr="00724A4A">
              <w:rPr>
                <w:rFonts w:eastAsia="Times New Roman" w:cs="Calibri"/>
                <w:sz w:val="14"/>
                <w:szCs w:val="14"/>
              </w:rPr>
              <w:t>102,1</w:t>
            </w:r>
          </w:p>
        </w:tc>
        <w:tc>
          <w:tcPr>
            <w:tcW w:w="465"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7222BC61"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43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9A1C4F5"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466"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E0DBE41"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9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40486F86" w14:textId="77777777">
            <w:pPr>
              <w:spacing w:line="240" w:lineRule="auto"/>
              <w:jc w:val="center"/>
              <w:rPr>
                <w:rFonts w:eastAsia="Times New Roman" w:cs="Calibri"/>
                <w:sz w:val="14"/>
                <w:szCs w:val="14"/>
              </w:rPr>
            </w:pPr>
            <w:r w:rsidRPr="00724A4A">
              <w:rPr>
                <w:rFonts w:eastAsia="Times New Roman" w:cs="Calibri"/>
                <w:sz w:val="14"/>
                <w:szCs w:val="14"/>
              </w:rPr>
              <w:t>99,6</w:t>
            </w:r>
          </w:p>
        </w:tc>
        <w:tc>
          <w:tcPr>
            <w:tcW w:w="432"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5EB2C17"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70"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A0741FA" w14:textId="77777777">
            <w:pPr>
              <w:spacing w:line="240" w:lineRule="auto"/>
              <w:jc w:val="center"/>
              <w:rPr>
                <w:rFonts w:eastAsia="Times New Roman" w:cs="Calibri"/>
                <w:sz w:val="14"/>
                <w:szCs w:val="14"/>
              </w:rPr>
            </w:pPr>
            <w:r w:rsidRPr="00724A4A">
              <w:rPr>
                <w:rFonts w:eastAsia="Times New Roman" w:cs="Calibri"/>
                <w:sz w:val="14"/>
                <w:szCs w:val="14"/>
              </w:rPr>
              <w:t>100,0</w:t>
            </w:r>
          </w:p>
        </w:tc>
      </w:tr>
      <w:tr w:rsidRPr="00724A4A" w:rsidR="00E85184" w:rsidTr="00E85184" w14:paraId="3EB6CD35" w14:textId="77777777">
        <w:trPr>
          <w:trHeight w:val="227"/>
        </w:trPr>
        <w:tc>
          <w:tcPr>
            <w:tcW w:w="305" w:type="pct"/>
            <w:tcBorders>
              <w:top w:val="single" w:color="auto" w:sz="4" w:space="0"/>
              <w:left w:val="single" w:color="auto" w:sz="4" w:space="0"/>
              <w:bottom w:val="single" w:color="auto" w:sz="4" w:space="0"/>
              <w:right w:val="single" w:color="auto" w:sz="4" w:space="0"/>
            </w:tcBorders>
            <w:noWrap/>
            <w:vAlign w:val="bottom"/>
            <w:hideMark/>
          </w:tcPr>
          <w:p w:rsidRPr="00724A4A" w:rsidR="00030AE3" w:rsidP="00B20234" w:rsidRDefault="00030AE3" w14:paraId="3C52D135" w14:textId="77777777">
            <w:pPr>
              <w:spacing w:line="240" w:lineRule="auto"/>
              <w:jc w:val="center"/>
              <w:rPr>
                <w:rFonts w:eastAsia="Times New Roman" w:cs="Calibri"/>
                <w:sz w:val="14"/>
                <w:szCs w:val="14"/>
              </w:rPr>
            </w:pPr>
            <w:r w:rsidRPr="00724A4A">
              <w:rPr>
                <w:rFonts w:eastAsia="Times New Roman" w:cs="Calibri"/>
                <w:sz w:val="14"/>
                <w:szCs w:val="14"/>
              </w:rPr>
              <w:t>2020</w:t>
            </w:r>
          </w:p>
        </w:tc>
        <w:tc>
          <w:tcPr>
            <w:tcW w:w="587"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5030B3BF" w14:textId="77777777">
            <w:pPr>
              <w:spacing w:line="240" w:lineRule="auto"/>
              <w:jc w:val="center"/>
              <w:rPr>
                <w:rFonts w:eastAsia="Times New Roman" w:cs="Calibri"/>
                <w:sz w:val="14"/>
                <w:szCs w:val="14"/>
              </w:rPr>
            </w:pPr>
            <w:r w:rsidRPr="00724A4A">
              <w:rPr>
                <w:rFonts w:eastAsia="Times New Roman" w:cs="Calibri"/>
                <w:sz w:val="14"/>
                <w:szCs w:val="14"/>
              </w:rPr>
              <w:t>0,71</w:t>
            </w:r>
          </w:p>
        </w:tc>
        <w:tc>
          <w:tcPr>
            <w:tcW w:w="61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776C89E3" w14:textId="77777777">
            <w:pPr>
              <w:spacing w:line="240" w:lineRule="auto"/>
              <w:jc w:val="center"/>
              <w:rPr>
                <w:rFonts w:eastAsia="Times New Roman" w:cs="Calibri"/>
                <w:sz w:val="14"/>
                <w:szCs w:val="14"/>
              </w:rPr>
            </w:pPr>
            <w:r w:rsidRPr="00724A4A">
              <w:rPr>
                <w:rFonts w:eastAsia="Times New Roman" w:cs="Calibri"/>
                <w:sz w:val="14"/>
                <w:szCs w:val="14"/>
              </w:rPr>
              <w:t>100,7</w:t>
            </w:r>
          </w:p>
        </w:tc>
        <w:tc>
          <w:tcPr>
            <w:tcW w:w="504"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9F2D210"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42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3716863" w14:textId="77777777">
            <w:pPr>
              <w:spacing w:line="240" w:lineRule="auto"/>
              <w:jc w:val="center"/>
              <w:rPr>
                <w:rFonts w:eastAsia="Times New Roman" w:cs="Calibri"/>
                <w:sz w:val="14"/>
                <w:szCs w:val="14"/>
              </w:rPr>
            </w:pPr>
            <w:r w:rsidRPr="00724A4A">
              <w:rPr>
                <w:rFonts w:eastAsia="Times New Roman" w:cs="Calibri"/>
                <w:sz w:val="14"/>
                <w:szCs w:val="14"/>
              </w:rPr>
              <w:t>102,1</w:t>
            </w:r>
          </w:p>
        </w:tc>
        <w:tc>
          <w:tcPr>
            <w:tcW w:w="465"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0BE56C4"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43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113448B"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466"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7B3949D5"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9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5FD264B4" w14:textId="77777777">
            <w:pPr>
              <w:spacing w:line="240" w:lineRule="auto"/>
              <w:jc w:val="center"/>
              <w:rPr>
                <w:rFonts w:eastAsia="Times New Roman" w:cs="Calibri"/>
                <w:sz w:val="14"/>
                <w:szCs w:val="14"/>
              </w:rPr>
            </w:pPr>
            <w:r w:rsidRPr="00724A4A">
              <w:rPr>
                <w:rFonts w:eastAsia="Times New Roman" w:cs="Calibri"/>
                <w:sz w:val="14"/>
                <w:szCs w:val="14"/>
              </w:rPr>
              <w:t>99,6</w:t>
            </w:r>
          </w:p>
        </w:tc>
        <w:tc>
          <w:tcPr>
            <w:tcW w:w="432"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56E3A6A"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70"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0C3B300" w14:textId="77777777">
            <w:pPr>
              <w:spacing w:line="240" w:lineRule="auto"/>
              <w:jc w:val="center"/>
              <w:rPr>
                <w:rFonts w:eastAsia="Times New Roman" w:cs="Calibri"/>
                <w:sz w:val="14"/>
                <w:szCs w:val="14"/>
              </w:rPr>
            </w:pPr>
            <w:r w:rsidRPr="00724A4A">
              <w:rPr>
                <w:rFonts w:eastAsia="Times New Roman" w:cs="Calibri"/>
                <w:sz w:val="14"/>
                <w:szCs w:val="14"/>
              </w:rPr>
              <w:t>100,0</w:t>
            </w:r>
          </w:p>
        </w:tc>
      </w:tr>
      <w:tr w:rsidRPr="00724A4A" w:rsidR="00E85184" w:rsidTr="00E85184" w14:paraId="61B85EAD" w14:textId="77777777">
        <w:trPr>
          <w:trHeight w:val="227"/>
        </w:trPr>
        <w:tc>
          <w:tcPr>
            <w:tcW w:w="305" w:type="pct"/>
            <w:tcBorders>
              <w:top w:val="single" w:color="auto" w:sz="4" w:space="0"/>
              <w:left w:val="single" w:color="auto" w:sz="4" w:space="0"/>
              <w:bottom w:val="single" w:color="auto" w:sz="4" w:space="0"/>
              <w:right w:val="single" w:color="auto" w:sz="4" w:space="0"/>
            </w:tcBorders>
            <w:noWrap/>
            <w:vAlign w:val="bottom"/>
            <w:hideMark/>
          </w:tcPr>
          <w:p w:rsidRPr="00724A4A" w:rsidR="00030AE3" w:rsidP="00B20234" w:rsidRDefault="00030AE3" w14:paraId="05EB4BAA" w14:textId="77777777">
            <w:pPr>
              <w:spacing w:line="240" w:lineRule="auto"/>
              <w:jc w:val="center"/>
              <w:rPr>
                <w:rFonts w:eastAsia="Times New Roman" w:cs="Calibri"/>
                <w:sz w:val="14"/>
                <w:szCs w:val="14"/>
              </w:rPr>
            </w:pPr>
            <w:r w:rsidRPr="00724A4A">
              <w:rPr>
                <w:rFonts w:eastAsia="Times New Roman" w:cs="Calibri"/>
                <w:sz w:val="14"/>
                <w:szCs w:val="14"/>
              </w:rPr>
              <w:t>2021</w:t>
            </w:r>
          </w:p>
        </w:tc>
        <w:tc>
          <w:tcPr>
            <w:tcW w:w="587"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EC27154" w14:textId="77777777">
            <w:pPr>
              <w:spacing w:line="240" w:lineRule="auto"/>
              <w:jc w:val="center"/>
              <w:rPr>
                <w:rFonts w:eastAsia="Times New Roman" w:cs="Calibri"/>
                <w:sz w:val="14"/>
                <w:szCs w:val="14"/>
              </w:rPr>
            </w:pPr>
            <w:r w:rsidRPr="00724A4A">
              <w:rPr>
                <w:rFonts w:eastAsia="Times New Roman" w:cs="Calibri"/>
                <w:sz w:val="14"/>
                <w:szCs w:val="14"/>
              </w:rPr>
              <w:t>2,39</w:t>
            </w:r>
          </w:p>
        </w:tc>
        <w:tc>
          <w:tcPr>
            <w:tcW w:w="61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748282AC" w14:textId="77777777">
            <w:pPr>
              <w:spacing w:line="240" w:lineRule="auto"/>
              <w:jc w:val="center"/>
              <w:rPr>
                <w:rFonts w:eastAsia="Times New Roman" w:cs="Calibri"/>
                <w:sz w:val="14"/>
                <w:szCs w:val="14"/>
              </w:rPr>
            </w:pPr>
            <w:r w:rsidRPr="00724A4A">
              <w:rPr>
                <w:rFonts w:eastAsia="Times New Roman" w:cs="Calibri"/>
                <w:sz w:val="14"/>
                <w:szCs w:val="14"/>
              </w:rPr>
              <w:t>103,1</w:t>
            </w:r>
          </w:p>
        </w:tc>
        <w:tc>
          <w:tcPr>
            <w:tcW w:w="504"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4DDBF48C" w14:textId="77777777">
            <w:pPr>
              <w:spacing w:line="240" w:lineRule="auto"/>
              <w:jc w:val="center"/>
              <w:rPr>
                <w:rFonts w:eastAsia="Times New Roman" w:cs="Calibri"/>
                <w:sz w:val="14"/>
                <w:szCs w:val="14"/>
              </w:rPr>
            </w:pPr>
            <w:r w:rsidRPr="00724A4A">
              <w:rPr>
                <w:rFonts w:eastAsia="Times New Roman" w:cs="Calibri"/>
                <w:sz w:val="14"/>
                <w:szCs w:val="14"/>
              </w:rPr>
              <w:t>1,76</w:t>
            </w:r>
          </w:p>
        </w:tc>
        <w:tc>
          <w:tcPr>
            <w:tcW w:w="42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A4186A3" w14:textId="77777777">
            <w:pPr>
              <w:spacing w:line="240" w:lineRule="auto"/>
              <w:jc w:val="center"/>
              <w:rPr>
                <w:rFonts w:eastAsia="Times New Roman" w:cs="Calibri"/>
                <w:sz w:val="14"/>
                <w:szCs w:val="14"/>
              </w:rPr>
            </w:pPr>
            <w:r w:rsidRPr="00724A4A">
              <w:rPr>
                <w:rFonts w:eastAsia="Times New Roman" w:cs="Calibri"/>
                <w:sz w:val="14"/>
                <w:szCs w:val="14"/>
              </w:rPr>
              <w:t>103,9</w:t>
            </w:r>
          </w:p>
        </w:tc>
        <w:tc>
          <w:tcPr>
            <w:tcW w:w="465"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ED6E4A6"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43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650E6814" w14:textId="77777777">
            <w:pPr>
              <w:spacing w:line="240" w:lineRule="auto"/>
              <w:jc w:val="center"/>
              <w:rPr>
                <w:rFonts w:eastAsia="Times New Roman" w:cs="Calibri"/>
                <w:sz w:val="14"/>
                <w:szCs w:val="14"/>
              </w:rPr>
            </w:pPr>
            <w:r w:rsidRPr="00724A4A">
              <w:rPr>
                <w:rFonts w:eastAsia="Times New Roman" w:cs="Calibri"/>
                <w:sz w:val="14"/>
                <w:szCs w:val="14"/>
              </w:rPr>
              <w:t>100,0</w:t>
            </w:r>
          </w:p>
        </w:tc>
        <w:tc>
          <w:tcPr>
            <w:tcW w:w="466"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74BBB4CF"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9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60145877" w14:textId="77777777">
            <w:pPr>
              <w:spacing w:line="240" w:lineRule="auto"/>
              <w:jc w:val="center"/>
              <w:rPr>
                <w:rFonts w:eastAsia="Times New Roman" w:cs="Calibri"/>
                <w:sz w:val="14"/>
                <w:szCs w:val="14"/>
              </w:rPr>
            </w:pPr>
            <w:r w:rsidRPr="00724A4A">
              <w:rPr>
                <w:rFonts w:eastAsia="Times New Roman" w:cs="Calibri"/>
                <w:sz w:val="14"/>
                <w:szCs w:val="14"/>
              </w:rPr>
              <w:t>99,6</w:t>
            </w:r>
          </w:p>
        </w:tc>
        <w:tc>
          <w:tcPr>
            <w:tcW w:w="432"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792C365" w14:textId="77777777">
            <w:pPr>
              <w:spacing w:line="240" w:lineRule="auto"/>
              <w:jc w:val="center"/>
              <w:rPr>
                <w:rFonts w:eastAsia="Times New Roman" w:cs="Calibri"/>
                <w:sz w:val="14"/>
                <w:szCs w:val="14"/>
              </w:rPr>
            </w:pPr>
            <w:r w:rsidRPr="00724A4A">
              <w:rPr>
                <w:rFonts w:eastAsia="Times New Roman" w:cs="Calibri"/>
                <w:sz w:val="14"/>
                <w:szCs w:val="14"/>
              </w:rPr>
              <w:t>2,7</w:t>
            </w:r>
          </w:p>
        </w:tc>
        <w:tc>
          <w:tcPr>
            <w:tcW w:w="370"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45EBE54" w14:textId="77777777">
            <w:pPr>
              <w:spacing w:line="240" w:lineRule="auto"/>
              <w:jc w:val="center"/>
              <w:rPr>
                <w:rFonts w:eastAsia="Times New Roman" w:cs="Calibri"/>
                <w:sz w:val="14"/>
                <w:szCs w:val="14"/>
              </w:rPr>
            </w:pPr>
            <w:r w:rsidRPr="00724A4A">
              <w:rPr>
                <w:rFonts w:eastAsia="Times New Roman" w:cs="Calibri"/>
                <w:sz w:val="14"/>
                <w:szCs w:val="14"/>
              </w:rPr>
              <w:t>102,7</w:t>
            </w:r>
          </w:p>
        </w:tc>
      </w:tr>
      <w:tr w:rsidRPr="00724A4A" w:rsidR="00E85184" w:rsidTr="00E85184" w14:paraId="3FD39B8E" w14:textId="77777777">
        <w:trPr>
          <w:trHeight w:val="227"/>
        </w:trPr>
        <w:tc>
          <w:tcPr>
            <w:tcW w:w="305" w:type="pct"/>
            <w:tcBorders>
              <w:top w:val="single" w:color="auto" w:sz="4" w:space="0"/>
              <w:left w:val="single" w:color="auto" w:sz="4" w:space="0"/>
              <w:bottom w:val="single" w:color="auto" w:sz="4" w:space="0"/>
              <w:right w:val="single" w:color="auto" w:sz="4" w:space="0"/>
            </w:tcBorders>
            <w:noWrap/>
            <w:vAlign w:val="bottom"/>
            <w:hideMark/>
          </w:tcPr>
          <w:p w:rsidRPr="00724A4A" w:rsidR="00030AE3" w:rsidP="00B20234" w:rsidRDefault="00030AE3" w14:paraId="7914FB98" w14:textId="77777777">
            <w:pPr>
              <w:spacing w:line="240" w:lineRule="auto"/>
              <w:jc w:val="center"/>
              <w:rPr>
                <w:rFonts w:eastAsia="Times New Roman" w:cs="Calibri"/>
                <w:sz w:val="14"/>
                <w:szCs w:val="14"/>
              </w:rPr>
            </w:pPr>
            <w:r w:rsidRPr="00724A4A">
              <w:rPr>
                <w:rFonts w:eastAsia="Times New Roman" w:cs="Calibri"/>
                <w:sz w:val="14"/>
                <w:szCs w:val="14"/>
              </w:rPr>
              <w:t>2022</w:t>
            </w:r>
          </w:p>
        </w:tc>
        <w:tc>
          <w:tcPr>
            <w:tcW w:w="587"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504F3E0" w14:textId="77777777">
            <w:pPr>
              <w:spacing w:line="240" w:lineRule="auto"/>
              <w:jc w:val="center"/>
              <w:rPr>
                <w:rFonts w:eastAsia="Times New Roman" w:cs="Calibri"/>
                <w:sz w:val="14"/>
                <w:szCs w:val="14"/>
              </w:rPr>
            </w:pPr>
            <w:r w:rsidRPr="00724A4A">
              <w:rPr>
                <w:rFonts w:eastAsia="Times New Roman" w:cs="Calibri"/>
                <w:sz w:val="14"/>
                <w:szCs w:val="14"/>
              </w:rPr>
              <w:t>11,96</w:t>
            </w:r>
          </w:p>
        </w:tc>
        <w:tc>
          <w:tcPr>
            <w:tcW w:w="61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A0CA362" w14:textId="77777777">
            <w:pPr>
              <w:spacing w:line="240" w:lineRule="auto"/>
              <w:jc w:val="center"/>
              <w:rPr>
                <w:rFonts w:eastAsia="Times New Roman" w:cs="Calibri"/>
                <w:sz w:val="14"/>
                <w:szCs w:val="14"/>
              </w:rPr>
            </w:pPr>
            <w:r w:rsidRPr="00724A4A">
              <w:rPr>
                <w:rFonts w:eastAsia="Times New Roman" w:cs="Calibri"/>
                <w:sz w:val="14"/>
                <w:szCs w:val="14"/>
              </w:rPr>
              <w:t>115,4</w:t>
            </w:r>
          </w:p>
        </w:tc>
        <w:tc>
          <w:tcPr>
            <w:tcW w:w="504"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71E49342" w14:textId="77777777">
            <w:pPr>
              <w:spacing w:line="240" w:lineRule="auto"/>
              <w:jc w:val="center"/>
              <w:rPr>
                <w:rFonts w:eastAsia="Times New Roman" w:cs="Calibri"/>
                <w:sz w:val="14"/>
                <w:szCs w:val="14"/>
              </w:rPr>
            </w:pPr>
            <w:r w:rsidRPr="00724A4A">
              <w:rPr>
                <w:rFonts w:eastAsia="Times New Roman" w:cs="Calibri"/>
                <w:sz w:val="14"/>
                <w:szCs w:val="14"/>
              </w:rPr>
              <w:t>14,52</w:t>
            </w:r>
          </w:p>
        </w:tc>
        <w:tc>
          <w:tcPr>
            <w:tcW w:w="42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68F22EB4" w14:textId="77777777">
            <w:pPr>
              <w:spacing w:line="240" w:lineRule="auto"/>
              <w:jc w:val="center"/>
              <w:rPr>
                <w:rFonts w:eastAsia="Times New Roman" w:cs="Calibri"/>
                <w:sz w:val="14"/>
                <w:szCs w:val="14"/>
              </w:rPr>
            </w:pPr>
            <w:r w:rsidRPr="00724A4A">
              <w:rPr>
                <w:rFonts w:eastAsia="Times New Roman" w:cs="Calibri"/>
                <w:sz w:val="14"/>
                <w:szCs w:val="14"/>
              </w:rPr>
              <w:t>119,0</w:t>
            </w:r>
          </w:p>
        </w:tc>
        <w:tc>
          <w:tcPr>
            <w:tcW w:w="465"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DF6A69A" w14:textId="77777777">
            <w:pPr>
              <w:spacing w:line="240" w:lineRule="auto"/>
              <w:jc w:val="center"/>
              <w:rPr>
                <w:rFonts w:eastAsia="Times New Roman" w:cs="Calibri"/>
                <w:sz w:val="14"/>
                <w:szCs w:val="14"/>
              </w:rPr>
            </w:pPr>
            <w:r w:rsidRPr="00724A4A">
              <w:rPr>
                <w:rFonts w:eastAsia="Times New Roman" w:cs="Calibri"/>
                <w:sz w:val="14"/>
                <w:szCs w:val="14"/>
              </w:rPr>
              <w:t>7,49</w:t>
            </w:r>
          </w:p>
        </w:tc>
        <w:tc>
          <w:tcPr>
            <w:tcW w:w="43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6A623B68" w14:textId="77777777">
            <w:pPr>
              <w:spacing w:line="240" w:lineRule="auto"/>
              <w:jc w:val="center"/>
              <w:rPr>
                <w:rFonts w:eastAsia="Times New Roman" w:cs="Calibri"/>
                <w:sz w:val="14"/>
                <w:szCs w:val="14"/>
              </w:rPr>
            </w:pPr>
            <w:r w:rsidRPr="00724A4A">
              <w:rPr>
                <w:rFonts w:eastAsia="Times New Roman" w:cs="Calibri"/>
                <w:sz w:val="14"/>
                <w:szCs w:val="14"/>
              </w:rPr>
              <w:t>107,5</w:t>
            </w:r>
          </w:p>
        </w:tc>
        <w:tc>
          <w:tcPr>
            <w:tcW w:w="466"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558E0056" w14:textId="77777777">
            <w:pPr>
              <w:spacing w:line="240" w:lineRule="auto"/>
              <w:jc w:val="center"/>
              <w:rPr>
                <w:rFonts w:eastAsia="Times New Roman" w:cs="Calibri"/>
                <w:sz w:val="14"/>
                <w:szCs w:val="14"/>
              </w:rPr>
            </w:pPr>
            <w:r w:rsidRPr="00724A4A">
              <w:rPr>
                <w:rFonts w:eastAsia="Times New Roman" w:cs="Calibri"/>
                <w:sz w:val="14"/>
                <w:szCs w:val="14"/>
              </w:rPr>
              <w:t>5,49</w:t>
            </w:r>
          </w:p>
        </w:tc>
        <w:tc>
          <w:tcPr>
            <w:tcW w:w="39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43AFD13D" w14:textId="77777777">
            <w:pPr>
              <w:spacing w:line="240" w:lineRule="auto"/>
              <w:jc w:val="center"/>
              <w:rPr>
                <w:rFonts w:eastAsia="Times New Roman" w:cs="Calibri"/>
                <w:sz w:val="14"/>
                <w:szCs w:val="14"/>
              </w:rPr>
            </w:pPr>
            <w:r w:rsidRPr="00724A4A">
              <w:rPr>
                <w:rFonts w:eastAsia="Times New Roman" w:cs="Calibri"/>
                <w:sz w:val="14"/>
                <w:szCs w:val="14"/>
              </w:rPr>
              <w:t>105,1</w:t>
            </w:r>
          </w:p>
        </w:tc>
        <w:tc>
          <w:tcPr>
            <w:tcW w:w="432"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4AFADD83" w14:textId="77777777">
            <w:pPr>
              <w:spacing w:line="240" w:lineRule="auto"/>
              <w:jc w:val="center"/>
              <w:rPr>
                <w:rFonts w:eastAsia="Times New Roman" w:cs="Calibri"/>
                <w:sz w:val="14"/>
                <w:szCs w:val="14"/>
              </w:rPr>
            </w:pPr>
            <w:r w:rsidRPr="00724A4A">
              <w:rPr>
                <w:rFonts w:eastAsia="Times New Roman" w:cs="Calibri"/>
                <w:sz w:val="14"/>
                <w:szCs w:val="14"/>
              </w:rPr>
              <w:t>6</w:t>
            </w:r>
          </w:p>
        </w:tc>
        <w:tc>
          <w:tcPr>
            <w:tcW w:w="370"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510C7F4" w14:textId="77777777">
            <w:pPr>
              <w:spacing w:line="240" w:lineRule="auto"/>
              <w:jc w:val="center"/>
              <w:rPr>
                <w:rFonts w:eastAsia="Times New Roman" w:cs="Calibri"/>
                <w:sz w:val="14"/>
                <w:szCs w:val="14"/>
              </w:rPr>
            </w:pPr>
            <w:r w:rsidRPr="00724A4A">
              <w:rPr>
                <w:rFonts w:eastAsia="Times New Roman" w:cs="Calibri"/>
                <w:sz w:val="14"/>
                <w:szCs w:val="14"/>
              </w:rPr>
              <w:t>108,9</w:t>
            </w:r>
          </w:p>
        </w:tc>
      </w:tr>
      <w:tr w:rsidRPr="00724A4A" w:rsidR="00E85184" w:rsidTr="00E85184" w14:paraId="6D0D20A9" w14:textId="77777777">
        <w:trPr>
          <w:trHeight w:val="227"/>
        </w:trPr>
        <w:tc>
          <w:tcPr>
            <w:tcW w:w="305" w:type="pct"/>
            <w:tcBorders>
              <w:top w:val="single" w:color="auto" w:sz="4" w:space="0"/>
              <w:left w:val="single" w:color="auto" w:sz="4" w:space="0"/>
              <w:bottom w:val="single" w:color="auto" w:sz="4" w:space="0"/>
              <w:right w:val="single" w:color="auto" w:sz="4" w:space="0"/>
            </w:tcBorders>
            <w:noWrap/>
            <w:vAlign w:val="bottom"/>
            <w:hideMark/>
          </w:tcPr>
          <w:p w:rsidRPr="00724A4A" w:rsidR="00030AE3" w:rsidP="00B20234" w:rsidRDefault="00030AE3" w14:paraId="34036E1A" w14:textId="77777777">
            <w:pPr>
              <w:spacing w:line="240" w:lineRule="auto"/>
              <w:jc w:val="center"/>
              <w:rPr>
                <w:rFonts w:eastAsia="Times New Roman" w:cs="Calibri"/>
                <w:sz w:val="14"/>
                <w:szCs w:val="14"/>
              </w:rPr>
            </w:pPr>
            <w:r w:rsidRPr="00724A4A">
              <w:rPr>
                <w:rFonts w:eastAsia="Times New Roman" w:cs="Calibri"/>
                <w:sz w:val="14"/>
                <w:szCs w:val="14"/>
              </w:rPr>
              <w:t>2023</w:t>
            </w:r>
          </w:p>
        </w:tc>
        <w:tc>
          <w:tcPr>
            <w:tcW w:w="587"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2A3BB48" w14:textId="77777777">
            <w:pPr>
              <w:spacing w:line="240" w:lineRule="auto"/>
              <w:jc w:val="center"/>
              <w:rPr>
                <w:rFonts w:eastAsia="Times New Roman" w:cs="Calibri"/>
                <w:sz w:val="14"/>
                <w:szCs w:val="14"/>
              </w:rPr>
            </w:pPr>
            <w:r w:rsidRPr="00724A4A">
              <w:rPr>
                <w:rFonts w:eastAsia="Times New Roman" w:cs="Calibri"/>
                <w:sz w:val="14"/>
                <w:szCs w:val="14"/>
              </w:rPr>
              <w:t>3,03</w:t>
            </w:r>
          </w:p>
        </w:tc>
        <w:tc>
          <w:tcPr>
            <w:tcW w:w="61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5E5478D8" w14:textId="77777777">
            <w:pPr>
              <w:spacing w:line="240" w:lineRule="auto"/>
              <w:jc w:val="center"/>
              <w:rPr>
                <w:rFonts w:eastAsia="Times New Roman" w:cs="Calibri"/>
                <w:sz w:val="14"/>
                <w:szCs w:val="14"/>
              </w:rPr>
            </w:pPr>
            <w:r w:rsidRPr="00724A4A">
              <w:rPr>
                <w:rFonts w:eastAsia="Times New Roman" w:cs="Calibri"/>
                <w:sz w:val="14"/>
                <w:szCs w:val="14"/>
              </w:rPr>
              <w:t>118,9</w:t>
            </w:r>
          </w:p>
        </w:tc>
        <w:tc>
          <w:tcPr>
            <w:tcW w:w="504"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69ACDF72"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42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804F541" w14:textId="77777777">
            <w:pPr>
              <w:spacing w:line="240" w:lineRule="auto"/>
              <w:jc w:val="center"/>
              <w:rPr>
                <w:rFonts w:eastAsia="Times New Roman" w:cs="Calibri"/>
                <w:sz w:val="14"/>
                <w:szCs w:val="14"/>
              </w:rPr>
            </w:pPr>
            <w:r w:rsidRPr="00724A4A">
              <w:rPr>
                <w:rFonts w:eastAsia="Times New Roman" w:cs="Calibri"/>
                <w:sz w:val="14"/>
                <w:szCs w:val="14"/>
              </w:rPr>
              <w:t>119,0</w:t>
            </w:r>
          </w:p>
        </w:tc>
        <w:tc>
          <w:tcPr>
            <w:tcW w:w="465"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6141741C" w14:textId="77777777">
            <w:pPr>
              <w:spacing w:line="240" w:lineRule="auto"/>
              <w:jc w:val="center"/>
              <w:rPr>
                <w:rFonts w:eastAsia="Times New Roman" w:cs="Calibri"/>
                <w:sz w:val="14"/>
                <w:szCs w:val="14"/>
              </w:rPr>
            </w:pPr>
            <w:r w:rsidRPr="00724A4A">
              <w:rPr>
                <w:rFonts w:eastAsia="Times New Roman" w:cs="Calibri"/>
                <w:sz w:val="14"/>
                <w:szCs w:val="14"/>
              </w:rPr>
              <w:t>3,26</w:t>
            </w:r>
          </w:p>
        </w:tc>
        <w:tc>
          <w:tcPr>
            <w:tcW w:w="43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27104A8A" w14:textId="77777777">
            <w:pPr>
              <w:spacing w:line="240" w:lineRule="auto"/>
              <w:jc w:val="center"/>
              <w:rPr>
                <w:rFonts w:eastAsia="Times New Roman" w:cs="Calibri"/>
                <w:sz w:val="14"/>
                <w:szCs w:val="14"/>
              </w:rPr>
            </w:pPr>
            <w:r w:rsidRPr="00724A4A">
              <w:rPr>
                <w:rFonts w:eastAsia="Times New Roman" w:cs="Calibri"/>
                <w:sz w:val="14"/>
                <w:szCs w:val="14"/>
              </w:rPr>
              <w:t>111,0</w:t>
            </w:r>
          </w:p>
        </w:tc>
        <w:tc>
          <w:tcPr>
            <w:tcW w:w="466"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70846FB" w14:textId="77777777">
            <w:pPr>
              <w:spacing w:line="240" w:lineRule="auto"/>
              <w:jc w:val="center"/>
              <w:rPr>
                <w:rFonts w:eastAsia="Times New Roman" w:cs="Calibri"/>
                <w:sz w:val="14"/>
                <w:szCs w:val="14"/>
              </w:rPr>
            </w:pPr>
            <w:r w:rsidRPr="00724A4A">
              <w:rPr>
                <w:rFonts w:eastAsia="Times New Roman" w:cs="Calibri"/>
                <w:sz w:val="14"/>
                <w:szCs w:val="14"/>
              </w:rPr>
              <w:t>3,2</w:t>
            </w:r>
          </w:p>
        </w:tc>
        <w:tc>
          <w:tcPr>
            <w:tcW w:w="39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5397E386" w14:textId="77777777">
            <w:pPr>
              <w:spacing w:line="240" w:lineRule="auto"/>
              <w:jc w:val="center"/>
              <w:rPr>
                <w:rFonts w:eastAsia="Times New Roman" w:cs="Calibri"/>
                <w:sz w:val="14"/>
                <w:szCs w:val="14"/>
              </w:rPr>
            </w:pPr>
            <w:r w:rsidRPr="00724A4A">
              <w:rPr>
                <w:rFonts w:eastAsia="Times New Roman" w:cs="Calibri"/>
                <w:sz w:val="14"/>
                <w:szCs w:val="14"/>
              </w:rPr>
              <w:t>108,4</w:t>
            </w:r>
          </w:p>
        </w:tc>
        <w:tc>
          <w:tcPr>
            <w:tcW w:w="432"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5006B71" w14:textId="77777777">
            <w:pPr>
              <w:spacing w:line="240" w:lineRule="auto"/>
              <w:jc w:val="center"/>
              <w:rPr>
                <w:rFonts w:eastAsia="Times New Roman" w:cs="Calibri"/>
                <w:sz w:val="14"/>
                <w:szCs w:val="14"/>
              </w:rPr>
            </w:pPr>
            <w:r w:rsidRPr="00724A4A">
              <w:rPr>
                <w:rFonts w:eastAsia="Times New Roman" w:cs="Calibri"/>
                <w:sz w:val="14"/>
                <w:szCs w:val="14"/>
              </w:rPr>
              <w:t>4,8</w:t>
            </w:r>
          </w:p>
        </w:tc>
        <w:tc>
          <w:tcPr>
            <w:tcW w:w="370"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7C2686C5" w14:textId="77777777">
            <w:pPr>
              <w:spacing w:line="240" w:lineRule="auto"/>
              <w:jc w:val="center"/>
              <w:rPr>
                <w:rFonts w:eastAsia="Times New Roman" w:cs="Calibri"/>
                <w:sz w:val="14"/>
                <w:szCs w:val="14"/>
              </w:rPr>
            </w:pPr>
            <w:r w:rsidRPr="00724A4A">
              <w:rPr>
                <w:rFonts w:eastAsia="Times New Roman" w:cs="Calibri"/>
                <w:sz w:val="14"/>
                <w:szCs w:val="14"/>
              </w:rPr>
              <w:t>114,1</w:t>
            </w:r>
          </w:p>
        </w:tc>
      </w:tr>
      <w:tr w:rsidRPr="00724A4A" w:rsidR="00E85184" w:rsidTr="00E85184" w14:paraId="2235C62D" w14:textId="77777777">
        <w:trPr>
          <w:trHeight w:val="227"/>
        </w:trPr>
        <w:tc>
          <w:tcPr>
            <w:tcW w:w="305" w:type="pct"/>
            <w:tcBorders>
              <w:top w:val="single" w:color="auto" w:sz="4" w:space="0"/>
              <w:left w:val="single" w:color="auto" w:sz="4" w:space="0"/>
              <w:bottom w:val="single" w:color="auto" w:sz="4" w:space="0"/>
              <w:right w:val="single" w:color="auto" w:sz="4" w:space="0"/>
            </w:tcBorders>
            <w:noWrap/>
            <w:vAlign w:val="bottom"/>
            <w:hideMark/>
          </w:tcPr>
          <w:p w:rsidRPr="00724A4A" w:rsidR="00030AE3" w:rsidP="00B20234" w:rsidRDefault="00030AE3" w14:paraId="2BAADF38" w14:textId="77777777">
            <w:pPr>
              <w:spacing w:line="240" w:lineRule="auto"/>
              <w:jc w:val="center"/>
              <w:rPr>
                <w:rFonts w:eastAsia="Times New Roman" w:cs="Calibri"/>
                <w:sz w:val="14"/>
                <w:szCs w:val="14"/>
              </w:rPr>
            </w:pPr>
            <w:r w:rsidRPr="00724A4A">
              <w:rPr>
                <w:rFonts w:eastAsia="Times New Roman" w:cs="Calibri"/>
                <w:sz w:val="14"/>
                <w:szCs w:val="14"/>
              </w:rPr>
              <w:t>2024</w:t>
            </w:r>
          </w:p>
        </w:tc>
        <w:tc>
          <w:tcPr>
            <w:tcW w:w="587"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55422981" w14:textId="77777777">
            <w:pPr>
              <w:spacing w:line="240" w:lineRule="auto"/>
              <w:jc w:val="center"/>
              <w:rPr>
                <w:rFonts w:eastAsia="Times New Roman" w:cs="Calibri"/>
                <w:sz w:val="14"/>
                <w:szCs w:val="14"/>
              </w:rPr>
            </w:pPr>
            <w:r w:rsidRPr="00724A4A">
              <w:rPr>
                <w:rFonts w:eastAsia="Times New Roman" w:cs="Calibri"/>
                <w:sz w:val="14"/>
                <w:szCs w:val="14"/>
              </w:rPr>
              <w:t>1,84</w:t>
            </w:r>
          </w:p>
        </w:tc>
        <w:tc>
          <w:tcPr>
            <w:tcW w:w="61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663F229C" w14:textId="77777777">
            <w:pPr>
              <w:spacing w:line="240" w:lineRule="auto"/>
              <w:jc w:val="center"/>
              <w:rPr>
                <w:rFonts w:eastAsia="Times New Roman" w:cs="Calibri"/>
                <w:sz w:val="14"/>
                <w:szCs w:val="14"/>
              </w:rPr>
            </w:pPr>
            <w:r w:rsidRPr="00724A4A">
              <w:rPr>
                <w:rFonts w:eastAsia="Times New Roman" w:cs="Calibri"/>
                <w:sz w:val="14"/>
                <w:szCs w:val="14"/>
              </w:rPr>
              <w:t>121,1</w:t>
            </w:r>
          </w:p>
        </w:tc>
        <w:tc>
          <w:tcPr>
            <w:tcW w:w="504"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F1FB854" w14:textId="77777777">
            <w:pPr>
              <w:spacing w:line="240" w:lineRule="auto"/>
              <w:jc w:val="center"/>
              <w:rPr>
                <w:rFonts w:eastAsia="Times New Roman" w:cs="Calibri"/>
                <w:sz w:val="14"/>
                <w:szCs w:val="14"/>
              </w:rPr>
            </w:pPr>
            <w:r w:rsidRPr="00724A4A">
              <w:rPr>
                <w:rFonts w:eastAsia="Times New Roman" w:cs="Calibri"/>
                <w:sz w:val="14"/>
                <w:szCs w:val="14"/>
              </w:rPr>
              <w:t>0,75</w:t>
            </w:r>
          </w:p>
        </w:tc>
        <w:tc>
          <w:tcPr>
            <w:tcW w:w="429"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1EEF3972" w14:textId="77777777">
            <w:pPr>
              <w:spacing w:line="240" w:lineRule="auto"/>
              <w:jc w:val="center"/>
              <w:rPr>
                <w:rFonts w:eastAsia="Times New Roman" w:cs="Calibri"/>
                <w:sz w:val="14"/>
                <w:szCs w:val="14"/>
              </w:rPr>
            </w:pPr>
            <w:r w:rsidRPr="00724A4A">
              <w:rPr>
                <w:rFonts w:eastAsia="Times New Roman" w:cs="Calibri"/>
                <w:sz w:val="14"/>
                <w:szCs w:val="14"/>
              </w:rPr>
              <w:t>119,9</w:t>
            </w:r>
          </w:p>
        </w:tc>
        <w:tc>
          <w:tcPr>
            <w:tcW w:w="465"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5A7B9677" w14:textId="77777777">
            <w:pPr>
              <w:spacing w:line="240" w:lineRule="auto"/>
              <w:jc w:val="center"/>
              <w:rPr>
                <w:rFonts w:eastAsia="Times New Roman" w:cs="Calibri"/>
                <w:sz w:val="14"/>
                <w:szCs w:val="14"/>
              </w:rPr>
            </w:pPr>
            <w:r w:rsidRPr="00724A4A">
              <w:rPr>
                <w:rFonts w:eastAsia="Times New Roman" w:cs="Calibri"/>
                <w:sz w:val="14"/>
                <w:szCs w:val="14"/>
              </w:rPr>
              <w:t>0,3</w:t>
            </w:r>
          </w:p>
        </w:tc>
        <w:tc>
          <w:tcPr>
            <w:tcW w:w="43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52483B15" w14:textId="77777777">
            <w:pPr>
              <w:spacing w:line="240" w:lineRule="auto"/>
              <w:jc w:val="center"/>
              <w:rPr>
                <w:rFonts w:eastAsia="Times New Roman" w:cs="Calibri"/>
                <w:sz w:val="14"/>
                <w:szCs w:val="14"/>
              </w:rPr>
            </w:pPr>
            <w:r w:rsidRPr="00724A4A">
              <w:rPr>
                <w:rFonts w:eastAsia="Times New Roman" w:cs="Calibri"/>
                <w:sz w:val="14"/>
                <w:szCs w:val="14"/>
              </w:rPr>
              <w:t>111,3</w:t>
            </w:r>
          </w:p>
        </w:tc>
        <w:tc>
          <w:tcPr>
            <w:tcW w:w="466"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80F6507"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91"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41A39390" w14:textId="77777777">
            <w:pPr>
              <w:spacing w:line="240" w:lineRule="auto"/>
              <w:jc w:val="center"/>
              <w:rPr>
                <w:rFonts w:eastAsia="Times New Roman" w:cs="Calibri"/>
                <w:sz w:val="14"/>
                <w:szCs w:val="14"/>
              </w:rPr>
            </w:pPr>
            <w:r w:rsidRPr="00724A4A">
              <w:rPr>
                <w:rFonts w:eastAsia="Times New Roman" w:cs="Calibri"/>
                <w:sz w:val="14"/>
                <w:szCs w:val="14"/>
              </w:rPr>
              <w:t>108,4</w:t>
            </w:r>
          </w:p>
        </w:tc>
        <w:tc>
          <w:tcPr>
            <w:tcW w:w="432"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3B60C2DF" w14:textId="77777777">
            <w:pPr>
              <w:spacing w:line="240" w:lineRule="auto"/>
              <w:jc w:val="center"/>
              <w:rPr>
                <w:rFonts w:eastAsia="Times New Roman" w:cs="Calibri"/>
                <w:sz w:val="14"/>
                <w:szCs w:val="14"/>
              </w:rPr>
            </w:pPr>
            <w:r w:rsidRPr="00724A4A">
              <w:rPr>
                <w:rFonts w:eastAsia="Times New Roman" w:cs="Calibri"/>
                <w:sz w:val="14"/>
                <w:szCs w:val="14"/>
              </w:rPr>
              <w:t>0</w:t>
            </w:r>
          </w:p>
        </w:tc>
        <w:tc>
          <w:tcPr>
            <w:tcW w:w="370" w:type="pct"/>
            <w:tcBorders>
              <w:top w:val="single" w:color="auto" w:sz="4" w:space="0"/>
              <w:left w:val="nil"/>
              <w:bottom w:val="single" w:color="auto" w:sz="4" w:space="0"/>
              <w:right w:val="single" w:color="auto" w:sz="4" w:space="0"/>
            </w:tcBorders>
            <w:noWrap/>
            <w:vAlign w:val="bottom"/>
            <w:hideMark/>
          </w:tcPr>
          <w:p w:rsidRPr="00724A4A" w:rsidR="00030AE3" w:rsidP="00B20234" w:rsidRDefault="00030AE3" w14:paraId="0A20AA66" w14:textId="77777777">
            <w:pPr>
              <w:spacing w:line="240" w:lineRule="auto"/>
              <w:jc w:val="center"/>
              <w:rPr>
                <w:rFonts w:eastAsia="Times New Roman" w:cs="Calibri"/>
                <w:sz w:val="14"/>
                <w:szCs w:val="14"/>
              </w:rPr>
            </w:pPr>
            <w:r w:rsidRPr="00724A4A">
              <w:rPr>
                <w:rFonts w:eastAsia="Times New Roman" w:cs="Calibri"/>
                <w:sz w:val="14"/>
                <w:szCs w:val="14"/>
              </w:rPr>
              <w:t>114,1</w:t>
            </w:r>
          </w:p>
        </w:tc>
      </w:tr>
      <w:tr w:rsidRPr="00724A4A" w:rsidR="00E85184" w:rsidTr="00E85184" w14:paraId="2EB969CD" w14:textId="77777777">
        <w:trPr>
          <w:trHeight w:val="227"/>
        </w:trPr>
        <w:tc>
          <w:tcPr>
            <w:tcW w:w="305" w:type="pct"/>
            <w:tcBorders>
              <w:top w:val="single" w:color="auto" w:sz="4" w:space="0"/>
              <w:left w:val="single" w:color="auto" w:sz="4" w:space="0"/>
              <w:bottom w:val="single" w:color="auto" w:sz="4" w:space="0"/>
              <w:right w:val="single" w:color="auto" w:sz="4" w:space="0"/>
            </w:tcBorders>
            <w:noWrap/>
            <w:vAlign w:val="bottom"/>
          </w:tcPr>
          <w:p w:rsidRPr="00724A4A" w:rsidR="00030AE3" w:rsidP="00B20234" w:rsidRDefault="00030AE3" w14:paraId="04006BE4" w14:textId="77777777">
            <w:pPr>
              <w:spacing w:line="240" w:lineRule="auto"/>
              <w:jc w:val="center"/>
              <w:rPr>
                <w:rFonts w:eastAsia="Times New Roman" w:cs="Calibri"/>
                <w:sz w:val="14"/>
                <w:szCs w:val="14"/>
              </w:rPr>
            </w:pPr>
            <w:r w:rsidRPr="00724A4A">
              <w:rPr>
                <w:rFonts w:eastAsia="Times New Roman" w:cs="Calibri"/>
                <w:sz w:val="14"/>
                <w:szCs w:val="14"/>
              </w:rPr>
              <w:t>2025</w:t>
            </w:r>
          </w:p>
        </w:tc>
        <w:tc>
          <w:tcPr>
            <w:tcW w:w="587" w:type="pct"/>
            <w:tcBorders>
              <w:top w:val="single" w:color="auto" w:sz="4" w:space="0"/>
              <w:left w:val="nil"/>
              <w:bottom w:val="single" w:color="auto" w:sz="4" w:space="0"/>
              <w:right w:val="single" w:color="auto" w:sz="4" w:space="0"/>
            </w:tcBorders>
            <w:noWrap/>
            <w:vAlign w:val="bottom"/>
          </w:tcPr>
          <w:p w:rsidRPr="00724A4A" w:rsidR="00030AE3" w:rsidP="00B20234" w:rsidRDefault="00030AE3" w14:paraId="1F37BE81" w14:textId="77777777">
            <w:pPr>
              <w:spacing w:line="240" w:lineRule="auto"/>
              <w:jc w:val="center"/>
              <w:rPr>
                <w:rFonts w:eastAsia="Times New Roman" w:cs="Calibri"/>
                <w:sz w:val="14"/>
                <w:szCs w:val="14"/>
              </w:rPr>
            </w:pPr>
            <w:r w:rsidRPr="00724A4A">
              <w:rPr>
                <w:rFonts w:eastAsia="Times New Roman" w:cs="Calibri"/>
                <w:sz w:val="14"/>
                <w:szCs w:val="14"/>
              </w:rPr>
              <w:t>2,84</w:t>
            </w:r>
          </w:p>
        </w:tc>
        <w:tc>
          <w:tcPr>
            <w:tcW w:w="619" w:type="pct"/>
            <w:tcBorders>
              <w:top w:val="single" w:color="auto" w:sz="4" w:space="0"/>
              <w:left w:val="nil"/>
              <w:bottom w:val="single" w:color="auto" w:sz="4" w:space="0"/>
              <w:right w:val="single" w:color="auto" w:sz="4" w:space="0"/>
            </w:tcBorders>
            <w:noWrap/>
            <w:vAlign w:val="bottom"/>
          </w:tcPr>
          <w:p w:rsidRPr="00724A4A" w:rsidR="00030AE3" w:rsidP="00B20234" w:rsidRDefault="00030AE3" w14:paraId="389428F0" w14:textId="77777777">
            <w:pPr>
              <w:spacing w:line="240" w:lineRule="auto"/>
              <w:jc w:val="center"/>
              <w:rPr>
                <w:rFonts w:eastAsia="Times New Roman" w:cs="Calibri"/>
                <w:sz w:val="14"/>
                <w:szCs w:val="14"/>
              </w:rPr>
            </w:pPr>
            <w:r w:rsidRPr="00724A4A">
              <w:rPr>
                <w:rFonts w:eastAsia="Times New Roman" w:cs="Calibri"/>
                <w:sz w:val="14"/>
                <w:szCs w:val="14"/>
              </w:rPr>
              <w:t>124,5</w:t>
            </w:r>
          </w:p>
        </w:tc>
        <w:tc>
          <w:tcPr>
            <w:tcW w:w="504" w:type="pct"/>
            <w:tcBorders>
              <w:top w:val="single" w:color="auto" w:sz="4" w:space="0"/>
              <w:left w:val="nil"/>
              <w:bottom w:val="single" w:color="auto" w:sz="4" w:space="0"/>
              <w:right w:val="single" w:color="auto" w:sz="4" w:space="0"/>
            </w:tcBorders>
            <w:noWrap/>
            <w:vAlign w:val="bottom"/>
          </w:tcPr>
          <w:p w:rsidRPr="00724A4A" w:rsidR="00030AE3" w:rsidP="00B20234" w:rsidRDefault="00030AE3" w14:paraId="26F3635E" w14:textId="77777777">
            <w:pPr>
              <w:spacing w:line="240" w:lineRule="auto"/>
              <w:jc w:val="center"/>
              <w:rPr>
                <w:rFonts w:eastAsia="Times New Roman" w:cs="Calibri"/>
                <w:sz w:val="14"/>
                <w:szCs w:val="14"/>
              </w:rPr>
            </w:pPr>
            <w:r w:rsidRPr="00724A4A">
              <w:rPr>
                <w:rFonts w:eastAsia="Times New Roman" w:cs="Calibri"/>
                <w:sz w:val="14"/>
                <w:szCs w:val="14"/>
              </w:rPr>
              <w:t>20,8</w:t>
            </w:r>
          </w:p>
        </w:tc>
        <w:tc>
          <w:tcPr>
            <w:tcW w:w="429" w:type="pct"/>
            <w:tcBorders>
              <w:top w:val="single" w:color="auto" w:sz="4" w:space="0"/>
              <w:left w:val="nil"/>
              <w:bottom w:val="single" w:color="auto" w:sz="4" w:space="0"/>
              <w:right w:val="single" w:color="auto" w:sz="4" w:space="0"/>
            </w:tcBorders>
            <w:noWrap/>
            <w:vAlign w:val="bottom"/>
          </w:tcPr>
          <w:p w:rsidRPr="00724A4A" w:rsidR="00030AE3" w:rsidP="00B20234" w:rsidRDefault="00030AE3" w14:paraId="6237E15E" w14:textId="77777777">
            <w:pPr>
              <w:spacing w:line="240" w:lineRule="auto"/>
              <w:jc w:val="center"/>
              <w:rPr>
                <w:rFonts w:eastAsia="Times New Roman" w:cs="Calibri"/>
                <w:sz w:val="14"/>
                <w:szCs w:val="14"/>
              </w:rPr>
            </w:pPr>
            <w:r w:rsidRPr="00724A4A">
              <w:rPr>
                <w:rFonts w:eastAsia="Times New Roman" w:cs="Calibri"/>
                <w:sz w:val="14"/>
                <w:szCs w:val="14"/>
              </w:rPr>
              <w:t>144,8</w:t>
            </w:r>
          </w:p>
        </w:tc>
        <w:tc>
          <w:tcPr>
            <w:tcW w:w="465" w:type="pct"/>
            <w:tcBorders>
              <w:top w:val="single" w:color="auto" w:sz="4" w:space="0"/>
              <w:left w:val="nil"/>
              <w:bottom w:val="single" w:color="auto" w:sz="4" w:space="0"/>
              <w:right w:val="single" w:color="auto" w:sz="4" w:space="0"/>
            </w:tcBorders>
            <w:noWrap/>
            <w:vAlign w:val="bottom"/>
          </w:tcPr>
          <w:p w:rsidRPr="00724A4A" w:rsidR="00030AE3" w:rsidP="00B20234" w:rsidRDefault="00030AE3" w14:paraId="14CDB349" w14:textId="77777777">
            <w:pPr>
              <w:spacing w:line="240" w:lineRule="auto"/>
              <w:jc w:val="center"/>
              <w:rPr>
                <w:rFonts w:eastAsia="Times New Roman" w:cs="Calibri"/>
                <w:sz w:val="14"/>
                <w:szCs w:val="14"/>
              </w:rPr>
            </w:pPr>
            <w:r w:rsidRPr="00724A4A">
              <w:rPr>
                <w:rFonts w:eastAsia="Times New Roman" w:cs="Calibri"/>
                <w:sz w:val="14"/>
                <w:szCs w:val="14"/>
              </w:rPr>
              <w:t>2,82</w:t>
            </w:r>
          </w:p>
        </w:tc>
        <w:tc>
          <w:tcPr>
            <w:tcW w:w="431" w:type="pct"/>
            <w:tcBorders>
              <w:top w:val="single" w:color="auto" w:sz="4" w:space="0"/>
              <w:left w:val="nil"/>
              <w:bottom w:val="single" w:color="auto" w:sz="4" w:space="0"/>
              <w:right w:val="single" w:color="auto" w:sz="4" w:space="0"/>
            </w:tcBorders>
            <w:noWrap/>
            <w:vAlign w:val="bottom"/>
          </w:tcPr>
          <w:p w:rsidRPr="00724A4A" w:rsidR="00030AE3" w:rsidP="00B20234" w:rsidRDefault="00030AE3" w14:paraId="3263ACB8" w14:textId="77777777">
            <w:pPr>
              <w:spacing w:line="240" w:lineRule="auto"/>
              <w:jc w:val="center"/>
              <w:rPr>
                <w:rFonts w:eastAsia="Times New Roman" w:cs="Calibri"/>
                <w:sz w:val="14"/>
                <w:szCs w:val="14"/>
              </w:rPr>
            </w:pPr>
            <w:r w:rsidRPr="00724A4A">
              <w:rPr>
                <w:rFonts w:eastAsia="Times New Roman" w:cs="Calibri"/>
                <w:sz w:val="14"/>
                <w:szCs w:val="14"/>
              </w:rPr>
              <w:t>114,4</w:t>
            </w:r>
          </w:p>
        </w:tc>
        <w:tc>
          <w:tcPr>
            <w:tcW w:w="466" w:type="pct"/>
            <w:tcBorders>
              <w:top w:val="single" w:color="auto" w:sz="4" w:space="0"/>
              <w:left w:val="nil"/>
              <w:bottom w:val="single" w:color="auto" w:sz="4" w:space="0"/>
              <w:right w:val="single" w:color="auto" w:sz="4" w:space="0"/>
            </w:tcBorders>
            <w:noWrap/>
            <w:vAlign w:val="bottom"/>
          </w:tcPr>
          <w:p w:rsidRPr="00724A4A" w:rsidR="00030AE3" w:rsidP="00B20234" w:rsidRDefault="00030AE3" w14:paraId="34E5E756" w14:textId="77777777">
            <w:pPr>
              <w:spacing w:line="240" w:lineRule="auto"/>
              <w:jc w:val="center"/>
              <w:rPr>
                <w:rFonts w:eastAsia="Times New Roman" w:cs="Calibri"/>
                <w:sz w:val="14"/>
                <w:szCs w:val="14"/>
              </w:rPr>
            </w:pPr>
            <w:r w:rsidRPr="00724A4A">
              <w:rPr>
                <w:rFonts w:eastAsia="Times New Roman" w:cs="Calibri"/>
                <w:sz w:val="14"/>
                <w:szCs w:val="14"/>
              </w:rPr>
              <w:t>8,3</w:t>
            </w:r>
          </w:p>
        </w:tc>
        <w:tc>
          <w:tcPr>
            <w:tcW w:w="391" w:type="pct"/>
            <w:tcBorders>
              <w:top w:val="single" w:color="auto" w:sz="4" w:space="0"/>
              <w:left w:val="nil"/>
              <w:bottom w:val="single" w:color="auto" w:sz="4" w:space="0"/>
              <w:right w:val="single" w:color="auto" w:sz="4" w:space="0"/>
            </w:tcBorders>
            <w:noWrap/>
            <w:vAlign w:val="bottom"/>
          </w:tcPr>
          <w:p w:rsidRPr="00724A4A" w:rsidR="00030AE3" w:rsidP="00B20234" w:rsidRDefault="00030AE3" w14:paraId="72E89592" w14:textId="77777777">
            <w:pPr>
              <w:spacing w:line="240" w:lineRule="auto"/>
              <w:jc w:val="center"/>
              <w:rPr>
                <w:rFonts w:eastAsia="Times New Roman" w:cs="Calibri"/>
                <w:sz w:val="14"/>
                <w:szCs w:val="14"/>
              </w:rPr>
            </w:pPr>
            <w:r w:rsidRPr="00724A4A">
              <w:rPr>
                <w:rFonts w:eastAsia="Times New Roman" w:cs="Calibri"/>
                <w:sz w:val="14"/>
                <w:szCs w:val="14"/>
              </w:rPr>
              <w:t>117,4</w:t>
            </w:r>
          </w:p>
        </w:tc>
        <w:tc>
          <w:tcPr>
            <w:tcW w:w="432" w:type="pct"/>
            <w:tcBorders>
              <w:top w:val="single" w:color="auto" w:sz="4" w:space="0"/>
              <w:left w:val="nil"/>
              <w:bottom w:val="single" w:color="auto" w:sz="4" w:space="0"/>
              <w:right w:val="single" w:color="auto" w:sz="4" w:space="0"/>
            </w:tcBorders>
            <w:noWrap/>
            <w:vAlign w:val="bottom"/>
          </w:tcPr>
          <w:p w:rsidRPr="00724A4A" w:rsidR="00030AE3" w:rsidP="00B20234" w:rsidRDefault="00030AE3" w14:paraId="5FBEFF3E" w14:textId="77777777">
            <w:pPr>
              <w:spacing w:line="240" w:lineRule="auto"/>
              <w:jc w:val="center"/>
              <w:rPr>
                <w:rFonts w:eastAsia="Times New Roman" w:cs="Calibri"/>
                <w:sz w:val="14"/>
                <w:szCs w:val="14"/>
              </w:rPr>
            </w:pPr>
            <w:r w:rsidRPr="00724A4A">
              <w:rPr>
                <w:rFonts w:eastAsia="Times New Roman" w:cs="Calibri"/>
                <w:sz w:val="14"/>
                <w:szCs w:val="14"/>
              </w:rPr>
              <w:t>12*</w:t>
            </w:r>
          </w:p>
        </w:tc>
        <w:tc>
          <w:tcPr>
            <w:tcW w:w="370" w:type="pct"/>
            <w:tcBorders>
              <w:top w:val="single" w:color="auto" w:sz="4" w:space="0"/>
              <w:left w:val="nil"/>
              <w:bottom w:val="single" w:color="auto" w:sz="4" w:space="0"/>
              <w:right w:val="single" w:color="auto" w:sz="4" w:space="0"/>
            </w:tcBorders>
            <w:noWrap/>
            <w:vAlign w:val="bottom"/>
          </w:tcPr>
          <w:p w:rsidRPr="00724A4A" w:rsidR="00030AE3" w:rsidP="00B20234" w:rsidRDefault="00030AE3" w14:paraId="3D52DB72" w14:textId="77777777">
            <w:pPr>
              <w:spacing w:line="240" w:lineRule="auto"/>
              <w:jc w:val="center"/>
              <w:rPr>
                <w:rFonts w:eastAsia="Times New Roman" w:cs="Calibri"/>
                <w:sz w:val="14"/>
                <w:szCs w:val="14"/>
              </w:rPr>
            </w:pPr>
            <w:r w:rsidRPr="00724A4A">
              <w:rPr>
                <w:rFonts w:eastAsia="Times New Roman" w:cs="Calibri"/>
                <w:sz w:val="14"/>
                <w:szCs w:val="14"/>
              </w:rPr>
              <w:t>127,8</w:t>
            </w:r>
          </w:p>
        </w:tc>
      </w:tr>
    </w:tbl>
    <w:p w:rsidRPr="00724A4A" w:rsidR="00030AE3" w:rsidP="00030AE3" w:rsidRDefault="00030AE3" w14:paraId="1A1C9898" w14:textId="77777777">
      <w:pPr>
        <w:rPr>
          <w:sz w:val="14"/>
          <w:szCs w:val="14"/>
        </w:rPr>
      </w:pPr>
      <w:r w:rsidRPr="00724A4A">
        <w:rPr>
          <w:sz w:val="14"/>
          <w:szCs w:val="14"/>
        </w:rPr>
        <w:t>Bron: Jaarverslagen en website pensioenfondsen</w:t>
      </w:r>
    </w:p>
    <w:p w:rsidRPr="00724A4A" w:rsidR="00030AE3" w:rsidP="00030AE3" w:rsidRDefault="00030AE3" w14:paraId="5616BEC2" w14:textId="77777777">
      <w:pPr>
        <w:rPr>
          <w:sz w:val="14"/>
          <w:szCs w:val="14"/>
        </w:rPr>
      </w:pPr>
      <w:r w:rsidRPr="00724A4A">
        <w:rPr>
          <w:sz w:val="14"/>
          <w:szCs w:val="14"/>
        </w:rPr>
        <w:t>*PFZW spreekt van ‘ongeveer 12 procent’ op haar website.</w:t>
      </w:r>
      <w:r w:rsidRPr="00724A4A">
        <w:rPr>
          <w:rStyle w:val="Voetnootmarkering"/>
          <w:sz w:val="14"/>
          <w:szCs w:val="14"/>
        </w:rPr>
        <w:footnoteReference w:id="21"/>
      </w:r>
    </w:p>
    <w:p w:rsidR="00030AE3" w:rsidP="00030AE3" w:rsidRDefault="00030AE3" w14:paraId="22948528" w14:textId="77777777">
      <w:pPr>
        <w:rPr>
          <w:b/>
          <w:bCs/>
        </w:rPr>
      </w:pPr>
    </w:p>
    <w:p w:rsidR="00176BD2" w:rsidP="00F44EC4" w:rsidRDefault="00176BD2" w14:paraId="527F8A00" w14:textId="77777777">
      <w:r>
        <w:t xml:space="preserve">Binnen het FTK vormt de dekkingsgraad een relatief simpele indicator om te achterhalen of pensioenfondsen via hun beleggingen inderdaad bijdragen aan een goed pensioen. Die geeft immers de verhouding weer tussen enerzijds het vermogen en anderzijds de verplichtingen van het pensioenfonds. </w:t>
      </w:r>
    </w:p>
    <w:p w:rsidR="00236F83" w:rsidP="00F44EC4" w:rsidRDefault="00236F83" w14:paraId="2F8D68CA" w14:textId="77777777"/>
    <w:p w:rsidR="00176BD2" w:rsidP="00F44EC4" w:rsidRDefault="00176BD2" w14:paraId="4931986C" w14:textId="21E21590">
      <w:pPr>
        <w:rPr>
          <w:b/>
          <w:bCs/>
        </w:rPr>
      </w:pPr>
      <w:r>
        <w:t>Uit tabel 2 blijkt dat de vijf grootste pensioenfondsen sinds 2020 een flinke stijging hebben kunnen laten zien van hun (beleids)dekkingsgraad.</w:t>
      </w:r>
      <w:r>
        <w:rPr>
          <w:sz w:val="16"/>
          <w:szCs w:val="16"/>
        </w:rPr>
        <w:t xml:space="preserve"> </w:t>
      </w:r>
      <w:r>
        <w:t>Deze gunstige ontwikkeling heeft zich vertaald in een indexatie van pensioenuitkeringen.</w:t>
      </w:r>
      <w:r w:rsidR="00E85184">
        <w:t xml:space="preserve"> </w:t>
      </w:r>
      <w:r>
        <w:t>Uit Tabel 3 blijkt dat de uitkeringen dankzij indexaties sinds 2020 zijn gestegen voor de vijf grootste pensioenfondsen. Dit komt mede doordat de grote bedrijfstakpensioenfondsen de mogelijkheid hadden om bij het verlenen van toeslagen vooruit te lopen op de Wet toekomst pensioenen gezien hun voornemen om in te varen.</w:t>
      </w:r>
    </w:p>
    <w:p w:rsidR="00176BD2" w:rsidP="00030AE3" w:rsidRDefault="00176BD2" w14:paraId="3AE5A2B0" w14:textId="77777777">
      <w:pPr>
        <w:rPr>
          <w:b/>
          <w:bCs/>
        </w:rPr>
      </w:pPr>
    </w:p>
    <w:p w:rsidRPr="009F3607" w:rsidR="00030AE3" w:rsidP="00030AE3" w:rsidRDefault="00030AE3" w14:paraId="41A0F384" w14:textId="2E9EF11C">
      <w:pPr>
        <w:rPr>
          <w:b/>
          <w:bCs/>
        </w:rPr>
      </w:pPr>
      <w:r w:rsidRPr="009F3607">
        <w:rPr>
          <w:b/>
          <w:bCs/>
        </w:rPr>
        <w:t xml:space="preserve">De Wet toekomst pensioenen </w:t>
      </w:r>
    </w:p>
    <w:p w:rsidRPr="00DB45C9" w:rsidR="00030AE3" w:rsidP="00030AE3" w:rsidRDefault="00030AE3" w14:paraId="56AADD07" w14:textId="77777777">
      <w:r>
        <w:t>Bovenstaande prestaties van pensioenfonds zijn geleverd onder het oude pensioenstelsel. Het oude pensioenstelsel was met aanhouden van grote buffers sterker gericht op nominale zekerheid dan het nieuwe pensioenstelsel. Ook in de transitie naar het nieuwe pensioenstelsel hebben fondsen waar nodig risico’s beperkt, om daarmee een stabiele, voorspelbare overgang naar het nieuwe stelsel voor hun deelnemers te bereiken. Met de Wet toekomst pensioenen is dit anders en zullen pensioenfondsen in het nieuwe pensioenstelsel rendementen eerder kunnen doorgegeven in de pensioenuitkering. Dat betekent over het algemeen dat pensioenfondsen een verschuiving zullen laten zien in de looptijd van hun renteafdekking naar kortere looptijden aangezien nu veel vaker alleen de uitkeringsperiode van circa 20 jaar zal worden afgedekt, in plaats van de gehele periode dat een deelnemer in het pensioenfonds aanwezig is, wat ongeveer 60 jaar is. Daarnaast zullen pensioenfondsen naar hun eigen verwachting meer beleggingsrisico op zich kunnen nemen dan in het oude stelsel door deze gerichtere aanpak. Dit zou kunnen leiden tot een grote kans op kleine verhogingen van pensioenuitkeringen en een kleine kans op substantiële verlagingen.</w:t>
      </w:r>
      <w:r>
        <w:rPr>
          <w:rStyle w:val="Voetnootmarkering"/>
        </w:rPr>
        <w:footnoteReference w:id="22"/>
      </w:r>
      <w:r>
        <w:t xml:space="preserve"> Per saldo biedt de Wtp daarmee meer perspectief op een koopkrachtig pensioen. </w:t>
      </w:r>
    </w:p>
    <w:p w:rsidR="00030AE3" w:rsidP="00030AE3" w:rsidRDefault="00030AE3" w14:paraId="3DFD0468" w14:textId="77777777">
      <w:pPr>
        <w:rPr>
          <w:b/>
          <w:bCs/>
        </w:rPr>
      </w:pPr>
    </w:p>
    <w:p w:rsidRPr="009F3607" w:rsidR="00030AE3" w:rsidP="00030AE3" w:rsidRDefault="00030AE3" w14:paraId="73EE39B8" w14:textId="6361E78D">
      <w:pPr>
        <w:rPr>
          <w:b/>
          <w:bCs/>
        </w:rPr>
      </w:pPr>
      <w:r w:rsidRPr="009F3607">
        <w:rPr>
          <w:b/>
          <w:bCs/>
        </w:rPr>
        <w:t>Conclusie</w:t>
      </w:r>
    </w:p>
    <w:p w:rsidR="00030AE3" w:rsidP="00030AE3" w:rsidRDefault="00D06583" w14:paraId="1529426E" w14:textId="051CE8F5">
      <w:r>
        <w:t xml:space="preserve">De prestaties </w:t>
      </w:r>
      <w:r w:rsidR="003843FB">
        <w:t>die</w:t>
      </w:r>
      <w:r>
        <w:t xml:space="preserve"> pensioenfondsen </w:t>
      </w:r>
      <w:r w:rsidR="003843FB">
        <w:t>behalen voor hun deelnemers is</w:t>
      </w:r>
      <w:r>
        <w:t xml:space="preserve"> een belangrijk onderwerp</w:t>
      </w:r>
      <w:r w:rsidR="0064636F">
        <w:t xml:space="preserve">. </w:t>
      </w:r>
      <w:r w:rsidR="00030AE3">
        <w:t xml:space="preserve">Pensioenfondsen hebben de wettelijk plicht om in het belang van hun deelnemers te handelen. De risicohouding, die het vertrekpunt vormt voor het strategisch beleggingsbeleid, wordt vastgesteld na overleg met de fondsorganen, waarin deelnemers zitting hebben. AFM houdt toezicht het risicopreferentieonderzoek en DNB houdt toezicht op het vaststellen van </w:t>
      </w:r>
      <w:r w:rsidR="00FA483D">
        <w:t xml:space="preserve">de risicohouding, </w:t>
      </w:r>
      <w:r w:rsidR="00030AE3">
        <w:t xml:space="preserve">het (strategische) beleggingsbeleid en het naleven van het prudent person beginsel. Op deze manier kent het proces voor het vaststellen van het strategisch beleggingsbeleid en de uitvoering hiervan de nodige </w:t>
      </w:r>
      <w:r w:rsidRPr="0081056B" w:rsidR="00030AE3">
        <w:rPr>
          <w:i/>
          <w:iCs/>
        </w:rPr>
        <w:t>checks</w:t>
      </w:r>
      <w:r w:rsidR="00030AE3">
        <w:t xml:space="preserve"> en </w:t>
      </w:r>
      <w:r w:rsidRPr="0081056B" w:rsidR="00030AE3">
        <w:rPr>
          <w:i/>
          <w:iCs/>
        </w:rPr>
        <w:t>balances</w:t>
      </w:r>
      <w:r w:rsidR="00030AE3">
        <w:t xml:space="preserve"> om er voor te zorgen dat in het belang van de deelnemer wordt gehandeld. </w:t>
      </w:r>
    </w:p>
    <w:p w:rsidR="00236F83" w:rsidP="00030AE3" w:rsidRDefault="00236F83" w14:paraId="3031AC09" w14:textId="77777777"/>
    <w:p w:rsidR="00B961BB" w:rsidP="00030AE3" w:rsidRDefault="0064636F" w14:paraId="01BEDDE7" w14:textId="422222CA">
      <w:r>
        <w:t xml:space="preserve">Het is begrijpelijk dat de aandacht voor de prestaties van pensioenfondsen komt te liggen op de rendementen die pensioenfondsen behalen. Voor een goed beeld van de prestaties van pensioenfondsen </w:t>
      </w:r>
      <w:r w:rsidR="00727740">
        <w:t xml:space="preserve">moet er </w:t>
      </w:r>
      <w:r w:rsidR="00DC4A08">
        <w:t xml:space="preserve">over de </w:t>
      </w:r>
      <w:r w:rsidR="00727740">
        <w:t>breed</w:t>
      </w:r>
      <w:r w:rsidR="00DC4A08">
        <w:t>te</w:t>
      </w:r>
      <w:r w:rsidR="00727740">
        <w:t xml:space="preserve"> worden gekeken</w:t>
      </w:r>
      <w:r>
        <w:t xml:space="preserve">. </w:t>
      </w:r>
      <w:r w:rsidR="00030AE3">
        <w:t>Omdat pensioenfondsen uitkeringen bieden gericht op behoud van de levensstandaard is het zinvoller om te kijken naar de mogelijkheid voor pensioenfondsen om een verhoging (of indexatie) te verlenen dan uitsluitend naar het rendement dat zij op de vermogenszijde van de balans behalen. Niet alleen het genomen beleggingsrisico, maar ook het renterisico en inflatierisico is bepalend voor de uiteindelijke hoogte en waarde van de pensioenuitkering. De prestaties van Nederlandse pensioenfondsen zijn sinds 2020 op het gebied van verhoging en indexatie gestegen. Met de invoering van de Wtp is de verwachting van pensioenfondsen dat zij in het algemeen minder renterisico zullen hoeven af te dekken en meer beleggingsrisico kunnen nemen, waarmee meer perspectief kan worden geboden op een koopkrachtig pensioen.</w:t>
      </w:r>
    </w:p>
    <w:p w:rsidR="00B961BB" w:rsidP="00030AE3" w:rsidRDefault="00B961BB" w14:paraId="2FDAED1F" w14:textId="77777777"/>
    <w:p w:rsidR="00030AE3" w:rsidP="00030AE3" w:rsidRDefault="00B961BB" w14:paraId="6AE62FBA" w14:textId="4B1D0CF2">
      <w:r>
        <w:t>Het blijft daarmee van belang dat fondsen op een eenduidige manier</w:t>
      </w:r>
      <w:r w:rsidR="00F0241C">
        <w:t xml:space="preserve"> kunnen communiceren over hun</w:t>
      </w:r>
      <w:r w:rsidR="00231AB9">
        <w:t xml:space="preserve"> lange termijn</w:t>
      </w:r>
      <w:r w:rsidR="00F0241C">
        <w:t xml:space="preserve"> beleggingsdoelstellingen, het voorgenomen</w:t>
      </w:r>
      <w:r w:rsidR="003E3F74">
        <w:t xml:space="preserve"> </w:t>
      </w:r>
      <w:r w:rsidR="00F0241C">
        <w:t>beleggingsbeleid om deze doelstellingen te bereiken en de behaalde resultaten. Met de Wtp wordt deze uitdaging</w:t>
      </w:r>
      <w:r w:rsidR="00231AB9">
        <w:t xml:space="preserve"> alleen maar</w:t>
      </w:r>
      <w:r w:rsidR="00F0241C">
        <w:t xml:space="preserve"> </w:t>
      </w:r>
      <w:r w:rsidR="00231AB9">
        <w:t>groter</w:t>
      </w:r>
      <w:r w:rsidR="00F0241C">
        <w:t>, omdat het behaalde rendement meer in beeld komt.</w:t>
      </w:r>
      <w:r w:rsidR="00231AB9">
        <w:t xml:space="preserve"> De pensioensector heeft daarom ook het initiatief genomen om dit nader vorm te geven. Dit vind ik een goede ontwikkeling waarover ik met de sector in gesprek ben.</w:t>
      </w:r>
    </w:p>
    <w:p w:rsidR="00236F83" w:rsidP="00030AE3" w:rsidRDefault="00236F83" w14:paraId="5FE4AC92" w14:textId="77777777"/>
    <w:p w:rsidR="00B97D5E" w:rsidRDefault="00B97D5E" w14:paraId="35EE1FB7" w14:textId="77777777">
      <w:pPr>
        <w:pStyle w:val="WitregelW1bodytekst"/>
      </w:pPr>
    </w:p>
    <w:p w:rsidR="00B97D5E" w:rsidRDefault="00176BD2" w14:paraId="35EE1FB8" w14:textId="77777777">
      <w:r>
        <w:t xml:space="preserve">De Minister van Sociale Zaken </w:t>
      </w:r>
      <w:r>
        <w:br/>
        <w:t>en Werkgelegenheid,</w:t>
      </w:r>
    </w:p>
    <w:p w:rsidR="00B97D5E" w:rsidRDefault="00B97D5E" w14:paraId="35EE1FB9" w14:textId="77777777"/>
    <w:p w:rsidR="00B97D5E" w:rsidRDefault="00B97D5E" w14:paraId="35EE1FBA" w14:textId="77777777"/>
    <w:p w:rsidR="00B97D5E" w:rsidRDefault="00B97D5E" w14:paraId="35EE1FBB" w14:textId="77777777"/>
    <w:p w:rsidR="00B97D5E" w:rsidRDefault="00B97D5E" w14:paraId="35EE1FBC" w14:textId="77777777"/>
    <w:p w:rsidR="00B97D5E" w:rsidRDefault="00B97D5E" w14:paraId="35EE1FBD" w14:textId="77777777"/>
    <w:p w:rsidR="00B97D5E" w:rsidRDefault="00176BD2" w14:paraId="35EE1FBE" w14:textId="77777777">
      <w:r>
        <w:t>J.A. Vijlbrief</w:t>
      </w:r>
    </w:p>
    <w:sectPr w:rsidR="00B97D5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1FC7" w14:textId="77777777" w:rsidR="00176BD2" w:rsidRDefault="00176BD2">
      <w:pPr>
        <w:spacing w:line="240" w:lineRule="auto"/>
      </w:pPr>
      <w:r>
        <w:separator/>
      </w:r>
    </w:p>
  </w:endnote>
  <w:endnote w:type="continuationSeparator" w:id="0">
    <w:p w14:paraId="35EE1FC9" w14:textId="77777777" w:rsidR="00176BD2" w:rsidRDefault="00176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94DA6" w:rsidRDefault="00494DA6" w14:paraId="22287714"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94DA6" w:rsidRDefault="00494DA6" w14:paraId="435310DF"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94DA6" w:rsidRDefault="00494DA6" w14:paraId="76CB6FF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1FC3" w14:textId="77777777" w:rsidR="00176BD2" w:rsidRDefault="00176BD2">
      <w:pPr>
        <w:spacing w:line="240" w:lineRule="auto"/>
      </w:pPr>
      <w:r>
        <w:separator/>
      </w:r>
    </w:p>
  </w:footnote>
  <w:footnote w:type="continuationSeparator" w:id="0">
    <w:p w14:paraId="35EE1FC5" w14:textId="77777777" w:rsidR="00176BD2" w:rsidRDefault="00176BD2">
      <w:pPr>
        <w:spacing w:line="240" w:lineRule="auto"/>
      </w:pPr>
      <w:r>
        <w:continuationSeparator/>
      </w:r>
    </w:p>
  </w:footnote>
  <w:footnote w:id="1">
    <w:p w14:paraId="703BB20F" w14:textId="348688BD" w:rsidR="00030AE3" w:rsidRPr="00611F59" w:rsidRDefault="00030AE3" w:rsidP="00030AE3">
      <w:pPr>
        <w:pStyle w:val="Voetnoottekst"/>
        <w:rPr>
          <w:sz w:val="16"/>
          <w:szCs w:val="16"/>
          <w:lang w:val="nl-NL"/>
        </w:rPr>
      </w:pPr>
      <w:r w:rsidRPr="00611F59">
        <w:rPr>
          <w:rStyle w:val="Voetnootmarkering"/>
          <w:sz w:val="16"/>
          <w:szCs w:val="16"/>
        </w:rPr>
        <w:footnoteRef/>
      </w:r>
      <w:r w:rsidRPr="00611F59">
        <w:rPr>
          <w:sz w:val="16"/>
          <w:szCs w:val="16"/>
          <w:lang w:val="nl-NL"/>
        </w:rPr>
        <w:t xml:space="preserve"> Motie Ceulemans: verzoekt de regering om in kaart te brengen in hoeverre niet-financiële doelstellingen een rol spelen in het beleggingsbeleid van pensioenfondsen, TK 32043, nr. 704.</w:t>
      </w:r>
      <w:r w:rsidR="003E3F74">
        <w:rPr>
          <w:sz w:val="16"/>
          <w:szCs w:val="16"/>
          <w:lang w:val="nl-NL"/>
        </w:rPr>
        <w:t xml:space="preserve"> </w:t>
      </w:r>
    </w:p>
  </w:footnote>
  <w:footnote w:id="2">
    <w:p w14:paraId="3D2AE5FB" w14:textId="77777777" w:rsidR="00030AE3" w:rsidRPr="00611F59" w:rsidRDefault="00030AE3" w:rsidP="00030AE3">
      <w:pPr>
        <w:spacing w:line="240" w:lineRule="auto"/>
        <w:rPr>
          <w:sz w:val="16"/>
          <w:szCs w:val="16"/>
        </w:rPr>
      </w:pPr>
      <w:r w:rsidRPr="00611F59">
        <w:rPr>
          <w:rStyle w:val="Voetnootmarkering"/>
          <w:sz w:val="16"/>
          <w:szCs w:val="16"/>
        </w:rPr>
        <w:footnoteRef/>
      </w:r>
      <w:r w:rsidRPr="00611F59">
        <w:rPr>
          <w:sz w:val="16"/>
          <w:szCs w:val="16"/>
        </w:rPr>
        <w:t xml:space="preserve"> Toezegging 4800 aan lid Van Brenk tijdens de begrotingsbehandeling 2026, 19 maart 2026: De Kamer ontvangt een brief over beleggingsrendementen van pensioenfondsen.</w:t>
      </w:r>
    </w:p>
  </w:footnote>
  <w:footnote w:id="3">
    <w:p w14:paraId="31C5A3D4" w14:textId="77777777" w:rsidR="00030AE3" w:rsidRPr="00403EED" w:rsidRDefault="00030AE3" w:rsidP="00030AE3">
      <w:pPr>
        <w:pStyle w:val="Voetnoottekst"/>
        <w:rPr>
          <w:sz w:val="16"/>
          <w:szCs w:val="16"/>
          <w:lang w:val="nl-NL"/>
        </w:rPr>
      </w:pPr>
      <w:r w:rsidRPr="00611F59">
        <w:rPr>
          <w:rStyle w:val="Voetnootmarkering"/>
          <w:sz w:val="16"/>
          <w:szCs w:val="16"/>
        </w:rPr>
        <w:footnoteRef/>
      </w:r>
      <w:r w:rsidRPr="00403EED">
        <w:rPr>
          <w:sz w:val="16"/>
          <w:szCs w:val="16"/>
          <w:lang w:val="nl-NL"/>
        </w:rPr>
        <w:t xml:space="preserve"> Kamerstukken II, 2024/2025, 32 043, nr. 670</w:t>
      </w:r>
    </w:p>
  </w:footnote>
  <w:footnote w:id="4">
    <w:p w14:paraId="062AC719" w14:textId="77777777" w:rsidR="00030AE3" w:rsidRPr="00EF26ED" w:rsidRDefault="00030AE3" w:rsidP="00030AE3">
      <w:pPr>
        <w:pStyle w:val="Voetnoottekst"/>
        <w:rPr>
          <w:sz w:val="16"/>
          <w:szCs w:val="16"/>
          <w:lang w:val="nl-NL"/>
        </w:rPr>
      </w:pPr>
      <w:r w:rsidRPr="00611F59">
        <w:rPr>
          <w:rStyle w:val="Voetnootmarkering"/>
          <w:sz w:val="16"/>
          <w:szCs w:val="16"/>
        </w:rPr>
        <w:footnoteRef/>
      </w:r>
      <w:r w:rsidRPr="00403EED">
        <w:rPr>
          <w:sz w:val="16"/>
          <w:szCs w:val="16"/>
          <w:lang w:val="nl-NL"/>
        </w:rPr>
        <w:t xml:space="preserve"> Kamerstukken II, 2023/2024, 32 043, nr. 642</w:t>
      </w:r>
    </w:p>
  </w:footnote>
  <w:footnote w:id="5">
    <w:p w14:paraId="3224BDB5" w14:textId="77777777" w:rsidR="00030AE3" w:rsidRPr="00611F59" w:rsidRDefault="00030AE3" w:rsidP="00030AE3">
      <w:pPr>
        <w:pStyle w:val="Voetnoottekst"/>
        <w:rPr>
          <w:sz w:val="16"/>
          <w:szCs w:val="16"/>
          <w:lang w:val="nl-NL"/>
        </w:rPr>
      </w:pPr>
      <w:r w:rsidRPr="00611F59">
        <w:rPr>
          <w:rStyle w:val="Voetnootmarkering"/>
          <w:sz w:val="16"/>
          <w:szCs w:val="16"/>
        </w:rPr>
        <w:footnoteRef/>
      </w:r>
      <w:r w:rsidRPr="00611F59">
        <w:rPr>
          <w:sz w:val="16"/>
          <w:szCs w:val="16"/>
          <w:lang w:val="nl-NL"/>
        </w:rPr>
        <w:t xml:space="preserve"> Besluit financieel toetsingskader pensioenfondsen, artikel 13 , lid1. </w:t>
      </w:r>
    </w:p>
  </w:footnote>
  <w:footnote w:id="6">
    <w:p w14:paraId="468EA85D" w14:textId="77777777" w:rsidR="00030AE3" w:rsidRPr="00611F59" w:rsidRDefault="00030AE3" w:rsidP="00030AE3">
      <w:pPr>
        <w:pStyle w:val="Voetnoottekst"/>
        <w:rPr>
          <w:sz w:val="16"/>
          <w:szCs w:val="16"/>
          <w:lang w:val="nl-NL"/>
        </w:rPr>
      </w:pPr>
      <w:r w:rsidRPr="00611F59">
        <w:rPr>
          <w:rStyle w:val="Voetnootmarkering"/>
          <w:sz w:val="16"/>
          <w:szCs w:val="16"/>
        </w:rPr>
        <w:footnoteRef/>
      </w:r>
      <w:r w:rsidRPr="00611F59">
        <w:rPr>
          <w:sz w:val="16"/>
          <w:szCs w:val="16"/>
          <w:lang w:val="nl-NL"/>
        </w:rPr>
        <w:t xml:space="preserve"> Besluit financieel toetsingskader pensioenfondsen, artikel 13a, lid 3.</w:t>
      </w:r>
    </w:p>
  </w:footnote>
  <w:footnote w:id="7">
    <w:p w14:paraId="69DDC8EE" w14:textId="77777777" w:rsidR="00030AE3" w:rsidRPr="00611F59" w:rsidRDefault="00030AE3" w:rsidP="00030AE3">
      <w:pPr>
        <w:pStyle w:val="Voetnoottekst"/>
        <w:rPr>
          <w:sz w:val="16"/>
          <w:szCs w:val="16"/>
          <w:lang w:val="nl-NL"/>
        </w:rPr>
      </w:pPr>
      <w:r w:rsidRPr="00611F59">
        <w:rPr>
          <w:rStyle w:val="Voetnootmarkering"/>
          <w:sz w:val="16"/>
          <w:szCs w:val="16"/>
        </w:rPr>
        <w:footnoteRef/>
      </w:r>
      <w:r w:rsidRPr="00611F59">
        <w:rPr>
          <w:sz w:val="16"/>
          <w:szCs w:val="16"/>
          <w:lang w:val="nl-NL"/>
        </w:rPr>
        <w:t xml:space="preserve"> Besluit financieel toetsingskader pensioenfondsen, artikel 18, lid 3, onderdeel g en artikel 18b, lid 2, onderdeel h. </w:t>
      </w:r>
    </w:p>
  </w:footnote>
  <w:footnote w:id="8">
    <w:p w14:paraId="7C7247CC" w14:textId="77777777" w:rsidR="00030AE3" w:rsidRPr="00611F59" w:rsidRDefault="00030AE3" w:rsidP="00030AE3">
      <w:pPr>
        <w:pStyle w:val="Voetnoottekst"/>
        <w:rPr>
          <w:sz w:val="16"/>
          <w:szCs w:val="16"/>
          <w:lang w:val="nl-NL"/>
        </w:rPr>
      </w:pPr>
      <w:r w:rsidRPr="00611F59">
        <w:rPr>
          <w:rStyle w:val="Voetnootmarkering"/>
          <w:sz w:val="16"/>
          <w:szCs w:val="16"/>
        </w:rPr>
        <w:footnoteRef/>
      </w:r>
      <w:r w:rsidRPr="00611F59">
        <w:rPr>
          <w:sz w:val="16"/>
          <w:szCs w:val="16"/>
          <w:lang w:val="nl-NL"/>
        </w:rPr>
        <w:t xml:space="preserve"> Besluit van 19 december 2018 tot wijziging van het Besluit financieel toetsingskader pensioenfondsen, het Besluit uitvoering Pensioenwet en Wet verplichte beroepspensioenregeling, het Besluit bekostiging financieel toezicht 2019, het Besluit prudentiële regels Wft, het Besluit gedragstoezicht financiële ondernemingen Wft en het Besluit markttoegang financiële ondernemingen Wft in verband met de implementatie van Richtlijn 2016/2341/EU van het Europees Parlement en de Raad van 14 december 2016 betreffende de werkzaamheden van en het toezicht op instellingen voor bedrijfspensioenvoorziening (IBPV’s) (PbEU 2016, L 354). Staatsblad 2018, nr. 516, p. 21)</w:t>
      </w:r>
    </w:p>
  </w:footnote>
  <w:footnote w:id="9">
    <w:p w14:paraId="4739482F" w14:textId="77777777" w:rsidR="00030AE3" w:rsidRPr="00611F59" w:rsidRDefault="00030AE3" w:rsidP="00030AE3">
      <w:pPr>
        <w:pStyle w:val="Voetnoottekst"/>
        <w:rPr>
          <w:sz w:val="16"/>
          <w:szCs w:val="16"/>
          <w:lang w:val="nl-NL"/>
        </w:rPr>
      </w:pPr>
      <w:r w:rsidRPr="00611F59">
        <w:rPr>
          <w:rStyle w:val="Voetnootmarkering"/>
          <w:sz w:val="16"/>
          <w:szCs w:val="16"/>
        </w:rPr>
        <w:footnoteRef/>
      </w:r>
      <w:r w:rsidRPr="00611F59">
        <w:rPr>
          <w:sz w:val="16"/>
          <w:szCs w:val="16"/>
          <w:lang w:val="nl-NL"/>
        </w:rPr>
        <w:t xml:space="preserve"> Besluit FTK artikel 13a, lid 1.</w:t>
      </w:r>
    </w:p>
  </w:footnote>
  <w:footnote w:id="10">
    <w:p w14:paraId="7B92FC47" w14:textId="77777777" w:rsidR="00030AE3" w:rsidRPr="00611F59" w:rsidRDefault="00030AE3" w:rsidP="00030AE3">
      <w:pPr>
        <w:pStyle w:val="Voetnoottekst"/>
        <w:rPr>
          <w:sz w:val="16"/>
          <w:szCs w:val="16"/>
          <w:lang w:val="nl-NL"/>
        </w:rPr>
      </w:pPr>
      <w:r w:rsidRPr="00611F59">
        <w:rPr>
          <w:rStyle w:val="Voetnootmarkering"/>
          <w:sz w:val="16"/>
          <w:szCs w:val="16"/>
        </w:rPr>
        <w:footnoteRef/>
      </w:r>
      <w:r w:rsidRPr="00611F59">
        <w:rPr>
          <w:sz w:val="16"/>
          <w:szCs w:val="16"/>
          <w:lang w:val="nl-NL"/>
        </w:rPr>
        <w:t xml:space="preserve"> Het pensioenfonds legt op grond van artikel 102a, lid 1 Pw na overleg met de fondsorganen de beleidsuitgangspunten en doelstellingen, waaronder de risicohouding vast. De beleidsuitgangspunten en doelstellingen, waaronder de risicohouding zijn een uitgangspunt voor vaststelling van het strategisch beleggingsbeleid.</w:t>
      </w:r>
      <w:r w:rsidRPr="00611F59">
        <w:rPr>
          <w:rFonts w:ascii="Arial" w:eastAsia="Times New Roman" w:hAnsi="Arial" w:cs="Arial"/>
          <w:kern w:val="0"/>
          <w:sz w:val="16"/>
          <w:szCs w:val="16"/>
          <w:lang w:val="nl-NL" w:eastAsia="nl-NL"/>
          <w14:ligatures w14:val="none"/>
        </w:rPr>
        <w:t xml:space="preserve"> </w:t>
      </w:r>
      <w:hyperlink r:id="rId1" w:history="1">
        <w:r w:rsidRPr="00611F59">
          <w:rPr>
            <w:rStyle w:val="Hyperlink"/>
            <w:i/>
            <w:iCs/>
            <w:sz w:val="16"/>
            <w:szCs w:val="16"/>
            <w:lang w:val="nl-NL"/>
          </w:rPr>
          <w:t>Beleggingen - Pensioenfondsen | De Nederlandsche Bank</w:t>
        </w:r>
      </w:hyperlink>
      <w:r w:rsidRPr="00611F59">
        <w:rPr>
          <w:i/>
          <w:iCs/>
          <w:sz w:val="16"/>
          <w:szCs w:val="16"/>
          <w:lang w:val="nl-NL"/>
        </w:rPr>
        <w:t>).</w:t>
      </w:r>
    </w:p>
  </w:footnote>
  <w:footnote w:id="11">
    <w:p w14:paraId="50E51B64" w14:textId="77777777" w:rsidR="00030AE3" w:rsidRPr="00611F59" w:rsidRDefault="00030AE3" w:rsidP="00030AE3">
      <w:pPr>
        <w:pStyle w:val="Voetnoottekst"/>
        <w:rPr>
          <w:sz w:val="16"/>
          <w:szCs w:val="16"/>
          <w:lang w:val="nl-NL"/>
        </w:rPr>
      </w:pPr>
      <w:r w:rsidRPr="00611F59">
        <w:rPr>
          <w:rStyle w:val="Voetnootmarkering"/>
          <w:sz w:val="16"/>
          <w:szCs w:val="16"/>
        </w:rPr>
        <w:footnoteRef/>
      </w:r>
      <w:r w:rsidRPr="00611F59">
        <w:rPr>
          <w:sz w:val="16"/>
          <w:szCs w:val="16"/>
          <w:lang w:val="nl-NL"/>
        </w:rPr>
        <w:t xml:space="preserve"> </w:t>
      </w:r>
      <w:hyperlink r:id="rId2" w:history="1">
        <w:r w:rsidRPr="00611F59">
          <w:rPr>
            <w:rStyle w:val="Hyperlink"/>
            <w:sz w:val="16"/>
            <w:szCs w:val="16"/>
            <w:lang w:val="nl-NL"/>
          </w:rPr>
          <w:t>Factsheet: Risicohouding pensioenuitvoerders | De Nederlandsche Bank</w:t>
        </w:r>
      </w:hyperlink>
    </w:p>
  </w:footnote>
  <w:footnote w:id="12">
    <w:p w14:paraId="1D595563" w14:textId="0EC2E997" w:rsidR="00030AE3" w:rsidRPr="00030AE3" w:rsidRDefault="00030AE3">
      <w:pPr>
        <w:pStyle w:val="Voetnoottekst"/>
        <w:rPr>
          <w:lang w:val="nl-NL"/>
        </w:rPr>
      </w:pPr>
      <w:r>
        <w:rPr>
          <w:rStyle w:val="Voetnootmarkering"/>
        </w:rPr>
        <w:footnoteRef/>
      </w:r>
      <w:r w:rsidRPr="00030AE3">
        <w:rPr>
          <w:lang w:val="nl-NL"/>
        </w:rPr>
        <w:t xml:space="preserve"> </w:t>
      </w:r>
      <w:r>
        <w:rPr>
          <w:sz w:val="16"/>
          <w:szCs w:val="16"/>
          <w:lang w:val="nl-NL"/>
        </w:rPr>
        <w:t>A</w:t>
      </w:r>
      <w:r w:rsidRPr="00030AE3">
        <w:rPr>
          <w:sz w:val="16"/>
          <w:szCs w:val="16"/>
          <w:lang w:val="nl-NL"/>
        </w:rPr>
        <w:t>rtikel 102a Pensioenwet (Pw)</w:t>
      </w:r>
      <w:r>
        <w:rPr>
          <w:sz w:val="16"/>
          <w:szCs w:val="16"/>
          <w:lang w:val="nl-NL"/>
        </w:rPr>
        <w:t>.</w:t>
      </w:r>
    </w:p>
  </w:footnote>
  <w:footnote w:id="13">
    <w:p w14:paraId="48D8D733" w14:textId="6687F475" w:rsidR="00030AE3" w:rsidRPr="00320FFD" w:rsidRDefault="00030AE3">
      <w:pPr>
        <w:pStyle w:val="Voetnoottekst"/>
        <w:rPr>
          <w:sz w:val="16"/>
          <w:szCs w:val="16"/>
          <w:lang w:val="nl-NL"/>
        </w:rPr>
      </w:pPr>
      <w:r w:rsidRPr="00320FFD">
        <w:rPr>
          <w:rStyle w:val="Voetnootmarkering"/>
          <w:sz w:val="16"/>
          <w:szCs w:val="16"/>
        </w:rPr>
        <w:footnoteRef/>
      </w:r>
      <w:r w:rsidRPr="00320FFD">
        <w:rPr>
          <w:sz w:val="16"/>
          <w:szCs w:val="16"/>
          <w:lang w:val="nl-NL"/>
        </w:rPr>
        <w:t xml:space="preserve"> Artikel 102a, lid 1 Pw.</w:t>
      </w:r>
    </w:p>
  </w:footnote>
  <w:footnote w:id="14">
    <w:p w14:paraId="709E5D08" w14:textId="365A5D11" w:rsidR="00692164" w:rsidRPr="00320FFD" w:rsidRDefault="00692164">
      <w:pPr>
        <w:pStyle w:val="Voetnoottekst"/>
        <w:rPr>
          <w:sz w:val="16"/>
          <w:szCs w:val="16"/>
          <w:lang w:val="nl-NL"/>
        </w:rPr>
      </w:pPr>
      <w:r w:rsidRPr="00320FFD">
        <w:rPr>
          <w:rStyle w:val="Voetnootmarkering"/>
          <w:sz w:val="16"/>
          <w:szCs w:val="16"/>
        </w:rPr>
        <w:footnoteRef/>
      </w:r>
      <w:r w:rsidRPr="00320FFD">
        <w:rPr>
          <w:sz w:val="16"/>
          <w:szCs w:val="16"/>
          <w:lang w:val="nl-NL"/>
        </w:rPr>
        <w:t xml:space="preserve"> Artikel 13a, lid 1 Besluit FTK.</w:t>
      </w:r>
    </w:p>
  </w:footnote>
  <w:footnote w:id="15">
    <w:p w14:paraId="319654D4" w14:textId="1D9DA71B" w:rsidR="00692164" w:rsidRPr="00320FFD" w:rsidRDefault="00692164">
      <w:pPr>
        <w:pStyle w:val="Voetnoottekst"/>
        <w:rPr>
          <w:sz w:val="16"/>
          <w:szCs w:val="16"/>
          <w:lang w:val="nl-NL"/>
        </w:rPr>
      </w:pPr>
      <w:r w:rsidRPr="00320FFD">
        <w:rPr>
          <w:rStyle w:val="Voetnootmarkering"/>
          <w:sz w:val="16"/>
          <w:szCs w:val="16"/>
        </w:rPr>
        <w:footnoteRef/>
      </w:r>
      <w:r w:rsidRPr="00320FFD">
        <w:rPr>
          <w:sz w:val="16"/>
          <w:szCs w:val="16"/>
          <w:lang w:val="nl-NL"/>
        </w:rPr>
        <w:t xml:space="preserve"> Artikel 34 Pw en artikel 13 en 14 Besluit uitvoering Pw en Wvb.</w:t>
      </w:r>
    </w:p>
  </w:footnote>
  <w:footnote w:id="16">
    <w:p w14:paraId="7731FAAC" w14:textId="77F43768" w:rsidR="00692164" w:rsidRPr="00320FFD" w:rsidRDefault="00692164">
      <w:pPr>
        <w:pStyle w:val="Voetnoottekst"/>
        <w:rPr>
          <w:sz w:val="16"/>
          <w:szCs w:val="16"/>
          <w:lang w:val="nl-NL"/>
        </w:rPr>
      </w:pPr>
      <w:r w:rsidRPr="00320FFD">
        <w:rPr>
          <w:rStyle w:val="Voetnootmarkering"/>
          <w:sz w:val="16"/>
          <w:szCs w:val="16"/>
        </w:rPr>
        <w:footnoteRef/>
      </w:r>
      <w:r w:rsidRPr="00320FFD">
        <w:rPr>
          <w:sz w:val="16"/>
          <w:szCs w:val="16"/>
          <w:lang w:val="nl-NL"/>
        </w:rPr>
        <w:t xml:space="preserve"> Artikel 13a Besluit FTK.</w:t>
      </w:r>
    </w:p>
  </w:footnote>
  <w:footnote w:id="17">
    <w:p w14:paraId="00589EE1" w14:textId="77777777" w:rsidR="00030AE3" w:rsidRPr="00A90000" w:rsidRDefault="00030AE3" w:rsidP="00030AE3">
      <w:pPr>
        <w:pStyle w:val="Voetnoottekst"/>
        <w:rPr>
          <w:lang w:val="nl-NL"/>
        </w:rPr>
      </w:pPr>
      <w:r w:rsidRPr="00320FFD">
        <w:rPr>
          <w:rStyle w:val="Voetnootmarkering"/>
          <w:sz w:val="16"/>
          <w:szCs w:val="16"/>
        </w:rPr>
        <w:footnoteRef/>
      </w:r>
      <w:r w:rsidRPr="00320FFD">
        <w:rPr>
          <w:sz w:val="16"/>
          <w:szCs w:val="16"/>
          <w:lang w:val="nl-NL"/>
        </w:rPr>
        <w:t xml:space="preserve"> </w:t>
      </w:r>
      <w:hyperlink r:id="rId3" w:history="1">
        <w:r w:rsidRPr="00320FFD">
          <w:rPr>
            <w:rStyle w:val="Hyperlink"/>
            <w:sz w:val="16"/>
            <w:szCs w:val="16"/>
            <w:lang w:val="nl-NL"/>
          </w:rPr>
          <w:t>Beleggingen - Pensioenfondsen | De Nederlandsche Bank</w:t>
        </w:r>
      </w:hyperlink>
    </w:p>
  </w:footnote>
  <w:footnote w:id="18">
    <w:p w14:paraId="62D3BF28" w14:textId="77777777" w:rsidR="00030AE3" w:rsidRPr="00611F59" w:rsidRDefault="00030AE3" w:rsidP="00030AE3">
      <w:pPr>
        <w:pStyle w:val="Voetnoottekst"/>
        <w:rPr>
          <w:sz w:val="16"/>
          <w:szCs w:val="16"/>
          <w:lang w:val="nl-NL"/>
        </w:rPr>
      </w:pPr>
      <w:r w:rsidRPr="00611F59">
        <w:rPr>
          <w:rStyle w:val="Voetnootmarkering"/>
          <w:sz w:val="16"/>
          <w:szCs w:val="16"/>
        </w:rPr>
        <w:footnoteRef/>
      </w:r>
      <w:r w:rsidRPr="00611F59">
        <w:rPr>
          <w:sz w:val="16"/>
          <w:szCs w:val="16"/>
          <w:lang w:val="nl-NL"/>
        </w:rPr>
        <w:t xml:space="preserve"> Besluit toekomst pensioenen, artikel 14t. </w:t>
      </w:r>
    </w:p>
  </w:footnote>
  <w:footnote w:id="19">
    <w:p w14:paraId="70593BD2" w14:textId="77777777" w:rsidR="00030AE3" w:rsidRPr="00611F59" w:rsidRDefault="00030AE3" w:rsidP="00030AE3">
      <w:pPr>
        <w:pStyle w:val="Voetnoottekst"/>
        <w:rPr>
          <w:sz w:val="16"/>
          <w:szCs w:val="16"/>
          <w:lang w:val="nl-NL"/>
        </w:rPr>
      </w:pPr>
      <w:r w:rsidRPr="00611F59">
        <w:rPr>
          <w:rStyle w:val="Voetnootmarkering"/>
          <w:sz w:val="16"/>
          <w:szCs w:val="16"/>
        </w:rPr>
        <w:footnoteRef/>
      </w:r>
      <w:r w:rsidRPr="00611F59">
        <w:rPr>
          <w:sz w:val="16"/>
          <w:szCs w:val="16"/>
          <w:lang w:val="nl-NL"/>
        </w:rPr>
        <w:t xml:space="preserve"> Thomas Pistorius, T. (2021). Lifecycle beleggen in het nieuwe pensioen- contract: de theorie over de inzet van human capital en de nuances, VBA Journaal, nr.148, 65-70. </w:t>
      </w:r>
    </w:p>
  </w:footnote>
  <w:footnote w:id="20">
    <w:p w14:paraId="47E2DA27" w14:textId="73489D14" w:rsidR="009148FB" w:rsidRPr="00B61BD0" w:rsidRDefault="009148FB">
      <w:pPr>
        <w:pStyle w:val="Voetnoottekst"/>
        <w:rPr>
          <w:lang w:val="nl-NL"/>
        </w:rPr>
      </w:pPr>
      <w:r>
        <w:rPr>
          <w:rStyle w:val="Voetnootmarkering"/>
        </w:rPr>
        <w:footnoteRef/>
      </w:r>
      <w:r w:rsidRPr="00B61BD0">
        <w:rPr>
          <w:lang w:val="nl-NL"/>
        </w:rPr>
        <w:t xml:space="preserve"> </w:t>
      </w:r>
      <w:r w:rsidRPr="00B61BD0">
        <w:rPr>
          <w:sz w:val="14"/>
          <w:szCs w:val="14"/>
          <w:lang w:val="nl-NL"/>
        </w:rPr>
        <w:t>Compound Annual Growth Rate in percentages</w:t>
      </w:r>
      <w:r w:rsidRPr="009148FB">
        <w:rPr>
          <w:rFonts w:asciiTheme="minorHAnsi" w:hAnsiTheme="minorHAnsi"/>
          <w:sz w:val="22"/>
          <w:szCs w:val="22"/>
          <w:lang w:val="nl-NL"/>
        </w:rPr>
        <w:t xml:space="preserve"> </w:t>
      </w:r>
      <w:r w:rsidRPr="009148FB">
        <w:rPr>
          <w:sz w:val="14"/>
          <w:szCs w:val="14"/>
          <w:lang w:val="nl-NL"/>
        </w:rPr>
        <w:t xml:space="preserve">: ((eindwaarde cumulatief rendement / beginwaarde cumulatief rendement) ^(1/jaren)) </w:t>
      </w:r>
      <w:r>
        <w:rPr>
          <w:sz w:val="14"/>
          <w:szCs w:val="14"/>
          <w:lang w:val="nl-NL"/>
        </w:rPr>
        <w:t>–</w:t>
      </w:r>
      <w:r w:rsidRPr="009148FB">
        <w:rPr>
          <w:sz w:val="14"/>
          <w:szCs w:val="14"/>
          <w:lang w:val="nl-NL"/>
        </w:rPr>
        <w:t xml:space="preserve"> 1</w:t>
      </w:r>
      <w:r>
        <w:rPr>
          <w:sz w:val="14"/>
          <w:szCs w:val="14"/>
          <w:lang w:val="nl-NL"/>
        </w:rPr>
        <w:t xml:space="preserve"> *100</w:t>
      </w:r>
    </w:p>
  </w:footnote>
  <w:footnote w:id="21">
    <w:p w14:paraId="2A58CACC" w14:textId="77777777" w:rsidR="00030AE3" w:rsidRPr="00B61BD0" w:rsidRDefault="00030AE3" w:rsidP="00030AE3">
      <w:pPr>
        <w:pStyle w:val="Voetnoottekst"/>
        <w:rPr>
          <w:sz w:val="16"/>
          <w:szCs w:val="16"/>
          <w:lang w:val="nl-NL"/>
        </w:rPr>
      </w:pPr>
      <w:r w:rsidRPr="00276591">
        <w:rPr>
          <w:rStyle w:val="Voetnootmarkering"/>
          <w:sz w:val="16"/>
          <w:szCs w:val="16"/>
        </w:rPr>
        <w:footnoteRef/>
      </w:r>
      <w:r w:rsidRPr="00B61BD0">
        <w:rPr>
          <w:sz w:val="16"/>
          <w:szCs w:val="16"/>
          <w:lang w:val="nl-NL"/>
        </w:rPr>
        <w:t xml:space="preserve"> https://www.pfzw.nl/over-pfzw/nieuws/hoger-pensioeninkomen-vanaf-maart-2026.html</w:t>
      </w:r>
    </w:p>
  </w:footnote>
  <w:footnote w:id="22">
    <w:p w14:paraId="2B68AFFB" w14:textId="77777777" w:rsidR="00030AE3" w:rsidRPr="00DB45C9" w:rsidRDefault="00030AE3" w:rsidP="00030AE3">
      <w:pPr>
        <w:pStyle w:val="Voetnoottekst"/>
        <w:rPr>
          <w:lang w:val="nl-NL"/>
        </w:rPr>
      </w:pPr>
      <w:r w:rsidRPr="00276591">
        <w:rPr>
          <w:rStyle w:val="Voetnootmarkering"/>
          <w:sz w:val="16"/>
          <w:szCs w:val="16"/>
        </w:rPr>
        <w:footnoteRef/>
      </w:r>
      <w:r w:rsidRPr="00276591">
        <w:rPr>
          <w:sz w:val="16"/>
          <w:szCs w:val="16"/>
          <w:lang w:val="nl-NL"/>
        </w:rPr>
        <w:t xml:space="preserve"> SEO (2026), Doelstellingenmonitor Wtp.</w:t>
      </w:r>
      <w:r w:rsidRPr="00DB45C9">
        <w:rPr>
          <w:lang w:val="nl-NL"/>
        </w:rPr>
        <w:t xml:space="preserve">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94DA6" w:rsidRDefault="00494DA6" w14:paraId="12D98735"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B97D5E" w:rsidRDefault="00176BD2" w14:paraId="35EE1FBF" w14:textId="77777777">
    <w:r>
      <w:rPr>
        <w:noProof/>
      </w:rPr>
      <mc:AlternateContent>
        <mc:Choice Requires="wps">
          <w:drawing>
            <wp:anchor distT="0" distB="0" distL="0" distR="0" simplePos="false" relativeHeight="251654144" behindDoc="false" locked="true" layoutInCell="true" allowOverlap="true" wp14:anchorId="35EE1FC3" wp14:editId="446B7E6B">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B97D5E" w:rsidRDefault="00B97D5E" w14:paraId="35EE1FF3" w14:textId="77777777">
                          <w:pPr>
                            <w:pStyle w:val="WitregelW2"/>
                          </w:pPr>
                        </w:p>
                        <w:p w:rsidR="00B97D5E" w:rsidRDefault="00176BD2" w14:paraId="35EE1FF4" w14:textId="77777777">
                          <w:pPr>
                            <w:pStyle w:val="Referentiegegevenskopjes"/>
                          </w:pPr>
                          <w:r>
                            <w:t>Datum</w:t>
                          </w:r>
                        </w:p>
                        <w:p>
                          <w:pPr>
                            <w:pStyle w:val="Referentiegegevens"/>
                          </w:pPr>
                          <w:r>
                            <w:fldChar w:fldCharType="begin"/>
                            <w:instrText xml:space="preserve"> DOCPROPERTY  "iDatum"  \* MERGEFORMAT </w:instrText>
                            <w:fldChar w:fldCharType="separate"/>
                          </w:r>
                          <w:r>
                            <w:t>8 juni 2026</w:t>
                          </w:r>
                          <w:r>
                            <w:fldChar w:fldCharType="end"/>
                          </w:r>
                        </w:p>
                        <w:p w:rsidR="00B97D5E" w:rsidRDefault="00B97D5E" w14:paraId="35EE1FF6" w14:textId="77777777">
                          <w:pPr>
                            <w:pStyle w:val="WitregelW1"/>
                          </w:pPr>
                        </w:p>
                        <w:p w:rsidR="00B97D5E" w:rsidRDefault="00176BD2" w14:paraId="35EE1FF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2026-0000093307</w:t>
                          </w:r>
                          <w:r>
                            <w:fldChar w:fldCharType="end"/>
                          </w:r>
                        </w:p>
                      </w:txbxContent>
                    </wps:txbx>
                    <wps:bodyPr vert="horz" wrap="square" lIns="0" tIns="0" rIns="0" bIns="0" anchor="t" anchorCtr="false"/>
                  </wps:wsp>
                </a:graphicData>
              </a:graphic>
              <wp14:sizeRelH relativeFrom="margin">
                <wp14:pctWidth>0</wp14:pctWidth>
              </wp14:sizeRelH>
              <wp14:sizeRelV relativeFrom="margin">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id="bd639862-03a6-11ee-8f29-0242ac130005" o:spid="_x0000_s1027" stroked="f" filled="f">
              <v:textbox inset="0,0,0,0">
                <w:txbxContent>
                  <w:p w:rsidR="00B97D5E" w:rsidRDefault="00B97D5E" w14:paraId="35EE1FF3" w14:textId="77777777">
                    <w:pPr>
                      <w:pStyle w:val="WitregelW2"/>
                    </w:pPr>
                  </w:p>
                  <w:p w:rsidR="00B97D5E" w:rsidRDefault="00176BD2" w14:paraId="35EE1FF4" w14:textId="77777777">
                    <w:pPr>
                      <w:pStyle w:val="Referentiegegevenskopjes"/>
                    </w:pPr>
                    <w:r>
                      <w:t>Datum</w:t>
                    </w:r>
                  </w:p>
                  <w:p>
                    <w:pPr>
                      <w:pStyle w:val="Referentiegegevens"/>
                    </w:pPr>
                    <w:r>
                      <w:fldChar w:fldCharType="begin"/>
                      <w:instrText xml:space="preserve"> DOCPROPERTY  "iDatum"  \* MERGEFORMAT </w:instrText>
                      <w:fldChar w:fldCharType="separate"/>
                    </w:r>
                    <w:r>
                      <w:t>8 juni 2026</w:t>
                    </w:r>
                    <w:r>
                      <w:fldChar w:fldCharType="end"/>
                    </w:r>
                  </w:p>
                  <w:p w:rsidR="00B97D5E" w:rsidRDefault="00B97D5E" w14:paraId="35EE1FF6" w14:textId="77777777">
                    <w:pPr>
                      <w:pStyle w:val="WitregelW1"/>
                    </w:pPr>
                  </w:p>
                  <w:p w:rsidR="00B97D5E" w:rsidRDefault="00176BD2" w14:paraId="35EE1FF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2026-0000093307</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35EE1FC5" wp14:editId="35EE1FC6">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8"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B97D5E" w:rsidRDefault="00176BD2" w14:paraId="35EE1FC1"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35EE1FC7" wp14:editId="35EE1FC8">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B97D5E" w:rsidRDefault="00176BD2" w14:paraId="35EE1FD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9" stroked="f" filled="f">
              <v:textbox inset="0,0,0,0">
                <w:txbxContent>
                  <w:p w:rsidR="00B97D5E" w:rsidRDefault="00176BD2" w14:paraId="35EE1FD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5EE1FC9" wp14:editId="35EE1FCA">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B97D5E" w:rsidRDefault="00B97D5E" w14:paraId="35EE1FD5" w14:textId="77777777">
                          <w:pPr>
                            <w:pStyle w:val="WitregelW1"/>
                          </w:pPr>
                        </w:p>
                        <w:p w:rsidRPr="00494DA6" w:rsidR="00B97D5E" w:rsidRDefault="00176BD2" w14:paraId="35EE1FD6" w14:textId="77777777">
                          <w:pPr>
                            <w:pStyle w:val="Afzendgegevens"/>
                            <w:rPr>
                              <w:lang w:val="de-DE"/>
                            </w:rPr>
                          </w:pPr>
                          <w:r w:rsidRPr="00494DA6">
                            <w:rPr>
                              <w:lang w:val="de-DE"/>
                            </w:rPr>
                            <w:t>Postbus 90801</w:t>
                          </w:r>
                        </w:p>
                        <w:p w:rsidRPr="00494DA6" w:rsidR="00B97D5E" w:rsidRDefault="00176BD2" w14:paraId="35EE1FD7" w14:textId="1E4F5C8B">
                          <w:pPr>
                            <w:pStyle w:val="Afzendgegevens"/>
                            <w:rPr>
                              <w:lang w:val="de-DE"/>
                            </w:rPr>
                          </w:pPr>
                          <w:r w:rsidRPr="00494DA6">
                            <w:rPr>
                              <w:lang w:val="de-DE"/>
                            </w:rPr>
                            <w:t>2509 LV</w:t>
                          </w:r>
                          <w:r w:rsidR="003E3F74">
                            <w:rPr>
                              <w:lang w:val="de-DE"/>
                            </w:rPr>
                            <w:t xml:space="preserve"> </w:t>
                          </w:r>
                          <w:r w:rsidRPr="00494DA6">
                            <w:rPr>
                              <w:lang w:val="de-DE"/>
                            </w:rPr>
                            <w:t>Den Haag</w:t>
                          </w:r>
                        </w:p>
                        <w:p w:rsidRPr="00494DA6" w:rsidR="00B97D5E" w:rsidRDefault="00176BD2" w14:paraId="35EE1FD8" w14:textId="2E0A360D">
                          <w:pPr>
                            <w:pStyle w:val="Afzendgegevens"/>
                            <w:rPr>
                              <w:lang w:val="de-DE"/>
                            </w:rPr>
                          </w:pPr>
                          <w:r w:rsidRPr="00494DA6">
                            <w:rPr>
                              <w:lang w:val="de-DE"/>
                            </w:rPr>
                            <w:t>T</w:t>
                          </w:r>
                          <w:r w:rsidR="00FF1951">
                            <w:rPr>
                              <w:lang w:val="de-DE"/>
                            </w:rPr>
                            <w:t xml:space="preserve"> </w:t>
                          </w:r>
                          <w:r w:rsidRPr="00494DA6">
                            <w:rPr>
                              <w:lang w:val="de-DE"/>
                            </w:rPr>
                            <w:t>070 333 44 44</w:t>
                          </w:r>
                        </w:p>
                        <w:p w:rsidRPr="00494DA6" w:rsidR="00B97D5E" w:rsidRDefault="00B97D5E" w14:paraId="35EE1FD9" w14:textId="77777777">
                          <w:pPr>
                            <w:pStyle w:val="WitregelW2"/>
                            <w:rPr>
                              <w:lang w:val="de-DE"/>
                            </w:rPr>
                          </w:pPr>
                        </w:p>
                        <w:p w:rsidR="00B97D5E" w:rsidRDefault="00176BD2" w14:paraId="35EE1FD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2026-0000093307</w:t>
                          </w:r>
                          <w:r>
                            <w:fldChar w:fldCharType="end"/>
                          </w:r>
                        </w:p>
                        <w:p w:rsidR="00B97D5E" w:rsidRDefault="00B97D5E" w14:paraId="35EE1FD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B97D5E" w:rsidRDefault="00B97D5E" w14:paraId="35EE1FD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30" stroked="f" filled="f">
              <v:textbox inset="0,0,0,0">
                <w:txbxContent>
                  <w:p w:rsidR="00B97D5E" w:rsidRDefault="00B97D5E" w14:paraId="35EE1FD5" w14:textId="77777777">
                    <w:pPr>
                      <w:pStyle w:val="WitregelW1"/>
                    </w:pPr>
                  </w:p>
                  <w:p w:rsidRPr="00494DA6" w:rsidR="00B97D5E" w:rsidRDefault="00176BD2" w14:paraId="35EE1FD6" w14:textId="77777777">
                    <w:pPr>
                      <w:pStyle w:val="Afzendgegevens"/>
                      <w:rPr>
                        <w:lang w:val="de-DE"/>
                      </w:rPr>
                    </w:pPr>
                    <w:r w:rsidRPr="00494DA6">
                      <w:rPr>
                        <w:lang w:val="de-DE"/>
                      </w:rPr>
                      <w:t>Postbus 90801</w:t>
                    </w:r>
                  </w:p>
                  <w:p w:rsidRPr="00494DA6" w:rsidR="00B97D5E" w:rsidRDefault="00176BD2" w14:paraId="35EE1FD7" w14:textId="1E4F5C8B">
                    <w:pPr>
                      <w:pStyle w:val="Afzendgegevens"/>
                      <w:rPr>
                        <w:lang w:val="de-DE"/>
                      </w:rPr>
                    </w:pPr>
                    <w:r w:rsidRPr="00494DA6">
                      <w:rPr>
                        <w:lang w:val="de-DE"/>
                      </w:rPr>
                      <w:t>2509 LV</w:t>
                    </w:r>
                    <w:r w:rsidR="003E3F74">
                      <w:rPr>
                        <w:lang w:val="de-DE"/>
                      </w:rPr>
                      <w:t xml:space="preserve"> </w:t>
                    </w:r>
                    <w:r w:rsidRPr="00494DA6">
                      <w:rPr>
                        <w:lang w:val="de-DE"/>
                      </w:rPr>
                      <w:t>Den Haag</w:t>
                    </w:r>
                  </w:p>
                  <w:p w:rsidRPr="00494DA6" w:rsidR="00B97D5E" w:rsidRDefault="00176BD2" w14:paraId="35EE1FD8" w14:textId="2E0A360D">
                    <w:pPr>
                      <w:pStyle w:val="Afzendgegevens"/>
                      <w:rPr>
                        <w:lang w:val="de-DE"/>
                      </w:rPr>
                    </w:pPr>
                    <w:r w:rsidRPr="00494DA6">
                      <w:rPr>
                        <w:lang w:val="de-DE"/>
                      </w:rPr>
                      <w:t>T</w:t>
                    </w:r>
                    <w:r w:rsidR="00FF1951">
                      <w:rPr>
                        <w:lang w:val="de-DE"/>
                      </w:rPr>
                      <w:t xml:space="preserve"> </w:t>
                    </w:r>
                    <w:r w:rsidRPr="00494DA6">
                      <w:rPr>
                        <w:lang w:val="de-DE"/>
                      </w:rPr>
                      <w:t>070 333 44 44</w:t>
                    </w:r>
                  </w:p>
                  <w:p w:rsidRPr="00494DA6" w:rsidR="00B97D5E" w:rsidRDefault="00B97D5E" w14:paraId="35EE1FD9" w14:textId="77777777">
                    <w:pPr>
                      <w:pStyle w:val="WitregelW2"/>
                      <w:rPr>
                        <w:lang w:val="de-DE"/>
                      </w:rPr>
                    </w:pPr>
                  </w:p>
                  <w:p w:rsidR="00B97D5E" w:rsidRDefault="00176BD2" w14:paraId="35EE1FD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2026-0000093307</w:t>
                    </w:r>
                    <w:r>
                      <w:fldChar w:fldCharType="end"/>
                    </w:r>
                  </w:p>
                  <w:p w:rsidR="00B97D5E" w:rsidRDefault="00B97D5E" w14:paraId="35EE1FD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B97D5E" w:rsidRDefault="00B97D5E" w14:paraId="35EE1FD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5EE1FCB" wp14:editId="35EE1FCC">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B97D5E" w:rsidRDefault="00176BD2" w14:paraId="35EE1FE0" w14:textId="7B629E0F">
                          <w:pPr>
                            <w:pStyle w:val="Referentiegegevens"/>
                          </w:pPr>
                          <w:r>
                            <w:t>&gt; Retouradres Postbus 90801 2509 LV</w:t>
                          </w:r>
                          <w:r w:rsidR="003E3F74">
                            <w:t xml:space="preserve"> </w:t>
                          </w:r>
                          <w:r>
                            <w:t>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1" stroked="f" filled="f">
              <v:textbox inset="0,0,0,0">
                <w:txbxContent>
                  <w:p w:rsidR="00B97D5E" w:rsidRDefault="00176BD2" w14:paraId="35EE1FE0" w14:textId="7B629E0F">
                    <w:pPr>
                      <w:pStyle w:val="Referentiegegevens"/>
                    </w:pPr>
                    <w:r>
                      <w:t>&gt; Retouradres Postbus 90801 2509 LV</w:t>
                    </w:r>
                    <w:r w:rsidR="003E3F74">
                      <w:t xml:space="preserve"> </w:t>
                    </w:r>
                    <w:r>
                      <w:t>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35EE1FCD" wp14:editId="35EE1FCE">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B97D5E" w:rsidRDefault="00176BD2" w14:paraId="35EE1FE1" w14:textId="77777777">
                          <w:r>
                            <w:t>De voorzitter van de Tweede Kamer der Staten-Generaal</w:t>
                          </w:r>
                        </w:p>
                        <w:p w:rsidR="00B97D5E" w:rsidRDefault="00176BD2" w14:paraId="35EE1FE2" w14:textId="77777777">
                          <w:r>
                            <w:t xml:space="preserve">Postbus 20018 </w:t>
                          </w:r>
                        </w:p>
                        <w:p w:rsidR="00B97D5E" w:rsidRDefault="00176BD2" w14:paraId="35EE1FE3" w14:textId="1156ADF9">
                          <w:r>
                            <w:t>2500 EA</w:t>
                          </w:r>
                          <w:r w:rsidR="003E3F74">
                            <w:t xml:space="preserve"> </w:t>
                          </w:r>
                          <w:r>
                            <w:t>Den Haag</w:t>
                          </w:r>
                        </w:p>
                        <w:p w:rsidR="00B97D5E" w:rsidRDefault="00176BD2" w14:paraId="35EE1FE4"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2" stroked="f" filled="f">
              <v:textbox inset="0,0,0,0">
                <w:txbxContent>
                  <w:p w:rsidR="00B97D5E" w:rsidRDefault="00176BD2" w14:paraId="35EE1FE1" w14:textId="77777777">
                    <w:r>
                      <w:t>De voorzitter van de Tweede Kamer der Staten-Generaal</w:t>
                    </w:r>
                  </w:p>
                  <w:p w:rsidR="00B97D5E" w:rsidRDefault="00176BD2" w14:paraId="35EE1FE2" w14:textId="77777777">
                    <w:r>
                      <w:t xml:space="preserve">Postbus 20018 </w:t>
                    </w:r>
                  </w:p>
                  <w:p w:rsidR="00B97D5E" w:rsidRDefault="00176BD2" w14:paraId="35EE1FE3" w14:textId="1156ADF9">
                    <w:r>
                      <w:t>2500 EA</w:t>
                    </w:r>
                    <w:r w:rsidR="003E3F74">
                      <w:t xml:space="preserve"> </w:t>
                    </w:r>
                    <w:r>
                      <w:t>Den Haag</w:t>
                    </w:r>
                  </w:p>
                  <w:p w:rsidR="00B97D5E" w:rsidRDefault="00176BD2" w14:paraId="35EE1FE4"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35EE1FCF" wp14:editId="35EE1FD0">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B97D5E" w14:paraId="35EE1FE7" w14:textId="77777777">
                            <w:trPr>
                              <w:trHeight w:val="200"/>
                            </w:trPr>
                            <w:tc>
                              <w:tcPr>
                                <w:tcW w:w="1134" w:type="dxa"/>
                              </w:tcPr>
                              <w:p w:rsidR="00B97D5E" w:rsidRDefault="00B97D5E" w14:paraId="35EE1FE5" w14:textId="77777777"/>
                            </w:tc>
                            <w:tc>
                              <w:tcPr>
                                <w:tcW w:w="5244" w:type="dxa"/>
                              </w:tcPr>
                              <w:p w:rsidR="00B97D5E" w:rsidRDefault="00B97D5E" w14:paraId="35EE1FE6" w14:textId="77777777"/>
                            </w:tc>
                          </w:tr>
                          <w:tr w:rsidR="00B97D5E" w14:paraId="35EE1FEA" w14:textId="77777777">
                            <w:trPr>
                              <w:trHeight w:val="240"/>
                            </w:trPr>
                            <w:tc>
                              <w:tcPr>
                                <w:tcW w:w="1134" w:type="dxa"/>
                              </w:tcPr>
                              <w:p w:rsidR="00B97D5E" w:rsidRDefault="00176BD2" w14:paraId="35EE1FE8" w14:textId="77777777">
                                <w:r>
                                  <w:t>Datum</w:t>
                                </w:r>
                              </w:p>
                            </w:tc>
                            <w:tc>
                              <w:tcPr>
                                <w:tcW w:w="5244" w:type="dxa"/>
                              </w:tcPr>
                              <w:p>
                                <w:r>
                                  <w:fldChar w:fldCharType="begin"/>
                                  <w:instrText xml:space="preserve"> DOCPROPERTY  "iDatum"  \* MERGEFORMAT </w:instrText>
                                  <w:fldChar w:fldCharType="separate"/>
                                </w:r>
                                <w:r>
                                  <w:t>8 juni 2026</w:t>
                                </w:r>
                                <w:r>
                                  <w:fldChar w:fldCharType="end"/>
                                </w:r>
                              </w:p>
                            </w:tc>
                          </w:tr>
                          <w:tr w:rsidR="00B97D5E" w14:paraId="35EE1FED" w14:textId="77777777">
                            <w:trPr>
                              <w:trHeight w:val="240"/>
                            </w:trPr>
                            <w:tc>
                              <w:tcPr>
                                <w:tcW w:w="1134" w:type="dxa"/>
                              </w:tcPr>
                              <w:p w:rsidR="00B97D5E" w:rsidRDefault="00176BD2" w14:paraId="35EE1FEB" w14:textId="77777777">
                                <w:r>
                                  <w:t>Betreft</w:t>
                                </w:r>
                              </w:p>
                            </w:tc>
                            <w:tc>
                              <w:tcPr>
                                <w:tcW w:w="5244" w:type="dxa"/>
                              </w:tcPr>
                              <w:p>
                                <w:r>
                                  <w:fldChar w:fldCharType="begin"/>
                                  <w:instrText xml:space="preserve"> DOCPROPERTY  "iOnderwerp"  \* MERGEFORMAT </w:instrText>
                                  <w:fldChar w:fldCharType="separate"/>
                                </w:r>
                                <w:r>
                                  <w:t>Rendementen van Nederlandse pensioenfondsen</w:t>
                                </w:r>
                                <w:r>
                                  <w:fldChar w:fldCharType="end"/>
                                </w:r>
                              </w:p>
                            </w:tc>
                          </w:tr>
                          <w:tr w:rsidR="00B97D5E" w14:paraId="35EE1FF0" w14:textId="77777777">
                            <w:trPr>
                              <w:trHeight w:val="200"/>
                            </w:trPr>
                            <w:tc>
                              <w:tcPr>
                                <w:tcW w:w="1134" w:type="dxa"/>
                              </w:tcPr>
                              <w:p w:rsidR="00B97D5E" w:rsidRDefault="00B97D5E" w14:paraId="35EE1FEE" w14:textId="77777777"/>
                            </w:tc>
                            <w:tc>
                              <w:tcPr>
                                <w:tcW w:w="5244" w:type="dxa"/>
                              </w:tcPr>
                              <w:p w:rsidR="00B97D5E" w:rsidRDefault="00B97D5E" w14:paraId="35EE1FEF" w14:textId="77777777"/>
                            </w:tc>
                          </w:tr>
                        </w:tbl>
                        <w:p w:rsidR="00176BD2" w:rsidRDefault="00176BD2" w14:paraId="35EE1FFE"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id="bd55b0e2-03a6-11ee-8f29-0242ac130005" o:spid="_x0000_s1033" stroked="f" filled="f">
              <v:textbox inset="0,0,0,0">
                <w:txbxContent>
                  <w:tbl>
                    <w:tblPr>
                      <w:tblW w:w="0" w:type="auto"/>
                      <w:tblLayout w:type="fixed"/>
                      <w:tblLook w:firstRow="1" w:lastRow="1" w:firstColumn="1" w:lastColumn="1" w:noHBand="1" w:noVBand="1" w:val="07E0"/>
                    </w:tblPr>
                    <w:tblGrid>
                      <w:gridCol w:w="1134"/>
                      <w:gridCol w:w="5244"/>
                    </w:tblGrid>
                    <w:tr w:rsidR="00B97D5E" w14:paraId="35EE1FE7" w14:textId="77777777">
                      <w:trPr>
                        <w:trHeight w:val="200"/>
                      </w:trPr>
                      <w:tc>
                        <w:tcPr>
                          <w:tcW w:w="1134" w:type="dxa"/>
                        </w:tcPr>
                        <w:p w:rsidR="00B97D5E" w:rsidRDefault="00B97D5E" w14:paraId="35EE1FE5" w14:textId="77777777"/>
                      </w:tc>
                      <w:tc>
                        <w:tcPr>
                          <w:tcW w:w="5244" w:type="dxa"/>
                        </w:tcPr>
                        <w:p w:rsidR="00B97D5E" w:rsidRDefault="00B97D5E" w14:paraId="35EE1FE6" w14:textId="77777777"/>
                      </w:tc>
                    </w:tr>
                    <w:tr w:rsidR="00B97D5E" w14:paraId="35EE1FEA" w14:textId="77777777">
                      <w:trPr>
                        <w:trHeight w:val="240"/>
                      </w:trPr>
                      <w:tc>
                        <w:tcPr>
                          <w:tcW w:w="1134" w:type="dxa"/>
                        </w:tcPr>
                        <w:p w:rsidR="00B97D5E" w:rsidRDefault="00176BD2" w14:paraId="35EE1FE8" w14:textId="77777777">
                          <w:r>
                            <w:t>Datum</w:t>
                          </w:r>
                        </w:p>
                      </w:tc>
                      <w:tc>
                        <w:tcPr>
                          <w:tcW w:w="5244" w:type="dxa"/>
                        </w:tcPr>
                        <w:p>
                          <w:r>
                            <w:fldChar w:fldCharType="begin"/>
                            <w:instrText xml:space="preserve"> DOCPROPERTY  "iDatum"  \* MERGEFORMAT </w:instrText>
                            <w:fldChar w:fldCharType="separate"/>
                          </w:r>
                          <w:r>
                            <w:t>8 juni 2026</w:t>
                          </w:r>
                          <w:r>
                            <w:fldChar w:fldCharType="end"/>
                          </w:r>
                        </w:p>
                      </w:tc>
                    </w:tr>
                    <w:tr w:rsidR="00B97D5E" w14:paraId="35EE1FED" w14:textId="77777777">
                      <w:trPr>
                        <w:trHeight w:val="240"/>
                      </w:trPr>
                      <w:tc>
                        <w:tcPr>
                          <w:tcW w:w="1134" w:type="dxa"/>
                        </w:tcPr>
                        <w:p w:rsidR="00B97D5E" w:rsidRDefault="00176BD2" w14:paraId="35EE1FEB" w14:textId="77777777">
                          <w:r>
                            <w:t>Betreft</w:t>
                          </w:r>
                        </w:p>
                      </w:tc>
                      <w:tc>
                        <w:tcPr>
                          <w:tcW w:w="5244" w:type="dxa"/>
                        </w:tcPr>
                        <w:p>
                          <w:r>
                            <w:fldChar w:fldCharType="begin"/>
                            <w:instrText xml:space="preserve"> DOCPROPERTY  "iOnderwerp"  \* MERGEFORMAT </w:instrText>
                            <w:fldChar w:fldCharType="separate"/>
                          </w:r>
                          <w:r>
                            <w:t>Rendementen van Nederlandse pensioenfondsen</w:t>
                          </w:r>
                          <w:r>
                            <w:fldChar w:fldCharType="end"/>
                          </w:r>
                        </w:p>
                      </w:tc>
                    </w:tr>
                    <w:tr w:rsidR="00B97D5E" w14:paraId="35EE1FF0" w14:textId="77777777">
                      <w:trPr>
                        <w:trHeight w:val="200"/>
                      </w:trPr>
                      <w:tc>
                        <w:tcPr>
                          <w:tcW w:w="1134" w:type="dxa"/>
                        </w:tcPr>
                        <w:p w:rsidR="00B97D5E" w:rsidRDefault="00B97D5E" w14:paraId="35EE1FEE" w14:textId="77777777"/>
                      </w:tc>
                      <w:tc>
                        <w:tcPr>
                          <w:tcW w:w="5244" w:type="dxa"/>
                        </w:tcPr>
                        <w:p w:rsidR="00B97D5E" w:rsidRDefault="00B97D5E" w14:paraId="35EE1FEF" w14:textId="77777777"/>
                      </w:tc>
                    </w:tr>
                  </w:tbl>
                  <w:p w:rsidR="00176BD2" w:rsidRDefault="00176BD2" w14:paraId="35EE1FFE"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35EE1FD1" wp14:editId="35EE1FD2">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4"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FF722A"/>
    <w:multiLevelType w:val="multilevel"/>
    <w:tmpl w:val="EBC72F9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657303"/>
    <w:multiLevelType w:val="multilevel"/>
    <w:tmpl w:val="B35693E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1B6A74F"/>
    <w:multiLevelType w:val="multilevel"/>
    <w:tmpl w:val="152B495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3AEE64"/>
    <w:multiLevelType w:val="multilevel"/>
    <w:tmpl w:val="39B5A15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07892"/>
    <w:multiLevelType w:val="hybridMultilevel"/>
    <w:tmpl w:val="6950B8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30B4F5"/>
    <w:multiLevelType w:val="multilevel"/>
    <w:tmpl w:val="FB1DA8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2B77326F"/>
    <w:multiLevelType w:val="multilevel"/>
    <w:tmpl w:val="FEDE2D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B880DAE"/>
    <w:multiLevelType w:val="multilevel"/>
    <w:tmpl w:val="C50D6B3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4015CD"/>
    <w:multiLevelType w:val="multilevel"/>
    <w:tmpl w:val="2CAEEDF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F297C69"/>
    <w:multiLevelType w:val="multilevel"/>
    <w:tmpl w:val="91F37CF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6B723D"/>
    <w:multiLevelType w:val="hybridMultilevel"/>
    <w:tmpl w:val="2EFA942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551042E"/>
    <w:multiLevelType w:val="hybridMultilevel"/>
    <w:tmpl w:val="47C6C84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966006277">
    <w:abstractNumId w:val="3"/>
  </w:num>
  <w:num w:numId="2" w16cid:durableId="483398337">
    <w:abstractNumId w:val="7"/>
  </w:num>
  <w:num w:numId="3" w16cid:durableId="942689641">
    <w:abstractNumId w:val="5"/>
  </w:num>
  <w:num w:numId="4" w16cid:durableId="1706053331">
    <w:abstractNumId w:val="8"/>
  </w:num>
  <w:num w:numId="5" w16cid:durableId="1070076025">
    <w:abstractNumId w:val="0"/>
  </w:num>
  <w:num w:numId="6" w16cid:durableId="1222057026">
    <w:abstractNumId w:val="1"/>
  </w:num>
  <w:num w:numId="7" w16cid:durableId="807937966">
    <w:abstractNumId w:val="2"/>
  </w:num>
  <w:num w:numId="8" w16cid:durableId="1557547334">
    <w:abstractNumId w:val="9"/>
  </w:num>
  <w:num w:numId="9" w16cid:durableId="993412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0038516">
    <w:abstractNumId w:val="4"/>
  </w:num>
  <w:num w:numId="11" w16cid:durableId="910503607">
    <w:abstractNumId w:val="6"/>
  </w:num>
  <w:num w:numId="12" w16cid:durableId="414716649">
    <w:abstractNumId w:val="1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5836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D5E"/>
    <w:rsid w:val="0002324E"/>
    <w:rsid w:val="00030AE3"/>
    <w:rsid w:val="00056857"/>
    <w:rsid w:val="000701C8"/>
    <w:rsid w:val="000D596B"/>
    <w:rsid w:val="000E21EB"/>
    <w:rsid w:val="000E43FF"/>
    <w:rsid w:val="001205E3"/>
    <w:rsid w:val="00127104"/>
    <w:rsid w:val="00145448"/>
    <w:rsid w:val="00152CD6"/>
    <w:rsid w:val="001659FB"/>
    <w:rsid w:val="00176BD2"/>
    <w:rsid w:val="00195BF5"/>
    <w:rsid w:val="001C48EC"/>
    <w:rsid w:val="001F43F9"/>
    <w:rsid w:val="00223964"/>
    <w:rsid w:val="00231AB9"/>
    <w:rsid w:val="00236F83"/>
    <w:rsid w:val="002666B5"/>
    <w:rsid w:val="002776A9"/>
    <w:rsid w:val="002958E6"/>
    <w:rsid w:val="002C590C"/>
    <w:rsid w:val="002E7A68"/>
    <w:rsid w:val="00311E82"/>
    <w:rsid w:val="00312197"/>
    <w:rsid w:val="00320FFD"/>
    <w:rsid w:val="00340386"/>
    <w:rsid w:val="00355001"/>
    <w:rsid w:val="003638E4"/>
    <w:rsid w:val="00380107"/>
    <w:rsid w:val="0038346F"/>
    <w:rsid w:val="003843FB"/>
    <w:rsid w:val="003E3F74"/>
    <w:rsid w:val="003E6A32"/>
    <w:rsid w:val="0040206B"/>
    <w:rsid w:val="0043733D"/>
    <w:rsid w:val="004412D3"/>
    <w:rsid w:val="00463986"/>
    <w:rsid w:val="00494DA6"/>
    <w:rsid w:val="00495ADD"/>
    <w:rsid w:val="004A7D2C"/>
    <w:rsid w:val="004D52C0"/>
    <w:rsid w:val="005661F0"/>
    <w:rsid w:val="0059453C"/>
    <w:rsid w:val="005A43C2"/>
    <w:rsid w:val="005C1E8C"/>
    <w:rsid w:val="005D5BC9"/>
    <w:rsid w:val="005E2693"/>
    <w:rsid w:val="0060173E"/>
    <w:rsid w:val="00601CE1"/>
    <w:rsid w:val="00611DA3"/>
    <w:rsid w:val="0064636F"/>
    <w:rsid w:val="0065538A"/>
    <w:rsid w:val="00657654"/>
    <w:rsid w:val="006900BA"/>
    <w:rsid w:val="00692164"/>
    <w:rsid w:val="006C5166"/>
    <w:rsid w:val="006E0EC3"/>
    <w:rsid w:val="006E6C10"/>
    <w:rsid w:val="00702DFC"/>
    <w:rsid w:val="00724A4A"/>
    <w:rsid w:val="00727740"/>
    <w:rsid w:val="00752604"/>
    <w:rsid w:val="007A2698"/>
    <w:rsid w:val="007A63D2"/>
    <w:rsid w:val="008028A5"/>
    <w:rsid w:val="00846A24"/>
    <w:rsid w:val="0084740A"/>
    <w:rsid w:val="00857FB9"/>
    <w:rsid w:val="0089257B"/>
    <w:rsid w:val="008C7387"/>
    <w:rsid w:val="008E50B7"/>
    <w:rsid w:val="009148FB"/>
    <w:rsid w:val="00932B84"/>
    <w:rsid w:val="00947A97"/>
    <w:rsid w:val="009976E4"/>
    <w:rsid w:val="009B3D11"/>
    <w:rsid w:val="009C7E93"/>
    <w:rsid w:val="009D4F0C"/>
    <w:rsid w:val="00A330E1"/>
    <w:rsid w:val="00A75BA1"/>
    <w:rsid w:val="00AB1323"/>
    <w:rsid w:val="00AE3B3D"/>
    <w:rsid w:val="00AE5776"/>
    <w:rsid w:val="00B1606C"/>
    <w:rsid w:val="00B43AFE"/>
    <w:rsid w:val="00B43BEE"/>
    <w:rsid w:val="00B61BD0"/>
    <w:rsid w:val="00B760E8"/>
    <w:rsid w:val="00B910AE"/>
    <w:rsid w:val="00B961BB"/>
    <w:rsid w:val="00B97D5E"/>
    <w:rsid w:val="00BB28B5"/>
    <w:rsid w:val="00BB2910"/>
    <w:rsid w:val="00BF5D6E"/>
    <w:rsid w:val="00BF692D"/>
    <w:rsid w:val="00C23BF8"/>
    <w:rsid w:val="00C23C3C"/>
    <w:rsid w:val="00C657DA"/>
    <w:rsid w:val="00C700DD"/>
    <w:rsid w:val="00C72C51"/>
    <w:rsid w:val="00C97F69"/>
    <w:rsid w:val="00CA12E1"/>
    <w:rsid w:val="00CE516E"/>
    <w:rsid w:val="00D0583B"/>
    <w:rsid w:val="00D06583"/>
    <w:rsid w:val="00D56C32"/>
    <w:rsid w:val="00D977E6"/>
    <w:rsid w:val="00DC4A08"/>
    <w:rsid w:val="00DE2C45"/>
    <w:rsid w:val="00DE4D8A"/>
    <w:rsid w:val="00E10942"/>
    <w:rsid w:val="00E50CA8"/>
    <w:rsid w:val="00E62403"/>
    <w:rsid w:val="00E66837"/>
    <w:rsid w:val="00E71768"/>
    <w:rsid w:val="00E85184"/>
    <w:rsid w:val="00EA5636"/>
    <w:rsid w:val="00F0241C"/>
    <w:rsid w:val="00F30994"/>
    <w:rsid w:val="00F35176"/>
    <w:rsid w:val="00F44EC4"/>
    <w:rsid w:val="00F51E55"/>
    <w:rsid w:val="00FA483D"/>
    <w:rsid w:val="00FC73AD"/>
    <w:rsid w:val="00FD72C3"/>
    <w:rsid w:val="00FF1951"/>
    <w:rsid w:val="00FF29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58369" v:ext="edit"/>
    <o:shapelayout v:ext="edit">
      <o:idmap data="1" v:ext="edit"/>
    </o:shapelayout>
  </w:shapeDefaults>
  <w:decimalSymbol w:val=","/>
  <w:listSeparator w:val=";"/>
  <w14:docId w14:val="35EE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numPr>
        <w:numId w:val="7"/>
      </w:numPr>
      <w:spacing w:after="700" w:line="300" w:lineRule="exact"/>
      <w:outlineLvl w:val="0"/>
    </w:pPr>
    <w:rPr>
      <w:sz w:val="24"/>
      <w:szCs w:val="24"/>
    </w:rPr>
  </w:style>
  <w:style w:type="paragraph" w:styleId="Kop2">
    <w:name w:val="heading 2"/>
    <w:basedOn w:val="Standaard"/>
    <w:next w:val="Standaard"/>
    <w:link w:val="Kop2Char"/>
    <w:uiPriority w:val="9"/>
    <w:qFormat/>
    <w:pPr>
      <w:numPr>
        <w:ilvl w:val="1"/>
        <w:numId w:val="7"/>
      </w:numPr>
      <w:spacing w:before="240"/>
      <w:outlineLvl w:val="1"/>
    </w:pPr>
    <w:rPr>
      <w:b/>
    </w:rPr>
  </w:style>
  <w:style w:type="paragraph" w:styleId="Kop3">
    <w:name w:val="heading 3"/>
    <w:basedOn w:val="Standaard"/>
    <w:next w:val="Standaard"/>
    <w:link w:val="Kop3Char"/>
    <w:uiPriority w:val="9"/>
    <w:qFormat/>
    <w:pPr>
      <w:numPr>
        <w:ilvl w:val="2"/>
        <w:numId w:val="7"/>
      </w:numPr>
      <w:spacing w:before="240"/>
      <w:outlineLvl w:val="2"/>
    </w:pPr>
    <w:rPr>
      <w:i/>
    </w:rPr>
  </w:style>
  <w:style w:type="paragraph" w:styleId="Kop4">
    <w:name w:val="heading 4"/>
    <w:basedOn w:val="Standaard"/>
    <w:next w:val="Standaard"/>
    <w:link w:val="Kop4Char"/>
    <w:uiPriority w:val="9"/>
    <w:qFormat/>
    <w:pPr>
      <w:numPr>
        <w:ilvl w:val="3"/>
        <w:numId w:val="7"/>
      </w:numPr>
      <w:spacing w:before="240"/>
      <w:outlineLvl w:val="3"/>
    </w:pPr>
  </w:style>
  <w:style w:type="paragraph" w:styleId="Kop5">
    <w:name w:val="heading 5"/>
    <w:basedOn w:val="Standaard"/>
    <w:next w:val="Standaard"/>
    <w:link w:val="Kop5Char"/>
    <w:uiPriority w:val="9"/>
    <w:semiHidden/>
    <w:unhideWhenUsed/>
    <w:qFormat/>
    <w:rsid w:val="00030AE3"/>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Cs w:val="22"/>
      <w:lang w:val="en-US" w:eastAsia="en-US"/>
      <w14:ligatures w14:val="standardContextual"/>
    </w:rPr>
  </w:style>
  <w:style w:type="paragraph" w:styleId="Kop6">
    <w:name w:val="heading 6"/>
    <w:basedOn w:val="Standaard"/>
    <w:next w:val="Standaard"/>
    <w:link w:val="Kop6Char"/>
    <w:uiPriority w:val="9"/>
    <w:semiHidden/>
    <w:unhideWhenUsed/>
    <w:qFormat/>
    <w:rsid w:val="00030AE3"/>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Kop7">
    <w:name w:val="heading 7"/>
    <w:basedOn w:val="Standaard"/>
    <w:next w:val="Standaard"/>
    <w:link w:val="Kop7Char"/>
    <w:uiPriority w:val="9"/>
    <w:semiHidden/>
    <w:unhideWhenUsed/>
    <w:qFormat/>
    <w:rsid w:val="00030AE3"/>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Kop8">
    <w:name w:val="heading 8"/>
    <w:basedOn w:val="Standaard"/>
    <w:next w:val="Standaard"/>
    <w:link w:val="Kop8Char"/>
    <w:uiPriority w:val="9"/>
    <w:semiHidden/>
    <w:unhideWhenUsed/>
    <w:qFormat/>
    <w:rsid w:val="00030AE3"/>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Kop9">
    <w:name w:val="heading 9"/>
    <w:basedOn w:val="Standaard"/>
    <w:next w:val="Standaard"/>
    <w:link w:val="Kop9Char"/>
    <w:uiPriority w:val="9"/>
    <w:semiHidden/>
    <w:unhideWhenUsed/>
    <w:qFormat/>
    <w:rsid w:val="00030AE3"/>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link w:val="KoptekstChar"/>
    <w:uiPriority w:val="99"/>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link w:val="TitelChar"/>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character" w:customStyle="1" w:styleId="Kop5Char">
    <w:name w:val="Kop 5 Char"/>
    <w:basedOn w:val="Standaardalinea-lettertype"/>
    <w:link w:val="Kop5"/>
    <w:uiPriority w:val="9"/>
    <w:semiHidden/>
    <w:rsid w:val="00030AE3"/>
    <w:rPr>
      <w:rFonts w:asciiTheme="minorHAnsi" w:eastAsiaTheme="majorEastAsia" w:hAnsiTheme="minorHAnsi" w:cstheme="majorBidi"/>
      <w:color w:val="0F4761" w:themeColor="accent1" w:themeShade="BF"/>
      <w:kern w:val="2"/>
      <w:sz w:val="18"/>
      <w:szCs w:val="22"/>
      <w:lang w:val="en-US" w:eastAsia="en-US"/>
      <w14:ligatures w14:val="standardContextual"/>
    </w:rPr>
  </w:style>
  <w:style w:type="character" w:customStyle="1" w:styleId="Kop6Char">
    <w:name w:val="Kop 6 Char"/>
    <w:basedOn w:val="Standaardalinea-lettertype"/>
    <w:link w:val="Kop6"/>
    <w:uiPriority w:val="9"/>
    <w:semiHidden/>
    <w:rsid w:val="00030AE3"/>
    <w:rPr>
      <w:rFonts w:asciiTheme="minorHAnsi" w:eastAsiaTheme="majorEastAsia" w:hAnsiTheme="minorHAnsi" w:cstheme="majorBidi"/>
      <w:i/>
      <w:iCs/>
      <w:color w:val="595959" w:themeColor="text1" w:themeTint="A6"/>
      <w:kern w:val="2"/>
      <w:sz w:val="18"/>
      <w:szCs w:val="22"/>
      <w:lang w:val="en-US" w:eastAsia="en-US"/>
      <w14:ligatures w14:val="standardContextual"/>
    </w:rPr>
  </w:style>
  <w:style w:type="character" w:customStyle="1" w:styleId="Kop7Char">
    <w:name w:val="Kop 7 Char"/>
    <w:basedOn w:val="Standaardalinea-lettertype"/>
    <w:link w:val="Kop7"/>
    <w:uiPriority w:val="9"/>
    <w:semiHidden/>
    <w:rsid w:val="00030AE3"/>
    <w:rPr>
      <w:rFonts w:asciiTheme="minorHAnsi" w:eastAsiaTheme="majorEastAsia" w:hAnsiTheme="minorHAnsi" w:cstheme="majorBidi"/>
      <w:color w:val="595959" w:themeColor="text1" w:themeTint="A6"/>
      <w:kern w:val="2"/>
      <w:sz w:val="18"/>
      <w:szCs w:val="22"/>
      <w:lang w:val="en-US" w:eastAsia="en-US"/>
      <w14:ligatures w14:val="standardContextual"/>
    </w:rPr>
  </w:style>
  <w:style w:type="character" w:customStyle="1" w:styleId="Kop8Char">
    <w:name w:val="Kop 8 Char"/>
    <w:basedOn w:val="Standaardalinea-lettertype"/>
    <w:link w:val="Kop8"/>
    <w:uiPriority w:val="9"/>
    <w:semiHidden/>
    <w:rsid w:val="00030AE3"/>
    <w:rPr>
      <w:rFonts w:asciiTheme="minorHAnsi" w:eastAsiaTheme="majorEastAsia" w:hAnsiTheme="minorHAnsi" w:cstheme="majorBidi"/>
      <w:i/>
      <w:iCs/>
      <w:color w:val="272727" w:themeColor="text1" w:themeTint="D8"/>
      <w:kern w:val="2"/>
      <w:sz w:val="18"/>
      <w:szCs w:val="22"/>
      <w:lang w:val="en-US" w:eastAsia="en-US"/>
      <w14:ligatures w14:val="standardContextual"/>
    </w:rPr>
  </w:style>
  <w:style w:type="character" w:customStyle="1" w:styleId="Kop9Char">
    <w:name w:val="Kop 9 Char"/>
    <w:basedOn w:val="Standaardalinea-lettertype"/>
    <w:link w:val="Kop9"/>
    <w:uiPriority w:val="9"/>
    <w:semiHidden/>
    <w:rsid w:val="00030AE3"/>
    <w:rPr>
      <w:rFonts w:asciiTheme="minorHAnsi" w:eastAsiaTheme="majorEastAsia" w:hAnsiTheme="minorHAnsi" w:cstheme="majorBidi"/>
      <w:color w:val="272727" w:themeColor="text1" w:themeTint="D8"/>
      <w:kern w:val="2"/>
      <w:sz w:val="18"/>
      <w:szCs w:val="22"/>
      <w:lang w:val="en-US" w:eastAsia="en-US"/>
      <w14:ligatures w14:val="standardContextual"/>
    </w:rPr>
  </w:style>
  <w:style w:type="character" w:customStyle="1" w:styleId="Kop1Char">
    <w:name w:val="Kop 1 Char"/>
    <w:basedOn w:val="Standaardalinea-lettertype"/>
    <w:link w:val="Kop1"/>
    <w:uiPriority w:val="9"/>
    <w:rsid w:val="00030AE3"/>
    <w:rPr>
      <w:rFonts w:ascii="Verdana" w:hAnsi="Verdana"/>
      <w:color w:val="000000"/>
      <w:sz w:val="24"/>
      <w:szCs w:val="24"/>
    </w:rPr>
  </w:style>
  <w:style w:type="character" w:customStyle="1" w:styleId="Kop2Char">
    <w:name w:val="Kop 2 Char"/>
    <w:basedOn w:val="Standaardalinea-lettertype"/>
    <w:link w:val="Kop2"/>
    <w:uiPriority w:val="9"/>
    <w:rsid w:val="00030AE3"/>
    <w:rPr>
      <w:rFonts w:ascii="Verdana" w:hAnsi="Verdana"/>
      <w:b/>
      <w:color w:val="000000"/>
      <w:sz w:val="18"/>
      <w:szCs w:val="18"/>
    </w:rPr>
  </w:style>
  <w:style w:type="character" w:customStyle="1" w:styleId="Kop3Char">
    <w:name w:val="Kop 3 Char"/>
    <w:basedOn w:val="Standaardalinea-lettertype"/>
    <w:link w:val="Kop3"/>
    <w:uiPriority w:val="9"/>
    <w:rsid w:val="00030AE3"/>
    <w:rPr>
      <w:rFonts w:ascii="Verdana" w:hAnsi="Verdana"/>
      <w:i/>
      <w:color w:val="000000"/>
      <w:sz w:val="18"/>
      <w:szCs w:val="18"/>
    </w:rPr>
  </w:style>
  <w:style w:type="character" w:customStyle="1" w:styleId="Kop4Char">
    <w:name w:val="Kop 4 Char"/>
    <w:basedOn w:val="Standaardalinea-lettertype"/>
    <w:link w:val="Kop4"/>
    <w:uiPriority w:val="9"/>
    <w:rsid w:val="00030AE3"/>
    <w:rPr>
      <w:rFonts w:ascii="Verdana" w:hAnsi="Verdana"/>
      <w:color w:val="000000"/>
      <w:sz w:val="18"/>
      <w:szCs w:val="18"/>
    </w:rPr>
  </w:style>
  <w:style w:type="character" w:customStyle="1" w:styleId="TitelChar">
    <w:name w:val="Titel Char"/>
    <w:basedOn w:val="Standaardalinea-lettertype"/>
    <w:link w:val="Titel"/>
    <w:uiPriority w:val="10"/>
    <w:rsid w:val="00030AE3"/>
    <w:rPr>
      <w:rFonts w:ascii="Verdana" w:hAnsi="Verdana"/>
      <w:b/>
      <w:color w:val="000000"/>
      <w:sz w:val="24"/>
      <w:szCs w:val="24"/>
    </w:rPr>
  </w:style>
  <w:style w:type="paragraph" w:styleId="Ondertitel">
    <w:name w:val="Subtitle"/>
    <w:basedOn w:val="Standaard"/>
    <w:next w:val="Standaard"/>
    <w:link w:val="OndertitelChar"/>
    <w:uiPriority w:val="11"/>
    <w:qFormat/>
    <w:rsid w:val="00030AE3"/>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OndertitelChar">
    <w:name w:val="Ondertitel Char"/>
    <w:basedOn w:val="Standaardalinea-lettertype"/>
    <w:link w:val="Ondertitel"/>
    <w:uiPriority w:val="11"/>
    <w:rsid w:val="00030AE3"/>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Citaat">
    <w:name w:val="Quote"/>
    <w:basedOn w:val="Standaard"/>
    <w:next w:val="Standaard"/>
    <w:link w:val="CitaatChar"/>
    <w:uiPriority w:val="29"/>
    <w:qFormat/>
    <w:rsid w:val="00030AE3"/>
    <w:pPr>
      <w:autoSpaceDN/>
      <w:spacing w:before="160" w:after="160" w:line="259" w:lineRule="auto"/>
      <w:jc w:val="center"/>
      <w:textAlignment w:val="auto"/>
    </w:pPr>
    <w:rPr>
      <w:rFonts w:eastAsiaTheme="minorHAnsi" w:cstheme="minorBidi"/>
      <w:i/>
      <w:iCs/>
      <w:color w:val="404040" w:themeColor="text1" w:themeTint="BF"/>
      <w:kern w:val="2"/>
      <w:szCs w:val="22"/>
      <w:lang w:val="en-US" w:eastAsia="en-US"/>
      <w14:ligatures w14:val="standardContextual"/>
    </w:rPr>
  </w:style>
  <w:style w:type="character" w:customStyle="1" w:styleId="CitaatChar">
    <w:name w:val="Citaat Char"/>
    <w:basedOn w:val="Standaardalinea-lettertype"/>
    <w:link w:val="Citaat"/>
    <w:uiPriority w:val="29"/>
    <w:rsid w:val="00030AE3"/>
    <w:rPr>
      <w:rFonts w:ascii="Verdana" w:eastAsiaTheme="minorHAnsi" w:hAnsi="Verdana" w:cstheme="minorBidi"/>
      <w:i/>
      <w:iCs/>
      <w:color w:val="404040" w:themeColor="text1" w:themeTint="BF"/>
      <w:kern w:val="2"/>
      <w:sz w:val="18"/>
      <w:szCs w:val="22"/>
      <w:lang w:val="en-US" w:eastAsia="en-US"/>
      <w14:ligatures w14:val="standardContextual"/>
    </w:rPr>
  </w:style>
  <w:style w:type="paragraph" w:styleId="Lijstalinea">
    <w:name w:val="List Paragraph"/>
    <w:basedOn w:val="Standaard"/>
    <w:uiPriority w:val="34"/>
    <w:qFormat/>
    <w:rsid w:val="00030AE3"/>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Intensievebenadrukking">
    <w:name w:val="Intense Emphasis"/>
    <w:basedOn w:val="Standaardalinea-lettertype"/>
    <w:uiPriority w:val="21"/>
    <w:qFormat/>
    <w:rsid w:val="00030AE3"/>
    <w:rPr>
      <w:i/>
      <w:iCs/>
      <w:color w:val="0F4761" w:themeColor="accent1" w:themeShade="BF"/>
    </w:rPr>
  </w:style>
  <w:style w:type="paragraph" w:styleId="Duidelijkcitaat">
    <w:name w:val="Intense Quote"/>
    <w:basedOn w:val="Standaard"/>
    <w:next w:val="Standaard"/>
    <w:link w:val="DuidelijkcitaatChar"/>
    <w:uiPriority w:val="30"/>
    <w:qFormat/>
    <w:rsid w:val="00030AE3"/>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eastAsiaTheme="minorHAnsi" w:cstheme="minorBidi"/>
      <w:i/>
      <w:iCs/>
      <w:color w:val="0F4761" w:themeColor="accent1" w:themeShade="BF"/>
      <w:kern w:val="2"/>
      <w:szCs w:val="22"/>
      <w:lang w:val="en-US" w:eastAsia="en-US"/>
      <w14:ligatures w14:val="standardContextual"/>
    </w:rPr>
  </w:style>
  <w:style w:type="character" w:customStyle="1" w:styleId="DuidelijkcitaatChar">
    <w:name w:val="Duidelijk citaat Char"/>
    <w:basedOn w:val="Standaardalinea-lettertype"/>
    <w:link w:val="Duidelijkcitaat"/>
    <w:uiPriority w:val="30"/>
    <w:rsid w:val="00030AE3"/>
    <w:rPr>
      <w:rFonts w:ascii="Verdana" w:eastAsiaTheme="minorHAnsi" w:hAnsi="Verdana" w:cstheme="minorBidi"/>
      <w:i/>
      <w:iCs/>
      <w:color w:val="0F4761" w:themeColor="accent1" w:themeShade="BF"/>
      <w:kern w:val="2"/>
      <w:sz w:val="18"/>
      <w:szCs w:val="22"/>
      <w:lang w:val="en-US" w:eastAsia="en-US"/>
      <w14:ligatures w14:val="standardContextual"/>
    </w:rPr>
  </w:style>
  <w:style w:type="character" w:styleId="Intensieveverwijzing">
    <w:name w:val="Intense Reference"/>
    <w:basedOn w:val="Standaardalinea-lettertype"/>
    <w:uiPriority w:val="32"/>
    <w:qFormat/>
    <w:rsid w:val="00030AE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30AE3"/>
    <w:rPr>
      <w:sz w:val="16"/>
      <w:szCs w:val="16"/>
    </w:rPr>
  </w:style>
  <w:style w:type="paragraph" w:styleId="Tekstopmerking">
    <w:name w:val="annotation text"/>
    <w:basedOn w:val="Standaard"/>
    <w:link w:val="TekstopmerkingChar"/>
    <w:uiPriority w:val="99"/>
    <w:unhideWhenUsed/>
    <w:rsid w:val="00030AE3"/>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030AE3"/>
    <w:rPr>
      <w:rFonts w:ascii="Verdana" w:eastAsiaTheme="minorHAnsi" w:hAnsi="Verdana" w:cstheme="minorBidi"/>
      <w:kern w:val="2"/>
      <w:lang w:val="en-US"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030AE3"/>
    <w:rPr>
      <w:b/>
      <w:bCs/>
    </w:rPr>
  </w:style>
  <w:style w:type="character" w:customStyle="1" w:styleId="OnderwerpvanopmerkingChar">
    <w:name w:val="Onderwerp van opmerking Char"/>
    <w:basedOn w:val="TekstopmerkingChar"/>
    <w:link w:val="Onderwerpvanopmerking"/>
    <w:uiPriority w:val="99"/>
    <w:semiHidden/>
    <w:rsid w:val="00030AE3"/>
    <w:rPr>
      <w:rFonts w:ascii="Verdana" w:eastAsiaTheme="minorHAnsi" w:hAnsi="Verdana" w:cstheme="minorBidi"/>
      <w:b/>
      <w:bCs/>
      <w:kern w:val="2"/>
      <w:lang w:val="en-US" w:eastAsia="en-US"/>
      <w14:ligatures w14:val="standardContextual"/>
    </w:rPr>
  </w:style>
  <w:style w:type="paragraph" w:styleId="Voetnoottekst">
    <w:name w:val="footnote text"/>
    <w:basedOn w:val="Standaard"/>
    <w:link w:val="VoetnoottekstChar"/>
    <w:uiPriority w:val="99"/>
    <w:semiHidden/>
    <w:unhideWhenUsed/>
    <w:rsid w:val="00030AE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030AE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030AE3"/>
    <w:rPr>
      <w:vertAlign w:val="superscript"/>
    </w:rPr>
  </w:style>
  <w:style w:type="character" w:styleId="Onopgelostemelding">
    <w:name w:val="Unresolved Mention"/>
    <w:basedOn w:val="Standaardalinea-lettertype"/>
    <w:uiPriority w:val="99"/>
    <w:semiHidden/>
    <w:unhideWhenUsed/>
    <w:rsid w:val="00030AE3"/>
    <w:rPr>
      <w:color w:val="605E5C"/>
      <w:shd w:val="clear" w:color="auto" w:fill="E1DFDD"/>
    </w:rPr>
  </w:style>
  <w:style w:type="paragraph" w:styleId="Revisie">
    <w:name w:val="Revision"/>
    <w:hidden/>
    <w:uiPriority w:val="99"/>
    <w:semiHidden/>
    <w:rsid w:val="00030AE3"/>
    <w:pPr>
      <w:autoSpaceDN/>
      <w:textAlignment w:val="auto"/>
    </w:pPr>
    <w:rPr>
      <w:rFonts w:ascii="Verdana" w:eastAsiaTheme="minorHAnsi" w:hAnsi="Verdana" w:cstheme="minorBidi"/>
      <w:kern w:val="2"/>
      <w:sz w:val="18"/>
      <w:szCs w:val="22"/>
      <w:lang w:val="en-US" w:eastAsia="en-US"/>
      <w14:ligatures w14:val="standardContextual"/>
    </w:rPr>
  </w:style>
  <w:style w:type="character" w:customStyle="1" w:styleId="KoptekstChar">
    <w:name w:val="Koptekst Char"/>
    <w:basedOn w:val="Standaardalinea-lettertype"/>
    <w:link w:val="Koptekst"/>
    <w:uiPriority w:val="99"/>
    <w:rsid w:val="00030AE3"/>
    <w:rPr>
      <w:rFonts w:ascii="Verdana" w:hAnsi="Verdana"/>
      <w:color w:val="000000"/>
      <w:sz w:val="22"/>
      <w:szCs w:val="22"/>
    </w:rPr>
  </w:style>
  <w:style w:type="character" w:customStyle="1" w:styleId="VoettekstChar">
    <w:name w:val="Voettekst Char"/>
    <w:basedOn w:val="Standaardalinea-lettertype"/>
    <w:link w:val="Voettekst"/>
    <w:uiPriority w:val="99"/>
    <w:rsid w:val="00030AE3"/>
    <w:rPr>
      <w:rFonts w:ascii="Verdana" w:hAnsi="Verdana"/>
      <w:color w:val="000000"/>
      <w:sz w:val="13"/>
      <w:szCs w:val="13"/>
    </w:rPr>
  </w:style>
  <w:style w:type="paragraph" w:styleId="Normaalweb">
    <w:name w:val="Normal (Web)"/>
    <w:basedOn w:val="Standaard"/>
    <w:uiPriority w:val="99"/>
    <w:semiHidden/>
    <w:unhideWhenUsed/>
    <w:rsid w:val="00030AE3"/>
    <w:pPr>
      <w:autoSpaceDN/>
      <w:spacing w:after="160" w:line="259" w:lineRule="auto"/>
      <w:textAlignment w:val="auto"/>
    </w:pPr>
    <w:rPr>
      <w:rFonts w:ascii="Times New Roman" w:eastAsiaTheme="minorHAnsi" w:hAnsi="Times New Roman" w:cs="Times New Roman"/>
      <w:color w:val="auto"/>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7680">
      <w:bodyDiv w:val="1"/>
      <w:marLeft w:val="0"/>
      <w:marRight w:val="0"/>
      <w:marTop w:val="0"/>
      <w:marBottom w:val="0"/>
      <w:divBdr>
        <w:top w:val="none" w:sz="0" w:space="0" w:color="auto"/>
        <w:left w:val="none" w:sz="0" w:space="0" w:color="auto"/>
        <w:bottom w:val="none" w:sz="0" w:space="0" w:color="auto"/>
        <w:right w:val="none" w:sz="0" w:space="0" w:color="auto"/>
      </w:divBdr>
    </w:div>
    <w:div w:id="213198660">
      <w:bodyDiv w:val="1"/>
      <w:marLeft w:val="0"/>
      <w:marRight w:val="0"/>
      <w:marTop w:val="0"/>
      <w:marBottom w:val="0"/>
      <w:divBdr>
        <w:top w:val="none" w:sz="0" w:space="0" w:color="auto"/>
        <w:left w:val="none" w:sz="0" w:space="0" w:color="auto"/>
        <w:bottom w:val="none" w:sz="0" w:space="0" w:color="auto"/>
        <w:right w:val="none" w:sz="0" w:space="0" w:color="auto"/>
      </w:divBdr>
    </w:div>
    <w:div w:id="224491893">
      <w:bodyDiv w:val="1"/>
      <w:marLeft w:val="0"/>
      <w:marRight w:val="0"/>
      <w:marTop w:val="0"/>
      <w:marBottom w:val="0"/>
      <w:divBdr>
        <w:top w:val="none" w:sz="0" w:space="0" w:color="auto"/>
        <w:left w:val="none" w:sz="0" w:space="0" w:color="auto"/>
        <w:bottom w:val="none" w:sz="0" w:space="0" w:color="auto"/>
        <w:right w:val="none" w:sz="0" w:space="0" w:color="auto"/>
      </w:divBdr>
    </w:div>
    <w:div w:id="546990186">
      <w:bodyDiv w:val="1"/>
      <w:marLeft w:val="0"/>
      <w:marRight w:val="0"/>
      <w:marTop w:val="0"/>
      <w:marBottom w:val="0"/>
      <w:divBdr>
        <w:top w:val="none" w:sz="0" w:space="0" w:color="auto"/>
        <w:left w:val="none" w:sz="0" w:space="0" w:color="auto"/>
        <w:bottom w:val="none" w:sz="0" w:space="0" w:color="auto"/>
        <w:right w:val="none" w:sz="0" w:space="0" w:color="auto"/>
      </w:divBdr>
    </w:div>
    <w:div w:id="1129933312">
      <w:bodyDiv w:val="1"/>
      <w:marLeft w:val="0"/>
      <w:marRight w:val="0"/>
      <w:marTop w:val="0"/>
      <w:marBottom w:val="0"/>
      <w:divBdr>
        <w:top w:val="none" w:sz="0" w:space="0" w:color="auto"/>
        <w:left w:val="none" w:sz="0" w:space="0" w:color="auto"/>
        <w:bottom w:val="none" w:sz="0" w:space="0" w:color="auto"/>
        <w:right w:val="none" w:sz="0" w:space="0" w:color="auto"/>
      </w:divBdr>
    </w:div>
    <w:div w:id="1346832794">
      <w:bodyDiv w:val="1"/>
      <w:marLeft w:val="0"/>
      <w:marRight w:val="0"/>
      <w:marTop w:val="0"/>
      <w:marBottom w:val="0"/>
      <w:divBdr>
        <w:top w:val="none" w:sz="0" w:space="0" w:color="auto"/>
        <w:left w:val="none" w:sz="0" w:space="0" w:color="auto"/>
        <w:bottom w:val="none" w:sz="0" w:space="0" w:color="auto"/>
        <w:right w:val="none" w:sz="0" w:space="0" w:color="auto"/>
      </w:divBdr>
    </w:div>
    <w:div w:id="1409619476">
      <w:bodyDiv w:val="1"/>
      <w:marLeft w:val="0"/>
      <w:marRight w:val="0"/>
      <w:marTop w:val="0"/>
      <w:marBottom w:val="0"/>
      <w:divBdr>
        <w:top w:val="none" w:sz="0" w:space="0" w:color="auto"/>
        <w:left w:val="none" w:sz="0" w:space="0" w:color="auto"/>
        <w:bottom w:val="none" w:sz="0" w:space="0" w:color="auto"/>
        <w:right w:val="none" w:sz="0" w:space="0" w:color="auto"/>
      </w:divBdr>
    </w:div>
    <w:div w:id="1477450468">
      <w:bodyDiv w:val="1"/>
      <w:marLeft w:val="0"/>
      <w:marRight w:val="0"/>
      <w:marTop w:val="0"/>
      <w:marBottom w:val="0"/>
      <w:divBdr>
        <w:top w:val="none" w:sz="0" w:space="0" w:color="auto"/>
        <w:left w:val="none" w:sz="0" w:space="0" w:color="auto"/>
        <w:bottom w:val="none" w:sz="0" w:space="0" w:color="auto"/>
        <w:right w:val="none" w:sz="0" w:space="0" w:color="auto"/>
      </w:divBdr>
    </w:div>
    <w:div w:id="1720470512">
      <w:bodyDiv w:val="1"/>
      <w:marLeft w:val="0"/>
      <w:marRight w:val="0"/>
      <w:marTop w:val="0"/>
      <w:marBottom w:val="0"/>
      <w:divBdr>
        <w:top w:val="none" w:sz="0" w:space="0" w:color="auto"/>
        <w:left w:val="none" w:sz="0" w:space="0" w:color="auto"/>
        <w:bottom w:val="none" w:sz="0" w:space="0" w:color="auto"/>
        <w:right w:val="none" w:sz="0" w:space="0" w:color="auto"/>
      </w:divBdr>
    </w:div>
    <w:div w:id="1955861577">
      <w:bodyDiv w:val="1"/>
      <w:marLeft w:val="0"/>
      <w:marRight w:val="0"/>
      <w:marTop w:val="0"/>
      <w:marBottom w:val="0"/>
      <w:divBdr>
        <w:top w:val="none" w:sz="0" w:space="0" w:color="auto"/>
        <w:left w:val="none" w:sz="0" w:space="0" w:color="auto"/>
        <w:bottom w:val="none" w:sz="0" w:space="0" w:color="auto"/>
        <w:right w:val="none" w:sz="0" w:space="0" w:color="auto"/>
      </w:divBdr>
    </w:div>
    <w:div w:id="2018651766">
      <w:bodyDiv w:val="1"/>
      <w:marLeft w:val="0"/>
      <w:marRight w:val="0"/>
      <w:marTop w:val="0"/>
      <w:marBottom w:val="0"/>
      <w:divBdr>
        <w:top w:val="none" w:sz="0" w:space="0" w:color="auto"/>
        <w:left w:val="none" w:sz="0" w:space="0" w:color="auto"/>
        <w:bottom w:val="none" w:sz="0" w:space="0" w:color="auto"/>
        <w:right w:val="none" w:sz="0" w:space="0" w:color="auto"/>
      </w:divBdr>
    </w:div>
    <w:div w:id="2137333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dnb.nl/voor-de-sector/open-boek-toezicht/sectoren/pensioenfondsen/prudentieel-toezicht/beleggingen/beleggingen-pensioenfondsen/" Type="http://schemas.openxmlformats.org/officeDocument/2006/relationships/hyperlink" Id="rId3"/>
    <Relationship TargetMode="External" Target="https://www.dnb.nl/voor-de-sector/open-boek-toezicht/sectoren/pensioenfondsen/verzamelpagina-transitie-wet-toekomst-pensioenen/risicohouding/factsheet-risicohouding-pensioenuitvoerders/" Type="http://schemas.openxmlformats.org/officeDocument/2006/relationships/hyperlink" Id="rId2"/>
    <Relationship TargetMode="External" Target="https://www.dnb.nl/voor-de-sector/open-boek-toezicht/sectoren/pensioenfondsen/prudentieel-toezicht/beleggingen/beleggingen-pensioenfondsen/"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10</properties:Pages>
  <properties:Words>4017</properties:Words>
  <properties:Characters>22099</properties:Characters>
  <properties:Lines>184</properties:Lines>
  <properties:Paragraphs>52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Rendementen van Nederlandse pensioenfondsen</vt:lpstr>
    </vt:vector>
  </properties:TitlesOfParts>
  <properties:LinksUpToDate>false</properties:LinksUpToDate>
  <properties:CharactersWithSpaces>26064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2026-05-20T07:16:00.0000000Z</dcterms:created>
  <dc:creator/>
  <lastModifiedBy/>
  <dcterms:modified xsi:type="dcterms:W3CDTF">2026-06-08T12:52:00.0000000Z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Rendementen van Nederlandse pensioenfondsen</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 van Leuvensteijn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8 juni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Rendementen van Nederlandse pensioenfondsen</vt:lpwstr>
  </prop:property>
  <prop:property fmtid="{D5CDD505-2E9C-101B-9397-08002B2CF9AE}" pid="36" name="iOnsKenmerk">
    <vt:lpwstr>2026-0000093307</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