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E6A" w:rsidP="00A76E6A" w:rsidRDefault="00A76E6A" w14:paraId="2B0ABA8B" w14:textId="379098E9">
      <w:pPr>
        <w:pStyle w:val="Geenafstand"/>
      </w:pPr>
      <w:r>
        <w:t>AH 2171</w:t>
      </w:r>
    </w:p>
    <w:p w:rsidR="00A76E6A" w:rsidP="00A76E6A" w:rsidRDefault="00A76E6A" w14:paraId="5AFD9678" w14:textId="34D14F13">
      <w:pPr>
        <w:pStyle w:val="Geenafstand"/>
      </w:pPr>
      <w:r>
        <w:t>2026Z08370</w:t>
      </w:r>
    </w:p>
    <w:p w:rsidR="00A76E6A" w:rsidP="00A76E6A" w:rsidRDefault="00A76E6A" w14:paraId="31584536" w14:textId="77777777">
      <w:pPr>
        <w:pStyle w:val="Geenafstand"/>
      </w:pPr>
    </w:p>
    <w:p w:rsidR="00A76E6A" w:rsidP="00A76E6A" w:rsidRDefault="00A76E6A" w14:paraId="6EB41738" w14:textId="5F4D1DB3">
      <w:pPr>
        <w:pStyle w:val="Geenafstand"/>
      </w:pPr>
      <w:r w:rsidRPr="00A76E6A">
        <w:t xml:space="preserve">Antwoord van minister </w:t>
      </w:r>
      <w:proofErr w:type="spellStart"/>
      <w:r w:rsidRPr="00A76E6A">
        <w:t>Letschert</w:t>
      </w:r>
      <w:proofErr w:type="spellEnd"/>
      <w:r w:rsidRPr="00A76E6A">
        <w:t xml:space="preserve"> (Onderwijs, Cultuur en Wetenschap) (ontvangen </w:t>
      </w:r>
      <w:r>
        <w:t>8 juni 2026)</w:t>
      </w:r>
    </w:p>
    <w:p w:rsidR="00A76E6A" w:rsidP="00A76E6A" w:rsidRDefault="00A76E6A" w14:paraId="444A7255" w14:textId="77777777"/>
    <w:p w:rsidR="00A76E6A" w:rsidP="00A76E6A" w:rsidRDefault="00A76E6A" w14:paraId="29AF0ADA" w14:textId="098F14FD">
      <w:r w:rsidRPr="00D73ED1">
        <w:rPr>
          <w:color w:val="000000"/>
          <w:sz w:val="24"/>
          <w:szCs w:val="24"/>
        </w:rPr>
        <w:t>Zie ook Aanhangsel Handelingen, vergaderjaar 2025-2026, nr.</w:t>
      </w:r>
      <w:r>
        <w:rPr>
          <w:color w:val="000000"/>
          <w:sz w:val="24"/>
          <w:szCs w:val="24"/>
        </w:rPr>
        <w:t xml:space="preserve"> </w:t>
      </w:r>
      <w:r>
        <w:t>1908</w:t>
      </w:r>
    </w:p>
    <w:p w:rsidR="00A76E6A" w:rsidP="00A76E6A" w:rsidRDefault="00A76E6A" w14:paraId="10125731" w14:textId="77777777"/>
    <w:p w:rsidRPr="000A37DA" w:rsidR="00A76E6A" w:rsidP="00A76E6A" w:rsidRDefault="00A76E6A" w14:paraId="7B948F9E" w14:textId="77777777"/>
    <w:p w:rsidRPr="000A37DA" w:rsidR="00A76E6A" w:rsidP="00A76E6A" w:rsidRDefault="00A76E6A" w14:paraId="55A330C0" w14:textId="77777777">
      <w:pPr>
        <w:pStyle w:val="standaard-tekst"/>
        <w:rPr>
          <w:b/>
          <w:bCs/>
        </w:rPr>
      </w:pPr>
      <w:r w:rsidRPr="000A37DA">
        <w:rPr>
          <w:b/>
          <w:bCs/>
        </w:rPr>
        <w:t>Vraag 1</w:t>
      </w:r>
    </w:p>
    <w:p w:rsidR="00A76E6A" w:rsidP="00A76E6A" w:rsidRDefault="00A76E6A" w14:paraId="70920FD0" w14:textId="77777777">
      <w:pPr>
        <w:pStyle w:val="standaard-tekst"/>
      </w:pPr>
      <w:r>
        <w:t xml:space="preserve">Bent u bekend met het artikel van een hoogleraar </w:t>
      </w:r>
      <w:proofErr w:type="spellStart"/>
      <w:r>
        <w:t>Process</w:t>
      </w:r>
      <w:proofErr w:type="spellEnd"/>
      <w:r>
        <w:t xml:space="preserve"> </w:t>
      </w:r>
      <w:proofErr w:type="spellStart"/>
      <w:r>
        <w:t>analytics</w:t>
      </w:r>
      <w:proofErr w:type="spellEnd"/>
      <w:r>
        <w:t xml:space="preserve"> aan de TU/e, in Cursor, het journalistieke medium van de TU/e, over de </w:t>
      </w:r>
      <w:proofErr w:type="spellStart"/>
      <w:r>
        <w:t>numerus</w:t>
      </w:r>
      <w:proofErr w:type="spellEnd"/>
      <w:r>
        <w:t xml:space="preserve"> fixus op de studie bouw- en werktuigkunde en het gevolg dat veel Nederlandse aanmelders worden afgewezen, hoewel die ten opzichte van buitenlandse kandidaten een kleine minderheid vormen?</w:t>
      </w:r>
      <w:r>
        <w:rPr>
          <w:rStyle w:val="Voetnootmarkering"/>
        </w:rPr>
        <w:footnoteReference w:id="1"/>
      </w:r>
    </w:p>
    <w:p w:rsidR="00A76E6A" w:rsidP="00A76E6A" w:rsidRDefault="00A76E6A" w14:paraId="2E758524" w14:textId="77777777">
      <w:pPr>
        <w:pStyle w:val="standaard-tekst"/>
      </w:pPr>
    </w:p>
    <w:p w:rsidRPr="000A37DA" w:rsidR="00A76E6A" w:rsidP="00A76E6A" w:rsidRDefault="00A76E6A" w14:paraId="6D81832D" w14:textId="77777777">
      <w:pPr>
        <w:pStyle w:val="standaard-tekst"/>
        <w:rPr>
          <w:b/>
          <w:bCs/>
        </w:rPr>
      </w:pPr>
      <w:r w:rsidRPr="000A37DA">
        <w:rPr>
          <w:b/>
          <w:bCs/>
        </w:rPr>
        <w:t>Antwoord 1</w:t>
      </w:r>
    </w:p>
    <w:p w:rsidR="00A76E6A" w:rsidP="00A76E6A" w:rsidRDefault="00A76E6A" w14:paraId="1C925208" w14:textId="77777777">
      <w:pPr>
        <w:pStyle w:val="standaard-tekst"/>
      </w:pPr>
      <w:r>
        <w:t>Ja</w:t>
      </w:r>
    </w:p>
    <w:p w:rsidR="00A76E6A" w:rsidP="00A76E6A" w:rsidRDefault="00A76E6A" w14:paraId="3461B9F9" w14:textId="77777777">
      <w:pPr>
        <w:pStyle w:val="standaard-tekst"/>
      </w:pPr>
    </w:p>
    <w:p w:rsidRPr="000A37DA" w:rsidR="00A76E6A" w:rsidP="00A76E6A" w:rsidRDefault="00A76E6A" w14:paraId="242860B9" w14:textId="77777777">
      <w:pPr>
        <w:pStyle w:val="standaard-tekst"/>
        <w:rPr>
          <w:b/>
          <w:bCs/>
        </w:rPr>
      </w:pPr>
      <w:r w:rsidRPr="000A37DA">
        <w:rPr>
          <w:b/>
          <w:bCs/>
        </w:rPr>
        <w:t>Vraag 2</w:t>
      </w:r>
    </w:p>
    <w:p w:rsidR="00A76E6A" w:rsidP="00A76E6A" w:rsidRDefault="00A76E6A" w14:paraId="3C1355D3" w14:textId="77777777">
      <w:pPr>
        <w:pStyle w:val="standaard-tekst"/>
      </w:pPr>
      <w:r>
        <w:t>Hoeveel Nederlandse kandidaten zijn uiteindelijk tot elk van de studies bouw- en werktuigkunde en informatica toegelaten? (Bij werktuigbouwkunde hebben volgens Cursor slechts 279 van de 1445 aanmelders de Nederlandse nationaliteit, bij bouwkunde is dat 236 van de 509 aanmelders en bij informatica slechts 95 van de 820)</w:t>
      </w:r>
    </w:p>
    <w:p w:rsidR="00A76E6A" w:rsidP="00A76E6A" w:rsidRDefault="00A76E6A" w14:paraId="4CD05778" w14:textId="77777777">
      <w:pPr>
        <w:pStyle w:val="standaard-tekst"/>
      </w:pPr>
    </w:p>
    <w:p w:rsidRPr="000A37DA" w:rsidR="00A76E6A" w:rsidP="00A76E6A" w:rsidRDefault="00A76E6A" w14:paraId="6FB86BEF" w14:textId="77777777">
      <w:pPr>
        <w:pStyle w:val="standaard-tekst"/>
        <w:rPr>
          <w:b/>
          <w:bCs/>
        </w:rPr>
      </w:pPr>
      <w:r w:rsidRPr="000A37DA">
        <w:rPr>
          <w:b/>
          <w:bCs/>
        </w:rPr>
        <w:t>Antwoord 2</w:t>
      </w:r>
    </w:p>
    <w:p w:rsidR="00A76E6A" w:rsidP="00A76E6A" w:rsidRDefault="00A76E6A" w14:paraId="1111ABC2" w14:textId="77777777">
      <w:pPr>
        <w:pStyle w:val="standaard-tekst"/>
      </w:pPr>
      <w:r>
        <w:t>Het proces van plaatsing en inschrijving voor studiejaar 2026-2027 loopt op dit moment nog. Daarom zijn cijfers over de resultaten van de selectieprocedure waarover in het artikel wordt geschreven nog niet te geven. Om die reden zijn hieronder de cijfers voor studiejaar 2025-2026 weergegeven.</w:t>
      </w:r>
    </w:p>
    <w:p w:rsidR="00A76E6A" w:rsidP="00A76E6A" w:rsidRDefault="00A76E6A" w14:paraId="6DF6F5BC" w14:textId="77777777">
      <w:pPr>
        <w:pStyle w:val="standaard-tekst"/>
      </w:pPr>
    </w:p>
    <w:p w:rsidR="00A76E6A" w:rsidP="00A76E6A" w:rsidRDefault="00A76E6A" w14:paraId="363E1958" w14:textId="77777777">
      <w:pPr>
        <w:pStyle w:val="standaard-tekst"/>
      </w:pPr>
      <w:r>
        <w:t xml:space="preserve">Aanmeldingen en instroom bij bacheloropleidingen TU/e met een </w:t>
      </w:r>
      <w:proofErr w:type="spellStart"/>
      <w:r>
        <w:t>numerus</w:t>
      </w:r>
      <w:proofErr w:type="spellEnd"/>
      <w:r>
        <w:t xml:space="preserve"> fixus naar herkomst voor studiejaar 2025-2026</w:t>
      </w:r>
      <w:r>
        <w:rPr>
          <w:rStyle w:val="Voetnootmarkering"/>
        </w:rPr>
        <w:footnoteReference w:id="2"/>
      </w:r>
    </w:p>
    <w:tbl>
      <w:tblPr>
        <w:tblStyle w:val="Tabelraster"/>
        <w:tblW w:w="5000" w:type="pct"/>
        <w:tblLook w:val="04A0" w:firstRow="1" w:lastRow="0" w:firstColumn="1" w:lastColumn="0" w:noHBand="0" w:noVBand="1"/>
      </w:tblPr>
      <w:tblGrid>
        <w:gridCol w:w="2601"/>
        <w:gridCol w:w="1234"/>
        <w:gridCol w:w="1234"/>
        <w:gridCol w:w="1251"/>
        <w:gridCol w:w="1170"/>
      </w:tblGrid>
      <w:tr w:rsidRPr="00EF509D" w:rsidR="00A76E6A" w:rsidTr="005B76C3" w14:paraId="5C5C1615" w14:textId="77777777">
        <w:tc>
          <w:tcPr>
            <w:tcW w:w="1736" w:type="pct"/>
            <w:shd w:val="clear" w:color="auto" w:fill="F2F2F2" w:themeFill="background1" w:themeFillShade="F2"/>
          </w:tcPr>
          <w:p w:rsidRPr="00EF509D" w:rsidR="00A76E6A" w:rsidP="005B76C3" w:rsidRDefault="00A76E6A" w14:paraId="075F1C1D" w14:textId="77777777">
            <w:pPr>
              <w:pStyle w:val="standaard-tekst"/>
            </w:pPr>
            <w:proofErr w:type="spellStart"/>
            <w:r w:rsidRPr="00757766">
              <w:rPr>
                <w:b/>
                <w:bCs/>
              </w:rPr>
              <w:t>Bouwkunde</w:t>
            </w:r>
            <w:proofErr w:type="spellEnd"/>
          </w:p>
        </w:tc>
        <w:tc>
          <w:tcPr>
            <w:tcW w:w="824" w:type="pct"/>
            <w:shd w:val="clear" w:color="auto" w:fill="F2F2F2" w:themeFill="background1" w:themeFillShade="F2"/>
            <w:vAlign w:val="center"/>
          </w:tcPr>
          <w:p w:rsidRPr="00EF509D" w:rsidR="00A76E6A" w:rsidP="005B76C3" w:rsidRDefault="00A76E6A" w14:paraId="66C64186" w14:textId="77777777">
            <w:pPr>
              <w:pStyle w:val="standaard-tekst"/>
            </w:pPr>
            <w:r w:rsidRPr="00EF509D">
              <w:t>NL (%)</w:t>
            </w:r>
          </w:p>
        </w:tc>
        <w:tc>
          <w:tcPr>
            <w:tcW w:w="824" w:type="pct"/>
            <w:shd w:val="clear" w:color="auto" w:fill="F2F2F2" w:themeFill="background1" w:themeFillShade="F2"/>
            <w:vAlign w:val="center"/>
          </w:tcPr>
          <w:p w:rsidRPr="00EF509D" w:rsidR="00A76E6A" w:rsidP="005B76C3" w:rsidRDefault="00A76E6A" w14:paraId="5ECCAC56" w14:textId="77777777">
            <w:pPr>
              <w:pStyle w:val="standaard-tekst"/>
            </w:pPr>
            <w:r w:rsidRPr="00EF509D">
              <w:t>EER (%)</w:t>
            </w:r>
          </w:p>
        </w:tc>
        <w:tc>
          <w:tcPr>
            <w:tcW w:w="835" w:type="pct"/>
            <w:shd w:val="clear" w:color="auto" w:fill="F2F2F2" w:themeFill="background1" w:themeFillShade="F2"/>
            <w:vAlign w:val="center"/>
          </w:tcPr>
          <w:p w:rsidRPr="00EF509D" w:rsidR="00A76E6A" w:rsidP="005B76C3" w:rsidRDefault="00A76E6A" w14:paraId="6CFC4657" w14:textId="77777777">
            <w:pPr>
              <w:pStyle w:val="standaard-tekst"/>
            </w:pPr>
            <w:proofErr w:type="spellStart"/>
            <w:r w:rsidRPr="00EF509D">
              <w:t>niet</w:t>
            </w:r>
            <w:proofErr w:type="spellEnd"/>
            <w:r w:rsidRPr="00EF509D">
              <w:t>-EER (%)</w:t>
            </w:r>
          </w:p>
        </w:tc>
        <w:tc>
          <w:tcPr>
            <w:tcW w:w="781" w:type="pct"/>
            <w:shd w:val="clear" w:color="auto" w:fill="F2F2F2" w:themeFill="background1" w:themeFillShade="F2"/>
            <w:vAlign w:val="center"/>
          </w:tcPr>
          <w:p w:rsidRPr="00EF509D" w:rsidR="00A76E6A" w:rsidP="005B76C3" w:rsidRDefault="00A76E6A" w14:paraId="25237569" w14:textId="77777777">
            <w:pPr>
              <w:pStyle w:val="standaard-tekst"/>
            </w:pPr>
            <w:proofErr w:type="spellStart"/>
            <w:r w:rsidRPr="00EF509D">
              <w:t>Totaal</w:t>
            </w:r>
            <w:proofErr w:type="spellEnd"/>
          </w:p>
        </w:tc>
      </w:tr>
      <w:tr w:rsidR="00A76E6A" w:rsidTr="005B76C3" w14:paraId="7F7104FF" w14:textId="77777777">
        <w:tc>
          <w:tcPr>
            <w:tcW w:w="1736" w:type="pct"/>
            <w:shd w:val="clear" w:color="auto" w:fill="F2F2F2" w:themeFill="background1" w:themeFillShade="F2"/>
          </w:tcPr>
          <w:p w:rsidR="00A76E6A" w:rsidP="005B76C3" w:rsidRDefault="00A76E6A" w14:paraId="53C814C5" w14:textId="77777777">
            <w:pPr>
              <w:pStyle w:val="standaard-tekst"/>
            </w:pPr>
            <w:proofErr w:type="spellStart"/>
            <w:r>
              <w:t>Vooraanmeldingen</w:t>
            </w:r>
            <w:proofErr w:type="spellEnd"/>
          </w:p>
        </w:tc>
        <w:tc>
          <w:tcPr>
            <w:tcW w:w="824" w:type="pct"/>
            <w:vAlign w:val="bottom"/>
          </w:tcPr>
          <w:p w:rsidR="00A76E6A" w:rsidP="005B76C3" w:rsidRDefault="00A76E6A" w14:paraId="3DD1AE0C" w14:textId="77777777">
            <w:pPr>
              <w:pStyle w:val="standaard-tekst"/>
              <w:jc w:val="right"/>
            </w:pPr>
            <w:r>
              <w:t>382 (30,0%)</w:t>
            </w:r>
          </w:p>
        </w:tc>
        <w:tc>
          <w:tcPr>
            <w:tcW w:w="824" w:type="pct"/>
            <w:vAlign w:val="bottom"/>
          </w:tcPr>
          <w:p w:rsidR="00A76E6A" w:rsidP="005B76C3" w:rsidRDefault="00A76E6A" w14:paraId="300ECC17" w14:textId="77777777">
            <w:pPr>
              <w:pStyle w:val="standaard-tekst"/>
              <w:jc w:val="right"/>
            </w:pPr>
            <w:r>
              <w:t>340 (36,2%)</w:t>
            </w:r>
          </w:p>
        </w:tc>
        <w:tc>
          <w:tcPr>
            <w:tcW w:w="835" w:type="pct"/>
            <w:vAlign w:val="bottom"/>
          </w:tcPr>
          <w:p w:rsidR="00A76E6A" w:rsidP="005B76C3" w:rsidRDefault="00A76E6A" w14:paraId="42B85E01" w14:textId="77777777">
            <w:pPr>
              <w:pStyle w:val="standaard-tekst"/>
              <w:jc w:val="right"/>
            </w:pPr>
            <w:r>
              <w:t>217 (23,1%)</w:t>
            </w:r>
          </w:p>
        </w:tc>
        <w:tc>
          <w:tcPr>
            <w:tcW w:w="781" w:type="pct"/>
            <w:vAlign w:val="bottom"/>
          </w:tcPr>
          <w:p w:rsidR="00A76E6A" w:rsidP="005B76C3" w:rsidRDefault="00A76E6A" w14:paraId="35FB296D" w14:textId="77777777">
            <w:pPr>
              <w:pStyle w:val="standaard-tekst"/>
              <w:jc w:val="right"/>
            </w:pPr>
            <w:r>
              <w:t>939 (100%)</w:t>
            </w:r>
          </w:p>
        </w:tc>
      </w:tr>
      <w:tr w:rsidR="00A76E6A" w:rsidTr="005B76C3" w14:paraId="51F6675D" w14:textId="77777777">
        <w:tc>
          <w:tcPr>
            <w:tcW w:w="1736" w:type="pct"/>
            <w:shd w:val="clear" w:color="auto" w:fill="F2F2F2" w:themeFill="background1" w:themeFillShade="F2"/>
          </w:tcPr>
          <w:p w:rsidR="00A76E6A" w:rsidP="005B76C3" w:rsidRDefault="00A76E6A" w14:paraId="2DD9B900" w14:textId="77777777">
            <w:pPr>
              <w:pStyle w:val="standaard-tekst"/>
            </w:pPr>
            <w:proofErr w:type="spellStart"/>
            <w:r>
              <w:t>Deelgenomen</w:t>
            </w:r>
            <w:proofErr w:type="spellEnd"/>
            <w:r>
              <w:t xml:space="preserve"> </w:t>
            </w:r>
            <w:proofErr w:type="spellStart"/>
            <w:r>
              <w:t>aan</w:t>
            </w:r>
            <w:proofErr w:type="spellEnd"/>
            <w:r>
              <w:t xml:space="preserve"> </w:t>
            </w:r>
            <w:proofErr w:type="spellStart"/>
            <w:r>
              <w:t>selectie</w:t>
            </w:r>
            <w:proofErr w:type="spellEnd"/>
          </w:p>
        </w:tc>
        <w:tc>
          <w:tcPr>
            <w:tcW w:w="824" w:type="pct"/>
            <w:vAlign w:val="bottom"/>
          </w:tcPr>
          <w:p w:rsidR="00A76E6A" w:rsidP="005B76C3" w:rsidRDefault="00A76E6A" w14:paraId="149B1356" w14:textId="77777777">
            <w:pPr>
              <w:pStyle w:val="standaard-tekst"/>
              <w:jc w:val="right"/>
            </w:pPr>
            <w:r>
              <w:t>274 (50,3%)</w:t>
            </w:r>
          </w:p>
        </w:tc>
        <w:tc>
          <w:tcPr>
            <w:tcW w:w="824" w:type="pct"/>
            <w:vAlign w:val="bottom"/>
          </w:tcPr>
          <w:p w:rsidR="00A76E6A" w:rsidP="005B76C3" w:rsidRDefault="00A76E6A" w14:paraId="1C419805" w14:textId="77777777">
            <w:pPr>
              <w:pStyle w:val="standaard-tekst"/>
              <w:jc w:val="right"/>
            </w:pPr>
            <w:r>
              <w:t>198 (36,3%)</w:t>
            </w:r>
          </w:p>
        </w:tc>
        <w:tc>
          <w:tcPr>
            <w:tcW w:w="835" w:type="pct"/>
            <w:vAlign w:val="bottom"/>
          </w:tcPr>
          <w:p w:rsidR="00A76E6A" w:rsidP="005B76C3" w:rsidRDefault="00A76E6A" w14:paraId="1B71C020" w14:textId="77777777">
            <w:pPr>
              <w:pStyle w:val="standaard-tekst"/>
              <w:jc w:val="right"/>
            </w:pPr>
            <w:r>
              <w:t>73 (13,4%)</w:t>
            </w:r>
          </w:p>
        </w:tc>
        <w:tc>
          <w:tcPr>
            <w:tcW w:w="781" w:type="pct"/>
            <w:vAlign w:val="bottom"/>
          </w:tcPr>
          <w:p w:rsidR="00A76E6A" w:rsidP="005B76C3" w:rsidRDefault="00A76E6A" w14:paraId="75E449F6" w14:textId="77777777">
            <w:pPr>
              <w:pStyle w:val="standaard-tekst"/>
              <w:jc w:val="right"/>
            </w:pPr>
            <w:r>
              <w:t>545 (100%)</w:t>
            </w:r>
          </w:p>
        </w:tc>
      </w:tr>
      <w:tr w:rsidR="00A76E6A" w:rsidTr="005B76C3" w14:paraId="7F0235B2" w14:textId="77777777">
        <w:tc>
          <w:tcPr>
            <w:tcW w:w="1736" w:type="pct"/>
            <w:shd w:val="clear" w:color="auto" w:fill="F2F2F2" w:themeFill="background1" w:themeFillShade="F2"/>
          </w:tcPr>
          <w:p w:rsidR="00A76E6A" w:rsidP="005B76C3" w:rsidRDefault="00A76E6A" w14:paraId="74E84482" w14:textId="77777777">
            <w:pPr>
              <w:pStyle w:val="standaard-tekst"/>
            </w:pPr>
            <w:proofErr w:type="spellStart"/>
            <w:r>
              <w:t>Toegelaten</w:t>
            </w:r>
            <w:proofErr w:type="spellEnd"/>
            <w:r>
              <w:t>/</w:t>
            </w:r>
            <w:proofErr w:type="spellStart"/>
            <w:r>
              <w:t>plaats</w:t>
            </w:r>
            <w:proofErr w:type="spellEnd"/>
            <w:r>
              <w:t xml:space="preserve"> </w:t>
            </w:r>
            <w:proofErr w:type="spellStart"/>
            <w:r>
              <w:t>aangeboden</w:t>
            </w:r>
            <w:proofErr w:type="spellEnd"/>
          </w:p>
        </w:tc>
        <w:tc>
          <w:tcPr>
            <w:tcW w:w="824" w:type="pct"/>
            <w:vAlign w:val="bottom"/>
          </w:tcPr>
          <w:p w:rsidR="00A76E6A" w:rsidP="005B76C3" w:rsidRDefault="00A76E6A" w14:paraId="0D991462" w14:textId="77777777">
            <w:pPr>
              <w:pStyle w:val="standaard-tekst"/>
              <w:jc w:val="right"/>
            </w:pPr>
            <w:r>
              <w:t>244 (47,7%)</w:t>
            </w:r>
          </w:p>
        </w:tc>
        <w:tc>
          <w:tcPr>
            <w:tcW w:w="824" w:type="pct"/>
            <w:vAlign w:val="bottom"/>
          </w:tcPr>
          <w:p w:rsidR="00A76E6A" w:rsidP="005B76C3" w:rsidRDefault="00A76E6A" w14:paraId="44AFAF78" w14:textId="77777777">
            <w:pPr>
              <w:pStyle w:val="standaard-tekst"/>
              <w:jc w:val="right"/>
            </w:pPr>
            <w:r>
              <w:t>194 (38,0%)</w:t>
            </w:r>
          </w:p>
        </w:tc>
        <w:tc>
          <w:tcPr>
            <w:tcW w:w="835" w:type="pct"/>
            <w:vAlign w:val="bottom"/>
          </w:tcPr>
          <w:p w:rsidR="00A76E6A" w:rsidP="005B76C3" w:rsidRDefault="00A76E6A" w14:paraId="22EB6D74" w14:textId="77777777">
            <w:pPr>
              <w:pStyle w:val="standaard-tekst"/>
              <w:jc w:val="right"/>
            </w:pPr>
            <w:r>
              <w:t>70 (13,7%)</w:t>
            </w:r>
          </w:p>
        </w:tc>
        <w:tc>
          <w:tcPr>
            <w:tcW w:w="781" w:type="pct"/>
            <w:vAlign w:val="bottom"/>
          </w:tcPr>
          <w:p w:rsidR="00A76E6A" w:rsidP="005B76C3" w:rsidRDefault="00A76E6A" w14:paraId="3CD2D355" w14:textId="77777777">
            <w:pPr>
              <w:pStyle w:val="standaard-tekst"/>
              <w:jc w:val="right"/>
            </w:pPr>
            <w:r>
              <w:t>511 (100%)</w:t>
            </w:r>
          </w:p>
        </w:tc>
      </w:tr>
      <w:tr w:rsidR="00A76E6A" w:rsidTr="005B76C3" w14:paraId="330401A3" w14:textId="77777777">
        <w:tc>
          <w:tcPr>
            <w:tcW w:w="1736" w:type="pct"/>
            <w:shd w:val="clear" w:color="auto" w:fill="F2F2F2" w:themeFill="background1" w:themeFillShade="F2"/>
          </w:tcPr>
          <w:p w:rsidR="00A76E6A" w:rsidP="005B76C3" w:rsidRDefault="00A76E6A" w14:paraId="12D2FB5B" w14:textId="77777777">
            <w:pPr>
              <w:pStyle w:val="standaard-tekst"/>
            </w:pPr>
            <w:proofErr w:type="spellStart"/>
            <w:r>
              <w:lastRenderedPageBreak/>
              <w:t>Ingeschreven</w:t>
            </w:r>
            <w:proofErr w:type="spellEnd"/>
            <w:r>
              <w:t xml:space="preserve"> per 1 </w:t>
            </w:r>
            <w:proofErr w:type="spellStart"/>
            <w:r>
              <w:t>oktober</w:t>
            </w:r>
            <w:proofErr w:type="spellEnd"/>
            <w:r>
              <w:t xml:space="preserve"> 2025</w:t>
            </w:r>
          </w:p>
        </w:tc>
        <w:tc>
          <w:tcPr>
            <w:tcW w:w="824" w:type="pct"/>
            <w:vAlign w:val="bottom"/>
          </w:tcPr>
          <w:p w:rsidR="00A76E6A" w:rsidP="005B76C3" w:rsidRDefault="00A76E6A" w14:paraId="4301981E" w14:textId="77777777">
            <w:pPr>
              <w:pStyle w:val="standaard-tekst"/>
              <w:jc w:val="right"/>
            </w:pPr>
            <w:r>
              <w:t>194 (58,7%)</w:t>
            </w:r>
          </w:p>
        </w:tc>
        <w:tc>
          <w:tcPr>
            <w:tcW w:w="824" w:type="pct"/>
            <w:vAlign w:val="bottom"/>
          </w:tcPr>
          <w:p w:rsidR="00A76E6A" w:rsidP="005B76C3" w:rsidRDefault="00A76E6A" w14:paraId="2F358A5F" w14:textId="77777777">
            <w:pPr>
              <w:pStyle w:val="standaard-tekst"/>
              <w:jc w:val="right"/>
            </w:pPr>
            <w:r>
              <w:t>110 (33,2%)</w:t>
            </w:r>
          </w:p>
        </w:tc>
        <w:tc>
          <w:tcPr>
            <w:tcW w:w="835" w:type="pct"/>
            <w:vAlign w:val="bottom"/>
          </w:tcPr>
          <w:p w:rsidR="00A76E6A" w:rsidP="005B76C3" w:rsidRDefault="00A76E6A" w14:paraId="340A1F53" w14:textId="77777777">
            <w:pPr>
              <w:pStyle w:val="standaard-tekst"/>
              <w:jc w:val="right"/>
            </w:pPr>
            <w:r>
              <w:t xml:space="preserve">27 </w:t>
            </w:r>
          </w:p>
          <w:p w:rsidR="00A76E6A" w:rsidP="005B76C3" w:rsidRDefault="00A76E6A" w14:paraId="03609191" w14:textId="77777777">
            <w:pPr>
              <w:pStyle w:val="standaard-tekst"/>
              <w:jc w:val="right"/>
            </w:pPr>
            <w:r>
              <w:t>(8,2%)</w:t>
            </w:r>
          </w:p>
        </w:tc>
        <w:tc>
          <w:tcPr>
            <w:tcW w:w="781" w:type="pct"/>
            <w:vAlign w:val="bottom"/>
          </w:tcPr>
          <w:p w:rsidR="00A76E6A" w:rsidP="005B76C3" w:rsidRDefault="00A76E6A" w14:paraId="2ABD160F" w14:textId="77777777">
            <w:pPr>
              <w:pStyle w:val="standaard-tekst"/>
              <w:jc w:val="right"/>
            </w:pPr>
            <w:r>
              <w:t>331 (100%)</w:t>
            </w:r>
          </w:p>
        </w:tc>
      </w:tr>
    </w:tbl>
    <w:p w:rsidR="00A76E6A" w:rsidP="00A76E6A" w:rsidRDefault="00A76E6A" w14:paraId="3BBF88EE" w14:textId="77777777"/>
    <w:p w:rsidR="00A76E6A" w:rsidP="00A76E6A" w:rsidRDefault="00A76E6A" w14:paraId="3DF4ED93" w14:textId="77777777"/>
    <w:tbl>
      <w:tblPr>
        <w:tblStyle w:val="Tabelraster"/>
        <w:tblW w:w="5000" w:type="pct"/>
        <w:tblLook w:val="04A0" w:firstRow="1" w:lastRow="0" w:firstColumn="1" w:lastColumn="0" w:noHBand="0" w:noVBand="1"/>
      </w:tblPr>
      <w:tblGrid>
        <w:gridCol w:w="3079"/>
        <w:gridCol w:w="1007"/>
        <w:gridCol w:w="1016"/>
        <w:gridCol w:w="1449"/>
        <w:gridCol w:w="939"/>
      </w:tblGrid>
      <w:tr w:rsidR="00A76E6A" w:rsidTr="005B76C3" w14:paraId="7A00588E" w14:textId="77777777">
        <w:trPr>
          <w:tblHeader/>
        </w:trPr>
        <w:tc>
          <w:tcPr>
            <w:tcW w:w="2056" w:type="pct"/>
            <w:shd w:val="clear" w:color="auto" w:fill="F2F2F2" w:themeFill="background1" w:themeFillShade="F2"/>
          </w:tcPr>
          <w:p w:rsidR="00A76E6A" w:rsidP="005B76C3" w:rsidRDefault="00A76E6A" w14:paraId="784AF571" w14:textId="77777777">
            <w:pPr>
              <w:pStyle w:val="standaard-tekst"/>
              <w:keepNext/>
            </w:pPr>
            <w:proofErr w:type="spellStart"/>
            <w:r w:rsidRPr="00757766">
              <w:rPr>
                <w:b/>
                <w:bCs/>
              </w:rPr>
              <w:t>Technische</w:t>
            </w:r>
            <w:proofErr w:type="spellEnd"/>
            <w:r w:rsidRPr="00757766">
              <w:rPr>
                <w:b/>
                <w:bCs/>
              </w:rPr>
              <w:t xml:space="preserve"> informatica</w:t>
            </w:r>
          </w:p>
        </w:tc>
        <w:tc>
          <w:tcPr>
            <w:tcW w:w="672" w:type="pct"/>
            <w:shd w:val="clear" w:color="auto" w:fill="F2F2F2" w:themeFill="background1" w:themeFillShade="F2"/>
            <w:vAlign w:val="center"/>
          </w:tcPr>
          <w:p w:rsidR="00A76E6A" w:rsidP="005B76C3" w:rsidRDefault="00A76E6A" w14:paraId="6EB6F678" w14:textId="77777777">
            <w:pPr>
              <w:pStyle w:val="standaard-tekst"/>
              <w:tabs>
                <w:tab w:val="clear" w:pos="227"/>
                <w:tab w:val="clear" w:pos="454"/>
                <w:tab w:val="clear" w:pos="680"/>
              </w:tabs>
              <w:jc w:val="right"/>
            </w:pPr>
            <w:r w:rsidRPr="00EF509D">
              <w:t>NL (%)</w:t>
            </w:r>
          </w:p>
        </w:tc>
        <w:tc>
          <w:tcPr>
            <w:tcW w:w="678" w:type="pct"/>
            <w:shd w:val="clear" w:color="auto" w:fill="F2F2F2" w:themeFill="background1" w:themeFillShade="F2"/>
            <w:vAlign w:val="center"/>
          </w:tcPr>
          <w:p w:rsidR="00A76E6A" w:rsidP="005B76C3" w:rsidRDefault="00A76E6A" w14:paraId="7C1A54B3" w14:textId="77777777">
            <w:pPr>
              <w:pStyle w:val="standaard-tekst"/>
              <w:tabs>
                <w:tab w:val="clear" w:pos="227"/>
                <w:tab w:val="clear" w:pos="454"/>
                <w:tab w:val="clear" w:pos="680"/>
              </w:tabs>
              <w:jc w:val="right"/>
            </w:pPr>
            <w:r w:rsidRPr="00EF509D">
              <w:t>EER (%)</w:t>
            </w:r>
          </w:p>
        </w:tc>
        <w:tc>
          <w:tcPr>
            <w:tcW w:w="967" w:type="pct"/>
            <w:shd w:val="clear" w:color="auto" w:fill="F2F2F2" w:themeFill="background1" w:themeFillShade="F2"/>
            <w:vAlign w:val="center"/>
          </w:tcPr>
          <w:p w:rsidR="00A76E6A" w:rsidP="005B76C3" w:rsidRDefault="00A76E6A" w14:paraId="193041A7" w14:textId="77777777">
            <w:pPr>
              <w:pStyle w:val="standaard-tekst"/>
              <w:tabs>
                <w:tab w:val="clear" w:pos="227"/>
                <w:tab w:val="clear" w:pos="454"/>
                <w:tab w:val="clear" w:pos="680"/>
              </w:tabs>
              <w:jc w:val="right"/>
            </w:pPr>
            <w:proofErr w:type="spellStart"/>
            <w:r w:rsidRPr="00EF509D">
              <w:t>niet</w:t>
            </w:r>
            <w:proofErr w:type="spellEnd"/>
            <w:r w:rsidRPr="00EF509D">
              <w:t>-EER (%)</w:t>
            </w:r>
          </w:p>
        </w:tc>
        <w:tc>
          <w:tcPr>
            <w:tcW w:w="628" w:type="pct"/>
            <w:shd w:val="clear" w:color="auto" w:fill="F2F2F2" w:themeFill="background1" w:themeFillShade="F2"/>
            <w:vAlign w:val="center"/>
          </w:tcPr>
          <w:p w:rsidR="00A76E6A" w:rsidP="005B76C3" w:rsidRDefault="00A76E6A" w14:paraId="6B53696D" w14:textId="77777777">
            <w:pPr>
              <w:pStyle w:val="standaard-tekst"/>
              <w:tabs>
                <w:tab w:val="clear" w:pos="227"/>
                <w:tab w:val="clear" w:pos="454"/>
                <w:tab w:val="clear" w:pos="680"/>
              </w:tabs>
              <w:jc w:val="right"/>
            </w:pPr>
            <w:proofErr w:type="spellStart"/>
            <w:r w:rsidRPr="00EF509D">
              <w:t>Totaal</w:t>
            </w:r>
            <w:proofErr w:type="spellEnd"/>
          </w:p>
        </w:tc>
      </w:tr>
      <w:tr w:rsidR="00A76E6A" w:rsidTr="005B76C3" w14:paraId="009887DD" w14:textId="77777777">
        <w:tc>
          <w:tcPr>
            <w:tcW w:w="2056" w:type="pct"/>
            <w:shd w:val="clear" w:color="auto" w:fill="F2F2F2" w:themeFill="background1" w:themeFillShade="F2"/>
          </w:tcPr>
          <w:p w:rsidR="00A76E6A" w:rsidP="005B76C3" w:rsidRDefault="00A76E6A" w14:paraId="7A523765" w14:textId="77777777">
            <w:pPr>
              <w:pStyle w:val="standaard-tekst"/>
            </w:pPr>
            <w:proofErr w:type="spellStart"/>
            <w:r>
              <w:t>Vooraanmeldingen</w:t>
            </w:r>
            <w:proofErr w:type="spellEnd"/>
          </w:p>
        </w:tc>
        <w:tc>
          <w:tcPr>
            <w:tcW w:w="672" w:type="pct"/>
            <w:vAlign w:val="bottom"/>
          </w:tcPr>
          <w:p w:rsidR="00A76E6A" w:rsidP="005B76C3" w:rsidRDefault="00A76E6A" w14:paraId="3F24089D" w14:textId="77777777">
            <w:pPr>
              <w:pStyle w:val="standaard-tekst"/>
              <w:keepNext/>
              <w:tabs>
                <w:tab w:val="clear" w:pos="227"/>
                <w:tab w:val="clear" w:pos="454"/>
                <w:tab w:val="clear" w:pos="680"/>
              </w:tabs>
              <w:jc w:val="right"/>
            </w:pPr>
            <w:r>
              <w:t xml:space="preserve">336 </w:t>
            </w:r>
          </w:p>
          <w:p w:rsidR="00A76E6A" w:rsidP="005B76C3" w:rsidRDefault="00A76E6A" w14:paraId="646B50AA" w14:textId="77777777">
            <w:pPr>
              <w:pStyle w:val="standaard-tekst"/>
              <w:tabs>
                <w:tab w:val="clear" w:pos="227"/>
                <w:tab w:val="clear" w:pos="454"/>
                <w:tab w:val="clear" w:pos="680"/>
              </w:tabs>
              <w:jc w:val="right"/>
            </w:pPr>
            <w:r>
              <w:t>(16,3%)</w:t>
            </w:r>
          </w:p>
        </w:tc>
        <w:tc>
          <w:tcPr>
            <w:tcW w:w="678" w:type="pct"/>
            <w:vAlign w:val="bottom"/>
          </w:tcPr>
          <w:p w:rsidR="00A76E6A" w:rsidP="005B76C3" w:rsidRDefault="00A76E6A" w14:paraId="04027D9A" w14:textId="77777777">
            <w:pPr>
              <w:pStyle w:val="standaard-tekst"/>
              <w:tabs>
                <w:tab w:val="clear" w:pos="227"/>
                <w:tab w:val="clear" w:pos="454"/>
                <w:tab w:val="clear" w:pos="680"/>
              </w:tabs>
              <w:jc w:val="right"/>
            </w:pPr>
            <w:r>
              <w:t xml:space="preserve">841 </w:t>
            </w:r>
          </w:p>
          <w:p w:rsidR="00A76E6A" w:rsidP="005B76C3" w:rsidRDefault="00A76E6A" w14:paraId="6E992960" w14:textId="77777777">
            <w:pPr>
              <w:pStyle w:val="standaard-tekst"/>
              <w:tabs>
                <w:tab w:val="clear" w:pos="227"/>
                <w:tab w:val="clear" w:pos="454"/>
                <w:tab w:val="clear" w:pos="680"/>
              </w:tabs>
              <w:jc w:val="right"/>
            </w:pPr>
            <w:r>
              <w:t>(40,9%)</w:t>
            </w:r>
          </w:p>
        </w:tc>
        <w:tc>
          <w:tcPr>
            <w:tcW w:w="967" w:type="pct"/>
            <w:vAlign w:val="bottom"/>
          </w:tcPr>
          <w:p w:rsidR="00A76E6A" w:rsidP="005B76C3" w:rsidRDefault="00A76E6A" w14:paraId="04D53D11" w14:textId="77777777">
            <w:pPr>
              <w:pStyle w:val="standaard-tekst"/>
              <w:tabs>
                <w:tab w:val="clear" w:pos="227"/>
                <w:tab w:val="clear" w:pos="454"/>
                <w:tab w:val="clear" w:pos="680"/>
              </w:tabs>
              <w:jc w:val="right"/>
            </w:pPr>
            <w:r>
              <w:t>881</w:t>
            </w:r>
          </w:p>
          <w:p w:rsidR="00A76E6A" w:rsidP="005B76C3" w:rsidRDefault="00A76E6A" w14:paraId="03946BF4" w14:textId="77777777">
            <w:pPr>
              <w:pStyle w:val="standaard-tekst"/>
              <w:tabs>
                <w:tab w:val="clear" w:pos="227"/>
                <w:tab w:val="clear" w:pos="454"/>
                <w:tab w:val="clear" w:pos="680"/>
              </w:tabs>
              <w:jc w:val="right"/>
            </w:pPr>
            <w:r>
              <w:t>(42,8%)</w:t>
            </w:r>
          </w:p>
        </w:tc>
        <w:tc>
          <w:tcPr>
            <w:tcW w:w="628" w:type="pct"/>
            <w:vAlign w:val="bottom"/>
          </w:tcPr>
          <w:p w:rsidR="00A76E6A" w:rsidP="005B76C3" w:rsidRDefault="00A76E6A" w14:paraId="6FFE1AA6" w14:textId="77777777">
            <w:pPr>
              <w:pStyle w:val="standaard-tekst"/>
              <w:tabs>
                <w:tab w:val="clear" w:pos="227"/>
                <w:tab w:val="clear" w:pos="454"/>
                <w:tab w:val="clear" w:pos="680"/>
              </w:tabs>
              <w:jc w:val="right"/>
            </w:pPr>
            <w:r>
              <w:t>2058</w:t>
            </w:r>
          </w:p>
          <w:p w:rsidR="00A76E6A" w:rsidP="005B76C3" w:rsidRDefault="00A76E6A" w14:paraId="02513630" w14:textId="77777777">
            <w:pPr>
              <w:pStyle w:val="standaard-tekst"/>
              <w:tabs>
                <w:tab w:val="clear" w:pos="227"/>
                <w:tab w:val="clear" w:pos="454"/>
                <w:tab w:val="clear" w:pos="680"/>
              </w:tabs>
              <w:jc w:val="right"/>
            </w:pPr>
            <w:r>
              <w:t>(100%)</w:t>
            </w:r>
          </w:p>
        </w:tc>
      </w:tr>
      <w:tr w:rsidR="00A76E6A" w:rsidTr="005B76C3" w14:paraId="08689FF3" w14:textId="77777777">
        <w:tc>
          <w:tcPr>
            <w:tcW w:w="2056" w:type="pct"/>
            <w:shd w:val="clear" w:color="auto" w:fill="F2F2F2" w:themeFill="background1" w:themeFillShade="F2"/>
          </w:tcPr>
          <w:p w:rsidR="00A76E6A" w:rsidP="005B76C3" w:rsidRDefault="00A76E6A" w14:paraId="76A0D425" w14:textId="77777777">
            <w:pPr>
              <w:pStyle w:val="standaard-tekst"/>
            </w:pPr>
            <w:proofErr w:type="spellStart"/>
            <w:r>
              <w:t>Deelgenomen</w:t>
            </w:r>
            <w:proofErr w:type="spellEnd"/>
            <w:r>
              <w:t xml:space="preserve"> </w:t>
            </w:r>
            <w:proofErr w:type="spellStart"/>
            <w:r>
              <w:t>aan</w:t>
            </w:r>
            <w:proofErr w:type="spellEnd"/>
            <w:r>
              <w:t xml:space="preserve"> </w:t>
            </w:r>
            <w:proofErr w:type="spellStart"/>
            <w:r>
              <w:t>selectie</w:t>
            </w:r>
            <w:proofErr w:type="spellEnd"/>
          </w:p>
        </w:tc>
        <w:tc>
          <w:tcPr>
            <w:tcW w:w="672" w:type="pct"/>
            <w:vAlign w:val="bottom"/>
          </w:tcPr>
          <w:p w:rsidR="00A76E6A" w:rsidP="005B76C3" w:rsidRDefault="00A76E6A" w14:paraId="12F77C62" w14:textId="77777777">
            <w:pPr>
              <w:pStyle w:val="standaard-tekst"/>
              <w:tabs>
                <w:tab w:val="clear" w:pos="227"/>
                <w:tab w:val="clear" w:pos="454"/>
                <w:tab w:val="clear" w:pos="680"/>
              </w:tabs>
              <w:jc w:val="right"/>
            </w:pPr>
            <w:r>
              <w:t>242</w:t>
            </w:r>
          </w:p>
          <w:p w:rsidR="00A76E6A" w:rsidP="005B76C3" w:rsidRDefault="00A76E6A" w14:paraId="3B6B8675" w14:textId="77777777">
            <w:pPr>
              <w:pStyle w:val="standaard-tekst"/>
              <w:tabs>
                <w:tab w:val="clear" w:pos="227"/>
                <w:tab w:val="clear" w:pos="454"/>
                <w:tab w:val="clear" w:pos="680"/>
              </w:tabs>
              <w:jc w:val="right"/>
            </w:pPr>
            <w:r>
              <w:t>(19,4%)</w:t>
            </w:r>
          </w:p>
        </w:tc>
        <w:tc>
          <w:tcPr>
            <w:tcW w:w="678" w:type="pct"/>
            <w:vAlign w:val="bottom"/>
          </w:tcPr>
          <w:p w:rsidR="00A76E6A" w:rsidP="005B76C3" w:rsidRDefault="00A76E6A" w14:paraId="2711FB97" w14:textId="77777777">
            <w:pPr>
              <w:pStyle w:val="standaard-tekst"/>
              <w:tabs>
                <w:tab w:val="clear" w:pos="227"/>
                <w:tab w:val="clear" w:pos="454"/>
                <w:tab w:val="clear" w:pos="680"/>
              </w:tabs>
              <w:jc w:val="right"/>
            </w:pPr>
            <w:r>
              <w:t>591</w:t>
            </w:r>
          </w:p>
          <w:p w:rsidR="00A76E6A" w:rsidP="005B76C3" w:rsidRDefault="00A76E6A" w14:paraId="77ED9576" w14:textId="77777777">
            <w:pPr>
              <w:pStyle w:val="standaard-tekst"/>
              <w:tabs>
                <w:tab w:val="clear" w:pos="227"/>
                <w:tab w:val="clear" w:pos="454"/>
                <w:tab w:val="clear" w:pos="680"/>
              </w:tabs>
              <w:jc w:val="right"/>
            </w:pPr>
            <w:r>
              <w:t>(47,3%)</w:t>
            </w:r>
          </w:p>
        </w:tc>
        <w:tc>
          <w:tcPr>
            <w:tcW w:w="967" w:type="pct"/>
            <w:vAlign w:val="bottom"/>
          </w:tcPr>
          <w:p w:rsidR="00A76E6A" w:rsidP="005B76C3" w:rsidRDefault="00A76E6A" w14:paraId="708BC640" w14:textId="77777777">
            <w:pPr>
              <w:pStyle w:val="standaard-tekst"/>
              <w:tabs>
                <w:tab w:val="clear" w:pos="227"/>
                <w:tab w:val="clear" w:pos="454"/>
                <w:tab w:val="clear" w:pos="680"/>
              </w:tabs>
              <w:jc w:val="right"/>
            </w:pPr>
            <w:r>
              <w:t>416</w:t>
            </w:r>
          </w:p>
          <w:p w:rsidR="00A76E6A" w:rsidP="005B76C3" w:rsidRDefault="00A76E6A" w14:paraId="3D418527" w14:textId="77777777">
            <w:pPr>
              <w:pStyle w:val="standaard-tekst"/>
              <w:tabs>
                <w:tab w:val="clear" w:pos="227"/>
                <w:tab w:val="clear" w:pos="454"/>
                <w:tab w:val="clear" w:pos="680"/>
              </w:tabs>
              <w:jc w:val="right"/>
            </w:pPr>
            <w:r>
              <w:t>(33,3%)</w:t>
            </w:r>
          </w:p>
        </w:tc>
        <w:tc>
          <w:tcPr>
            <w:tcW w:w="628" w:type="pct"/>
            <w:vAlign w:val="bottom"/>
          </w:tcPr>
          <w:p w:rsidR="00A76E6A" w:rsidP="005B76C3" w:rsidRDefault="00A76E6A" w14:paraId="159E0568" w14:textId="77777777">
            <w:pPr>
              <w:pStyle w:val="standaard-tekst"/>
              <w:tabs>
                <w:tab w:val="clear" w:pos="227"/>
                <w:tab w:val="clear" w:pos="454"/>
                <w:tab w:val="clear" w:pos="680"/>
              </w:tabs>
              <w:jc w:val="right"/>
            </w:pPr>
            <w:r>
              <w:t>1249</w:t>
            </w:r>
          </w:p>
          <w:p w:rsidR="00A76E6A" w:rsidP="005B76C3" w:rsidRDefault="00A76E6A" w14:paraId="6A423142" w14:textId="77777777">
            <w:pPr>
              <w:pStyle w:val="standaard-tekst"/>
              <w:tabs>
                <w:tab w:val="clear" w:pos="227"/>
                <w:tab w:val="clear" w:pos="454"/>
                <w:tab w:val="clear" w:pos="680"/>
              </w:tabs>
              <w:jc w:val="right"/>
            </w:pPr>
            <w:r>
              <w:t>(100%)</w:t>
            </w:r>
          </w:p>
        </w:tc>
      </w:tr>
      <w:tr w:rsidR="00A76E6A" w:rsidTr="005B76C3" w14:paraId="0CF0A94B" w14:textId="77777777">
        <w:tc>
          <w:tcPr>
            <w:tcW w:w="2056" w:type="pct"/>
            <w:shd w:val="clear" w:color="auto" w:fill="F2F2F2" w:themeFill="background1" w:themeFillShade="F2"/>
          </w:tcPr>
          <w:p w:rsidR="00A76E6A" w:rsidP="005B76C3" w:rsidRDefault="00A76E6A" w14:paraId="30CCE121" w14:textId="77777777">
            <w:pPr>
              <w:pStyle w:val="standaard-tekst"/>
            </w:pPr>
            <w:proofErr w:type="spellStart"/>
            <w:r>
              <w:t>Toegelaten</w:t>
            </w:r>
            <w:proofErr w:type="spellEnd"/>
            <w:r>
              <w:t>/</w:t>
            </w:r>
            <w:proofErr w:type="spellStart"/>
            <w:r>
              <w:t>plaats</w:t>
            </w:r>
            <w:proofErr w:type="spellEnd"/>
            <w:r>
              <w:t xml:space="preserve"> </w:t>
            </w:r>
            <w:proofErr w:type="spellStart"/>
            <w:r>
              <w:t>aangeboden</w:t>
            </w:r>
            <w:proofErr w:type="spellEnd"/>
          </w:p>
        </w:tc>
        <w:tc>
          <w:tcPr>
            <w:tcW w:w="672" w:type="pct"/>
            <w:vAlign w:val="bottom"/>
          </w:tcPr>
          <w:p w:rsidR="00A76E6A" w:rsidP="005B76C3" w:rsidRDefault="00A76E6A" w14:paraId="3EE57D24" w14:textId="77777777">
            <w:pPr>
              <w:pStyle w:val="standaard-tekst"/>
              <w:tabs>
                <w:tab w:val="clear" w:pos="227"/>
                <w:tab w:val="clear" w:pos="454"/>
                <w:tab w:val="clear" w:pos="680"/>
              </w:tabs>
              <w:jc w:val="right"/>
            </w:pPr>
            <w:r>
              <w:t>122</w:t>
            </w:r>
          </w:p>
          <w:p w:rsidR="00A76E6A" w:rsidP="005B76C3" w:rsidRDefault="00A76E6A" w14:paraId="04FE92DE" w14:textId="77777777">
            <w:pPr>
              <w:pStyle w:val="standaard-tekst"/>
              <w:tabs>
                <w:tab w:val="clear" w:pos="227"/>
                <w:tab w:val="clear" w:pos="454"/>
                <w:tab w:val="clear" w:pos="680"/>
              </w:tabs>
              <w:jc w:val="right"/>
            </w:pPr>
            <w:r>
              <w:t>(17,1%)</w:t>
            </w:r>
          </w:p>
        </w:tc>
        <w:tc>
          <w:tcPr>
            <w:tcW w:w="678" w:type="pct"/>
            <w:vAlign w:val="bottom"/>
          </w:tcPr>
          <w:p w:rsidR="00A76E6A" w:rsidP="005B76C3" w:rsidRDefault="00A76E6A" w14:paraId="3554F862" w14:textId="77777777">
            <w:pPr>
              <w:pStyle w:val="standaard-tekst"/>
              <w:tabs>
                <w:tab w:val="clear" w:pos="227"/>
                <w:tab w:val="clear" w:pos="454"/>
                <w:tab w:val="clear" w:pos="680"/>
              </w:tabs>
              <w:jc w:val="right"/>
            </w:pPr>
            <w:r>
              <w:t>382</w:t>
            </w:r>
          </w:p>
          <w:p w:rsidR="00A76E6A" w:rsidP="005B76C3" w:rsidRDefault="00A76E6A" w14:paraId="17C9A81D" w14:textId="77777777">
            <w:pPr>
              <w:pStyle w:val="standaard-tekst"/>
              <w:tabs>
                <w:tab w:val="clear" w:pos="227"/>
                <w:tab w:val="clear" w:pos="454"/>
                <w:tab w:val="clear" w:pos="680"/>
              </w:tabs>
              <w:jc w:val="right"/>
            </w:pPr>
            <w:r>
              <w:t>(53,7%)</w:t>
            </w:r>
          </w:p>
        </w:tc>
        <w:tc>
          <w:tcPr>
            <w:tcW w:w="967" w:type="pct"/>
            <w:vAlign w:val="bottom"/>
          </w:tcPr>
          <w:p w:rsidR="00A76E6A" w:rsidP="005B76C3" w:rsidRDefault="00A76E6A" w14:paraId="2E431237" w14:textId="77777777">
            <w:pPr>
              <w:pStyle w:val="standaard-tekst"/>
              <w:tabs>
                <w:tab w:val="clear" w:pos="227"/>
                <w:tab w:val="clear" w:pos="454"/>
                <w:tab w:val="clear" w:pos="680"/>
              </w:tabs>
              <w:jc w:val="right"/>
            </w:pPr>
            <w:r>
              <w:t>208</w:t>
            </w:r>
          </w:p>
          <w:p w:rsidR="00A76E6A" w:rsidP="005B76C3" w:rsidRDefault="00A76E6A" w14:paraId="5E1E8BDD" w14:textId="77777777">
            <w:pPr>
              <w:pStyle w:val="standaard-tekst"/>
              <w:tabs>
                <w:tab w:val="clear" w:pos="227"/>
                <w:tab w:val="clear" w:pos="454"/>
                <w:tab w:val="clear" w:pos="680"/>
              </w:tabs>
              <w:jc w:val="right"/>
            </w:pPr>
            <w:r>
              <w:t>(29,2%)</w:t>
            </w:r>
          </w:p>
        </w:tc>
        <w:tc>
          <w:tcPr>
            <w:tcW w:w="628" w:type="pct"/>
            <w:vAlign w:val="bottom"/>
          </w:tcPr>
          <w:p w:rsidR="00A76E6A" w:rsidP="005B76C3" w:rsidRDefault="00A76E6A" w14:paraId="54E88CDA" w14:textId="77777777">
            <w:pPr>
              <w:pStyle w:val="standaard-tekst"/>
              <w:tabs>
                <w:tab w:val="clear" w:pos="227"/>
                <w:tab w:val="clear" w:pos="454"/>
                <w:tab w:val="clear" w:pos="680"/>
              </w:tabs>
              <w:jc w:val="right"/>
            </w:pPr>
            <w:r>
              <w:t>712</w:t>
            </w:r>
          </w:p>
          <w:p w:rsidR="00A76E6A" w:rsidP="005B76C3" w:rsidRDefault="00A76E6A" w14:paraId="787072CA" w14:textId="77777777">
            <w:pPr>
              <w:pStyle w:val="standaard-tekst"/>
              <w:tabs>
                <w:tab w:val="clear" w:pos="227"/>
                <w:tab w:val="clear" w:pos="454"/>
                <w:tab w:val="clear" w:pos="680"/>
              </w:tabs>
              <w:jc w:val="right"/>
            </w:pPr>
            <w:r>
              <w:t>(100%)</w:t>
            </w:r>
          </w:p>
        </w:tc>
      </w:tr>
      <w:tr w:rsidR="00A76E6A" w:rsidTr="005B76C3" w14:paraId="5F2E0979" w14:textId="77777777">
        <w:tc>
          <w:tcPr>
            <w:tcW w:w="2056" w:type="pct"/>
            <w:shd w:val="clear" w:color="auto" w:fill="F2F2F2" w:themeFill="background1" w:themeFillShade="F2"/>
          </w:tcPr>
          <w:p w:rsidR="00A76E6A" w:rsidP="005B76C3" w:rsidRDefault="00A76E6A" w14:paraId="079B6A1B" w14:textId="77777777">
            <w:pPr>
              <w:pStyle w:val="standaard-tekst"/>
            </w:pPr>
            <w:proofErr w:type="spellStart"/>
            <w:r>
              <w:t>Ingeschreven</w:t>
            </w:r>
            <w:proofErr w:type="spellEnd"/>
            <w:r>
              <w:t xml:space="preserve"> per 1 </w:t>
            </w:r>
            <w:proofErr w:type="spellStart"/>
            <w:r>
              <w:t>oktober</w:t>
            </w:r>
            <w:proofErr w:type="spellEnd"/>
            <w:r>
              <w:t xml:space="preserve"> 2025</w:t>
            </w:r>
          </w:p>
        </w:tc>
        <w:tc>
          <w:tcPr>
            <w:tcW w:w="672" w:type="pct"/>
            <w:vAlign w:val="bottom"/>
          </w:tcPr>
          <w:p w:rsidR="00A76E6A" w:rsidP="005B76C3" w:rsidRDefault="00A76E6A" w14:paraId="704248B3" w14:textId="77777777">
            <w:pPr>
              <w:pStyle w:val="standaard-tekst"/>
              <w:tabs>
                <w:tab w:val="clear" w:pos="227"/>
                <w:tab w:val="clear" w:pos="454"/>
                <w:tab w:val="clear" w:pos="680"/>
              </w:tabs>
              <w:jc w:val="right"/>
            </w:pPr>
            <w:r>
              <w:t>88</w:t>
            </w:r>
          </w:p>
          <w:p w:rsidR="00A76E6A" w:rsidP="005B76C3" w:rsidRDefault="00A76E6A" w14:paraId="39EBF264" w14:textId="77777777">
            <w:pPr>
              <w:pStyle w:val="standaard-tekst"/>
              <w:tabs>
                <w:tab w:val="clear" w:pos="227"/>
                <w:tab w:val="clear" w:pos="454"/>
                <w:tab w:val="clear" w:pos="680"/>
              </w:tabs>
              <w:jc w:val="right"/>
            </w:pPr>
            <w:r>
              <w:t>(24,8%)</w:t>
            </w:r>
          </w:p>
        </w:tc>
        <w:tc>
          <w:tcPr>
            <w:tcW w:w="678" w:type="pct"/>
            <w:vAlign w:val="bottom"/>
          </w:tcPr>
          <w:p w:rsidR="00A76E6A" w:rsidP="005B76C3" w:rsidRDefault="00A76E6A" w14:paraId="2BBEA771" w14:textId="77777777">
            <w:pPr>
              <w:pStyle w:val="standaard-tekst"/>
              <w:tabs>
                <w:tab w:val="clear" w:pos="227"/>
                <w:tab w:val="clear" w:pos="454"/>
                <w:tab w:val="clear" w:pos="680"/>
              </w:tabs>
              <w:jc w:val="right"/>
            </w:pPr>
            <w:r>
              <w:t>165</w:t>
            </w:r>
          </w:p>
          <w:p w:rsidR="00A76E6A" w:rsidP="005B76C3" w:rsidRDefault="00A76E6A" w14:paraId="4C2A6DF8" w14:textId="77777777">
            <w:pPr>
              <w:pStyle w:val="standaard-tekst"/>
              <w:tabs>
                <w:tab w:val="clear" w:pos="227"/>
                <w:tab w:val="clear" w:pos="454"/>
                <w:tab w:val="clear" w:pos="680"/>
              </w:tabs>
              <w:jc w:val="right"/>
            </w:pPr>
            <w:r>
              <w:t>(46,5%)</w:t>
            </w:r>
          </w:p>
        </w:tc>
        <w:tc>
          <w:tcPr>
            <w:tcW w:w="967" w:type="pct"/>
            <w:vAlign w:val="bottom"/>
          </w:tcPr>
          <w:p w:rsidR="00A76E6A" w:rsidP="005B76C3" w:rsidRDefault="00A76E6A" w14:paraId="12C9ADB8" w14:textId="77777777">
            <w:pPr>
              <w:pStyle w:val="standaard-tekst"/>
              <w:tabs>
                <w:tab w:val="clear" w:pos="227"/>
                <w:tab w:val="clear" w:pos="454"/>
                <w:tab w:val="clear" w:pos="680"/>
              </w:tabs>
              <w:jc w:val="right"/>
            </w:pPr>
            <w:r>
              <w:t>102</w:t>
            </w:r>
          </w:p>
          <w:p w:rsidR="00A76E6A" w:rsidP="005B76C3" w:rsidRDefault="00A76E6A" w14:paraId="5E1A3187" w14:textId="77777777">
            <w:pPr>
              <w:pStyle w:val="standaard-tekst"/>
              <w:tabs>
                <w:tab w:val="clear" w:pos="227"/>
                <w:tab w:val="clear" w:pos="454"/>
                <w:tab w:val="clear" w:pos="680"/>
              </w:tabs>
              <w:jc w:val="right"/>
            </w:pPr>
            <w:r>
              <w:t>(28,7%)</w:t>
            </w:r>
          </w:p>
        </w:tc>
        <w:tc>
          <w:tcPr>
            <w:tcW w:w="628" w:type="pct"/>
            <w:vAlign w:val="bottom"/>
          </w:tcPr>
          <w:p w:rsidR="00A76E6A" w:rsidP="005B76C3" w:rsidRDefault="00A76E6A" w14:paraId="2DEADF09" w14:textId="77777777">
            <w:pPr>
              <w:pStyle w:val="standaard-tekst"/>
              <w:tabs>
                <w:tab w:val="clear" w:pos="227"/>
                <w:tab w:val="clear" w:pos="454"/>
                <w:tab w:val="clear" w:pos="680"/>
              </w:tabs>
              <w:jc w:val="right"/>
            </w:pPr>
            <w:r>
              <w:t>355</w:t>
            </w:r>
          </w:p>
          <w:p w:rsidR="00A76E6A" w:rsidP="005B76C3" w:rsidRDefault="00A76E6A" w14:paraId="267B31B1" w14:textId="77777777">
            <w:pPr>
              <w:pStyle w:val="standaard-tekst"/>
              <w:tabs>
                <w:tab w:val="clear" w:pos="227"/>
                <w:tab w:val="clear" w:pos="454"/>
                <w:tab w:val="clear" w:pos="680"/>
              </w:tabs>
              <w:jc w:val="right"/>
            </w:pPr>
            <w:r>
              <w:t>(100%)</w:t>
            </w:r>
          </w:p>
        </w:tc>
      </w:tr>
    </w:tbl>
    <w:p w:rsidR="00A76E6A" w:rsidP="00A76E6A" w:rsidRDefault="00A76E6A" w14:paraId="042E4D50" w14:textId="77777777"/>
    <w:p w:rsidR="00A76E6A" w:rsidP="00A76E6A" w:rsidRDefault="00A76E6A" w14:paraId="7F58AE2E" w14:textId="77777777"/>
    <w:tbl>
      <w:tblPr>
        <w:tblStyle w:val="Tabelraster"/>
        <w:tblW w:w="5000" w:type="pct"/>
        <w:tblLook w:val="04A0" w:firstRow="1" w:lastRow="0" w:firstColumn="1" w:lastColumn="0" w:noHBand="0" w:noVBand="1"/>
      </w:tblPr>
      <w:tblGrid>
        <w:gridCol w:w="3045"/>
        <w:gridCol w:w="996"/>
        <w:gridCol w:w="1007"/>
        <w:gridCol w:w="1437"/>
        <w:gridCol w:w="1005"/>
      </w:tblGrid>
      <w:tr w:rsidR="00A76E6A" w:rsidTr="005B76C3" w14:paraId="00F4404D" w14:textId="77777777">
        <w:trPr>
          <w:tblHeader/>
        </w:trPr>
        <w:tc>
          <w:tcPr>
            <w:tcW w:w="2033" w:type="pct"/>
            <w:shd w:val="clear" w:color="auto" w:fill="F2F2F2" w:themeFill="background1" w:themeFillShade="F2"/>
          </w:tcPr>
          <w:p w:rsidR="00A76E6A" w:rsidP="005B76C3" w:rsidRDefault="00A76E6A" w14:paraId="081F1CCA" w14:textId="77777777">
            <w:pPr>
              <w:pStyle w:val="standaard-tekst"/>
              <w:keepNext/>
            </w:pPr>
            <w:proofErr w:type="spellStart"/>
            <w:r w:rsidRPr="00757766">
              <w:rPr>
                <w:b/>
                <w:bCs/>
              </w:rPr>
              <w:t>Werktuigbouwkunde</w:t>
            </w:r>
            <w:proofErr w:type="spellEnd"/>
          </w:p>
        </w:tc>
        <w:tc>
          <w:tcPr>
            <w:tcW w:w="665" w:type="pct"/>
            <w:shd w:val="clear" w:color="auto" w:fill="F2F2F2" w:themeFill="background1" w:themeFillShade="F2"/>
            <w:vAlign w:val="center"/>
          </w:tcPr>
          <w:p w:rsidR="00A76E6A" w:rsidP="005B76C3" w:rsidRDefault="00A76E6A" w14:paraId="2CA03173" w14:textId="77777777">
            <w:pPr>
              <w:pStyle w:val="standaard-tekst"/>
              <w:jc w:val="right"/>
            </w:pPr>
            <w:r w:rsidRPr="00EF509D">
              <w:t>NL (%)</w:t>
            </w:r>
          </w:p>
        </w:tc>
        <w:tc>
          <w:tcPr>
            <w:tcW w:w="672" w:type="pct"/>
            <w:shd w:val="clear" w:color="auto" w:fill="F2F2F2" w:themeFill="background1" w:themeFillShade="F2"/>
            <w:vAlign w:val="center"/>
          </w:tcPr>
          <w:p w:rsidR="00A76E6A" w:rsidP="005B76C3" w:rsidRDefault="00A76E6A" w14:paraId="1895C7DF" w14:textId="77777777">
            <w:pPr>
              <w:pStyle w:val="standaard-tekst"/>
              <w:jc w:val="right"/>
            </w:pPr>
            <w:r w:rsidRPr="00EF509D">
              <w:t>EER (%)</w:t>
            </w:r>
          </w:p>
        </w:tc>
        <w:tc>
          <w:tcPr>
            <w:tcW w:w="959" w:type="pct"/>
            <w:shd w:val="clear" w:color="auto" w:fill="F2F2F2" w:themeFill="background1" w:themeFillShade="F2"/>
            <w:vAlign w:val="center"/>
          </w:tcPr>
          <w:p w:rsidR="00A76E6A" w:rsidP="005B76C3" w:rsidRDefault="00A76E6A" w14:paraId="4521673D" w14:textId="77777777">
            <w:pPr>
              <w:pStyle w:val="standaard-tekst"/>
              <w:jc w:val="right"/>
            </w:pPr>
            <w:proofErr w:type="spellStart"/>
            <w:r w:rsidRPr="00EF509D">
              <w:t>niet</w:t>
            </w:r>
            <w:proofErr w:type="spellEnd"/>
            <w:r w:rsidRPr="00EF509D">
              <w:t>-EER (%)</w:t>
            </w:r>
          </w:p>
        </w:tc>
        <w:tc>
          <w:tcPr>
            <w:tcW w:w="671" w:type="pct"/>
            <w:shd w:val="clear" w:color="auto" w:fill="F2F2F2" w:themeFill="background1" w:themeFillShade="F2"/>
            <w:vAlign w:val="center"/>
          </w:tcPr>
          <w:p w:rsidR="00A76E6A" w:rsidP="005B76C3" w:rsidRDefault="00A76E6A" w14:paraId="2D8275F7" w14:textId="77777777">
            <w:pPr>
              <w:pStyle w:val="standaard-tekst"/>
              <w:jc w:val="right"/>
            </w:pPr>
            <w:proofErr w:type="spellStart"/>
            <w:r w:rsidRPr="00EF509D">
              <w:t>Totaal</w:t>
            </w:r>
            <w:proofErr w:type="spellEnd"/>
          </w:p>
        </w:tc>
      </w:tr>
      <w:tr w:rsidR="00A76E6A" w:rsidTr="005B76C3" w14:paraId="62A603DB" w14:textId="77777777">
        <w:tc>
          <w:tcPr>
            <w:tcW w:w="2033" w:type="pct"/>
            <w:shd w:val="clear" w:color="auto" w:fill="F2F2F2" w:themeFill="background1" w:themeFillShade="F2"/>
          </w:tcPr>
          <w:p w:rsidR="00A76E6A" w:rsidP="005B76C3" w:rsidRDefault="00A76E6A" w14:paraId="35538CF6" w14:textId="77777777">
            <w:pPr>
              <w:pStyle w:val="standaard-tekst"/>
            </w:pPr>
            <w:proofErr w:type="spellStart"/>
            <w:r>
              <w:t>Vooraanmeldingen</w:t>
            </w:r>
            <w:proofErr w:type="spellEnd"/>
          </w:p>
        </w:tc>
        <w:tc>
          <w:tcPr>
            <w:tcW w:w="665" w:type="pct"/>
          </w:tcPr>
          <w:p w:rsidR="00A76E6A" w:rsidP="005B76C3" w:rsidRDefault="00A76E6A" w14:paraId="61537BAE" w14:textId="77777777">
            <w:pPr>
              <w:pStyle w:val="standaard-tekst"/>
              <w:jc w:val="right"/>
            </w:pPr>
            <w:r>
              <w:t>454</w:t>
            </w:r>
          </w:p>
          <w:p w:rsidR="00A76E6A" w:rsidP="005B76C3" w:rsidRDefault="00A76E6A" w14:paraId="5ABC9E09" w14:textId="77777777">
            <w:pPr>
              <w:pStyle w:val="standaard-tekst"/>
              <w:jc w:val="right"/>
            </w:pPr>
            <w:r>
              <w:t>(23,8%)</w:t>
            </w:r>
          </w:p>
        </w:tc>
        <w:tc>
          <w:tcPr>
            <w:tcW w:w="672" w:type="pct"/>
            <w:vAlign w:val="bottom"/>
          </w:tcPr>
          <w:p w:rsidR="00A76E6A" w:rsidP="005B76C3" w:rsidRDefault="00A76E6A" w14:paraId="11079CEF" w14:textId="77777777">
            <w:pPr>
              <w:pStyle w:val="standaard-tekst"/>
              <w:jc w:val="right"/>
            </w:pPr>
            <w:r>
              <w:t>841</w:t>
            </w:r>
          </w:p>
          <w:p w:rsidR="00A76E6A" w:rsidP="005B76C3" w:rsidRDefault="00A76E6A" w14:paraId="6C1C323F" w14:textId="77777777">
            <w:pPr>
              <w:pStyle w:val="standaard-tekst"/>
              <w:jc w:val="right"/>
            </w:pPr>
            <w:r>
              <w:t>(44,2%)</w:t>
            </w:r>
          </w:p>
        </w:tc>
        <w:tc>
          <w:tcPr>
            <w:tcW w:w="959" w:type="pct"/>
            <w:vAlign w:val="bottom"/>
          </w:tcPr>
          <w:p w:rsidR="00A76E6A" w:rsidP="005B76C3" w:rsidRDefault="00A76E6A" w14:paraId="10C08849" w14:textId="77777777">
            <w:pPr>
              <w:pStyle w:val="standaard-tekst"/>
              <w:jc w:val="right"/>
            </w:pPr>
            <w:r>
              <w:t>609</w:t>
            </w:r>
          </w:p>
          <w:p w:rsidR="00A76E6A" w:rsidP="005B76C3" w:rsidRDefault="00A76E6A" w14:paraId="4539137D" w14:textId="77777777">
            <w:pPr>
              <w:pStyle w:val="standaard-tekst"/>
              <w:jc w:val="right"/>
            </w:pPr>
            <w:r>
              <w:t>(40,0%)</w:t>
            </w:r>
          </w:p>
        </w:tc>
        <w:tc>
          <w:tcPr>
            <w:tcW w:w="671" w:type="pct"/>
            <w:vAlign w:val="bottom"/>
          </w:tcPr>
          <w:p w:rsidR="00A76E6A" w:rsidP="005B76C3" w:rsidRDefault="00A76E6A" w14:paraId="39AD7A60" w14:textId="77777777">
            <w:pPr>
              <w:pStyle w:val="standaard-tekst"/>
              <w:jc w:val="right"/>
            </w:pPr>
            <w:r>
              <w:t>1904</w:t>
            </w:r>
          </w:p>
          <w:p w:rsidR="00A76E6A" w:rsidP="005B76C3" w:rsidRDefault="00A76E6A" w14:paraId="4F3C9828" w14:textId="77777777">
            <w:pPr>
              <w:pStyle w:val="standaard-tekst"/>
              <w:jc w:val="right"/>
            </w:pPr>
            <w:r>
              <w:t>(100%)</w:t>
            </w:r>
          </w:p>
        </w:tc>
      </w:tr>
      <w:tr w:rsidR="00A76E6A" w:rsidTr="005B76C3" w14:paraId="03331EC8" w14:textId="77777777">
        <w:tc>
          <w:tcPr>
            <w:tcW w:w="2033" w:type="pct"/>
            <w:shd w:val="clear" w:color="auto" w:fill="F2F2F2" w:themeFill="background1" w:themeFillShade="F2"/>
          </w:tcPr>
          <w:p w:rsidR="00A76E6A" w:rsidP="005B76C3" w:rsidRDefault="00A76E6A" w14:paraId="15EED3C9" w14:textId="77777777">
            <w:pPr>
              <w:pStyle w:val="standaard-tekst"/>
            </w:pPr>
            <w:proofErr w:type="spellStart"/>
            <w:r>
              <w:t>Deelgenomen</w:t>
            </w:r>
            <w:proofErr w:type="spellEnd"/>
            <w:r>
              <w:t xml:space="preserve"> </w:t>
            </w:r>
            <w:proofErr w:type="spellStart"/>
            <w:r>
              <w:t>aan</w:t>
            </w:r>
            <w:proofErr w:type="spellEnd"/>
            <w:r>
              <w:t xml:space="preserve"> </w:t>
            </w:r>
            <w:proofErr w:type="spellStart"/>
            <w:r>
              <w:t>selectie</w:t>
            </w:r>
            <w:proofErr w:type="spellEnd"/>
          </w:p>
        </w:tc>
        <w:tc>
          <w:tcPr>
            <w:tcW w:w="665" w:type="pct"/>
          </w:tcPr>
          <w:p w:rsidR="00A76E6A" w:rsidP="005B76C3" w:rsidRDefault="00A76E6A" w14:paraId="063F76BA" w14:textId="77777777">
            <w:pPr>
              <w:pStyle w:val="standaard-tekst"/>
              <w:jc w:val="right"/>
            </w:pPr>
            <w:r>
              <w:t>336</w:t>
            </w:r>
          </w:p>
          <w:p w:rsidR="00A76E6A" w:rsidP="005B76C3" w:rsidRDefault="00A76E6A" w14:paraId="4BBA7398" w14:textId="77777777">
            <w:pPr>
              <w:pStyle w:val="standaard-tekst"/>
              <w:jc w:val="right"/>
            </w:pPr>
            <w:r>
              <w:t>(27,2%)</w:t>
            </w:r>
          </w:p>
        </w:tc>
        <w:tc>
          <w:tcPr>
            <w:tcW w:w="672" w:type="pct"/>
            <w:vAlign w:val="bottom"/>
          </w:tcPr>
          <w:p w:rsidR="00A76E6A" w:rsidP="005B76C3" w:rsidRDefault="00A76E6A" w14:paraId="4AF166A2" w14:textId="77777777">
            <w:pPr>
              <w:pStyle w:val="standaard-tekst"/>
              <w:jc w:val="right"/>
            </w:pPr>
            <w:r>
              <w:t>599</w:t>
            </w:r>
          </w:p>
          <w:p w:rsidR="00A76E6A" w:rsidP="005B76C3" w:rsidRDefault="00A76E6A" w14:paraId="29FB3B94" w14:textId="77777777">
            <w:pPr>
              <w:pStyle w:val="standaard-tekst"/>
              <w:jc w:val="right"/>
            </w:pPr>
            <w:r>
              <w:t>(48,5%)</w:t>
            </w:r>
          </w:p>
        </w:tc>
        <w:tc>
          <w:tcPr>
            <w:tcW w:w="959" w:type="pct"/>
            <w:vAlign w:val="bottom"/>
          </w:tcPr>
          <w:p w:rsidR="00A76E6A" w:rsidP="005B76C3" w:rsidRDefault="00A76E6A" w14:paraId="262977BB" w14:textId="77777777">
            <w:pPr>
              <w:pStyle w:val="standaard-tekst"/>
              <w:jc w:val="right"/>
            </w:pPr>
            <w:r>
              <w:t>301</w:t>
            </w:r>
          </w:p>
          <w:p w:rsidR="00A76E6A" w:rsidP="005B76C3" w:rsidRDefault="00A76E6A" w14:paraId="1FE3080B" w14:textId="77777777">
            <w:pPr>
              <w:pStyle w:val="standaard-tekst"/>
              <w:jc w:val="right"/>
            </w:pPr>
            <w:r>
              <w:t>(24,4%)</w:t>
            </w:r>
          </w:p>
        </w:tc>
        <w:tc>
          <w:tcPr>
            <w:tcW w:w="671" w:type="pct"/>
            <w:vAlign w:val="bottom"/>
          </w:tcPr>
          <w:p w:rsidR="00A76E6A" w:rsidP="005B76C3" w:rsidRDefault="00A76E6A" w14:paraId="63B84FEE" w14:textId="77777777">
            <w:pPr>
              <w:pStyle w:val="standaard-tekst"/>
              <w:jc w:val="right"/>
            </w:pPr>
            <w:r>
              <w:t>1236</w:t>
            </w:r>
          </w:p>
          <w:p w:rsidR="00A76E6A" w:rsidP="005B76C3" w:rsidRDefault="00A76E6A" w14:paraId="30DF57AC" w14:textId="77777777">
            <w:pPr>
              <w:pStyle w:val="standaard-tekst"/>
              <w:jc w:val="right"/>
            </w:pPr>
            <w:r>
              <w:t>(100%)</w:t>
            </w:r>
          </w:p>
        </w:tc>
      </w:tr>
      <w:tr w:rsidR="00A76E6A" w:rsidTr="005B76C3" w14:paraId="7EC8D163" w14:textId="77777777">
        <w:tc>
          <w:tcPr>
            <w:tcW w:w="2033" w:type="pct"/>
            <w:shd w:val="clear" w:color="auto" w:fill="F2F2F2" w:themeFill="background1" w:themeFillShade="F2"/>
          </w:tcPr>
          <w:p w:rsidR="00A76E6A" w:rsidP="005B76C3" w:rsidRDefault="00A76E6A" w14:paraId="5B308219" w14:textId="77777777">
            <w:pPr>
              <w:pStyle w:val="standaard-tekst"/>
            </w:pPr>
            <w:proofErr w:type="spellStart"/>
            <w:r>
              <w:t>Toegelaten</w:t>
            </w:r>
            <w:proofErr w:type="spellEnd"/>
            <w:r>
              <w:t>/</w:t>
            </w:r>
            <w:proofErr w:type="spellStart"/>
            <w:r>
              <w:t>plaats</w:t>
            </w:r>
            <w:proofErr w:type="spellEnd"/>
            <w:r>
              <w:t xml:space="preserve"> </w:t>
            </w:r>
            <w:proofErr w:type="spellStart"/>
            <w:r>
              <w:t>aangeboden</w:t>
            </w:r>
            <w:proofErr w:type="spellEnd"/>
          </w:p>
        </w:tc>
        <w:tc>
          <w:tcPr>
            <w:tcW w:w="665" w:type="pct"/>
          </w:tcPr>
          <w:p w:rsidR="00A76E6A" w:rsidP="005B76C3" w:rsidRDefault="00A76E6A" w14:paraId="6EFBCFB3" w14:textId="77777777">
            <w:pPr>
              <w:pStyle w:val="standaard-tekst"/>
              <w:jc w:val="right"/>
            </w:pPr>
            <w:r>
              <w:t>232</w:t>
            </w:r>
          </w:p>
          <w:p w:rsidR="00A76E6A" w:rsidP="005B76C3" w:rsidRDefault="00A76E6A" w14:paraId="4D5BF5F8" w14:textId="77777777">
            <w:pPr>
              <w:pStyle w:val="standaard-tekst"/>
              <w:jc w:val="right"/>
            </w:pPr>
            <w:r>
              <w:t>(26,7%)</w:t>
            </w:r>
          </w:p>
        </w:tc>
        <w:tc>
          <w:tcPr>
            <w:tcW w:w="672" w:type="pct"/>
            <w:vAlign w:val="bottom"/>
          </w:tcPr>
          <w:p w:rsidR="00A76E6A" w:rsidP="005B76C3" w:rsidRDefault="00A76E6A" w14:paraId="5BF81351" w14:textId="77777777">
            <w:pPr>
              <w:pStyle w:val="standaard-tekst"/>
              <w:jc w:val="right"/>
            </w:pPr>
            <w:r>
              <w:t>446</w:t>
            </w:r>
          </w:p>
          <w:p w:rsidR="00A76E6A" w:rsidP="005B76C3" w:rsidRDefault="00A76E6A" w14:paraId="5709FDAA" w14:textId="77777777">
            <w:pPr>
              <w:pStyle w:val="standaard-tekst"/>
              <w:jc w:val="right"/>
            </w:pPr>
            <w:r>
              <w:t>(51,4%)</w:t>
            </w:r>
          </w:p>
        </w:tc>
        <w:tc>
          <w:tcPr>
            <w:tcW w:w="959" w:type="pct"/>
            <w:vAlign w:val="bottom"/>
          </w:tcPr>
          <w:p w:rsidR="00A76E6A" w:rsidP="005B76C3" w:rsidRDefault="00A76E6A" w14:paraId="35554A89" w14:textId="77777777">
            <w:pPr>
              <w:pStyle w:val="standaard-tekst"/>
              <w:jc w:val="right"/>
            </w:pPr>
            <w:r>
              <w:t>190</w:t>
            </w:r>
          </w:p>
          <w:p w:rsidR="00A76E6A" w:rsidP="005B76C3" w:rsidRDefault="00A76E6A" w14:paraId="24193334" w14:textId="77777777">
            <w:pPr>
              <w:pStyle w:val="standaard-tekst"/>
              <w:jc w:val="right"/>
            </w:pPr>
            <w:r>
              <w:t>(21,9%)</w:t>
            </w:r>
          </w:p>
        </w:tc>
        <w:tc>
          <w:tcPr>
            <w:tcW w:w="671" w:type="pct"/>
            <w:vAlign w:val="bottom"/>
          </w:tcPr>
          <w:p w:rsidR="00A76E6A" w:rsidP="005B76C3" w:rsidRDefault="00A76E6A" w14:paraId="75CE05AA" w14:textId="77777777">
            <w:pPr>
              <w:pStyle w:val="standaard-tekst"/>
              <w:jc w:val="right"/>
            </w:pPr>
            <w:r>
              <w:t>868</w:t>
            </w:r>
          </w:p>
          <w:p w:rsidR="00A76E6A" w:rsidP="005B76C3" w:rsidRDefault="00A76E6A" w14:paraId="7BBC384D" w14:textId="77777777">
            <w:pPr>
              <w:pStyle w:val="standaard-tekst"/>
              <w:jc w:val="right"/>
            </w:pPr>
            <w:r>
              <w:t>(100%)</w:t>
            </w:r>
          </w:p>
        </w:tc>
      </w:tr>
      <w:tr w:rsidR="00A76E6A" w:rsidTr="005B76C3" w14:paraId="3BCB4431" w14:textId="77777777">
        <w:tc>
          <w:tcPr>
            <w:tcW w:w="2033" w:type="pct"/>
            <w:shd w:val="clear" w:color="auto" w:fill="F2F2F2" w:themeFill="background1" w:themeFillShade="F2"/>
          </w:tcPr>
          <w:p w:rsidR="00A76E6A" w:rsidP="005B76C3" w:rsidRDefault="00A76E6A" w14:paraId="7915C70F" w14:textId="77777777">
            <w:pPr>
              <w:pStyle w:val="standaard-tekst"/>
            </w:pPr>
            <w:proofErr w:type="spellStart"/>
            <w:r>
              <w:t>Ingeschreven</w:t>
            </w:r>
            <w:proofErr w:type="spellEnd"/>
            <w:r>
              <w:t xml:space="preserve"> per 1 </w:t>
            </w:r>
            <w:proofErr w:type="spellStart"/>
            <w:r>
              <w:t>oktober</w:t>
            </w:r>
            <w:proofErr w:type="spellEnd"/>
            <w:r>
              <w:t xml:space="preserve"> 2025</w:t>
            </w:r>
          </w:p>
        </w:tc>
        <w:tc>
          <w:tcPr>
            <w:tcW w:w="665" w:type="pct"/>
          </w:tcPr>
          <w:p w:rsidR="00A76E6A" w:rsidP="005B76C3" w:rsidRDefault="00A76E6A" w14:paraId="538293A4" w14:textId="77777777">
            <w:pPr>
              <w:pStyle w:val="standaard-tekst"/>
              <w:jc w:val="right"/>
            </w:pPr>
            <w:r>
              <w:t>192</w:t>
            </w:r>
          </w:p>
          <w:p w:rsidR="00A76E6A" w:rsidP="005B76C3" w:rsidRDefault="00A76E6A" w14:paraId="5366EAE5" w14:textId="77777777">
            <w:pPr>
              <w:pStyle w:val="standaard-tekst"/>
              <w:jc w:val="right"/>
            </w:pPr>
            <w:r>
              <w:t>(40,9%)</w:t>
            </w:r>
          </w:p>
        </w:tc>
        <w:tc>
          <w:tcPr>
            <w:tcW w:w="672" w:type="pct"/>
            <w:vAlign w:val="bottom"/>
          </w:tcPr>
          <w:p w:rsidR="00A76E6A" w:rsidP="005B76C3" w:rsidRDefault="00A76E6A" w14:paraId="2E4E37BF" w14:textId="77777777">
            <w:pPr>
              <w:pStyle w:val="standaard-tekst"/>
              <w:jc w:val="right"/>
            </w:pPr>
            <w:r>
              <w:t>204</w:t>
            </w:r>
          </w:p>
          <w:p w:rsidR="00A76E6A" w:rsidP="005B76C3" w:rsidRDefault="00A76E6A" w14:paraId="09BD6B17" w14:textId="77777777">
            <w:pPr>
              <w:pStyle w:val="standaard-tekst"/>
              <w:jc w:val="right"/>
            </w:pPr>
            <w:r>
              <w:t>(43,5%)</w:t>
            </w:r>
          </w:p>
        </w:tc>
        <w:tc>
          <w:tcPr>
            <w:tcW w:w="959" w:type="pct"/>
            <w:vAlign w:val="bottom"/>
          </w:tcPr>
          <w:p w:rsidR="00A76E6A" w:rsidP="005B76C3" w:rsidRDefault="00A76E6A" w14:paraId="42C1F685" w14:textId="77777777">
            <w:pPr>
              <w:pStyle w:val="standaard-tekst"/>
              <w:jc w:val="right"/>
            </w:pPr>
            <w:r>
              <w:t>73</w:t>
            </w:r>
          </w:p>
          <w:p w:rsidR="00A76E6A" w:rsidP="005B76C3" w:rsidRDefault="00A76E6A" w14:paraId="261B29C1" w14:textId="77777777">
            <w:pPr>
              <w:pStyle w:val="standaard-tekst"/>
              <w:jc w:val="right"/>
            </w:pPr>
            <w:r>
              <w:t>(15,6%)</w:t>
            </w:r>
          </w:p>
        </w:tc>
        <w:tc>
          <w:tcPr>
            <w:tcW w:w="671" w:type="pct"/>
            <w:vAlign w:val="bottom"/>
          </w:tcPr>
          <w:p w:rsidR="00A76E6A" w:rsidP="005B76C3" w:rsidRDefault="00A76E6A" w14:paraId="7B1D97FE" w14:textId="77777777">
            <w:pPr>
              <w:pStyle w:val="standaard-tekst"/>
              <w:jc w:val="right"/>
            </w:pPr>
            <w:r>
              <w:t>469</w:t>
            </w:r>
          </w:p>
          <w:p w:rsidR="00A76E6A" w:rsidP="005B76C3" w:rsidRDefault="00A76E6A" w14:paraId="395CE508" w14:textId="77777777">
            <w:pPr>
              <w:pStyle w:val="standaard-tekst"/>
              <w:jc w:val="right"/>
            </w:pPr>
            <w:r>
              <w:t>(100%)</w:t>
            </w:r>
          </w:p>
        </w:tc>
      </w:tr>
    </w:tbl>
    <w:p w:rsidR="00A76E6A" w:rsidP="00A76E6A" w:rsidRDefault="00A76E6A" w14:paraId="0003CEF1" w14:textId="77777777">
      <w:pPr>
        <w:pStyle w:val="standaard-tekst"/>
      </w:pPr>
    </w:p>
    <w:p w:rsidR="00A76E6A" w:rsidP="00A76E6A" w:rsidRDefault="00A76E6A" w14:paraId="2D269D70" w14:textId="77777777">
      <w:pPr>
        <w:pStyle w:val="standaard-tekst"/>
      </w:pPr>
      <w:r>
        <w:t>Zoals is te zien, valt er een hoop studenten af tussen de vooraanmeldingen en de uiteindelijke deelname aan selectie, en wordt aan veel meer studenten een plaats aangeboden dan uiteindelijk ook daadwerkelijk worden ingeschreven. Dit heeft verschillende redenen. Veel studenten melden zich bij meerdere opleidingen aan en kiezen pas later waar ze ook daadwerkelijk meedoen aan de selectie of waar ze een aangeboden plaats accepteren. Ook vallen studenten af die niet aan de vooropleidingseisen voldoen. Ter vergelijking: ook bij niet-selecterende opleidingen valt een groot deel van de studenten die zich aanmelden nog af, voordat de opleiding is gestart. De TU/e laat weten dat van de 7570 vooraanmeldingen bij niet-selecterende opleidingen uiteindelijk slechts 1870 studenten zijn gestart.</w:t>
      </w:r>
    </w:p>
    <w:p w:rsidR="00A76E6A" w:rsidP="00A76E6A" w:rsidRDefault="00A76E6A" w14:paraId="3D7299C5" w14:textId="77777777">
      <w:pPr>
        <w:pStyle w:val="standaard-tekst"/>
      </w:pPr>
    </w:p>
    <w:p w:rsidR="00A76E6A" w:rsidP="00A76E6A" w:rsidRDefault="00A76E6A" w14:paraId="7081F830" w14:textId="77777777">
      <w:pPr>
        <w:pStyle w:val="standaard-tekst"/>
      </w:pPr>
      <w:r>
        <w:t>Voor de context, en omdat de opleiding Luchtvaart- en Ruimtevaarttechniek van de TU Delft in deze vragen expliciet genoemd wordt, geef ik hierbij ook de instroomcijfers voor de opleiding Luchtvaart- en ruimtevaarttechniek.</w:t>
      </w:r>
    </w:p>
    <w:p w:rsidR="00A76E6A" w:rsidP="00A76E6A" w:rsidRDefault="00A76E6A" w14:paraId="451B34E2" w14:textId="77777777">
      <w:pPr>
        <w:pStyle w:val="standaard-tekst"/>
      </w:pPr>
    </w:p>
    <w:tbl>
      <w:tblPr>
        <w:tblStyle w:val="Tabelraster"/>
        <w:tblW w:w="5000" w:type="pct"/>
        <w:tblLook w:val="04A0" w:firstRow="1" w:lastRow="0" w:firstColumn="1" w:lastColumn="0" w:noHBand="0" w:noVBand="1"/>
      </w:tblPr>
      <w:tblGrid>
        <w:gridCol w:w="2986"/>
        <w:gridCol w:w="1052"/>
        <w:gridCol w:w="1115"/>
        <w:gridCol w:w="1420"/>
        <w:gridCol w:w="917"/>
      </w:tblGrid>
      <w:tr w:rsidR="00A76E6A" w:rsidTr="005B76C3" w14:paraId="6CDF1449" w14:textId="77777777">
        <w:trPr>
          <w:tblHeader/>
        </w:trPr>
        <w:tc>
          <w:tcPr>
            <w:tcW w:w="1996" w:type="pct"/>
            <w:shd w:val="clear" w:color="auto" w:fill="F2F2F2" w:themeFill="background1" w:themeFillShade="F2"/>
          </w:tcPr>
          <w:p w:rsidR="00A76E6A" w:rsidP="005B76C3" w:rsidRDefault="00A76E6A" w14:paraId="3FC8AE39" w14:textId="77777777">
            <w:pPr>
              <w:pStyle w:val="standaard-tekst"/>
              <w:keepNext/>
            </w:pPr>
            <w:proofErr w:type="spellStart"/>
            <w:r>
              <w:rPr>
                <w:b/>
                <w:bCs/>
              </w:rPr>
              <w:t>Luchtvaart</w:t>
            </w:r>
            <w:proofErr w:type="spellEnd"/>
            <w:r>
              <w:rPr>
                <w:b/>
                <w:bCs/>
              </w:rPr>
              <w:t xml:space="preserve">- en </w:t>
            </w:r>
            <w:proofErr w:type="spellStart"/>
            <w:r>
              <w:rPr>
                <w:b/>
                <w:bCs/>
              </w:rPr>
              <w:t>ruimtevaarttechniek</w:t>
            </w:r>
            <w:proofErr w:type="spellEnd"/>
          </w:p>
        </w:tc>
        <w:tc>
          <w:tcPr>
            <w:tcW w:w="705" w:type="pct"/>
            <w:shd w:val="clear" w:color="auto" w:fill="F2F2F2" w:themeFill="background1" w:themeFillShade="F2"/>
            <w:vAlign w:val="bottom"/>
          </w:tcPr>
          <w:p w:rsidR="00A76E6A" w:rsidP="005B76C3" w:rsidRDefault="00A76E6A" w14:paraId="10D09EAC" w14:textId="77777777">
            <w:pPr>
              <w:pStyle w:val="standaard-tekst"/>
              <w:jc w:val="right"/>
            </w:pPr>
            <w:r w:rsidRPr="00EF509D">
              <w:t>NL (%)</w:t>
            </w:r>
          </w:p>
        </w:tc>
        <w:tc>
          <w:tcPr>
            <w:tcW w:w="746" w:type="pct"/>
            <w:shd w:val="clear" w:color="auto" w:fill="F2F2F2" w:themeFill="background1" w:themeFillShade="F2"/>
            <w:vAlign w:val="bottom"/>
          </w:tcPr>
          <w:p w:rsidR="00A76E6A" w:rsidP="005B76C3" w:rsidRDefault="00A76E6A" w14:paraId="2E63D76B" w14:textId="77777777">
            <w:pPr>
              <w:pStyle w:val="standaard-tekst"/>
              <w:jc w:val="right"/>
            </w:pPr>
            <w:r w:rsidRPr="00EF509D">
              <w:t>EER (%)</w:t>
            </w:r>
          </w:p>
        </w:tc>
        <w:tc>
          <w:tcPr>
            <w:tcW w:w="950" w:type="pct"/>
            <w:shd w:val="clear" w:color="auto" w:fill="F2F2F2" w:themeFill="background1" w:themeFillShade="F2"/>
            <w:vAlign w:val="bottom"/>
          </w:tcPr>
          <w:p w:rsidR="00A76E6A" w:rsidP="005B76C3" w:rsidRDefault="00A76E6A" w14:paraId="474C00C8" w14:textId="77777777">
            <w:pPr>
              <w:pStyle w:val="standaard-tekst"/>
              <w:jc w:val="right"/>
            </w:pPr>
            <w:proofErr w:type="spellStart"/>
            <w:r w:rsidRPr="00EF509D">
              <w:t>niet</w:t>
            </w:r>
            <w:proofErr w:type="spellEnd"/>
            <w:r w:rsidRPr="00EF509D">
              <w:t>-EER (%)</w:t>
            </w:r>
          </w:p>
        </w:tc>
        <w:tc>
          <w:tcPr>
            <w:tcW w:w="603" w:type="pct"/>
            <w:shd w:val="clear" w:color="auto" w:fill="F2F2F2" w:themeFill="background1" w:themeFillShade="F2"/>
            <w:vAlign w:val="bottom"/>
          </w:tcPr>
          <w:p w:rsidR="00A76E6A" w:rsidP="005B76C3" w:rsidRDefault="00A76E6A" w14:paraId="49C6DB7D" w14:textId="77777777">
            <w:pPr>
              <w:pStyle w:val="standaard-tekst"/>
              <w:jc w:val="right"/>
            </w:pPr>
            <w:proofErr w:type="spellStart"/>
            <w:r w:rsidRPr="00EF509D">
              <w:t>Totaal</w:t>
            </w:r>
            <w:proofErr w:type="spellEnd"/>
          </w:p>
        </w:tc>
      </w:tr>
      <w:tr w:rsidR="00A76E6A" w:rsidTr="005B76C3" w14:paraId="404C6E18" w14:textId="77777777">
        <w:tc>
          <w:tcPr>
            <w:tcW w:w="1996" w:type="pct"/>
            <w:shd w:val="clear" w:color="auto" w:fill="F2F2F2" w:themeFill="background1" w:themeFillShade="F2"/>
          </w:tcPr>
          <w:p w:rsidR="00A76E6A" w:rsidP="005B76C3" w:rsidRDefault="00A76E6A" w14:paraId="451A3878" w14:textId="77777777">
            <w:pPr>
              <w:pStyle w:val="standaard-tekst"/>
            </w:pPr>
            <w:proofErr w:type="spellStart"/>
            <w:r>
              <w:t>Vooraanmeldingen</w:t>
            </w:r>
            <w:proofErr w:type="spellEnd"/>
            <w:r>
              <w:rPr>
                <w:rStyle w:val="Voetnootmarkering"/>
              </w:rPr>
              <w:footnoteReference w:id="3"/>
            </w:r>
          </w:p>
        </w:tc>
        <w:tc>
          <w:tcPr>
            <w:tcW w:w="705" w:type="pct"/>
          </w:tcPr>
          <w:p w:rsidR="00A76E6A" w:rsidP="005B76C3" w:rsidRDefault="00A76E6A" w14:paraId="19F5287D" w14:textId="77777777">
            <w:pPr>
              <w:pStyle w:val="standaard-tekst"/>
              <w:jc w:val="right"/>
            </w:pPr>
            <w:r>
              <w:t>668 (19,7%)</w:t>
            </w:r>
          </w:p>
        </w:tc>
        <w:tc>
          <w:tcPr>
            <w:tcW w:w="746" w:type="pct"/>
            <w:vAlign w:val="bottom"/>
          </w:tcPr>
          <w:p w:rsidR="00A76E6A" w:rsidP="005B76C3" w:rsidRDefault="00A76E6A" w14:paraId="6D1F1587" w14:textId="77777777">
            <w:pPr>
              <w:pStyle w:val="standaard-tekst"/>
              <w:jc w:val="right"/>
            </w:pPr>
            <w:r>
              <w:t>1560</w:t>
            </w:r>
          </w:p>
          <w:p w:rsidR="00A76E6A" w:rsidP="005B76C3" w:rsidRDefault="00A76E6A" w14:paraId="5C89DF3E" w14:textId="77777777">
            <w:pPr>
              <w:pStyle w:val="standaard-tekst"/>
              <w:jc w:val="right"/>
            </w:pPr>
            <w:r>
              <w:t>(45,9%)</w:t>
            </w:r>
          </w:p>
        </w:tc>
        <w:tc>
          <w:tcPr>
            <w:tcW w:w="950" w:type="pct"/>
            <w:vAlign w:val="bottom"/>
          </w:tcPr>
          <w:p w:rsidR="00A76E6A" w:rsidP="005B76C3" w:rsidRDefault="00A76E6A" w14:paraId="30462976" w14:textId="77777777">
            <w:pPr>
              <w:pStyle w:val="standaard-tekst"/>
              <w:jc w:val="right"/>
            </w:pPr>
            <w:r>
              <w:t>1168 (34,4%)</w:t>
            </w:r>
          </w:p>
        </w:tc>
        <w:tc>
          <w:tcPr>
            <w:tcW w:w="603" w:type="pct"/>
            <w:vAlign w:val="bottom"/>
          </w:tcPr>
          <w:p w:rsidR="00A76E6A" w:rsidP="005B76C3" w:rsidRDefault="00A76E6A" w14:paraId="0EB168D7" w14:textId="77777777">
            <w:pPr>
              <w:pStyle w:val="standaard-tekst"/>
              <w:jc w:val="right"/>
            </w:pPr>
            <w:r>
              <w:t>3396</w:t>
            </w:r>
          </w:p>
          <w:p w:rsidR="00A76E6A" w:rsidP="005B76C3" w:rsidRDefault="00A76E6A" w14:paraId="470FB2D5" w14:textId="77777777">
            <w:pPr>
              <w:pStyle w:val="standaard-tekst"/>
              <w:jc w:val="right"/>
            </w:pPr>
            <w:r>
              <w:t>(100%)</w:t>
            </w:r>
          </w:p>
        </w:tc>
      </w:tr>
      <w:tr w:rsidR="00A76E6A" w:rsidTr="005B76C3" w14:paraId="0ECCD9B7" w14:textId="77777777">
        <w:tc>
          <w:tcPr>
            <w:tcW w:w="1996" w:type="pct"/>
            <w:shd w:val="clear" w:color="auto" w:fill="F2F2F2" w:themeFill="background1" w:themeFillShade="F2"/>
          </w:tcPr>
          <w:p w:rsidR="00A76E6A" w:rsidP="005B76C3" w:rsidRDefault="00A76E6A" w14:paraId="4F286AF4" w14:textId="77777777">
            <w:pPr>
              <w:pStyle w:val="standaard-tekst"/>
            </w:pPr>
            <w:proofErr w:type="spellStart"/>
            <w:r>
              <w:lastRenderedPageBreak/>
              <w:t>Ingeschreven</w:t>
            </w:r>
            <w:proofErr w:type="spellEnd"/>
            <w:r>
              <w:t xml:space="preserve"> per 1 </w:t>
            </w:r>
            <w:proofErr w:type="spellStart"/>
            <w:r>
              <w:t>oktober</w:t>
            </w:r>
            <w:proofErr w:type="spellEnd"/>
            <w:r>
              <w:t xml:space="preserve"> 2025</w:t>
            </w:r>
            <w:r>
              <w:rPr>
                <w:rStyle w:val="Voetnootmarkering"/>
              </w:rPr>
              <w:footnoteReference w:id="4"/>
            </w:r>
          </w:p>
        </w:tc>
        <w:tc>
          <w:tcPr>
            <w:tcW w:w="705" w:type="pct"/>
          </w:tcPr>
          <w:p w:rsidR="00A76E6A" w:rsidP="005B76C3" w:rsidRDefault="00A76E6A" w14:paraId="5C9C037B" w14:textId="77777777">
            <w:pPr>
              <w:pStyle w:val="standaard-tekst"/>
              <w:jc w:val="right"/>
            </w:pPr>
            <w:r>
              <w:t>101</w:t>
            </w:r>
          </w:p>
          <w:p w:rsidR="00A76E6A" w:rsidP="005B76C3" w:rsidRDefault="00A76E6A" w14:paraId="683E74A6" w14:textId="77777777">
            <w:pPr>
              <w:pStyle w:val="standaard-tekst"/>
              <w:jc w:val="right"/>
            </w:pPr>
            <w:r>
              <w:t>(23,1%)</w:t>
            </w:r>
          </w:p>
        </w:tc>
        <w:tc>
          <w:tcPr>
            <w:tcW w:w="746" w:type="pct"/>
            <w:vAlign w:val="bottom"/>
          </w:tcPr>
          <w:p w:rsidR="00A76E6A" w:rsidP="005B76C3" w:rsidRDefault="00A76E6A" w14:paraId="3F0E04E2" w14:textId="77777777">
            <w:pPr>
              <w:pStyle w:val="standaard-tekst"/>
              <w:jc w:val="right"/>
            </w:pPr>
            <w:r>
              <w:t>261</w:t>
            </w:r>
          </w:p>
          <w:p w:rsidR="00A76E6A" w:rsidP="005B76C3" w:rsidRDefault="00A76E6A" w14:paraId="17DE2041" w14:textId="77777777">
            <w:pPr>
              <w:pStyle w:val="standaard-tekst"/>
              <w:jc w:val="right"/>
            </w:pPr>
            <w:r>
              <w:t>(59,7%)</w:t>
            </w:r>
          </w:p>
        </w:tc>
        <w:tc>
          <w:tcPr>
            <w:tcW w:w="950" w:type="pct"/>
            <w:vAlign w:val="bottom"/>
          </w:tcPr>
          <w:p w:rsidR="00A76E6A" w:rsidP="005B76C3" w:rsidRDefault="00A76E6A" w14:paraId="3F882266" w14:textId="77777777">
            <w:pPr>
              <w:pStyle w:val="standaard-tekst"/>
              <w:jc w:val="right"/>
            </w:pPr>
            <w:r>
              <w:t>75</w:t>
            </w:r>
          </w:p>
          <w:p w:rsidR="00A76E6A" w:rsidP="005B76C3" w:rsidRDefault="00A76E6A" w14:paraId="649C7327" w14:textId="77777777">
            <w:pPr>
              <w:pStyle w:val="standaard-tekst"/>
              <w:jc w:val="right"/>
            </w:pPr>
            <w:r>
              <w:t>(17,2%)</w:t>
            </w:r>
          </w:p>
        </w:tc>
        <w:tc>
          <w:tcPr>
            <w:tcW w:w="603" w:type="pct"/>
            <w:vAlign w:val="bottom"/>
          </w:tcPr>
          <w:p w:rsidR="00A76E6A" w:rsidP="005B76C3" w:rsidRDefault="00A76E6A" w14:paraId="60FA7FAD" w14:textId="77777777">
            <w:pPr>
              <w:pStyle w:val="standaard-tekst"/>
              <w:jc w:val="right"/>
            </w:pPr>
            <w:r>
              <w:t>437</w:t>
            </w:r>
          </w:p>
          <w:p w:rsidR="00A76E6A" w:rsidP="005B76C3" w:rsidRDefault="00A76E6A" w14:paraId="0500E7E4" w14:textId="77777777">
            <w:pPr>
              <w:pStyle w:val="standaard-tekst"/>
              <w:jc w:val="right"/>
            </w:pPr>
            <w:r>
              <w:t>(100%)</w:t>
            </w:r>
          </w:p>
        </w:tc>
      </w:tr>
    </w:tbl>
    <w:p w:rsidR="00A76E6A" w:rsidP="00A76E6A" w:rsidRDefault="00A76E6A" w14:paraId="63C90AAF" w14:textId="77777777">
      <w:pPr>
        <w:pStyle w:val="standaard-tekst"/>
      </w:pPr>
    </w:p>
    <w:p w:rsidRPr="00E768FB" w:rsidR="00A76E6A" w:rsidP="00A76E6A" w:rsidRDefault="00A76E6A" w14:paraId="32ABC72C" w14:textId="77777777">
      <w:pPr>
        <w:pStyle w:val="standaard-tekst"/>
        <w:keepNext/>
        <w:rPr>
          <w:b/>
          <w:bCs/>
        </w:rPr>
      </w:pPr>
      <w:r w:rsidRPr="00E768FB">
        <w:rPr>
          <w:b/>
          <w:bCs/>
        </w:rPr>
        <w:t>Vraag 3</w:t>
      </w:r>
    </w:p>
    <w:p w:rsidR="00A76E6A" w:rsidP="00A76E6A" w:rsidRDefault="00A76E6A" w14:paraId="0304B689" w14:textId="77777777">
      <w:pPr>
        <w:pStyle w:val="standaard-tekst"/>
      </w:pPr>
      <w:r>
        <w:t>Hoe beoordeelt u dat niet één klasgenoot van de zoon van de auteur – allen uit de regio Eindhoven – is toegelaten tot de studie werktuigbouwkunde of bouwkunde, terwijl de regio Eindhoven een grote behoefte heeft aan werktuigbouwkundigen en informatici, de TU/e studenten afwijst die al in Eindhoven wonen en die studies willen volgen en bent u het ermee eens dat dit onwenselijk is?</w:t>
      </w:r>
    </w:p>
    <w:p w:rsidR="00A76E6A" w:rsidP="00A76E6A" w:rsidRDefault="00A76E6A" w14:paraId="66DB472F" w14:textId="77777777">
      <w:pPr>
        <w:pStyle w:val="standaard-tekst"/>
      </w:pPr>
    </w:p>
    <w:p w:rsidRPr="00E768FB" w:rsidR="00A76E6A" w:rsidP="00A76E6A" w:rsidRDefault="00A76E6A" w14:paraId="0546D6BB" w14:textId="77777777">
      <w:pPr>
        <w:pStyle w:val="standaard-tekst"/>
        <w:keepNext/>
        <w:rPr>
          <w:b/>
          <w:bCs/>
        </w:rPr>
      </w:pPr>
      <w:r w:rsidRPr="00E768FB">
        <w:rPr>
          <w:b/>
          <w:bCs/>
        </w:rPr>
        <w:t>Antwoord 3</w:t>
      </w:r>
    </w:p>
    <w:p w:rsidR="00A76E6A" w:rsidP="00A76E6A" w:rsidRDefault="00A76E6A" w14:paraId="09A889B2" w14:textId="77777777">
      <w:pPr>
        <w:pStyle w:val="standaard-tekst"/>
      </w:pPr>
      <w:r>
        <w:t xml:space="preserve">Voor de genoemde klasgenoten is het natuurlijk jammer dat zij niet direct kunnen worden toegelaten. Het is heel fijn als studenten kunnen starten op de opleiding van hun eerste keus. Tegelijkertijd is dit vanwege capaciteitsgebrek en onvoldoende beschikbaarheid van docenten niet altijd overal mogelijk. Nederland kent een zeer toegankelijk onderwijsstelsel, waarbij in principe iedereen die een havo- of vwo-diploma heeft behaald met het juiste vakkenpakket, meteen toelaatbaar is voor een bacheloropleiding. Er zijn slechts zeer beperkt uitzonderingen hierop. Een </w:t>
      </w:r>
      <w:proofErr w:type="spellStart"/>
      <w:r>
        <w:t>numerus</w:t>
      </w:r>
      <w:proofErr w:type="spellEnd"/>
      <w:r>
        <w:t xml:space="preserve"> fixus is hier een voorbeeld van. Instellingen mogen enkel een </w:t>
      </w:r>
      <w:proofErr w:type="spellStart"/>
      <w:r>
        <w:t>numerus</w:t>
      </w:r>
      <w:proofErr w:type="spellEnd"/>
      <w:r>
        <w:t xml:space="preserve"> fixus instellen als een opleiding onvoldoende capaciteit heeft om alle studenten die zich aanmelden ook daadwerkelijk toe te laten, bijvoorbeeld omdat er onvoldoende docenten beschikbaar zijn om kwalitatief goed onderwijs te kunnen geven. </w:t>
      </w:r>
    </w:p>
    <w:p w:rsidR="00A76E6A" w:rsidP="00A76E6A" w:rsidRDefault="00A76E6A" w14:paraId="21B72943" w14:textId="77777777">
      <w:pPr>
        <w:pStyle w:val="standaard-tekst"/>
      </w:pPr>
    </w:p>
    <w:p w:rsidR="00A76E6A" w:rsidP="00A76E6A" w:rsidRDefault="00A76E6A" w14:paraId="0AB6C0A4" w14:textId="77777777">
      <w:pPr>
        <w:pStyle w:val="standaard-tekst"/>
      </w:pPr>
      <w:r>
        <w:t xml:space="preserve">Van alle Nederlandse bacheloropleidingen heeft, op basis van cijfers van DUO, slechts 5% zo’n </w:t>
      </w:r>
      <w:proofErr w:type="spellStart"/>
      <w:r>
        <w:t>numerus</w:t>
      </w:r>
      <w:proofErr w:type="spellEnd"/>
      <w:r>
        <w:t xml:space="preserve"> fixus. De ervaring leert dat uiteindelijk veel kandidaten hun plaats niet accepteren, bijvoorbeeld omdat ze zich bij meerdere opleidingen hebben aangemeld voor selectie en pas nadat zij de uitslag daarvan hebben gehoord een keuze maken. Vaak maken ook studenten die lager op de ranglijst staan nog een reële kans om een plaats aangeboden te krijgen. Uiteindelijk kan slechts </w:t>
      </w:r>
      <w:r>
        <w:rPr>
          <w:rFonts w:ascii="Arial" w:hAnsi="Arial" w:cs="Arial"/>
        </w:rPr>
        <w:t xml:space="preserve">± </w:t>
      </w:r>
      <w:r>
        <w:t>5% van de aspirant-studenten niet starten op de eerste keus opleiding. Zij kunnen wel altijd terecht bij een tweede keus opleiding.</w:t>
      </w:r>
      <w:r>
        <w:rPr>
          <w:rStyle w:val="Voetnootmarkering"/>
        </w:rPr>
        <w:footnoteReference w:id="5"/>
      </w:r>
    </w:p>
    <w:p w:rsidR="00A76E6A" w:rsidP="00A76E6A" w:rsidRDefault="00A76E6A" w14:paraId="20090A21" w14:textId="77777777">
      <w:pPr>
        <w:pStyle w:val="standaard-tekst"/>
      </w:pPr>
    </w:p>
    <w:p w:rsidR="00A76E6A" w:rsidP="00A76E6A" w:rsidRDefault="00A76E6A" w14:paraId="15D65075" w14:textId="77777777">
      <w:pPr>
        <w:pStyle w:val="standaard-tekst"/>
      </w:pPr>
      <w:r>
        <w:t xml:space="preserve">Ik ben in dit kader overigens verheugd om te zien dat Nederlandse studenten het op basis van de cijfers van de TU/e bij antwoord 2 goed lijken te doen in de selectie. In alle gevallen is, afgezet tegen het aandeel internationale studenten, het percentage Nederlandse studenten dat start aan de opleiding groter dan het percentage Nederlandse studenten dat zich voor de opleiding had aangemeld en meedeed aan de selectie. </w:t>
      </w:r>
    </w:p>
    <w:p w:rsidR="00A76E6A" w:rsidP="00A76E6A" w:rsidRDefault="00A76E6A" w14:paraId="59D96262" w14:textId="77777777">
      <w:pPr>
        <w:pStyle w:val="standaard-tekst"/>
      </w:pPr>
    </w:p>
    <w:p w:rsidRPr="000C391F" w:rsidR="00A76E6A" w:rsidP="00A76E6A" w:rsidRDefault="00A76E6A" w14:paraId="03A02731" w14:textId="77777777">
      <w:pPr>
        <w:pStyle w:val="standaard-tekst"/>
        <w:keepNext/>
        <w:rPr>
          <w:b/>
          <w:bCs/>
        </w:rPr>
      </w:pPr>
      <w:r w:rsidRPr="000C391F">
        <w:rPr>
          <w:b/>
          <w:bCs/>
        </w:rPr>
        <w:t>Vraag 4</w:t>
      </w:r>
    </w:p>
    <w:p w:rsidR="00A76E6A" w:rsidP="00A76E6A" w:rsidRDefault="00A76E6A" w14:paraId="320C3142" w14:textId="77777777">
      <w:pPr>
        <w:pStyle w:val="standaard-tekst"/>
      </w:pPr>
      <w:r>
        <w:t>Hoe beoordeelt u het feit dat driekwart van de vooraanmeldingen bestaat uit buitenlandse studenten, waarmee de kansen voor Nederlanders aanzienlijk kleiner zijn geworden? (Aan de TU Delft heeft de Engelstalige bachelor Lucht- en ruimtevaarttechniek (LR) plek voor zo’n 440 eerstejaars, waarvoor ongeveer 3000 studenten zich hebben aangemeld)</w:t>
      </w:r>
    </w:p>
    <w:p w:rsidR="00A76E6A" w:rsidP="00A76E6A" w:rsidRDefault="00A76E6A" w14:paraId="18CA7C22" w14:textId="77777777">
      <w:pPr>
        <w:pStyle w:val="standaard-tekst"/>
      </w:pPr>
    </w:p>
    <w:p w:rsidRPr="000C391F" w:rsidR="00A76E6A" w:rsidP="00A76E6A" w:rsidRDefault="00A76E6A" w14:paraId="2B08DEF2" w14:textId="77777777">
      <w:pPr>
        <w:pStyle w:val="standaard-tekst"/>
        <w:keepNext/>
        <w:rPr>
          <w:b/>
          <w:bCs/>
        </w:rPr>
      </w:pPr>
      <w:r w:rsidRPr="000C391F">
        <w:rPr>
          <w:b/>
          <w:bCs/>
        </w:rPr>
        <w:lastRenderedPageBreak/>
        <w:t>Vraag 5</w:t>
      </w:r>
    </w:p>
    <w:p w:rsidR="00A76E6A" w:rsidP="00A76E6A" w:rsidRDefault="00A76E6A" w14:paraId="0E5DC568" w14:textId="77777777">
      <w:pPr>
        <w:pStyle w:val="standaard-tekst"/>
      </w:pPr>
      <w:r>
        <w:t>Ervan uitgaande dat de Nederlandse kandidaten voor Lucht- en ruimtevaart even goed scoren op de toelatingstoetsen als hun buitenlandse concurrenten, zou dat betekenen dat zij uiteindelijk 100 van de 440 plaatsen innemen; hoe beoordeelt u deze uitkomst?</w:t>
      </w:r>
    </w:p>
    <w:p w:rsidR="00A76E6A" w:rsidP="00A76E6A" w:rsidRDefault="00A76E6A" w14:paraId="3E6AD1F1" w14:textId="77777777">
      <w:pPr>
        <w:pStyle w:val="standaard-tekst"/>
      </w:pPr>
    </w:p>
    <w:p w:rsidRPr="000C391F" w:rsidR="00A76E6A" w:rsidP="00A76E6A" w:rsidRDefault="00A76E6A" w14:paraId="2304D601" w14:textId="77777777">
      <w:pPr>
        <w:pStyle w:val="standaard-tekst"/>
        <w:keepNext/>
        <w:rPr>
          <w:b/>
          <w:bCs/>
        </w:rPr>
      </w:pPr>
      <w:r w:rsidRPr="000C391F">
        <w:rPr>
          <w:b/>
          <w:bCs/>
        </w:rPr>
        <w:t>Vraag 6</w:t>
      </w:r>
    </w:p>
    <w:p w:rsidR="00A76E6A" w:rsidP="00A76E6A" w:rsidRDefault="00A76E6A" w14:paraId="0B92BAD6" w14:textId="77777777">
      <w:pPr>
        <w:pStyle w:val="standaard-tekst"/>
      </w:pPr>
      <w:r>
        <w:t>Bent u het ermee eens dat het de primaire taak van de Nederlandse regering is om het mogelijk te maken voor Nederlandse studenten om deze studies te kunnen volgen, bij voorkeur en indien zij dat wensen, in hun eigen regio? Graag een toelichting.</w:t>
      </w:r>
    </w:p>
    <w:p w:rsidR="00A76E6A" w:rsidP="00A76E6A" w:rsidRDefault="00A76E6A" w14:paraId="17164863" w14:textId="77777777">
      <w:pPr>
        <w:pStyle w:val="standaard-tekst"/>
      </w:pPr>
    </w:p>
    <w:p w:rsidRPr="000C391F" w:rsidR="00A76E6A" w:rsidP="00A76E6A" w:rsidRDefault="00A76E6A" w14:paraId="4CE3AA9F" w14:textId="77777777">
      <w:pPr>
        <w:pStyle w:val="standaard-tekst"/>
        <w:keepNext/>
        <w:rPr>
          <w:b/>
          <w:bCs/>
        </w:rPr>
      </w:pPr>
      <w:r w:rsidRPr="000C391F">
        <w:rPr>
          <w:b/>
          <w:bCs/>
        </w:rPr>
        <w:t>Antwoord 4, 5 en 6</w:t>
      </w:r>
    </w:p>
    <w:p w:rsidR="00A76E6A" w:rsidP="00A76E6A" w:rsidRDefault="00A76E6A" w14:paraId="5515797E" w14:textId="77777777">
      <w:pPr>
        <w:pStyle w:val="standaard-tekst"/>
      </w:pPr>
      <w:r>
        <w:t>Het Nederlandse vervolgonderwijs leidt primair op voor de Nederlandse gemeenschap en arbeidsmarkt.</w:t>
      </w:r>
      <w:r>
        <w:rPr>
          <w:rStyle w:val="Voetnootmarkering"/>
        </w:rPr>
        <w:footnoteReference w:id="6"/>
      </w:r>
      <w:r>
        <w:t xml:space="preserve"> Ik ben er trots op dat in Nederland onderwijs van zulke hoogwaardige kwaliteit wordt aangeboden, dat dit studenten trekt van over de hele wereld. De opleiding Luchtvaart- en ruimtevaarttechniek is hier een voorbeeld van. We kunnen dit internationale talent heel goed gebruiken, zeker ook in de technieksector. Die internationalisering moet wel in balans zijn, zodat kwaliteit, toegankelijkheid en doelmatigheid van het onderwijs geborgd blijven. </w:t>
      </w:r>
    </w:p>
    <w:p w:rsidR="00A76E6A" w:rsidP="00A76E6A" w:rsidRDefault="00A76E6A" w14:paraId="33E2A78C" w14:textId="77777777">
      <w:pPr>
        <w:pStyle w:val="standaard-tekst"/>
      </w:pPr>
    </w:p>
    <w:p w:rsidR="00A76E6A" w:rsidP="00A76E6A" w:rsidRDefault="00A76E6A" w14:paraId="1942785C" w14:textId="77777777">
      <w:pPr>
        <w:pStyle w:val="standaard-tekst"/>
      </w:pPr>
      <w:r>
        <w:t xml:space="preserve">De instroom bij een opleiding zoals Luchtvaart- en ruimtevaart beoordeel ik vanuit het breder perspectief op het onderwijsstelsel, dat ook voor Nederlandse aspirant-studenten goed toegankelijk is. Gezien het feit dat op dit moment slechts een beperkt aantal bacheloropleidingen in de technieksector een </w:t>
      </w:r>
      <w:proofErr w:type="spellStart"/>
      <w:r>
        <w:t>numerus</w:t>
      </w:r>
      <w:proofErr w:type="spellEnd"/>
      <w:r>
        <w:t xml:space="preserve"> fixus heeft,</w:t>
      </w:r>
      <w:r>
        <w:rPr>
          <w:rStyle w:val="Voetnootmarkering"/>
        </w:rPr>
        <w:footnoteReference w:id="7"/>
      </w:r>
      <w:r>
        <w:t xml:space="preserve"> maak ik mij nog geen zorgen over de toegankelijkheid van het stelsel – en hierbinnen de techniekopleidingen – voor Nederlandse studenten. Hoe vervelend het ook is dat een aspirant-student niet (meteen) kan worden toegelaten tot de opleiding van de eerste keuze, is er binnen Nederland altijd een hoogwaardig alternatief beschikbaar in de technieksector dat wel vrij toegankelijk is, regelmatig ook (gedeeltelijk) in het Nederlands.</w:t>
      </w:r>
      <w:r>
        <w:rPr>
          <w:rStyle w:val="Voetnootmarkering"/>
        </w:rPr>
        <w:footnoteReference w:id="8"/>
      </w:r>
      <w:r>
        <w:t xml:space="preserve"> Het kan wel zijn dat daarvoor verder gereisd moet worden.</w:t>
      </w:r>
    </w:p>
    <w:p w:rsidR="00A76E6A" w:rsidP="00A76E6A" w:rsidRDefault="00A76E6A" w14:paraId="26101460" w14:textId="77777777">
      <w:pPr>
        <w:pStyle w:val="standaard-tekst"/>
        <w:rPr>
          <w:highlight w:val="yellow"/>
        </w:rPr>
      </w:pPr>
    </w:p>
    <w:p w:rsidR="00A76E6A" w:rsidP="00A76E6A" w:rsidRDefault="00A76E6A" w14:paraId="51EA6E22" w14:textId="77777777">
      <w:pPr>
        <w:pStyle w:val="standaard-tekst"/>
      </w:pPr>
      <w:r w:rsidRPr="00051DE9">
        <w:t xml:space="preserve">Tegelijkertijd </w:t>
      </w:r>
      <w:r>
        <w:t xml:space="preserve">zien we dat het aantal aanmeldingen bij deze zeer populaire studies nog altijd sterk stijgt. Het aantal aanmeldingen voor Luchtvaart- en ruimtevaarttechniek is vanaf 2022 bijvoorbeeld bijna verdubbeld van ruim 2200 naar bijna 4400 aanmeldingen in 2026. Die stijging komt met name van internationale studenten. Het aandeel niet-EER-studenten steeg van 30% naar 42%. Het is ook zeer moeilijk om te sturen op aanmeldingen. Wel kan er binnen bepaalde grenzen ingegrepen worden op wie wordt toegelaten. De reeds aangekondigde mogelijkheid voor een fixus op niet-EER-studenten zou de </w:t>
      </w:r>
      <w:r>
        <w:lastRenderedPageBreak/>
        <w:t>toegankelijkheid voor Nederlandse studenten en andere EU-studenten op deze opleidingen dus ten goede komen (zie ook antwoord 9). Instellingen vragen ook al jaren om deze mogelijkheid. Voor het overige kan alleen worden geselecteerd op basis van (ten minste twee) kwalitatieve selectiecriteria. Daarbinnen gaan instellingen zelf over de invulling van hun selectieprocedure. Selecteren op basis van nationaliteit is niet mogelijk.</w:t>
      </w:r>
    </w:p>
    <w:p w:rsidR="00A76E6A" w:rsidP="00A76E6A" w:rsidRDefault="00A76E6A" w14:paraId="298FDE3A" w14:textId="77777777">
      <w:pPr>
        <w:pStyle w:val="standaard-tekst"/>
      </w:pPr>
    </w:p>
    <w:p w:rsidRPr="000C391F" w:rsidR="00A76E6A" w:rsidP="00A76E6A" w:rsidRDefault="00A76E6A" w14:paraId="0F4D22AD" w14:textId="77777777">
      <w:pPr>
        <w:pStyle w:val="standaard-tekst"/>
        <w:keepNext/>
        <w:rPr>
          <w:b/>
          <w:bCs/>
        </w:rPr>
      </w:pPr>
      <w:r w:rsidRPr="000C391F">
        <w:rPr>
          <w:b/>
          <w:bCs/>
        </w:rPr>
        <w:t>Vraag 7</w:t>
      </w:r>
    </w:p>
    <w:p w:rsidR="00A76E6A" w:rsidP="00A76E6A" w:rsidRDefault="00A76E6A" w14:paraId="1D3804E4" w14:textId="77777777">
      <w:pPr>
        <w:pStyle w:val="standaard-tekst"/>
      </w:pPr>
      <w:r>
        <w:t xml:space="preserve">Bent u het ermee eens dat het een onwenselijk gevolg is van het hanteren van een </w:t>
      </w:r>
      <w:proofErr w:type="spellStart"/>
      <w:r>
        <w:t>numerus</w:t>
      </w:r>
      <w:proofErr w:type="spellEnd"/>
      <w:r>
        <w:t xml:space="preserve"> fixus bij een Engelstalige opleiding dat Nederlandse studenten uit de eigen regio een hoge kans hebben om buiten de boot te vallen? Graag een toelichting.</w:t>
      </w:r>
    </w:p>
    <w:p w:rsidR="00A76E6A" w:rsidP="00A76E6A" w:rsidRDefault="00A76E6A" w14:paraId="09206198" w14:textId="77777777">
      <w:pPr>
        <w:pStyle w:val="standaard-tekst"/>
        <w:keepNext/>
      </w:pPr>
    </w:p>
    <w:p w:rsidRPr="000C391F" w:rsidR="00A76E6A" w:rsidP="00A76E6A" w:rsidRDefault="00A76E6A" w14:paraId="3A4CB1A0" w14:textId="77777777">
      <w:pPr>
        <w:pStyle w:val="standaard-tekst"/>
        <w:keepNext/>
        <w:rPr>
          <w:b/>
          <w:bCs/>
        </w:rPr>
      </w:pPr>
      <w:r w:rsidRPr="000C391F">
        <w:rPr>
          <w:b/>
          <w:bCs/>
        </w:rPr>
        <w:t>Vraag 8</w:t>
      </w:r>
    </w:p>
    <w:p w:rsidR="00A76E6A" w:rsidP="00A76E6A" w:rsidRDefault="00A76E6A" w14:paraId="2B4723D0" w14:textId="77777777">
      <w:pPr>
        <w:pStyle w:val="standaard-tekst"/>
      </w:pPr>
      <w:r>
        <w:t xml:space="preserve">Zou een oplossing zijn om bij Engelstalige opleidingen waarvoor een </w:t>
      </w:r>
      <w:proofErr w:type="spellStart"/>
      <w:r>
        <w:t>numerus</w:t>
      </w:r>
      <w:proofErr w:type="spellEnd"/>
      <w:r>
        <w:t xml:space="preserve"> fixus bestaat, in ieder geval ook een traject aan te bieden met een belangrijk deel aan Nederlandstalige lessen en hoe ziet u de wenselijkheid van dergelijke stappen?  </w:t>
      </w:r>
    </w:p>
    <w:p w:rsidR="00A76E6A" w:rsidP="00A76E6A" w:rsidRDefault="00A76E6A" w14:paraId="6335B07C" w14:textId="77777777">
      <w:pPr>
        <w:pStyle w:val="standaard-tekst"/>
      </w:pPr>
    </w:p>
    <w:p w:rsidRPr="000C391F" w:rsidR="00A76E6A" w:rsidP="00A76E6A" w:rsidRDefault="00A76E6A" w14:paraId="1DC081A8" w14:textId="77777777">
      <w:pPr>
        <w:pStyle w:val="standaard-tekst"/>
        <w:keepNext/>
        <w:rPr>
          <w:b/>
          <w:bCs/>
        </w:rPr>
      </w:pPr>
      <w:r w:rsidRPr="000C391F">
        <w:rPr>
          <w:b/>
          <w:bCs/>
        </w:rPr>
        <w:t>Antwoord 7 en 8</w:t>
      </w:r>
    </w:p>
    <w:p w:rsidR="00A76E6A" w:rsidP="00A76E6A" w:rsidRDefault="00A76E6A" w14:paraId="7D3AC020" w14:textId="77777777">
      <w:pPr>
        <w:pStyle w:val="standaard-tekst"/>
      </w:pPr>
      <w:r>
        <w:t xml:space="preserve">Op dit moment zijn er geen indicaties dat grote groepen studenten buiten de boot vallen als gevolg van een </w:t>
      </w:r>
      <w:proofErr w:type="spellStart"/>
      <w:r>
        <w:t>numerus</w:t>
      </w:r>
      <w:proofErr w:type="spellEnd"/>
      <w:r>
        <w:t xml:space="preserve"> fixus bij een Engelstalige opleiding. Mocht dat in de toekomst wel dreigen te gebeuren, dan kunnen de in het wetsvoorstel Wet internationalisering in balans voorgestelde aanvullende fixusinstrumenten mogelijk een oplossing bieden (zie ook antwoord 9), naast de reeds bestaande mogelijkheid om bij bacheloropleidingen een aparte fixus in te stellen voor een Nederlandstalig en Engelstalig traject binnen dezelfde opleiding.</w:t>
      </w:r>
    </w:p>
    <w:p w:rsidR="00A76E6A" w:rsidP="00A76E6A" w:rsidRDefault="00A76E6A" w14:paraId="51E9915F" w14:textId="77777777">
      <w:pPr>
        <w:pStyle w:val="standaard-tekst"/>
      </w:pPr>
      <w:r>
        <w:t>De universiteiten hebben eerder in hun zelfregieplannen rondom internationalisering ook voorgesteld om vaker een Nederlandstalig traject naast een Engelstalig traject te starten. Ik juich het van harte toe als instellingen dit vaker doen. Daarbij is wel voorwaardelijk dat er voldoende Nederlandstalig personeel beschikbaar is. Ik zal dit meenemen in mijn gesprekken met de instellingen over internationalisering en de zelfregie.</w:t>
      </w:r>
    </w:p>
    <w:p w:rsidR="00A76E6A" w:rsidP="00A76E6A" w:rsidRDefault="00A76E6A" w14:paraId="087ACC32" w14:textId="77777777">
      <w:pPr>
        <w:pStyle w:val="standaard-tekst"/>
      </w:pPr>
    </w:p>
    <w:p w:rsidRPr="000C391F" w:rsidR="00A76E6A" w:rsidP="00A76E6A" w:rsidRDefault="00A76E6A" w14:paraId="69F8561B" w14:textId="77777777">
      <w:pPr>
        <w:pStyle w:val="standaard-tekst"/>
        <w:rPr>
          <w:b/>
          <w:bCs/>
        </w:rPr>
      </w:pPr>
      <w:r w:rsidRPr="000C391F">
        <w:rPr>
          <w:b/>
          <w:bCs/>
        </w:rPr>
        <w:t>Vraag 9</w:t>
      </w:r>
    </w:p>
    <w:p w:rsidR="00A76E6A" w:rsidP="00A76E6A" w:rsidRDefault="00A76E6A" w14:paraId="770C2FA2" w14:textId="77777777">
      <w:pPr>
        <w:pStyle w:val="standaard-tekst"/>
      </w:pPr>
      <w:r>
        <w:t>Is het (juridisch) mogelijk om opleidingen te verplichten om een minimum aantal plaatsen te reserveren voor Nederlandse studenten?</w:t>
      </w:r>
    </w:p>
    <w:p w:rsidR="00A76E6A" w:rsidP="00A76E6A" w:rsidRDefault="00A76E6A" w14:paraId="298C5449" w14:textId="77777777">
      <w:pPr>
        <w:pStyle w:val="standaard-tekst"/>
      </w:pPr>
    </w:p>
    <w:p w:rsidRPr="000C391F" w:rsidR="00A76E6A" w:rsidP="00A76E6A" w:rsidRDefault="00A76E6A" w14:paraId="078A46DF" w14:textId="77777777">
      <w:pPr>
        <w:pStyle w:val="standaard-tekst"/>
        <w:keepNext/>
        <w:rPr>
          <w:b/>
          <w:bCs/>
        </w:rPr>
      </w:pPr>
      <w:r w:rsidRPr="000C391F">
        <w:rPr>
          <w:b/>
          <w:bCs/>
        </w:rPr>
        <w:t>Antwoord 9</w:t>
      </w:r>
    </w:p>
    <w:p w:rsidR="00A76E6A" w:rsidP="00A76E6A" w:rsidRDefault="00A76E6A" w14:paraId="5ECD7E06" w14:textId="77777777">
      <w:pPr>
        <w:pStyle w:val="standaard-tekst"/>
      </w:pPr>
      <w:r>
        <w:t xml:space="preserve">Het stelsel van toelating en selectie bij </w:t>
      </w:r>
      <w:proofErr w:type="spellStart"/>
      <w:r>
        <w:t>numerus</w:t>
      </w:r>
      <w:proofErr w:type="spellEnd"/>
      <w:r>
        <w:t xml:space="preserve"> fixusopleidingen is gestoeld op de gedachte dat de meest geschikte student een van de beperkte plaatsen krijgt toegewezen. Er is binnen het EU-recht geen ruimte om daarbij onderscheid te maken naar nationaliteit en dus Nederlanders voorrang te geven. Wel kan het onder voorwaarden mogelijk gemaakt worden om onderscheid te maken tussen EER- en niet-EER-studenten. Het wetsvoorstel Wet internationalisering in balans bevat een wijziging van de WHW om dit mogelijk te maken. De voorgestelde niet-EER-fixus zou echter altijd een instrument zijn voor instellingen zelf om in te zetten. Het is niet mogelijk om instellingen te verplichten hier gebruik van te maken. </w:t>
      </w:r>
    </w:p>
    <w:p w:rsidR="00A76E6A" w:rsidP="00A76E6A" w:rsidRDefault="00A76E6A" w14:paraId="0C68A20C" w14:textId="77777777">
      <w:pPr>
        <w:pStyle w:val="standaard-tekst"/>
      </w:pPr>
    </w:p>
    <w:p w:rsidR="00A76E6A" w:rsidP="00A76E6A" w:rsidRDefault="00A76E6A" w14:paraId="251D4F1F" w14:textId="77777777">
      <w:pPr>
        <w:pStyle w:val="standaard-tekst"/>
      </w:pPr>
      <w:r>
        <w:t xml:space="preserve">Mede naar aanleiding van de afspraken in het coalitieakkoord wordt nu gewerkt aan een nota van wijziging voor dit wetsvoorstel, waardoor de behandeling van de </w:t>
      </w:r>
      <w:r>
        <w:lastRenderedPageBreak/>
        <w:t>wet vertraging oploopt. Ik heb uw Kamer eerder toegezegd u rond de zomer te informeren over het vervolg van dit wetsvoorstel.</w:t>
      </w:r>
    </w:p>
    <w:p w:rsidR="00A76E6A" w:rsidP="00A76E6A" w:rsidRDefault="00A76E6A" w14:paraId="70712AE8" w14:textId="77777777">
      <w:pPr>
        <w:pStyle w:val="standaard-tekst"/>
      </w:pPr>
    </w:p>
    <w:p w:rsidRPr="000C391F" w:rsidR="00A76E6A" w:rsidP="00A76E6A" w:rsidRDefault="00A76E6A" w14:paraId="4087ED88" w14:textId="77777777">
      <w:pPr>
        <w:pStyle w:val="standaard-tekst"/>
        <w:keepNext/>
        <w:rPr>
          <w:b/>
          <w:bCs/>
        </w:rPr>
      </w:pPr>
      <w:r w:rsidRPr="000C391F">
        <w:rPr>
          <w:b/>
          <w:bCs/>
        </w:rPr>
        <w:t>Vraag 10</w:t>
      </w:r>
    </w:p>
    <w:p w:rsidR="00A76E6A" w:rsidP="00A76E6A" w:rsidRDefault="00A76E6A" w14:paraId="39B05FEF" w14:textId="77777777">
      <w:pPr>
        <w:pStyle w:val="standaard-tekst"/>
      </w:pPr>
      <w:r>
        <w:t>Welke mogelijke oplossingen ziet u om ervoor te zorgen dat Nederlandse studenten ook terecht kunnen bij de studies en op die onderwijsinstellingen waar ze willen studeren, met name bij studies die opleiden voor tekorten in de arbeidsmarkt?</w:t>
      </w:r>
    </w:p>
    <w:p w:rsidR="00A76E6A" w:rsidP="00A76E6A" w:rsidRDefault="00A76E6A" w14:paraId="3E5D3262" w14:textId="77777777">
      <w:pPr>
        <w:pStyle w:val="standaard-tekst"/>
      </w:pPr>
    </w:p>
    <w:p w:rsidRPr="000C391F" w:rsidR="00A76E6A" w:rsidP="00A76E6A" w:rsidRDefault="00A76E6A" w14:paraId="1862BC49" w14:textId="77777777">
      <w:pPr>
        <w:pStyle w:val="standaard-tekst"/>
        <w:keepNext/>
        <w:rPr>
          <w:b/>
          <w:bCs/>
        </w:rPr>
      </w:pPr>
      <w:r w:rsidRPr="000C391F">
        <w:rPr>
          <w:b/>
          <w:bCs/>
        </w:rPr>
        <w:t>Antwoord 10</w:t>
      </w:r>
    </w:p>
    <w:p w:rsidR="00A76E6A" w:rsidP="00A76E6A" w:rsidRDefault="00A76E6A" w14:paraId="1EDDF877" w14:textId="77777777">
      <w:pPr>
        <w:pStyle w:val="standaard-tekst"/>
      </w:pPr>
      <w:r>
        <w:t>Vooropgesteld wil ik nogmaals benadrukken dat veruit de meeste Nederlandse studenten (95%) terecht kunnen bij de studie en onderwijsinstelling waar ze bij voorkeur willen studeren. Slechts 5% moet, als gevolg van een negatieve uitkomst van selectie, uitwijken naar een tweede keus opleiding.</w:t>
      </w:r>
      <w:r>
        <w:rPr>
          <w:rStyle w:val="Voetnootmarkering"/>
        </w:rPr>
        <w:footnoteReference w:id="9"/>
      </w:r>
      <w:r>
        <w:t xml:space="preserve"> Ook in de technische sectoren waar het hier om gaat, heeft slechts 4,2% van de opleidingen een capaciteitsbeperking.</w:t>
      </w:r>
      <w:r>
        <w:rPr>
          <w:rStyle w:val="Voetnootmarkering"/>
        </w:rPr>
        <w:footnoteReference w:id="10"/>
      </w:r>
      <w:r>
        <w:t xml:space="preserve"> In sommige gevallen van techniek-opleidingen met een </w:t>
      </w:r>
      <w:proofErr w:type="spellStart"/>
      <w:r>
        <w:t>numerus</w:t>
      </w:r>
      <w:proofErr w:type="spellEnd"/>
      <w:r>
        <w:t xml:space="preserve"> fixus, is er zelfs aan een andere Nederlandse universiteit een vrij toegankelijk alternatief beschikbaar.</w:t>
      </w:r>
      <w:r>
        <w:rPr>
          <w:rStyle w:val="Voetnootmarkering"/>
        </w:rPr>
        <w:footnoteReference w:id="11"/>
      </w:r>
      <w:r>
        <w:t xml:space="preserve"> Er is in Nederland dus altijd voldoende ruimte om studenten op te leiden in de technieksector; in een enkel geval zal een aspirant-student echter moeten gaan voor een alternatieve techniekopleiding.</w:t>
      </w:r>
    </w:p>
    <w:p w:rsidR="00A76E6A" w:rsidP="00A76E6A" w:rsidRDefault="00A76E6A" w14:paraId="4491ACB2" w14:textId="77777777">
      <w:pPr>
        <w:pStyle w:val="standaard-tekst"/>
      </w:pPr>
    </w:p>
    <w:p w:rsidR="00A76E6A" w:rsidP="00A76E6A" w:rsidRDefault="00A76E6A" w14:paraId="239AFCBC" w14:textId="77777777">
      <w:pPr>
        <w:pStyle w:val="standaard-tekst"/>
      </w:pPr>
      <w:r w:rsidRPr="00970D4D">
        <w:t xml:space="preserve">Het kabinet investeert </w:t>
      </w:r>
      <w:r>
        <w:t xml:space="preserve">daarnaast </w:t>
      </w:r>
      <w:r w:rsidRPr="00970D4D">
        <w:t>binnen het project Beethoven ook in het vergroten van de capaciteit van opleidingen binnen de technieksector. Voor 2025 en 2026 is incidenteel ruim € 80 miljoen beschikbaar gesteld voor het initiële onderwijs in de vier regio’s (Brainport, Twente, Zuid-Holland, Noorden). In totaal is incidenteel € 450 miljoen beschikbaar gesteld tot en met 2030 voor het initiële onderwijs en voor leven lang leren. Structureel is vanaf 2031 een bedrag van € 80 miljoen beschikbaar.</w:t>
      </w:r>
    </w:p>
    <w:p w:rsidR="00A76E6A" w:rsidP="00A76E6A" w:rsidRDefault="00A76E6A" w14:paraId="0BDE8A7F" w14:textId="77777777">
      <w:pPr>
        <w:pStyle w:val="standaard-tekst"/>
      </w:pPr>
    </w:p>
    <w:p w:rsidRPr="002B467F" w:rsidR="00A76E6A" w:rsidP="00A76E6A" w:rsidRDefault="00A76E6A" w14:paraId="7373E793" w14:textId="77777777">
      <w:pPr>
        <w:pStyle w:val="standaard-tekst"/>
        <w:keepNext/>
        <w:rPr>
          <w:b/>
          <w:bCs/>
        </w:rPr>
      </w:pPr>
      <w:r w:rsidRPr="002B467F">
        <w:rPr>
          <w:b/>
          <w:bCs/>
        </w:rPr>
        <w:t>Vraag 11</w:t>
      </w:r>
    </w:p>
    <w:p w:rsidR="00A76E6A" w:rsidP="00A76E6A" w:rsidRDefault="00A76E6A" w14:paraId="4087F082" w14:textId="77777777">
      <w:pPr>
        <w:pStyle w:val="standaard-tekst"/>
      </w:pPr>
      <w:r>
        <w:t xml:space="preserve">Bij welke opleidingen in Nederland met een </w:t>
      </w:r>
      <w:proofErr w:type="spellStart"/>
      <w:r>
        <w:t>numerus</w:t>
      </w:r>
      <w:proofErr w:type="spellEnd"/>
      <w:r>
        <w:t xml:space="preserve"> fixus, die opleiden voor sectoren waar tekorten in bestaan, worden Nederlandse studenten vaak afgewezen mede door de grote belangstelling van buitenlandse studenten?</w:t>
      </w:r>
    </w:p>
    <w:p w:rsidR="00A76E6A" w:rsidP="00A76E6A" w:rsidRDefault="00A76E6A" w14:paraId="3A2279AD" w14:textId="77777777">
      <w:pPr>
        <w:pStyle w:val="standaard-tekst"/>
      </w:pPr>
    </w:p>
    <w:p w:rsidRPr="002B467F" w:rsidR="00A76E6A" w:rsidP="00A76E6A" w:rsidRDefault="00A76E6A" w14:paraId="57A2C281" w14:textId="77777777">
      <w:pPr>
        <w:pStyle w:val="standaard-tekst"/>
        <w:keepNext/>
        <w:rPr>
          <w:b/>
          <w:bCs/>
        </w:rPr>
      </w:pPr>
      <w:r w:rsidRPr="002B467F">
        <w:rPr>
          <w:b/>
          <w:bCs/>
        </w:rPr>
        <w:t>Antwoord 11</w:t>
      </w:r>
    </w:p>
    <w:p w:rsidR="00A76E6A" w:rsidP="00A76E6A" w:rsidRDefault="00A76E6A" w14:paraId="1A0CB4D8" w14:textId="77777777">
      <w:pPr>
        <w:pStyle w:val="standaard-tekst"/>
      </w:pPr>
      <w:r>
        <w:t xml:space="preserve">Het ministerie noch DUO beschikken over aanmeldcijfers bij </w:t>
      </w:r>
      <w:proofErr w:type="spellStart"/>
      <w:r>
        <w:t>numerus</w:t>
      </w:r>
      <w:proofErr w:type="spellEnd"/>
      <w:r>
        <w:t xml:space="preserve"> fixusopleidingen. Bij DUO worden alleen daadwerkelijke inschrijvingen geregistreerd. Op basis van de beschikbare informatie is het niet mogelijk om een vergelijking te maken tussen aanmeldingen en toelatingen. Als die informatie er wel was geweest, was het overigens ook moeilijk geweest om een causaal verband vast te stellen tussen de grote belangstelling van buitenlandse studenten voor bepaalde studies, en de kans om toegelaten te worden voor Nederlandse studenten. Zoals eerder aangegeven is niet alleen de selectieprocedure bepalend voor de vraag of een student die zich heeft aangemeld voor een opleiding, ook daadwerkelijk (kan) start(en) met die opleiding. Studenten maken in veel gevallen ook zelf vrijwillig de keus om toch aan een andere opleiding te beginnen.</w:t>
      </w:r>
    </w:p>
    <w:p w:rsidR="00A76E6A" w:rsidP="00A76E6A" w:rsidRDefault="00A76E6A" w14:paraId="74827E1C" w14:textId="77777777">
      <w:pPr>
        <w:pStyle w:val="standaard-tekst"/>
      </w:pPr>
    </w:p>
    <w:p w:rsidR="00A76E6A" w:rsidP="00A76E6A" w:rsidRDefault="00A76E6A" w14:paraId="4D2CE87D" w14:textId="77777777">
      <w:pPr>
        <w:pStyle w:val="standaard-tekst"/>
      </w:pPr>
      <w:r>
        <w:lastRenderedPageBreak/>
        <w:t>Ik wil hier nogmaals benadrukken dat slechts 5% van de Nederlandse aspirant-studenten uiteindelijk niet aan de opleiding van de eerste keus kan beginnen, en er in Nederland altijd een alternatief beschikbaar is, ook in de technieksector, dat zonder selectie toegankelijk is.</w:t>
      </w:r>
    </w:p>
    <w:p w:rsidR="00A76E6A" w:rsidP="00A76E6A" w:rsidRDefault="00A76E6A" w14:paraId="4EDFE80A" w14:textId="77777777">
      <w:pPr>
        <w:pStyle w:val="standaard-tekst"/>
      </w:pPr>
    </w:p>
    <w:p w:rsidRPr="002B467F" w:rsidR="00A76E6A" w:rsidP="00A76E6A" w:rsidRDefault="00A76E6A" w14:paraId="7ED59F4C" w14:textId="77777777">
      <w:pPr>
        <w:pStyle w:val="standaard-tekst"/>
        <w:keepNext/>
        <w:rPr>
          <w:b/>
          <w:bCs/>
        </w:rPr>
      </w:pPr>
      <w:r w:rsidRPr="002B467F">
        <w:rPr>
          <w:b/>
          <w:bCs/>
        </w:rPr>
        <w:t>Vraag 12</w:t>
      </w:r>
    </w:p>
    <w:p w:rsidR="00A76E6A" w:rsidP="00A76E6A" w:rsidRDefault="00A76E6A" w14:paraId="644D1461" w14:textId="77777777">
      <w:pPr>
        <w:pStyle w:val="standaard-tekst"/>
      </w:pPr>
      <w:r>
        <w:t xml:space="preserve">Welke ondersteuning is er voor Nederlandse studenten die zich willen inschrijven in studie met </w:t>
      </w:r>
      <w:proofErr w:type="spellStart"/>
      <w:r>
        <w:t>numerus</w:t>
      </w:r>
      <w:proofErr w:type="spellEnd"/>
      <w:r>
        <w:t xml:space="preserve"> fixus met selectie op academische kwaliteit om meer kans te maken om een hoog inschrijfnummer te krijgen?</w:t>
      </w:r>
    </w:p>
    <w:p w:rsidR="00A76E6A" w:rsidP="00A76E6A" w:rsidRDefault="00A76E6A" w14:paraId="7C13AB1F" w14:textId="77777777">
      <w:pPr>
        <w:pStyle w:val="standaard-tekst"/>
      </w:pPr>
    </w:p>
    <w:p w:rsidRPr="002B467F" w:rsidR="00A76E6A" w:rsidP="00A76E6A" w:rsidRDefault="00A76E6A" w14:paraId="1998B4F5" w14:textId="77777777">
      <w:pPr>
        <w:pStyle w:val="standaard-tekst"/>
        <w:rPr>
          <w:b/>
          <w:bCs/>
        </w:rPr>
      </w:pPr>
      <w:r w:rsidRPr="002B467F">
        <w:rPr>
          <w:b/>
          <w:bCs/>
        </w:rPr>
        <w:t>Antwoord 12</w:t>
      </w:r>
    </w:p>
    <w:p w:rsidR="00A76E6A" w:rsidP="00A76E6A" w:rsidRDefault="00A76E6A" w14:paraId="1262D5AD" w14:textId="77777777">
      <w:pPr>
        <w:pStyle w:val="standaard-tekst"/>
      </w:pPr>
      <w:r>
        <w:t>Sommige instellingen bieden ondersteuning ter voorbereiding op de selectieprocedure, maar daarbij kan geen onderscheid worden gemaakt tussen Nederlandse aspirant-studenten en aspirant-studenten van buiten Nederland, vanwege het verbod op discriminatie op basis van nationaliteit binnen de EER. Ook zijn er commerciële bureaus die aspirant-studenten tegen betaling kunnen voorbereiden op selectie, hetgeen ik met het oog op kansengelijkheid een onwenselijke situatie vindt, maar wat helaas niet verboden kan worden binnen de vrije markt.</w:t>
      </w:r>
    </w:p>
    <w:p w:rsidRPr="00E279DD" w:rsidR="00A76E6A" w:rsidP="00A76E6A" w:rsidRDefault="00A76E6A" w14:paraId="74AC09F0" w14:textId="77777777">
      <w:pPr>
        <w:pStyle w:val="standaard-tekst"/>
      </w:pPr>
    </w:p>
    <w:p w:rsidR="002C3023" w:rsidRDefault="002C3023" w14:paraId="07062FF5" w14:textId="77777777"/>
    <w:sectPr w:rsidR="002C3023" w:rsidSect="00A76E6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725A" w14:textId="77777777" w:rsidR="00615F98" w:rsidRDefault="00615F98" w:rsidP="00A76E6A">
      <w:pPr>
        <w:spacing w:after="0" w:line="240" w:lineRule="auto"/>
      </w:pPr>
      <w:r>
        <w:separator/>
      </w:r>
    </w:p>
  </w:endnote>
  <w:endnote w:type="continuationSeparator" w:id="0">
    <w:p w14:paraId="71491E9D" w14:textId="77777777" w:rsidR="00615F98" w:rsidRDefault="00615F98" w:rsidP="00A7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8F6E" w14:textId="77777777" w:rsidR="00A76E6A" w:rsidRPr="00A76E6A" w:rsidRDefault="00A76E6A" w:rsidP="00A76E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F574" w14:textId="77777777" w:rsidR="00A76E6A" w:rsidRPr="00A76E6A" w:rsidRDefault="00A76E6A" w:rsidP="00A76E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8D7A" w14:textId="77777777" w:rsidR="00A76E6A" w:rsidRPr="00A76E6A" w:rsidRDefault="00A76E6A" w:rsidP="00A76E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1A76" w14:textId="77777777" w:rsidR="00615F98" w:rsidRDefault="00615F98" w:rsidP="00A76E6A">
      <w:pPr>
        <w:spacing w:after="0" w:line="240" w:lineRule="auto"/>
      </w:pPr>
      <w:r>
        <w:separator/>
      </w:r>
    </w:p>
  </w:footnote>
  <w:footnote w:type="continuationSeparator" w:id="0">
    <w:p w14:paraId="188A7AC8" w14:textId="77777777" w:rsidR="00615F98" w:rsidRDefault="00615F98" w:rsidP="00A76E6A">
      <w:pPr>
        <w:spacing w:after="0" w:line="240" w:lineRule="auto"/>
      </w:pPr>
      <w:r>
        <w:continuationSeparator/>
      </w:r>
    </w:p>
  </w:footnote>
  <w:footnote w:id="1">
    <w:p w14:paraId="318AD6C4" w14:textId="77777777" w:rsidR="00A76E6A" w:rsidRPr="00E279DD" w:rsidRDefault="00A76E6A" w:rsidP="00A76E6A">
      <w:pPr>
        <w:pStyle w:val="Voetnoottekst"/>
        <w:rPr>
          <w:lang w:val="en-US"/>
        </w:rPr>
      </w:pPr>
      <w:r>
        <w:rPr>
          <w:rStyle w:val="Voetnootmarkering"/>
        </w:rPr>
        <w:footnoteRef/>
      </w:r>
      <w:r w:rsidRPr="00E279DD">
        <w:rPr>
          <w:lang w:val="en-US"/>
        </w:rPr>
        <w:t xml:space="preserve"> Cursor, 16 </w:t>
      </w:r>
      <w:proofErr w:type="spellStart"/>
      <w:r w:rsidRPr="00E279DD">
        <w:rPr>
          <w:lang w:val="en-US"/>
        </w:rPr>
        <w:t>april</w:t>
      </w:r>
      <w:proofErr w:type="spellEnd"/>
      <w:r w:rsidRPr="00E279DD">
        <w:rPr>
          <w:lang w:val="en-US"/>
        </w:rPr>
        <w:t xml:space="preserve"> 2026, 'Numerus </w:t>
      </w:r>
      <w:proofErr w:type="spellStart"/>
      <w:r w:rsidRPr="00E279DD">
        <w:rPr>
          <w:lang w:val="en-US"/>
        </w:rPr>
        <w:t>fixus</w:t>
      </w:r>
      <w:proofErr w:type="spellEnd"/>
      <w:r w:rsidRPr="00E279DD">
        <w:rPr>
          <w:lang w:val="en-US"/>
        </w:rPr>
        <w:t xml:space="preserve"> circus', </w:t>
      </w:r>
      <w:hyperlink r:id="rId1" w:history="1">
        <w:r w:rsidRPr="00622F2A">
          <w:rPr>
            <w:rStyle w:val="Hyperlink"/>
            <w:lang w:val="en-US"/>
          </w:rPr>
          <w:t>https://www.cursor.tue.nl/opinie/boudewijn-van-dongen/numerus-fixus-circus</w:t>
        </w:r>
      </w:hyperlink>
      <w:r w:rsidRPr="00E279DD">
        <w:rPr>
          <w:lang w:val="en-US"/>
        </w:rPr>
        <w:t>)</w:t>
      </w:r>
      <w:r>
        <w:rPr>
          <w:lang w:val="en-US"/>
        </w:rPr>
        <w:t xml:space="preserve"> </w:t>
      </w:r>
    </w:p>
  </w:footnote>
  <w:footnote w:id="2">
    <w:p w14:paraId="365DED61" w14:textId="77777777" w:rsidR="00A76E6A" w:rsidRDefault="00A76E6A" w:rsidP="00A76E6A">
      <w:pPr>
        <w:pStyle w:val="Voetnoottekst"/>
        <w:keepNext/>
      </w:pPr>
      <w:r>
        <w:rPr>
          <w:rStyle w:val="Voetnootmarkering"/>
        </w:rPr>
        <w:footnoteRef/>
      </w:r>
      <w:r>
        <w:t xml:space="preserve"> </w:t>
      </w:r>
      <w:r w:rsidRPr="00CA5811">
        <w:t xml:space="preserve">De cijfers van aantal vooraanmeldingen, het aantal aspirant-studenten dat heeft deelgenomen aan de selectie en het aantal deelnemers dat een plaats aangeboden heeft gekregen (en dus toegelaten kon worden) zijn afkomstig van de TU/e zelf. De aantallen studenten die op 1 oktober </w:t>
      </w:r>
      <w:r>
        <w:t xml:space="preserve">2025 </w:t>
      </w:r>
      <w:r w:rsidRPr="00CA5811">
        <w:t>stonden ingeschreven, zijn afkomstig van DUO.</w:t>
      </w:r>
    </w:p>
  </w:footnote>
  <w:footnote w:id="3">
    <w:p w14:paraId="4C68635A" w14:textId="77777777" w:rsidR="00A76E6A" w:rsidRDefault="00A76E6A" w:rsidP="00A76E6A">
      <w:pPr>
        <w:pStyle w:val="Voetnoottekst"/>
      </w:pPr>
      <w:r>
        <w:rPr>
          <w:rStyle w:val="Voetnootmarkering"/>
        </w:rPr>
        <w:footnoteRef/>
      </w:r>
      <w:r>
        <w:t xml:space="preserve"> Bron: TU Delft.</w:t>
      </w:r>
    </w:p>
  </w:footnote>
  <w:footnote w:id="4">
    <w:p w14:paraId="5BB8479D" w14:textId="77777777" w:rsidR="00A76E6A" w:rsidRDefault="00A76E6A" w:rsidP="00A76E6A">
      <w:pPr>
        <w:pStyle w:val="Voetnoottekst"/>
      </w:pPr>
      <w:r>
        <w:rPr>
          <w:rStyle w:val="Voetnootmarkering"/>
        </w:rPr>
        <w:footnoteRef/>
      </w:r>
      <w:r>
        <w:t xml:space="preserve"> Bron: DUO.</w:t>
      </w:r>
    </w:p>
  </w:footnote>
  <w:footnote w:id="5">
    <w:p w14:paraId="47A03CA8" w14:textId="77777777" w:rsidR="00A76E6A" w:rsidRDefault="00A76E6A" w:rsidP="00A76E6A">
      <w:pPr>
        <w:pStyle w:val="Voetnoottekst"/>
      </w:pPr>
      <w:r>
        <w:rPr>
          <w:rStyle w:val="Voetnootmarkering"/>
        </w:rPr>
        <w:footnoteRef/>
      </w:r>
      <w:r>
        <w:t xml:space="preserve"> </w:t>
      </w:r>
      <w:proofErr w:type="spellStart"/>
      <w:r>
        <w:t>ResearchNed</w:t>
      </w:r>
      <w:proofErr w:type="spellEnd"/>
      <w:r>
        <w:t>: Monitor beleidsmaatregelen 2022-2023.</w:t>
      </w:r>
    </w:p>
  </w:footnote>
  <w:footnote w:id="6">
    <w:p w14:paraId="6943E513" w14:textId="77777777" w:rsidR="00A76E6A" w:rsidRDefault="00A76E6A" w:rsidP="00A76E6A">
      <w:pPr>
        <w:pStyle w:val="Voetnoottekst"/>
      </w:pPr>
      <w:r>
        <w:rPr>
          <w:rStyle w:val="Voetnootmarkering"/>
        </w:rPr>
        <w:footnoteRef/>
      </w:r>
      <w:r>
        <w:t xml:space="preserve"> In het verlengde daarvan kan binnen de Europese Unie en het vrij verkeer van personen geen onderscheid worden gemaakt naar nationaliteit.</w:t>
      </w:r>
    </w:p>
  </w:footnote>
  <w:footnote w:id="7">
    <w:p w14:paraId="6CB80741" w14:textId="77777777" w:rsidR="00A76E6A" w:rsidRDefault="00A76E6A" w:rsidP="00A76E6A">
      <w:pPr>
        <w:pStyle w:val="Voetnoottekst"/>
      </w:pPr>
      <w:r>
        <w:rPr>
          <w:rStyle w:val="Voetnootmarkering"/>
        </w:rPr>
        <w:footnoteRef/>
      </w:r>
      <w:r>
        <w:t xml:space="preserve"> In het hbo staan in de sectoren techniek, en landbouw en natuurlijke omgeving 231 voltijd bacheloropleidingen geregistreerd, waarvan 3 (1,3%) een </w:t>
      </w:r>
      <w:proofErr w:type="spellStart"/>
      <w:r>
        <w:t>numerus</w:t>
      </w:r>
      <w:proofErr w:type="spellEnd"/>
      <w:r>
        <w:t xml:space="preserve"> fixus hebben; in het wo gaat het binnen de sectoren techniek, natuur en landbouw en natuurlijke omgeving om 128 voltijd bacheloropleidingen, waarvan 12 (9,4%) een </w:t>
      </w:r>
      <w:proofErr w:type="spellStart"/>
      <w:r>
        <w:t>numerus</w:t>
      </w:r>
      <w:proofErr w:type="spellEnd"/>
      <w:r>
        <w:t xml:space="preserve"> fixus hebben. In totaal gaat het dus om 4,2% (15/359) van de opleidingen in deze sectoren die een </w:t>
      </w:r>
      <w:proofErr w:type="spellStart"/>
      <w:r>
        <w:t>numerus</w:t>
      </w:r>
      <w:proofErr w:type="spellEnd"/>
      <w:r>
        <w:t xml:space="preserve"> fixus heeft. Bron: DUO, Studiejaar 2025/2026.</w:t>
      </w:r>
    </w:p>
  </w:footnote>
  <w:footnote w:id="8">
    <w:p w14:paraId="6AFB4464" w14:textId="77777777" w:rsidR="00A76E6A" w:rsidRDefault="00A76E6A" w:rsidP="00A76E6A">
      <w:pPr>
        <w:pStyle w:val="Voetnoottekst"/>
      </w:pPr>
      <w:r>
        <w:rPr>
          <w:rStyle w:val="Voetnootmarkering"/>
        </w:rPr>
        <w:footnoteRef/>
      </w:r>
      <w:r>
        <w:t xml:space="preserve"> </w:t>
      </w:r>
      <w:proofErr w:type="spellStart"/>
      <w:r>
        <w:t>Mechanical</w:t>
      </w:r>
      <w:proofErr w:type="spellEnd"/>
      <w:r>
        <w:t xml:space="preserve"> Engineering heeft bijvoorbeeld aan de TU/e een </w:t>
      </w:r>
      <w:proofErr w:type="spellStart"/>
      <w:r>
        <w:t>numerus</w:t>
      </w:r>
      <w:proofErr w:type="spellEnd"/>
      <w:r>
        <w:t xml:space="preserve"> fixus, maar is aan de Universiteit Twente en TU Delft (in het Nederlands, als Werktuigbouwkunde) vrij toegankelijk.</w:t>
      </w:r>
    </w:p>
  </w:footnote>
  <w:footnote w:id="9">
    <w:p w14:paraId="447BB33A" w14:textId="77777777" w:rsidR="00A76E6A" w:rsidRDefault="00A76E6A" w:rsidP="00A76E6A">
      <w:pPr>
        <w:pStyle w:val="Voetnoottekst"/>
      </w:pPr>
      <w:r>
        <w:rPr>
          <w:rStyle w:val="Voetnootmarkering"/>
        </w:rPr>
        <w:footnoteRef/>
      </w:r>
      <w:r>
        <w:t xml:space="preserve"> </w:t>
      </w:r>
      <w:proofErr w:type="spellStart"/>
      <w:r>
        <w:t>ResearchNed</w:t>
      </w:r>
      <w:proofErr w:type="spellEnd"/>
      <w:r>
        <w:t>: Monitor beleidsmaatregelen 2022-2023.</w:t>
      </w:r>
    </w:p>
  </w:footnote>
  <w:footnote w:id="10">
    <w:p w14:paraId="58979E7F" w14:textId="77777777" w:rsidR="00A76E6A" w:rsidRDefault="00A76E6A" w:rsidP="00A76E6A">
      <w:pPr>
        <w:pStyle w:val="Voetnoottekst"/>
      </w:pPr>
      <w:r>
        <w:rPr>
          <w:rStyle w:val="Voetnootmarkering"/>
        </w:rPr>
        <w:footnoteRef/>
      </w:r>
      <w:r>
        <w:t xml:space="preserve"> Zie antwoord op vragen 4, 5 en 6.</w:t>
      </w:r>
    </w:p>
  </w:footnote>
  <w:footnote w:id="11">
    <w:p w14:paraId="4BA85397" w14:textId="77777777" w:rsidR="00A76E6A" w:rsidRDefault="00A76E6A" w:rsidP="00A76E6A">
      <w:pPr>
        <w:pStyle w:val="Voetnoottekst"/>
      </w:pPr>
      <w:r>
        <w:rPr>
          <w:rStyle w:val="Voetnootmarkering"/>
        </w:rPr>
        <w:footnoteRef/>
      </w:r>
      <w:r>
        <w:t xml:space="preserve"> </w:t>
      </w:r>
      <w:proofErr w:type="spellStart"/>
      <w:r>
        <w:t>Mechanical</w:t>
      </w:r>
      <w:proofErr w:type="spellEnd"/>
      <w:r>
        <w:t xml:space="preserve"> Engineering heeft aan de TU/e een </w:t>
      </w:r>
      <w:proofErr w:type="spellStart"/>
      <w:r>
        <w:t>numerus</w:t>
      </w:r>
      <w:proofErr w:type="spellEnd"/>
      <w:r>
        <w:t xml:space="preserve"> fixus, maar is aan de Universiteit Twente en TU Delft (in het Nederlands, als Werktuigbouwkunde) vrij toegankelijk.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D933" w14:textId="77777777" w:rsidR="00A76E6A" w:rsidRPr="00A76E6A" w:rsidRDefault="00A76E6A" w:rsidP="00A76E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06BF" w14:textId="77777777" w:rsidR="00A76E6A" w:rsidRPr="00A76E6A" w:rsidRDefault="00A76E6A" w:rsidP="00A76E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483F" w14:textId="77777777" w:rsidR="00A76E6A" w:rsidRPr="00A76E6A" w:rsidRDefault="00A76E6A" w:rsidP="00A76E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6A"/>
    <w:rsid w:val="002632AB"/>
    <w:rsid w:val="002C3023"/>
    <w:rsid w:val="00615F98"/>
    <w:rsid w:val="00A76E6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CCC2"/>
  <w15:chartTrackingRefBased/>
  <w15:docId w15:val="{257E0EF3-B3CD-4030-93B3-56F9EFBC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6E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6E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6E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6E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6E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6E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6E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6E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6E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6E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6E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6E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6E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6E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6E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6E6A"/>
    <w:rPr>
      <w:rFonts w:eastAsiaTheme="majorEastAsia" w:cstheme="majorBidi"/>
      <w:color w:val="272727" w:themeColor="text1" w:themeTint="D8"/>
    </w:rPr>
  </w:style>
  <w:style w:type="paragraph" w:styleId="Titel">
    <w:name w:val="Title"/>
    <w:basedOn w:val="Standaard"/>
    <w:next w:val="Standaard"/>
    <w:link w:val="TitelChar"/>
    <w:uiPriority w:val="10"/>
    <w:qFormat/>
    <w:rsid w:val="00A7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6E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6E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6E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6E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6E6A"/>
    <w:rPr>
      <w:i/>
      <w:iCs/>
      <w:color w:val="404040" w:themeColor="text1" w:themeTint="BF"/>
    </w:rPr>
  </w:style>
  <w:style w:type="paragraph" w:styleId="Lijstalinea">
    <w:name w:val="List Paragraph"/>
    <w:basedOn w:val="Standaard"/>
    <w:uiPriority w:val="34"/>
    <w:qFormat/>
    <w:rsid w:val="00A76E6A"/>
    <w:pPr>
      <w:ind w:left="720"/>
      <w:contextualSpacing/>
    </w:pPr>
  </w:style>
  <w:style w:type="character" w:styleId="Intensievebenadrukking">
    <w:name w:val="Intense Emphasis"/>
    <w:basedOn w:val="Standaardalinea-lettertype"/>
    <w:uiPriority w:val="21"/>
    <w:qFormat/>
    <w:rsid w:val="00A76E6A"/>
    <w:rPr>
      <w:i/>
      <w:iCs/>
      <w:color w:val="0F4761" w:themeColor="accent1" w:themeShade="BF"/>
    </w:rPr>
  </w:style>
  <w:style w:type="paragraph" w:styleId="Duidelijkcitaat">
    <w:name w:val="Intense Quote"/>
    <w:basedOn w:val="Standaard"/>
    <w:next w:val="Standaard"/>
    <w:link w:val="DuidelijkcitaatChar"/>
    <w:uiPriority w:val="30"/>
    <w:qFormat/>
    <w:rsid w:val="00A7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6E6A"/>
    <w:rPr>
      <w:i/>
      <w:iCs/>
      <w:color w:val="0F4761" w:themeColor="accent1" w:themeShade="BF"/>
    </w:rPr>
  </w:style>
  <w:style w:type="character" w:styleId="Intensieveverwijzing">
    <w:name w:val="Intense Reference"/>
    <w:basedOn w:val="Standaardalinea-lettertype"/>
    <w:uiPriority w:val="32"/>
    <w:qFormat/>
    <w:rsid w:val="00A76E6A"/>
    <w:rPr>
      <w:b/>
      <w:bCs/>
      <w:smallCaps/>
      <w:color w:val="0F4761" w:themeColor="accent1" w:themeShade="BF"/>
      <w:spacing w:val="5"/>
    </w:rPr>
  </w:style>
  <w:style w:type="paragraph" w:styleId="Koptekst">
    <w:name w:val="header"/>
    <w:basedOn w:val="Standaard"/>
    <w:link w:val="KoptekstChar"/>
    <w:rsid w:val="00A76E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76E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76E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76E6A"/>
    <w:rPr>
      <w:rFonts w:ascii="Verdana" w:eastAsia="Times New Roman" w:hAnsi="Verdana" w:cs="Times New Roman"/>
      <w:kern w:val="0"/>
      <w:sz w:val="18"/>
      <w:szCs w:val="24"/>
      <w:lang w:eastAsia="nl-NL"/>
      <w14:ligatures w14:val="none"/>
    </w:rPr>
  </w:style>
  <w:style w:type="table" w:styleId="Tabelraster">
    <w:name w:val="Table Grid"/>
    <w:basedOn w:val="Standaardtabel"/>
    <w:rsid w:val="00A76E6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A76E6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76E6A"/>
    <w:rPr>
      <w:rFonts w:ascii="Verdana" w:hAnsi="Verdana"/>
      <w:noProof/>
      <w:sz w:val="13"/>
      <w:szCs w:val="24"/>
      <w:lang w:eastAsia="nl-NL"/>
    </w:rPr>
  </w:style>
  <w:style w:type="paragraph" w:customStyle="1" w:styleId="Huisstijl-Gegeven">
    <w:name w:val="Huisstijl-Gegeven"/>
    <w:basedOn w:val="Standaard"/>
    <w:link w:val="Huisstijl-GegevenCharChar"/>
    <w:rsid w:val="00A76E6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76E6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A76E6A"/>
    <w:rPr>
      <w:color w:val="0000FF"/>
      <w:u w:val="single"/>
    </w:rPr>
  </w:style>
  <w:style w:type="character" w:customStyle="1" w:styleId="Huisstijl-AdresChar">
    <w:name w:val="Huisstijl-Adres Char"/>
    <w:link w:val="Huisstijl-Adres"/>
    <w:locked/>
    <w:rsid w:val="00A76E6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76E6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76E6A"/>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A76E6A"/>
    <w:rPr>
      <w:rFonts w:ascii="Verdana" w:eastAsia="Times New Roman" w:hAnsi="Verdana" w:cs="Times New Roman"/>
      <w:kern w:val="0"/>
      <w:sz w:val="16"/>
      <w:szCs w:val="20"/>
      <w:lang w:eastAsia="nl-NL"/>
      <w14:ligatures w14:val="none"/>
    </w:rPr>
  </w:style>
  <w:style w:type="paragraph" w:customStyle="1" w:styleId="standaard-tekst">
    <w:name w:val="standaard-tekst"/>
    <w:basedOn w:val="Standaard"/>
    <w:rsid w:val="00A76E6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A76E6A"/>
    <w:rPr>
      <w:vertAlign w:val="superscript"/>
    </w:rPr>
  </w:style>
  <w:style w:type="paragraph" w:styleId="Geenafstand">
    <w:name w:val="No Spacing"/>
    <w:uiPriority w:val="1"/>
    <w:qFormat/>
    <w:rsid w:val="00A76E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ursor.tue.nl/opinie/boudewijn-van-dongen/numerus-fixus-circ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2382</ap:Words>
  <ap:Characters>13107</ap:Characters>
  <ap:DocSecurity>0</ap:DocSecurity>
  <ap:Lines>109</ap:Lines>
  <ap:Paragraphs>30</ap:Paragraphs>
  <ap:ScaleCrop>false</ap:ScaleCrop>
  <ap:LinksUpToDate>false</ap:LinksUpToDate>
  <ap:CharactersWithSpaces>15459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2026-06-08T10:40:00.0000000Z</dcterms:created>
  <dcterms:modified xsi:type="dcterms:W3CDTF">2026-06-08T10:42:00.0000000Z</dcterms:modified>
  <version/>
  <category/>
</coreProperties>
</file>