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B45D2" w:rsidR="00115C9B" w:rsidP="00115C9B" w:rsidRDefault="00115C9B" w14:paraId="5342D627" w14:textId="28369164">
      <w:pPr>
        <w:spacing w:line="240" w:lineRule="auto"/>
        <w:rPr>
          <w:szCs w:val="18"/>
          <w:lang w:val="nl-NL"/>
        </w:rPr>
      </w:pPr>
      <w:r w:rsidRPr="009B45D2">
        <w:rPr>
          <w:szCs w:val="18"/>
          <w:lang w:val="nl-NL"/>
        </w:rPr>
        <w:t>Bijgaand treft u een reactie op de</w:t>
      </w:r>
      <w:r>
        <w:rPr>
          <w:szCs w:val="18"/>
          <w:lang w:val="nl-NL"/>
        </w:rPr>
        <w:t xml:space="preserve"> ingediende moties tijdens het WGO over de 1</w:t>
      </w:r>
      <w:r w:rsidRPr="00115C9B">
        <w:rPr>
          <w:szCs w:val="18"/>
          <w:vertAlign w:val="superscript"/>
          <w:lang w:val="nl-NL"/>
        </w:rPr>
        <w:t>e</w:t>
      </w:r>
      <w:r>
        <w:rPr>
          <w:szCs w:val="18"/>
          <w:lang w:val="nl-NL"/>
        </w:rPr>
        <w:t xml:space="preserve"> suppletoire begroting VWS 2026 van 1 juni jl. </w:t>
      </w:r>
    </w:p>
    <w:p w:rsidR="00B06701" w:rsidRDefault="00B06701" w14:paraId="6B97685D" w14:textId="77777777">
      <w:pPr>
        <w:rPr>
          <w:lang w:val="nl-NL"/>
        </w:rPr>
      </w:pPr>
    </w:p>
    <w:p w:rsidR="00115C9B" w:rsidP="00115C9B" w:rsidRDefault="00115C9B" w14:paraId="5821FA17" w14:textId="2D8CA446">
      <w:pPr>
        <w:rPr>
          <w:b/>
          <w:bCs/>
          <w:lang w:val="nl-NL"/>
        </w:rPr>
      </w:pPr>
      <w:r>
        <w:rPr>
          <w:b/>
          <w:bCs/>
          <w:lang w:val="nl-NL"/>
        </w:rPr>
        <w:t>Motie TK 36915-XVI nr. 12 van het lid Tijmstra (CDA) over leegstaande bedden in verpleeghuizen inzetten voor logeerzorg ter ondersteuning van mantelzorgers.</w:t>
      </w:r>
    </w:p>
    <w:p w:rsidRPr="00AC3E25" w:rsidR="00AC3E25" w:rsidP="00AC3E25" w:rsidRDefault="00AC3E25" w14:paraId="31D36CB2" w14:textId="6826799B">
      <w:pPr>
        <w:rPr>
          <w:lang w:val="nl-NL"/>
        </w:rPr>
      </w:pPr>
      <w:r w:rsidRPr="00AC3E25">
        <w:rPr>
          <w:lang w:val="nl-NL"/>
        </w:rPr>
        <w:t>Het kabinet staat achter het idee van deze motie</w:t>
      </w:r>
      <w:r w:rsidR="00954350">
        <w:rPr>
          <w:lang w:val="nl-NL"/>
        </w:rPr>
        <w:t>. A</w:t>
      </w:r>
      <w:r w:rsidRPr="00AC3E25">
        <w:rPr>
          <w:lang w:val="nl-NL"/>
        </w:rPr>
        <w:t xml:space="preserve">ls de motie zo geïnterpreteerd mag worden dat deze vraagt om met ZN en ActiZ te verkennen welke mogelijkheden er zijn voor het benutten van leegstaande capaciteit bij verpleeghuizen voor logeerzorg laat ik het oordeel van deze motie aan de Kamer. </w:t>
      </w:r>
    </w:p>
    <w:p w:rsidR="00115C9B" w:rsidRDefault="00115C9B" w14:paraId="00582649" w14:textId="77777777">
      <w:pPr>
        <w:rPr>
          <w:lang w:val="nl-NL"/>
        </w:rPr>
      </w:pPr>
    </w:p>
    <w:p w:rsidR="00115C9B" w:rsidP="00115C9B" w:rsidRDefault="00115C9B" w14:paraId="678A2C3B" w14:textId="213A240D">
      <w:pPr>
        <w:rPr>
          <w:b/>
          <w:bCs/>
          <w:lang w:val="nl-NL"/>
        </w:rPr>
      </w:pPr>
      <w:bookmarkStart w:name="_Hlk231553012" w:id="0"/>
      <w:r>
        <w:rPr>
          <w:b/>
          <w:bCs/>
          <w:lang w:val="nl-NL"/>
        </w:rPr>
        <w:t xml:space="preserve">Motie TK 36915-XVI nr. 13 van het lid van Brenk (50Plus) en Bushoff (PvdA/GL) over </w:t>
      </w:r>
      <w:r w:rsidRPr="00115C9B">
        <w:rPr>
          <w:b/>
          <w:bCs/>
          <w:lang w:val="nl-NL"/>
        </w:rPr>
        <w:t>verpleeghuisbewoners met hun Wlz-indicaties aanspraak laten maken op een gordelroosvaccinatie</w:t>
      </w:r>
    </w:p>
    <w:p w:rsidR="00115C9B" w:rsidRDefault="00954350" w14:paraId="2A38FE8D" w14:textId="05C9B155">
      <w:pPr>
        <w:rPr>
          <w:lang w:val="nl-NL"/>
        </w:rPr>
      </w:pPr>
      <w:r>
        <w:rPr>
          <w:lang w:val="nl-NL"/>
        </w:rPr>
        <w:t>V</w:t>
      </w:r>
      <w:r w:rsidR="00002B2D">
        <w:rPr>
          <w:lang w:val="nl-NL"/>
        </w:rPr>
        <w:t>oor specifieke medische risicogroepen</w:t>
      </w:r>
      <w:r>
        <w:rPr>
          <w:lang w:val="nl-NL"/>
        </w:rPr>
        <w:t xml:space="preserve"> wordt</w:t>
      </w:r>
      <w:r w:rsidR="00002B2D">
        <w:rPr>
          <w:lang w:val="nl-NL"/>
        </w:rPr>
        <w:t xml:space="preserve"> de gordelroosvaccinatie vergoed. </w:t>
      </w:r>
      <w:r>
        <w:rPr>
          <w:lang w:val="nl-NL"/>
        </w:rPr>
        <w:t>Een Wlz-indicatie is daarbij geen uitsluitend criterium. Daarnaast is het gordelroosvaccin erg duur en het geld dat voor gordelroosvaccinatie beschikbaar is, is beperkt.</w:t>
      </w:r>
      <w:r w:rsidR="000F4067">
        <w:rPr>
          <w:lang w:val="nl-NL"/>
        </w:rPr>
        <w:t xml:space="preserve"> Dit heeft het kabinet eerder nader toegelicht in </w:t>
      </w:r>
      <w:r w:rsidR="00854241">
        <w:rPr>
          <w:lang w:val="nl-NL"/>
        </w:rPr>
        <w:t xml:space="preserve">de </w:t>
      </w:r>
      <w:r w:rsidR="000F4067">
        <w:rPr>
          <w:lang w:val="nl-NL"/>
        </w:rPr>
        <w:t>Kamerbrief</w:t>
      </w:r>
      <w:r w:rsidR="00854241">
        <w:rPr>
          <w:lang w:val="nl-NL"/>
        </w:rPr>
        <w:t xml:space="preserve"> over het RIVM advies voor gordelroosvaccinatie van 12 februari 2026</w:t>
      </w:r>
      <w:r w:rsidR="00854241">
        <w:rPr>
          <w:rStyle w:val="Voetnootmarkering"/>
          <w:lang w:val="nl-NL"/>
        </w:rPr>
        <w:footnoteReference w:id="1"/>
      </w:r>
      <w:r w:rsidR="000F4067">
        <w:rPr>
          <w:lang w:val="nl-NL"/>
        </w:rPr>
        <w:t>.</w:t>
      </w:r>
      <w:r>
        <w:rPr>
          <w:lang w:val="nl-NL"/>
        </w:rPr>
        <w:t xml:space="preserve"> </w:t>
      </w:r>
      <w:r w:rsidRPr="0073156A" w:rsidR="0073156A">
        <w:rPr>
          <w:lang w:val="nl-NL"/>
        </w:rPr>
        <w:t xml:space="preserve">Voor een verdere verbreding van de groep die aanspraak kan maken op het gordelroosvaccin is momenteel geen dekking. </w:t>
      </w:r>
    </w:p>
    <w:p w:rsidR="00002B2D" w:rsidP="00002B2D" w:rsidRDefault="00002B2D" w14:paraId="79129D1E" w14:textId="77777777">
      <w:pPr>
        <w:rPr>
          <w:lang w:val="nl-NL"/>
        </w:rPr>
      </w:pPr>
      <w:r>
        <w:rPr>
          <w:lang w:val="nl-NL"/>
        </w:rPr>
        <w:t>In het licht van het voorgaande ontraadt het kabinet deze motie.</w:t>
      </w:r>
    </w:p>
    <w:bookmarkEnd w:id="0"/>
    <w:p w:rsidR="00115C9B" w:rsidRDefault="00115C9B" w14:paraId="4EAC72FD" w14:textId="77777777">
      <w:pPr>
        <w:rPr>
          <w:lang w:val="nl-NL"/>
        </w:rPr>
      </w:pPr>
    </w:p>
    <w:p w:rsidR="00115C9B" w:rsidP="00115C9B" w:rsidRDefault="00115C9B" w14:paraId="4B0025F2" w14:textId="152BFC99">
      <w:pPr>
        <w:rPr>
          <w:b/>
          <w:bCs/>
          <w:lang w:val="nl-NL"/>
        </w:rPr>
      </w:pPr>
      <w:r>
        <w:rPr>
          <w:b/>
          <w:bCs/>
          <w:lang w:val="nl-NL"/>
        </w:rPr>
        <w:t xml:space="preserve">Motie TK 36915-XVI nr. 14 van het lid van Brenk (50Plus) </w:t>
      </w:r>
      <w:r w:rsidRPr="00115C9B">
        <w:rPr>
          <w:b/>
          <w:bCs/>
          <w:lang w:val="nl-NL"/>
        </w:rPr>
        <w:t>over bewerkstelligen dat mensen weten hoe hoog de eigen bijdrage is voordat zij een Wlz-indicatie aanvragen</w:t>
      </w:r>
    </w:p>
    <w:p w:rsidR="00002B2D" w:rsidRDefault="00002B2D" w14:paraId="7CA72344" w14:textId="192317E5">
      <w:pPr>
        <w:rPr>
          <w:lang w:val="nl-NL"/>
        </w:rPr>
      </w:pPr>
      <w:r>
        <w:rPr>
          <w:lang w:val="nl-NL"/>
        </w:rPr>
        <w:t>Er is</w:t>
      </w:r>
      <w:r w:rsidR="0073156A">
        <w:rPr>
          <w:lang w:val="nl-NL"/>
        </w:rPr>
        <w:t xml:space="preserve"> reeds</w:t>
      </w:r>
      <w:r>
        <w:rPr>
          <w:lang w:val="nl-NL"/>
        </w:rPr>
        <w:t xml:space="preserve"> een groot aantal mogelijkheden om informatie op te vragen over de eigen bijdrage Wlz zowel van de overheid, bijvoorbeeld Regelhulp.nl als bij belangenorganisaties als ANBO. Daarnaast kan iedereen op de website van het CAK uitrekenen hoe hoog de bijdrage voor de Wlz is. </w:t>
      </w:r>
      <w:r w:rsidR="00954350">
        <w:rPr>
          <w:lang w:val="nl-NL"/>
        </w:rPr>
        <w:t>Ook informeert het CIZ tijdens het indicatiestellingsproces over de gevolgen van een indicatie voor de Wlz.</w:t>
      </w:r>
    </w:p>
    <w:p w:rsidR="00002B2D" w:rsidP="00002B2D" w:rsidRDefault="00002B2D" w14:paraId="375D0AA0" w14:textId="77777777">
      <w:pPr>
        <w:rPr>
          <w:lang w:val="nl-NL"/>
        </w:rPr>
      </w:pPr>
      <w:r>
        <w:rPr>
          <w:lang w:val="nl-NL"/>
        </w:rPr>
        <w:t>In het licht van het voorgaande ontraadt het kabinet deze motie.</w:t>
      </w:r>
    </w:p>
    <w:p w:rsidR="00115C9B" w:rsidRDefault="00115C9B" w14:paraId="33782416" w14:textId="77777777">
      <w:pPr>
        <w:rPr>
          <w:lang w:val="nl-NL"/>
        </w:rPr>
      </w:pPr>
    </w:p>
    <w:p w:rsidR="00115C9B" w:rsidP="00115C9B" w:rsidRDefault="00115C9B" w14:paraId="1D4C4C40" w14:textId="54AD56BE">
      <w:pPr>
        <w:rPr>
          <w:b/>
          <w:bCs/>
          <w:lang w:val="nl-NL"/>
        </w:rPr>
      </w:pPr>
      <w:r>
        <w:rPr>
          <w:b/>
          <w:bCs/>
          <w:lang w:val="nl-NL"/>
        </w:rPr>
        <w:t xml:space="preserve">Motie TK 36915-XVI nr. 15 van het lid van Brenk (50Plus) </w:t>
      </w:r>
      <w:r w:rsidRPr="00115C9B">
        <w:rPr>
          <w:b/>
          <w:bCs/>
          <w:lang w:val="nl-NL"/>
        </w:rPr>
        <w:t>over het mogelijk maken dat een Wlz-indicatie wordt ingetrokken</w:t>
      </w:r>
    </w:p>
    <w:p w:rsidRPr="007860F1" w:rsidR="00124EE8" w:rsidRDefault="007860F1" w14:paraId="1B8D01D3" w14:textId="3DC3CE69">
      <w:pPr>
        <w:rPr>
          <w:lang w:val="nl-NL"/>
        </w:rPr>
      </w:pPr>
      <w:r w:rsidRPr="008D608C">
        <w:rPr>
          <w:lang w:val="nl-NL"/>
        </w:rPr>
        <w:t>Zoals toegezegd tijdens het commissiedebat Ouderenzorg op 4 juni 2026 informeer</w:t>
      </w:r>
      <w:r w:rsidR="004E6C15">
        <w:rPr>
          <w:lang w:val="nl-NL"/>
        </w:rPr>
        <w:t>t het kabinet</w:t>
      </w:r>
      <w:r w:rsidRPr="008D608C">
        <w:rPr>
          <w:lang w:val="nl-NL"/>
        </w:rPr>
        <w:t xml:space="preserve"> u hierbij over de intrekkingsbevoegdheid van het CIZ. Het CIZ beschikt op dit moment al over de bevoegdheid om een zorgprofiel te herzien of een indicatie in te trekken onder specifieke voorwaarden, waaronder in het geval van fraude. Deze bevoegdheid is vastgelegd in artikel 3.2.4 van de Wet langdurige zorg. De Centrale Raad van Beroep heeft in verschillende uitspraken geoordeeld dat het CIZ toch in bepaalde situaties een indicatie niet kon intrekken, omdat hiervoor geen wettelijke grondslag bestond.</w:t>
      </w:r>
      <w:r>
        <w:rPr>
          <w:lang w:val="nl-NL"/>
        </w:rPr>
        <w:t xml:space="preserve"> </w:t>
      </w:r>
    </w:p>
    <w:p w:rsidR="007860F1" w:rsidP="007860F1" w:rsidRDefault="007860F1" w14:paraId="76632D08" w14:textId="037A7E95">
      <w:pPr>
        <w:rPr>
          <w:lang w:val="nl-NL"/>
        </w:rPr>
      </w:pPr>
      <w:r w:rsidRPr="008D608C">
        <w:rPr>
          <w:lang w:val="nl-NL"/>
        </w:rPr>
        <w:t>Naar aanleiding van deze uitspraken</w:t>
      </w:r>
      <w:r w:rsidR="004E6C15">
        <w:rPr>
          <w:lang w:val="nl-NL"/>
        </w:rPr>
        <w:t xml:space="preserve"> is het kabinet</w:t>
      </w:r>
      <w:r w:rsidRPr="008D608C">
        <w:rPr>
          <w:lang w:val="nl-NL"/>
        </w:rPr>
        <w:t xml:space="preserve"> met het CIZ in gesprek over de vraag hoe zij in de praktijk nog beter gebruik kunnen maken van deze intrekkingsbevoegdheid en of aanpassing van de wetgeving nodig is. </w:t>
      </w:r>
      <w:r w:rsidR="004E6C15">
        <w:rPr>
          <w:lang w:val="nl-NL"/>
        </w:rPr>
        <w:t>Het</w:t>
      </w:r>
      <w:r w:rsidRPr="008D608C">
        <w:rPr>
          <w:lang w:val="nl-NL"/>
        </w:rPr>
        <w:t xml:space="preserve"> streven is om daar eind dit jaar duidelijkheid over te hebben.</w:t>
      </w:r>
    </w:p>
    <w:p w:rsidR="00002B2D" w:rsidP="007860F1" w:rsidRDefault="00002B2D" w14:paraId="7032AA99" w14:textId="77777777">
      <w:pPr>
        <w:rPr>
          <w:lang w:val="nl-NL"/>
        </w:rPr>
      </w:pPr>
      <w:r>
        <w:rPr>
          <w:lang w:val="nl-NL"/>
        </w:rPr>
        <w:t xml:space="preserve">In het licht van het voorgaande laat het kabinet het oordeel aan de Kamer. </w:t>
      </w:r>
    </w:p>
    <w:p w:rsidR="00115C9B" w:rsidRDefault="00115C9B" w14:paraId="65299A97" w14:textId="77777777">
      <w:pPr>
        <w:rPr>
          <w:lang w:val="nl-NL"/>
        </w:rPr>
      </w:pPr>
    </w:p>
    <w:p w:rsidR="00115C9B" w:rsidP="00115C9B" w:rsidRDefault="00115C9B" w14:paraId="0758F743" w14:textId="459E2B8D">
      <w:pPr>
        <w:rPr>
          <w:b/>
          <w:bCs/>
          <w:lang w:val="nl-NL"/>
        </w:rPr>
      </w:pPr>
      <w:r>
        <w:rPr>
          <w:b/>
          <w:bCs/>
          <w:lang w:val="nl-NL"/>
        </w:rPr>
        <w:lastRenderedPageBreak/>
        <w:t xml:space="preserve">Motie TK 36915-XVI nr. 16 van het lid Dobbe (SP) </w:t>
      </w:r>
      <w:r w:rsidRPr="00115C9B">
        <w:rPr>
          <w:b/>
          <w:bCs/>
          <w:lang w:val="nl-NL"/>
        </w:rPr>
        <w:t>over de automatische verhoging van het eigen risico per 2027 niet door te laten gaan</w:t>
      </w:r>
      <w:r>
        <w:rPr>
          <w:b/>
          <w:bCs/>
          <w:lang w:val="nl-NL"/>
        </w:rPr>
        <w:t>.</w:t>
      </w:r>
    </w:p>
    <w:p w:rsidRPr="00002B2D" w:rsidR="00002B2D" w:rsidP="00002B2D" w:rsidRDefault="00002B2D" w14:paraId="0A60FFB0" w14:textId="68C1F808">
      <w:pPr>
        <w:rPr>
          <w:lang w:val="nl-NL"/>
        </w:rPr>
      </w:pPr>
      <w:r>
        <w:rPr>
          <w:lang w:val="nl-NL"/>
        </w:rPr>
        <w:t xml:space="preserve">Om de zorg betaalbaar en toegankelijk te houden </w:t>
      </w:r>
      <w:r w:rsidRPr="00002B2D">
        <w:rPr>
          <w:lang w:val="nl-NL"/>
        </w:rPr>
        <w:t>kiest het kabinet voor hervormingen, waaronder een hoger verplicht eigen risico.</w:t>
      </w:r>
      <w:r>
        <w:rPr>
          <w:lang w:val="nl-NL"/>
        </w:rPr>
        <w:t xml:space="preserve"> </w:t>
      </w:r>
      <w:r w:rsidRPr="0073156A" w:rsidR="0073156A">
        <w:rPr>
          <w:lang w:val="nl-NL"/>
        </w:rPr>
        <w:t>Deze maatregel is reeds nader toegelicht in het wetsvoorstel dat de Kamer in behandeling heeft.</w:t>
      </w:r>
      <w:r w:rsidR="0073156A">
        <w:rPr>
          <w:lang w:val="nl-NL"/>
        </w:rPr>
        <w:t xml:space="preserve"> </w:t>
      </w:r>
    </w:p>
    <w:p w:rsidR="009F615C" w:rsidP="009F615C" w:rsidRDefault="009F615C" w14:paraId="34379083" w14:textId="77777777">
      <w:pPr>
        <w:rPr>
          <w:lang w:val="nl-NL"/>
        </w:rPr>
      </w:pPr>
      <w:r>
        <w:rPr>
          <w:lang w:val="nl-NL"/>
        </w:rPr>
        <w:t>In het licht van het voorgaande ontraadt het kabinet deze motie.</w:t>
      </w:r>
    </w:p>
    <w:p w:rsidR="00115C9B" w:rsidRDefault="00115C9B" w14:paraId="1032A536" w14:textId="77777777">
      <w:pPr>
        <w:rPr>
          <w:lang w:val="nl-NL"/>
        </w:rPr>
      </w:pPr>
    </w:p>
    <w:p w:rsidR="00115C9B" w:rsidP="00115C9B" w:rsidRDefault="00115C9B" w14:paraId="1A0A8660" w14:textId="456BEFAB">
      <w:pPr>
        <w:rPr>
          <w:b/>
          <w:bCs/>
          <w:lang w:val="nl-NL"/>
        </w:rPr>
      </w:pPr>
      <w:r>
        <w:rPr>
          <w:b/>
          <w:bCs/>
          <w:lang w:val="nl-NL"/>
        </w:rPr>
        <w:t xml:space="preserve">Motie TK 36915-XVI nr. 17 van het lid Dobbe (SP) </w:t>
      </w:r>
      <w:r w:rsidRPr="00115C9B">
        <w:rPr>
          <w:b/>
          <w:bCs/>
          <w:lang w:val="nl-NL"/>
        </w:rPr>
        <w:t>over onderzoeken hoeveel zorggeld er jaarlijks wordt uitgegeven aan andere doeleinden dan het leveren van zorg</w:t>
      </w:r>
    </w:p>
    <w:p w:rsidRPr="0070616A" w:rsidR="0070616A" w:rsidP="0070616A" w:rsidRDefault="0070616A" w14:paraId="2C5F9C25" w14:textId="5D698A57">
      <w:pPr>
        <w:rPr>
          <w:lang w:val="nl-NL"/>
        </w:rPr>
      </w:pPr>
      <w:r w:rsidRPr="0070616A">
        <w:rPr>
          <w:lang w:val="nl-NL"/>
        </w:rPr>
        <w:t xml:space="preserve">Zorgaanbieders zijn zelf verantwoordelijk voor de besteding van hun middelen binnen de geldende wet- en regelgeving. Zij verantwoorden zich hierover in de jaarverantwoording zorg. </w:t>
      </w:r>
    </w:p>
    <w:p w:rsidRPr="0070616A" w:rsidR="0070616A" w:rsidP="0070616A" w:rsidRDefault="009F3A8A" w14:paraId="628BDCF8" w14:textId="0A8EB968">
      <w:pPr>
        <w:rPr>
          <w:lang w:val="nl-NL"/>
        </w:rPr>
      </w:pPr>
      <w:r>
        <w:rPr>
          <w:lang w:val="nl-NL"/>
        </w:rPr>
        <w:t>Voor de reactie op deze motie specificeert het kabinet</w:t>
      </w:r>
      <w:r w:rsidRPr="0070616A" w:rsidR="0070616A">
        <w:rPr>
          <w:lang w:val="nl-NL"/>
        </w:rPr>
        <w:t xml:space="preserve"> ‘andere doeleinden dan leveren van zorg’</w:t>
      </w:r>
      <w:r w:rsidR="00A04273">
        <w:rPr>
          <w:lang w:val="nl-NL"/>
        </w:rPr>
        <w:t xml:space="preserve"> </w:t>
      </w:r>
      <w:r w:rsidRPr="0070616A" w:rsidR="0070616A">
        <w:rPr>
          <w:lang w:val="nl-NL"/>
        </w:rPr>
        <w:t xml:space="preserve">zich tot </w:t>
      </w:r>
      <w:r>
        <w:rPr>
          <w:lang w:val="nl-NL"/>
        </w:rPr>
        <w:t>het</w:t>
      </w:r>
      <w:r w:rsidR="00A66291">
        <w:rPr>
          <w:lang w:val="nl-NL"/>
        </w:rPr>
        <w:t xml:space="preserve"> </w:t>
      </w:r>
      <w:r w:rsidRPr="0070616A" w:rsidR="0070616A">
        <w:rPr>
          <w:lang w:val="nl-NL"/>
        </w:rPr>
        <w:t>uitkeren van winst.</w:t>
      </w:r>
      <w:r w:rsidR="0070616A">
        <w:rPr>
          <w:lang w:val="nl-NL"/>
        </w:rPr>
        <w:t xml:space="preserve"> </w:t>
      </w:r>
      <w:r w:rsidR="00954350">
        <w:rPr>
          <w:lang w:val="nl-NL"/>
        </w:rPr>
        <w:t>D</w:t>
      </w:r>
      <w:r w:rsidRPr="0070616A" w:rsidR="0070616A">
        <w:rPr>
          <w:lang w:val="nl-NL"/>
        </w:rPr>
        <w:t xml:space="preserve">e NZa </w:t>
      </w:r>
      <w:r w:rsidR="00954350">
        <w:rPr>
          <w:lang w:val="nl-NL"/>
        </w:rPr>
        <w:t xml:space="preserve">heeft </w:t>
      </w:r>
      <w:r w:rsidRPr="0070616A" w:rsidR="0070616A">
        <w:rPr>
          <w:lang w:val="nl-NL"/>
        </w:rPr>
        <w:t xml:space="preserve">in maart jl. cijfers gepubliceerd over dividenduitkeringen in de zorg. Nader onderzoek zal op dit moment waarschijnlijk maar heel beperkt aanvullend inzicht geven in praktijken en geldstromen van niet-integere aanbieders. Dergelijk ontwijkend en ondermijnend gedrag is immers niet gebaat bij openheid en transparantie. </w:t>
      </w:r>
    </w:p>
    <w:p w:rsidRPr="0070616A" w:rsidR="0070616A" w:rsidP="0070616A" w:rsidRDefault="0070616A" w14:paraId="30A1779F" w14:textId="090C7FF2">
      <w:pPr>
        <w:rPr>
          <w:lang w:val="nl-NL"/>
        </w:rPr>
      </w:pPr>
      <w:r w:rsidRPr="0070616A">
        <w:rPr>
          <w:lang w:val="nl-NL"/>
        </w:rPr>
        <w:t>Door het Wetsvoorstel integere bedrijfsvoering zorg- en jeugdhulpaanbieders krijgt de NZa bevoegdheden om bij signalen die daartoe aanleiding geven, onderzoek te doen naar ontwijkconstructies ten aanzien van winstuitkering, het nemen van onverantwoorde risico's bij het aantrekken of terugbetalen van eigen of vreemd vermogen of ten aanzien van de marktconformiteit van transacties met verbonden partijen. Op basis van het toezicht door de NZa ontstaat meer inzicht in de praktijken van niet-integere aanbieders.</w:t>
      </w:r>
    </w:p>
    <w:p w:rsidR="00115C9B" w:rsidP="0070616A" w:rsidRDefault="0070616A" w14:paraId="3CD387B9" w14:textId="5FC8D846">
      <w:pPr>
        <w:rPr>
          <w:lang w:val="nl-NL"/>
        </w:rPr>
      </w:pPr>
      <w:r w:rsidRPr="0070616A">
        <w:rPr>
          <w:lang w:val="nl-NL"/>
        </w:rPr>
        <w:t>Het kabinet ziet hierom op dit moment geen noodzaak om, naast de informatiekaart dividenduitkeringen van de NZa</w:t>
      </w:r>
      <w:r w:rsidR="0073156A">
        <w:rPr>
          <w:lang w:val="nl-NL"/>
        </w:rPr>
        <w:t xml:space="preserve"> en de Wibz</w:t>
      </w:r>
      <w:r w:rsidRPr="0070616A">
        <w:rPr>
          <w:lang w:val="nl-NL"/>
        </w:rPr>
        <w:t>, aanvullend onderzoek te doen naar de cijfers van winstuitkeringen in de zorg.</w:t>
      </w:r>
    </w:p>
    <w:p w:rsidR="0070616A" w:rsidP="0070616A" w:rsidRDefault="0070616A" w14:paraId="5188D43C" w14:textId="206B7B0A">
      <w:pPr>
        <w:rPr>
          <w:lang w:val="nl-NL"/>
        </w:rPr>
      </w:pPr>
      <w:r>
        <w:rPr>
          <w:lang w:val="nl-NL"/>
        </w:rPr>
        <w:t>In het licht van het voorgaande</w:t>
      </w:r>
      <w:r w:rsidR="0073156A">
        <w:rPr>
          <w:lang w:val="nl-NL"/>
        </w:rPr>
        <w:t xml:space="preserve"> ziet </w:t>
      </w:r>
      <w:r>
        <w:rPr>
          <w:lang w:val="nl-NL"/>
        </w:rPr>
        <w:t>het kabinet deze motie</w:t>
      </w:r>
      <w:r w:rsidR="0073156A">
        <w:rPr>
          <w:lang w:val="nl-NL"/>
        </w:rPr>
        <w:t xml:space="preserve"> als overbodig</w:t>
      </w:r>
      <w:r>
        <w:rPr>
          <w:lang w:val="nl-NL"/>
        </w:rPr>
        <w:t>.</w:t>
      </w:r>
    </w:p>
    <w:p w:rsidR="0070616A" w:rsidP="00115C9B" w:rsidRDefault="0070616A" w14:paraId="66833BC7" w14:textId="77777777">
      <w:pPr>
        <w:rPr>
          <w:b/>
          <w:bCs/>
          <w:lang w:val="nl-NL"/>
        </w:rPr>
      </w:pPr>
    </w:p>
    <w:p w:rsidR="00115C9B" w:rsidP="00115C9B" w:rsidRDefault="00115C9B" w14:paraId="26BFCE3E" w14:textId="0942E621">
      <w:pPr>
        <w:rPr>
          <w:b/>
          <w:bCs/>
          <w:lang w:val="nl-NL"/>
        </w:rPr>
      </w:pPr>
      <w:r>
        <w:rPr>
          <w:b/>
          <w:bCs/>
          <w:lang w:val="nl-NL"/>
        </w:rPr>
        <w:t xml:space="preserve">Motie TK 36915-XVI nr. 18 van het lid Dobbe (SP) </w:t>
      </w:r>
      <w:r w:rsidRPr="00115C9B">
        <w:rPr>
          <w:b/>
          <w:bCs/>
          <w:lang w:val="nl-NL"/>
        </w:rPr>
        <w:t>over bezuinigingen op de Wlz verzachten met geld dat overblijft binnen het Wlz-budget</w:t>
      </w:r>
    </w:p>
    <w:p w:rsidR="00115C9B" w:rsidRDefault="00954350" w14:paraId="1B5F0141" w14:textId="541EC3B7">
      <w:pPr>
        <w:rPr>
          <w:lang w:val="nl-NL"/>
        </w:rPr>
      </w:pPr>
      <w:r>
        <w:rPr>
          <w:lang w:val="nl-NL"/>
        </w:rPr>
        <w:t xml:space="preserve">Daar waar sprake is van </w:t>
      </w:r>
      <w:r w:rsidR="007322D9">
        <w:rPr>
          <w:lang w:val="nl-NL"/>
        </w:rPr>
        <w:t>middelen</w:t>
      </w:r>
      <w:r>
        <w:rPr>
          <w:lang w:val="nl-NL"/>
        </w:rPr>
        <w:t xml:space="preserve"> die niet besteed worden</w:t>
      </w:r>
      <w:r w:rsidR="007322D9">
        <w:rPr>
          <w:lang w:val="nl-NL"/>
        </w:rPr>
        <w:t xml:space="preserve"> binnen het Wlz-kader</w:t>
      </w:r>
      <w:r>
        <w:rPr>
          <w:lang w:val="nl-NL"/>
        </w:rPr>
        <w:t xml:space="preserve">, leidt dit tot een </w:t>
      </w:r>
      <w:r w:rsidR="007322D9">
        <w:rPr>
          <w:lang w:val="nl-NL"/>
        </w:rPr>
        <w:t>meevaller</w:t>
      </w:r>
      <w:r>
        <w:rPr>
          <w:lang w:val="nl-NL"/>
        </w:rPr>
        <w:t xml:space="preserve"> op</w:t>
      </w:r>
      <w:r w:rsidR="007322D9">
        <w:rPr>
          <w:lang w:val="nl-NL"/>
        </w:rPr>
        <w:t xml:space="preserve"> de begroting</w:t>
      </w:r>
      <w:r>
        <w:rPr>
          <w:lang w:val="nl-NL"/>
        </w:rPr>
        <w:t xml:space="preserve"> van VWS</w:t>
      </w:r>
      <w:r w:rsidR="007322D9">
        <w:rPr>
          <w:lang w:val="nl-NL"/>
        </w:rPr>
        <w:t xml:space="preserve">. </w:t>
      </w:r>
      <w:r w:rsidRPr="007322D9" w:rsidR="007322D9">
        <w:rPr>
          <w:lang w:val="nl-NL"/>
        </w:rPr>
        <w:t xml:space="preserve">Conform de begrotingsregels van het kabinet kunnen meevallers niet worden ingezet voor het verzachten of terugdraaien van bezuinigingen (dit betreffen immers intensiveringen). </w:t>
      </w:r>
      <w:r w:rsidR="007322D9">
        <w:rPr>
          <w:lang w:val="nl-NL"/>
        </w:rPr>
        <w:t xml:space="preserve"> </w:t>
      </w:r>
    </w:p>
    <w:p w:rsidR="00115C9B" w:rsidRDefault="007322D9" w14:paraId="72787F5C" w14:textId="61BCC85F">
      <w:pPr>
        <w:rPr>
          <w:lang w:val="nl-NL"/>
        </w:rPr>
      </w:pPr>
      <w:r>
        <w:rPr>
          <w:lang w:val="nl-NL"/>
        </w:rPr>
        <w:t>In het licht van het voorgaande ontraadt het kabinet deze motie.</w:t>
      </w:r>
    </w:p>
    <w:p w:rsidR="00115C9B" w:rsidRDefault="00115C9B" w14:paraId="04AA2CBC" w14:textId="77777777">
      <w:pPr>
        <w:rPr>
          <w:lang w:val="nl-NL"/>
        </w:rPr>
      </w:pPr>
    </w:p>
    <w:p w:rsidR="00115C9B" w:rsidP="00115C9B" w:rsidRDefault="00115C9B" w14:paraId="667D5D13" w14:textId="4CC1BBDF">
      <w:pPr>
        <w:rPr>
          <w:b/>
          <w:bCs/>
          <w:lang w:val="nl-NL"/>
        </w:rPr>
      </w:pPr>
      <w:r>
        <w:rPr>
          <w:b/>
          <w:bCs/>
          <w:lang w:val="nl-NL"/>
        </w:rPr>
        <w:t xml:space="preserve">Motie TK 36915-XVI nr. 19 van het lid Dobbe (SP) </w:t>
      </w:r>
      <w:r w:rsidRPr="00115C9B">
        <w:rPr>
          <w:b/>
          <w:bCs/>
          <w:lang w:val="nl-NL"/>
        </w:rPr>
        <w:t>over niet bezuinigen op de gehandicaptenzorg en de langdurige ggz</w:t>
      </w:r>
    </w:p>
    <w:p w:rsidRPr="007322D9" w:rsidR="007322D9" w:rsidP="007322D9" w:rsidRDefault="007322D9" w14:paraId="106D0D01" w14:textId="3B471321">
      <w:pPr>
        <w:rPr>
          <w:lang w:val="nl-NL"/>
        </w:rPr>
      </w:pPr>
      <w:r w:rsidRPr="007322D9">
        <w:rPr>
          <w:lang w:val="nl-NL"/>
        </w:rPr>
        <w:t xml:space="preserve">De voorgenomen tariefmaatregelen voor 2027 </w:t>
      </w:r>
      <w:r w:rsidR="00954350">
        <w:rPr>
          <w:lang w:val="nl-NL"/>
        </w:rPr>
        <w:t>worden</w:t>
      </w:r>
      <w:r w:rsidRPr="007322D9">
        <w:rPr>
          <w:lang w:val="nl-NL"/>
        </w:rPr>
        <w:t xml:space="preserve"> niet doorgevoerd. Voor de jaren vanaf 2028 is het kabinet voornemens om hierover in gesprek te gaan met de sectoren in het kader van </w:t>
      </w:r>
      <w:r>
        <w:rPr>
          <w:lang w:val="nl-NL"/>
        </w:rPr>
        <w:t xml:space="preserve">de </w:t>
      </w:r>
      <w:r w:rsidRPr="007322D9">
        <w:rPr>
          <w:lang w:val="nl-NL"/>
        </w:rPr>
        <w:t>te sluiten bestuurlijke akkoorden. De tariefmaatregelen maken een integra</w:t>
      </w:r>
      <w:r>
        <w:rPr>
          <w:lang w:val="nl-NL"/>
        </w:rPr>
        <w:t>a</w:t>
      </w:r>
      <w:r w:rsidRPr="007322D9">
        <w:rPr>
          <w:lang w:val="nl-NL"/>
        </w:rPr>
        <w:t xml:space="preserve">l onderdeel uit van deze gesprekken. </w:t>
      </w:r>
    </w:p>
    <w:p w:rsidR="007322D9" w:rsidP="007322D9" w:rsidRDefault="007322D9" w14:paraId="193F139B" w14:textId="30B5B60D">
      <w:pPr>
        <w:rPr>
          <w:lang w:val="nl-NL"/>
        </w:rPr>
      </w:pPr>
      <w:r w:rsidRPr="007322D9">
        <w:rPr>
          <w:lang w:val="nl-NL"/>
        </w:rPr>
        <w:t>Het is daarmee op dit moment te vroeg om daarover definitieve uitspraken te doen. De Kamer</w:t>
      </w:r>
      <w:r w:rsidR="00954350">
        <w:rPr>
          <w:lang w:val="nl-NL"/>
        </w:rPr>
        <w:t xml:space="preserve"> wordt vanzelfsprekend hierover nader geïnformeerd</w:t>
      </w:r>
      <w:r w:rsidR="0073156A">
        <w:rPr>
          <w:lang w:val="nl-NL"/>
        </w:rPr>
        <w:t>. Daarnaast ontbreekt de dekking voor deze motie.</w:t>
      </w:r>
      <w:r w:rsidRPr="007322D9">
        <w:rPr>
          <w:lang w:val="nl-NL"/>
        </w:rPr>
        <w:t xml:space="preserve"> </w:t>
      </w:r>
    </w:p>
    <w:p w:rsidR="007322D9" w:rsidP="007322D9" w:rsidRDefault="007322D9" w14:paraId="5A44DDBD" w14:textId="73767B55">
      <w:pPr>
        <w:rPr>
          <w:lang w:val="nl-NL"/>
        </w:rPr>
      </w:pPr>
      <w:r>
        <w:rPr>
          <w:lang w:val="nl-NL"/>
        </w:rPr>
        <w:t xml:space="preserve">In het licht van het voorgaande </w:t>
      </w:r>
      <w:r w:rsidR="00767258">
        <w:rPr>
          <w:lang w:val="nl-NL"/>
        </w:rPr>
        <w:t>moet ik deze motie als ontijdig verklaren.</w:t>
      </w:r>
    </w:p>
    <w:p w:rsidR="00115C9B" w:rsidRDefault="00115C9B" w14:paraId="1AC7F6E3" w14:textId="77777777">
      <w:pPr>
        <w:rPr>
          <w:lang w:val="nl-NL"/>
        </w:rPr>
      </w:pPr>
    </w:p>
    <w:p w:rsidRPr="006D3F31" w:rsidR="00115C9B" w:rsidRDefault="00115C9B" w14:paraId="5680D7B1" w14:textId="33121246">
      <w:pPr>
        <w:rPr>
          <w:b/>
          <w:bCs/>
          <w:lang w:val="nl-NL"/>
        </w:rPr>
      </w:pPr>
      <w:bookmarkStart w:name="_Hlk231553404" w:id="1"/>
      <w:r>
        <w:rPr>
          <w:b/>
          <w:bCs/>
          <w:lang w:val="nl-NL"/>
        </w:rPr>
        <w:lastRenderedPageBreak/>
        <w:t xml:space="preserve">Motie TK 36915-XVI nr. 20 van het lid Dobbe (SP) </w:t>
      </w:r>
      <w:r w:rsidRPr="00115C9B">
        <w:rPr>
          <w:b/>
          <w:bCs/>
          <w:lang w:val="nl-NL"/>
        </w:rPr>
        <w:t>over vrouwen met dicht borstweefsel ondersteunen om een MRI te ondergaan wanneer zij dat niet zelf kunnen betalen</w:t>
      </w:r>
    </w:p>
    <w:p w:rsidR="0073156A" w:rsidP="006D3F31" w:rsidRDefault="0073156A" w14:paraId="77177632" w14:textId="1CA68E24">
      <w:pPr>
        <w:pStyle w:val="Geenafstand"/>
        <w:spacing w:line="240" w:lineRule="exact"/>
        <w:rPr>
          <w:lang w:val="nl-NL"/>
        </w:rPr>
      </w:pPr>
      <w:r w:rsidRPr="0073156A">
        <w:rPr>
          <w:lang w:val="nl-NL"/>
        </w:rPr>
        <w:t>De afgelopen jaren is meermaals met de Kamer gesproken over de inrichting van het bevolkingsonderzoek borstkanker, specifiek voor vrouwen met zeer dicht borstweefsel</w:t>
      </w:r>
      <w:r>
        <w:rPr>
          <w:lang w:val="nl-NL"/>
        </w:rPr>
        <w:t xml:space="preserve">. </w:t>
      </w:r>
      <w:r w:rsidRPr="0073156A">
        <w:rPr>
          <w:lang w:val="nl-NL"/>
        </w:rPr>
        <w:t>In</w:t>
      </w:r>
      <w:r w:rsidR="00C80B6D">
        <w:rPr>
          <w:lang w:val="nl-NL"/>
        </w:rPr>
        <w:t xml:space="preserve"> de</w:t>
      </w:r>
      <w:r w:rsidRPr="0073156A">
        <w:rPr>
          <w:lang w:val="nl-NL"/>
        </w:rPr>
        <w:t xml:space="preserve"> </w:t>
      </w:r>
      <w:r w:rsidRPr="00D60242">
        <w:rPr>
          <w:lang w:val="nl-NL"/>
        </w:rPr>
        <w:t>Kamerbrief</w:t>
      </w:r>
      <w:r w:rsidRPr="000D6ECE" w:rsidR="00C80B6D">
        <w:rPr>
          <w:lang w:val="nl-NL"/>
        </w:rPr>
        <w:t xml:space="preserve"> van 26 mei 2026</w:t>
      </w:r>
      <w:r w:rsidR="00A766B5">
        <w:rPr>
          <w:lang w:val="nl-NL"/>
        </w:rPr>
        <w:t xml:space="preserve"> (</w:t>
      </w:r>
      <w:r w:rsidRPr="00A766B5" w:rsidR="00A766B5">
        <w:rPr>
          <w:lang w:val="nl-NL"/>
        </w:rPr>
        <w:t>Kamerstukken II, 2025/26, 31 765, nr. 979</w:t>
      </w:r>
      <w:r w:rsidR="00A766B5">
        <w:rPr>
          <w:lang w:val="nl-NL"/>
        </w:rPr>
        <w:t>)</w:t>
      </w:r>
      <w:r w:rsidRPr="0073156A">
        <w:rPr>
          <w:lang w:val="nl-NL"/>
        </w:rPr>
        <w:t xml:space="preserve"> wordt beschreven hoe het kabinet aan de slag gaat met de breed aangenomen motie van het lid Paulusma c.s. van 3 maart 2026, die gaat over het meten en rapporteren van borstdensiteit in het bevolkingsonderzoek borstkanker. Daarbij wordt ingegaan op de verwachte planning en de uitvoeringsconsequenties.</w:t>
      </w:r>
    </w:p>
    <w:p w:rsidR="0073156A" w:rsidP="006D3F31" w:rsidRDefault="0073156A" w14:paraId="3AE2DAB2" w14:textId="77777777">
      <w:pPr>
        <w:pStyle w:val="Geenafstand"/>
        <w:spacing w:line="240" w:lineRule="exact"/>
        <w:rPr>
          <w:lang w:val="nl-NL"/>
        </w:rPr>
      </w:pPr>
    </w:p>
    <w:p w:rsidR="006D3F31" w:rsidP="006D3F31" w:rsidRDefault="0073156A" w14:paraId="464C78E1" w14:textId="1FFCD276">
      <w:pPr>
        <w:pStyle w:val="Geenafstand"/>
        <w:spacing w:line="240" w:lineRule="exact"/>
        <w:rPr>
          <w:lang w:val="nl-NL"/>
        </w:rPr>
      </w:pPr>
      <w:r>
        <w:rPr>
          <w:lang w:val="nl-NL"/>
        </w:rPr>
        <w:t xml:space="preserve">Het kabinet deelt het </w:t>
      </w:r>
      <w:r w:rsidRPr="00800C66" w:rsidR="006D3F31">
        <w:rPr>
          <w:lang w:val="nl-NL"/>
        </w:rPr>
        <w:t>belang dat vrouwen met zeer dicht borstweefsel vervolgonderzoek met MRI krijgen dat geschikt is voor het opsporen van borstkanker</w:t>
      </w:r>
      <w:r>
        <w:rPr>
          <w:lang w:val="nl-NL"/>
        </w:rPr>
        <w:t xml:space="preserve">, maar vindt het onverstandig om dit buiten het van overheidswege aangeboden bevolkingsonderzoek te organiseren vanwege het ontbreken van </w:t>
      </w:r>
      <w:r w:rsidRPr="00800C66" w:rsidR="006D3F31">
        <w:rPr>
          <w:lang w:val="nl-NL"/>
        </w:rPr>
        <w:t xml:space="preserve">uniforme kwaliteitsbewaking. Deze landelijke kwaliteitsbewaking bestaat niet buiten het van overheidswege aangeboden bevolkingsonderzoek. </w:t>
      </w:r>
    </w:p>
    <w:p w:rsidR="0030413D" w:rsidP="006D3F31" w:rsidRDefault="0030413D" w14:paraId="3D3F4464" w14:textId="77777777">
      <w:pPr>
        <w:pStyle w:val="Geenafstand"/>
        <w:spacing w:line="240" w:lineRule="exact"/>
        <w:rPr>
          <w:lang w:val="nl-NL"/>
        </w:rPr>
      </w:pPr>
    </w:p>
    <w:p w:rsidRPr="00C80B6D" w:rsidR="00115C9B" w:rsidP="006D3F31" w:rsidRDefault="006D3F31" w14:paraId="443EBD58" w14:textId="19A73804">
      <w:pPr>
        <w:pStyle w:val="Geenafstand"/>
        <w:spacing w:line="240" w:lineRule="exact"/>
        <w:rPr>
          <w:lang w:val="nl-NL"/>
        </w:rPr>
      </w:pPr>
      <w:r w:rsidRPr="00800C66">
        <w:rPr>
          <w:lang w:val="nl-NL"/>
        </w:rPr>
        <w:t xml:space="preserve">Daarnaast </w:t>
      </w:r>
      <w:r>
        <w:rPr>
          <w:lang w:val="nl-NL"/>
        </w:rPr>
        <w:t xml:space="preserve">is er </w:t>
      </w:r>
      <w:r w:rsidRPr="00800C66">
        <w:rPr>
          <w:lang w:val="nl-NL"/>
        </w:rPr>
        <w:t>geen dekking voor het ondersteunen van vrouwen die toch een MRI laten maken op eigen kosten. Bovendien zal er op deze manier ongecontroleerde druk kunnen ontstaan op de reguliere zorg, zowel voor wat betreft het benodigde MRI-aanbod als voor wat betreft de benodigde vervolgdiagnostiek. Dat gaat ten koste van de zorg voor andere vrouwen die aangewezen zijn op de reguliere</w:t>
      </w:r>
      <w:r>
        <w:rPr>
          <w:lang w:val="nl-NL"/>
        </w:rPr>
        <w:t xml:space="preserve"> zorg. </w:t>
      </w:r>
      <w:r w:rsidRPr="000D6ECE" w:rsidR="00A766B5">
        <w:rPr>
          <w:kern w:val="0"/>
          <w:lang w:val="nl-NL"/>
          <w14:ligatures w14:val="none"/>
        </w:rPr>
        <w:t>In</w:t>
      </w:r>
      <w:r w:rsidR="00A766B5">
        <w:rPr>
          <w:kern w:val="0"/>
          <w:lang w:val="nl-NL"/>
          <w14:ligatures w14:val="none"/>
        </w:rPr>
        <w:t xml:space="preserve"> de </w:t>
      </w:r>
      <w:r w:rsidRPr="000D6ECE" w:rsidR="00C80B6D">
        <w:rPr>
          <w:lang w:val="nl-NL"/>
        </w:rPr>
        <w:t>Kamerbrief van 26 mei 2026</w:t>
      </w:r>
      <w:r w:rsidR="00D60242">
        <w:rPr>
          <w:lang w:val="nl-NL"/>
        </w:rPr>
        <w:t xml:space="preserve"> (</w:t>
      </w:r>
      <w:r w:rsidRPr="00A766B5" w:rsidR="00D60242">
        <w:rPr>
          <w:lang w:val="nl-NL"/>
        </w:rPr>
        <w:t>Kamerstukken II, 2025/26, 31 765, nr. 979</w:t>
      </w:r>
      <w:r w:rsidR="00D60242">
        <w:rPr>
          <w:lang w:val="nl-NL"/>
        </w:rPr>
        <w:t>)</w:t>
      </w:r>
      <w:r w:rsidRPr="000D6ECE" w:rsidR="00C80B6D">
        <w:rPr>
          <w:lang w:val="nl-NL"/>
        </w:rPr>
        <w:t xml:space="preserve"> is de Kamer geïnformeerd over hoe het Kabinet uitvoering geeft aan de motie van het lid Paulusma c.s. over het meten en rapporteren van borstdensiteit in het bevolkingsonderzoek borstkanker. </w:t>
      </w:r>
      <w:r w:rsidR="006A3807">
        <w:rPr>
          <w:lang w:val="nl-NL"/>
        </w:rPr>
        <w:t xml:space="preserve">Het kabinet zal </w:t>
      </w:r>
      <w:r w:rsidRPr="000D6ECE" w:rsidR="00C80B6D">
        <w:rPr>
          <w:lang w:val="nl-NL"/>
        </w:rPr>
        <w:t>de Kamer doorlopend op de hoogte houden over de voortgang van dit traject en de verwachtingen wat betreft de planning.</w:t>
      </w:r>
    </w:p>
    <w:p w:rsidR="006D3F31" w:rsidP="006D3F31" w:rsidRDefault="006D3F31" w14:paraId="7B50A556" w14:textId="77777777">
      <w:pPr>
        <w:pStyle w:val="Geenafstand"/>
        <w:spacing w:line="240" w:lineRule="exact"/>
        <w:rPr>
          <w:lang w:val="nl-NL"/>
        </w:rPr>
      </w:pPr>
    </w:p>
    <w:p w:rsidR="00115C9B" w:rsidRDefault="006D3F31" w14:paraId="1E1E6241" w14:textId="06C599C9">
      <w:pPr>
        <w:rPr>
          <w:lang w:val="nl-NL"/>
        </w:rPr>
      </w:pPr>
      <w:r>
        <w:rPr>
          <w:lang w:val="nl-NL"/>
        </w:rPr>
        <w:t>In het licht van het voorgaande ontraadt het kabinet deze motie.</w:t>
      </w:r>
    </w:p>
    <w:bookmarkEnd w:id="1"/>
    <w:p w:rsidR="00115C9B" w:rsidRDefault="00115C9B" w14:paraId="7B404B5B" w14:textId="77777777">
      <w:pPr>
        <w:rPr>
          <w:lang w:val="nl-NL"/>
        </w:rPr>
      </w:pPr>
    </w:p>
    <w:p w:rsidR="00115C9B" w:rsidP="00115C9B" w:rsidRDefault="00115C9B" w14:paraId="26999214" w14:textId="4FAB51C2">
      <w:pPr>
        <w:rPr>
          <w:b/>
          <w:bCs/>
          <w:lang w:val="nl-NL"/>
        </w:rPr>
      </w:pPr>
      <w:r>
        <w:rPr>
          <w:b/>
          <w:bCs/>
          <w:lang w:val="nl-NL"/>
        </w:rPr>
        <w:t xml:space="preserve">Motie TK 36915-XVI nr. 21 van het lid Dobbe (SP) </w:t>
      </w:r>
      <w:r w:rsidRPr="00115C9B">
        <w:rPr>
          <w:b/>
          <w:bCs/>
          <w:lang w:val="nl-NL"/>
        </w:rPr>
        <w:t>over de loonkloof tussen de vvt en de rest van de economie verkleinen</w:t>
      </w:r>
    </w:p>
    <w:p w:rsidRPr="00711966" w:rsidR="00711966" w:rsidP="00711966" w:rsidRDefault="00711966" w14:paraId="40C6D311" w14:textId="4E831D2D">
      <w:pPr>
        <w:rPr>
          <w:lang w:val="nl-NL"/>
        </w:rPr>
      </w:pPr>
      <w:r w:rsidRPr="00711966">
        <w:rPr>
          <w:lang w:val="nl-NL"/>
        </w:rPr>
        <w:t>Om een concurrerende salarisontwikkeling binnen de zorg mogelijk te maken, stel</w:t>
      </w:r>
      <w:r>
        <w:rPr>
          <w:lang w:val="nl-NL"/>
        </w:rPr>
        <w:t>t het kabinet</w:t>
      </w:r>
      <w:r w:rsidRPr="00711966">
        <w:rPr>
          <w:lang w:val="nl-NL"/>
        </w:rPr>
        <w:t xml:space="preserve"> via de overheidsbijdrage in de arbeidskostenontwikkeling (ova) jaarlijks extra geld beschikbaar. Voor 2026 gaat </w:t>
      </w:r>
      <w:r w:rsidR="00A66291">
        <w:rPr>
          <w:lang w:val="nl-NL"/>
        </w:rPr>
        <w:t xml:space="preserve">het </w:t>
      </w:r>
      <w:r w:rsidRPr="00711966">
        <w:rPr>
          <w:lang w:val="nl-NL"/>
        </w:rPr>
        <w:t xml:space="preserve">om </w:t>
      </w:r>
      <w:r>
        <w:rPr>
          <w:lang w:val="nl-NL"/>
        </w:rPr>
        <w:t xml:space="preserve">€ </w:t>
      </w:r>
      <w:r w:rsidRPr="00711966">
        <w:rPr>
          <w:lang w:val="nl-NL"/>
        </w:rPr>
        <w:t>3 miljard structureel extra.</w:t>
      </w:r>
    </w:p>
    <w:p w:rsidRPr="00711966" w:rsidR="00711966" w:rsidP="00711966" w:rsidRDefault="00711966" w14:paraId="4DD9CB09" w14:textId="5B04587B">
      <w:pPr>
        <w:rPr>
          <w:lang w:val="nl-NL"/>
        </w:rPr>
      </w:pPr>
      <w:r w:rsidRPr="00711966">
        <w:rPr>
          <w:lang w:val="nl-NL"/>
        </w:rPr>
        <w:t>Het is aan sociale partners binnen zorg en welzijn om met deze extra middelen cao’s af te sluiten.</w:t>
      </w:r>
      <w:r>
        <w:rPr>
          <w:lang w:val="nl-NL"/>
        </w:rPr>
        <w:t xml:space="preserve"> Het kabinet </w:t>
      </w:r>
      <w:r w:rsidRPr="00711966">
        <w:rPr>
          <w:lang w:val="nl-NL"/>
        </w:rPr>
        <w:t>zie</w:t>
      </w:r>
      <w:r>
        <w:rPr>
          <w:lang w:val="nl-NL"/>
        </w:rPr>
        <w:t>t</w:t>
      </w:r>
      <w:r w:rsidRPr="00711966">
        <w:rPr>
          <w:lang w:val="nl-NL"/>
        </w:rPr>
        <w:t xml:space="preserve"> geen ruimte om boven op de jaarlijkse ova nog</w:t>
      </w:r>
      <w:r w:rsidR="00954350">
        <w:rPr>
          <w:lang w:val="nl-NL"/>
        </w:rPr>
        <w:t xml:space="preserve"> aanvullende </w:t>
      </w:r>
      <w:r w:rsidRPr="00711966">
        <w:rPr>
          <w:lang w:val="nl-NL"/>
        </w:rPr>
        <w:t xml:space="preserve">middelen vrij te maken. </w:t>
      </w:r>
    </w:p>
    <w:p w:rsidR="00711966" w:rsidP="00711966" w:rsidRDefault="00711966" w14:paraId="47960107" w14:textId="35A7889E">
      <w:pPr>
        <w:rPr>
          <w:lang w:val="nl-NL"/>
        </w:rPr>
      </w:pPr>
      <w:r w:rsidRPr="00711966">
        <w:rPr>
          <w:lang w:val="nl-NL"/>
        </w:rPr>
        <w:t>Daarnaast is het zeer de vraag in hoeverre extra arbeidsvoorwaardenmiddelen beschikbaar stellen een effectief en doelmatig instrument is om de personeelstekorten te verminderen. Uit onderzoeken blijkt dat zaken als professionele autonomie, zeggenschap en ontwikkelmogelijkheden zeker zo belangrijk</w:t>
      </w:r>
      <w:r w:rsidR="00A66291">
        <w:rPr>
          <w:lang w:val="nl-NL"/>
        </w:rPr>
        <w:t>,</w:t>
      </w:r>
      <w:r w:rsidRPr="00711966">
        <w:rPr>
          <w:lang w:val="nl-NL"/>
        </w:rPr>
        <w:t xml:space="preserve"> zo niet belangrijker</w:t>
      </w:r>
      <w:r w:rsidR="00A66291">
        <w:rPr>
          <w:lang w:val="nl-NL"/>
        </w:rPr>
        <w:t>,</w:t>
      </w:r>
      <w:r w:rsidRPr="00711966">
        <w:rPr>
          <w:lang w:val="nl-NL"/>
        </w:rPr>
        <w:t xml:space="preserve"> zijn dan salaris voor een keuze om wel of niet in de zorg te blijven werken. Bovendien hebben bijvoorbeeld umc’s ook te kampen met personeelstekorten terwijl de salarissen daar ruim boven marktconform liggen.</w:t>
      </w:r>
    </w:p>
    <w:p w:rsidR="004515E0" w:rsidP="004515E0" w:rsidRDefault="004515E0" w14:paraId="112A5D5C" w14:textId="313B1825">
      <w:pPr>
        <w:rPr>
          <w:lang w:val="nl-NL"/>
        </w:rPr>
      </w:pPr>
      <w:r>
        <w:rPr>
          <w:lang w:val="nl-NL"/>
        </w:rPr>
        <w:t>In het licht van het voorgaande ontraadt het kabinet deze motie.</w:t>
      </w:r>
    </w:p>
    <w:p w:rsidR="00115C9B" w:rsidRDefault="00115C9B" w14:paraId="11259C10" w14:textId="77777777">
      <w:pPr>
        <w:rPr>
          <w:lang w:val="nl-NL"/>
        </w:rPr>
      </w:pPr>
    </w:p>
    <w:p w:rsidR="00115C9B" w:rsidP="00115C9B" w:rsidRDefault="00115C9B" w14:paraId="4C2E2D61" w14:textId="4E15BC0A">
      <w:pPr>
        <w:rPr>
          <w:b/>
          <w:bCs/>
          <w:lang w:val="nl-NL"/>
        </w:rPr>
      </w:pPr>
      <w:bookmarkStart w:name="_Hlk231557570" w:id="2"/>
      <w:r>
        <w:rPr>
          <w:b/>
          <w:bCs/>
          <w:lang w:val="nl-NL"/>
        </w:rPr>
        <w:t xml:space="preserve">Motie TK 36915-XVI nr. 22 van het lid Dobbe (SP) </w:t>
      </w:r>
      <w:r w:rsidRPr="00115C9B">
        <w:rPr>
          <w:b/>
          <w:bCs/>
          <w:lang w:val="nl-NL"/>
        </w:rPr>
        <w:t>over niet bezuinigen op pandemische paraatheid</w:t>
      </w:r>
    </w:p>
    <w:p w:rsidR="00DA4A70" w:rsidRDefault="00D849EA" w14:paraId="461EFBDD" w14:textId="50C35B32">
      <w:pPr>
        <w:rPr>
          <w:lang w:val="nl-NL"/>
        </w:rPr>
      </w:pPr>
      <w:r>
        <w:rPr>
          <w:lang w:val="nl-NL"/>
        </w:rPr>
        <w:t xml:space="preserve">Het kabinet deelt de mening dat het van groot belang is om beter voorbereid te zijn op een nieuwe pandemie en andere bedreigingen. </w:t>
      </w:r>
      <w:r w:rsidR="00906C3C">
        <w:rPr>
          <w:lang w:val="nl-NL"/>
        </w:rPr>
        <w:t xml:space="preserve">Het kabinet heeft in samenhang met het aangenomen amendement Bikker (Kamerstukken II 36800-XVI-185) </w:t>
      </w:r>
      <w:r>
        <w:rPr>
          <w:lang w:val="nl-NL"/>
        </w:rPr>
        <w:t xml:space="preserve">binnen de VWS-begroting gezocht naar ruimte om de nodige investeringen in onze pandemische paraatheid en basisnoodzorg te kunnen voortzetten. </w:t>
      </w:r>
    </w:p>
    <w:p w:rsidR="00D849EA" w:rsidRDefault="00D849EA" w14:paraId="4CABD22F" w14:textId="5CD0EC6B">
      <w:pPr>
        <w:rPr>
          <w:lang w:val="nl-NL"/>
        </w:rPr>
      </w:pPr>
      <w:r>
        <w:rPr>
          <w:lang w:val="nl-NL"/>
        </w:rPr>
        <w:lastRenderedPageBreak/>
        <w:t xml:space="preserve">Met het pakket van € 177 miljoen kan het kabinet de kern van de maatregelen behouden, de basisnoodzorg in stand houden en blijvend doorwerken aan de versterking van de paraatheid. </w:t>
      </w:r>
    </w:p>
    <w:p w:rsidR="00D849EA" w:rsidRDefault="00D849EA" w14:paraId="0FF6E728" w14:textId="5E0C10E5">
      <w:pPr>
        <w:rPr>
          <w:lang w:val="nl-NL"/>
        </w:rPr>
      </w:pPr>
      <w:r>
        <w:rPr>
          <w:lang w:val="nl-NL"/>
        </w:rPr>
        <w:t xml:space="preserve">Daarnaast ontbreekt de dekking voor deze motie. </w:t>
      </w:r>
    </w:p>
    <w:p w:rsidR="00D849EA" w:rsidP="00D849EA" w:rsidRDefault="00D849EA" w14:paraId="088721DF" w14:textId="77777777">
      <w:pPr>
        <w:rPr>
          <w:lang w:val="nl-NL"/>
        </w:rPr>
      </w:pPr>
      <w:r>
        <w:rPr>
          <w:lang w:val="nl-NL"/>
        </w:rPr>
        <w:t>In het licht van het voorgaande ontraadt het kabinet deze motie.</w:t>
      </w:r>
    </w:p>
    <w:bookmarkEnd w:id="2"/>
    <w:p w:rsidR="00115C9B" w:rsidRDefault="00115C9B" w14:paraId="37422791" w14:textId="77777777">
      <w:pPr>
        <w:rPr>
          <w:lang w:val="nl-NL"/>
        </w:rPr>
      </w:pPr>
    </w:p>
    <w:p w:rsidR="00115C9B" w:rsidP="00115C9B" w:rsidRDefault="00115C9B" w14:paraId="13AC6931" w14:textId="38C2D85E">
      <w:pPr>
        <w:rPr>
          <w:b/>
          <w:bCs/>
          <w:lang w:val="nl-NL"/>
        </w:rPr>
      </w:pPr>
      <w:bookmarkStart w:name="_Hlk231550339" w:id="3"/>
      <w:r>
        <w:rPr>
          <w:b/>
          <w:bCs/>
          <w:lang w:val="nl-NL"/>
        </w:rPr>
        <w:t xml:space="preserve">Motie TK 36915-XVI nr. 23 van het lid Maeijer (PVV) </w:t>
      </w:r>
      <w:r w:rsidRPr="00115C9B">
        <w:rPr>
          <w:b/>
          <w:bCs/>
          <w:lang w:val="nl-NL"/>
        </w:rPr>
        <w:t>over de NVSHA als volwaardig partner laten aansluiten bij gesprekken over de budgetbekostiging SEH</w:t>
      </w:r>
    </w:p>
    <w:p w:rsidRPr="006D3F31" w:rsidR="006D3F31" w:rsidP="006D3F31" w:rsidRDefault="006D3F31" w14:paraId="7F4B7AD8" w14:textId="6EE6F36D">
      <w:pPr>
        <w:rPr>
          <w:lang w:val="nl-NL"/>
        </w:rPr>
      </w:pPr>
      <w:r w:rsidRPr="006D3F31">
        <w:rPr>
          <w:lang w:val="nl-NL"/>
        </w:rPr>
        <w:t>Zoals aangegeven in de Kamerbrief van 1 juni jl. over de ontwikkelroute passende acute zorg in de regio vindt het kabinet de betrokkenheid van partijen, zoals de zorgprofessionals, ook belangrijk bij de verdere uitwerking van de ontwikkelroute.</w:t>
      </w:r>
      <w:r>
        <w:rPr>
          <w:lang w:val="nl-NL"/>
        </w:rPr>
        <w:t xml:space="preserve"> </w:t>
      </w:r>
      <w:r w:rsidRPr="006D3F31">
        <w:rPr>
          <w:lang w:val="nl-NL"/>
        </w:rPr>
        <w:t>Daarom zijn en worden gesprekken hierover met partijen gevoerd.</w:t>
      </w:r>
      <w:r w:rsidR="0073156A">
        <w:rPr>
          <w:lang w:val="nl-NL"/>
        </w:rPr>
        <w:t xml:space="preserve"> Het is belangrijk dat alle partijen zich daarbij betrokken voelen. </w:t>
      </w:r>
    </w:p>
    <w:p w:rsidR="00C629CA" w:rsidP="006D3F31" w:rsidRDefault="00C00B37" w14:paraId="3516C635" w14:textId="0E633757">
      <w:pPr>
        <w:rPr>
          <w:lang w:val="nl-NL"/>
        </w:rPr>
      </w:pPr>
      <w:r w:rsidRPr="00C00B37">
        <w:rPr>
          <w:lang w:val="nl-NL"/>
        </w:rPr>
        <w:t>Sinds 1 januari 2026 maken de SEH-artsen van de Nederlandse Vereniging van Spoedeisende Hulp Artsen onderdeel uit van de Federatie Medisch Specialisten (FMS). Zij zijn aangesloten op het gesprek over budgetbekostiging en de uitwerking van de ontwikkelroute.</w:t>
      </w:r>
      <w:r w:rsidR="0000744E">
        <w:rPr>
          <w:lang w:val="nl-NL"/>
        </w:rPr>
        <w:t xml:space="preserve"> Als ik de motie zo mag interpreteren dat ik ook separaat </w:t>
      </w:r>
      <w:r w:rsidR="00D66A88">
        <w:rPr>
          <w:lang w:val="nl-NL"/>
        </w:rPr>
        <w:t xml:space="preserve">een </w:t>
      </w:r>
      <w:r w:rsidR="0000744E">
        <w:rPr>
          <w:lang w:val="nl-NL"/>
        </w:rPr>
        <w:t xml:space="preserve">gesprek </w:t>
      </w:r>
      <w:r w:rsidR="00D66A88">
        <w:rPr>
          <w:lang w:val="nl-NL"/>
        </w:rPr>
        <w:t xml:space="preserve">voer </w:t>
      </w:r>
      <w:r w:rsidR="0000744E">
        <w:rPr>
          <w:lang w:val="nl-NL"/>
        </w:rPr>
        <w:t>met de NVSHA, kan deze</w:t>
      </w:r>
      <w:r w:rsidR="00D66A88">
        <w:rPr>
          <w:lang w:val="nl-NL"/>
        </w:rPr>
        <w:t xml:space="preserve"> motie</w:t>
      </w:r>
      <w:r w:rsidR="0000744E">
        <w:rPr>
          <w:lang w:val="nl-NL"/>
        </w:rPr>
        <w:t xml:space="preserve"> Oordeel Kamer krijgen. </w:t>
      </w:r>
    </w:p>
    <w:bookmarkEnd w:id="3"/>
    <w:p w:rsidR="00115C9B" w:rsidRDefault="00115C9B" w14:paraId="204ABDF8" w14:textId="77777777">
      <w:pPr>
        <w:rPr>
          <w:lang w:val="nl-NL"/>
        </w:rPr>
      </w:pPr>
    </w:p>
    <w:p w:rsidR="00115C9B" w:rsidP="00115C9B" w:rsidRDefault="00115C9B" w14:paraId="27BCBF92" w14:textId="6C7EA8AA">
      <w:pPr>
        <w:rPr>
          <w:b/>
          <w:bCs/>
          <w:lang w:val="nl-NL"/>
        </w:rPr>
      </w:pPr>
      <w:r>
        <w:rPr>
          <w:b/>
          <w:bCs/>
          <w:lang w:val="nl-NL"/>
        </w:rPr>
        <w:t xml:space="preserve">Motie TK 36915-XVI nr. 24 van het lid Maeijer (PVV) </w:t>
      </w:r>
      <w:r w:rsidRPr="00314883" w:rsidR="00314883">
        <w:rPr>
          <w:b/>
          <w:bCs/>
          <w:lang w:val="nl-NL"/>
        </w:rPr>
        <w:t>over extra ondersteuning voor DemenTalent</w:t>
      </w:r>
    </w:p>
    <w:p w:rsidR="00115C9B" w:rsidRDefault="0030413D" w14:paraId="6EE37998" w14:textId="51FD2AF0">
      <w:pPr>
        <w:rPr>
          <w:lang w:val="nl-NL"/>
        </w:rPr>
      </w:pPr>
      <w:r>
        <w:rPr>
          <w:lang w:val="nl-NL"/>
        </w:rPr>
        <w:t xml:space="preserve">Het kabinet deelt het belang van DemenTalent voor mensen met dementie. Daarom krijgen ze ook subsidie vanuit de Nationale Dementiestrategie (NDS). In het AZWA bekijkt het kabinet of DemenTalent onderdeel kan worden van de basisfunctionaliteit dementie. </w:t>
      </w:r>
      <w:r w:rsidR="000F3813">
        <w:rPr>
          <w:lang w:val="nl-NL"/>
        </w:rPr>
        <w:t xml:space="preserve">Indien DemenTalent op basis van de criteria binnen het AZWA toegevoegd kan worden aan deze basisfunctionaliteit, krijgen, gemeenten extra middelen voor inkoop. Daarmee wordt dan landelijke uitrol gefaciliteerd. </w:t>
      </w:r>
    </w:p>
    <w:p w:rsidR="000F3813" w:rsidP="000F3813" w:rsidRDefault="000F3813" w14:paraId="393E2076" w14:textId="77777777">
      <w:pPr>
        <w:rPr>
          <w:lang w:val="nl-NL"/>
        </w:rPr>
      </w:pPr>
      <w:r>
        <w:rPr>
          <w:lang w:val="nl-NL"/>
        </w:rPr>
        <w:t>In het licht van het voorgaande moet ik deze motie als ontijdig verklaren.</w:t>
      </w:r>
    </w:p>
    <w:p w:rsidR="00115C9B" w:rsidRDefault="00115C9B" w14:paraId="78D82EAA" w14:textId="77777777">
      <w:pPr>
        <w:rPr>
          <w:lang w:val="nl-NL"/>
        </w:rPr>
      </w:pPr>
    </w:p>
    <w:p w:rsidR="00115C9B" w:rsidP="00115C9B" w:rsidRDefault="00115C9B" w14:paraId="2B0885F1" w14:textId="7F565B48">
      <w:pPr>
        <w:rPr>
          <w:b/>
          <w:bCs/>
          <w:lang w:val="nl-NL"/>
        </w:rPr>
      </w:pPr>
      <w:r>
        <w:rPr>
          <w:b/>
          <w:bCs/>
          <w:lang w:val="nl-NL"/>
        </w:rPr>
        <w:t xml:space="preserve">Motie TK 36915-XVI nr. </w:t>
      </w:r>
      <w:r w:rsidR="00314883">
        <w:rPr>
          <w:b/>
          <w:bCs/>
          <w:lang w:val="nl-NL"/>
        </w:rPr>
        <w:t>25</w:t>
      </w:r>
      <w:r>
        <w:rPr>
          <w:b/>
          <w:bCs/>
          <w:lang w:val="nl-NL"/>
        </w:rPr>
        <w:t xml:space="preserve"> van het lid </w:t>
      </w:r>
      <w:r w:rsidR="00314883">
        <w:rPr>
          <w:b/>
          <w:bCs/>
          <w:lang w:val="nl-NL"/>
        </w:rPr>
        <w:t>Bikker</w:t>
      </w:r>
      <w:r>
        <w:rPr>
          <w:b/>
          <w:bCs/>
          <w:lang w:val="nl-NL"/>
        </w:rPr>
        <w:t xml:space="preserve"> (</w:t>
      </w:r>
      <w:r w:rsidR="00314883">
        <w:rPr>
          <w:b/>
          <w:bCs/>
          <w:lang w:val="nl-NL"/>
        </w:rPr>
        <w:t>CU</w:t>
      </w:r>
      <w:r>
        <w:rPr>
          <w:b/>
          <w:bCs/>
          <w:lang w:val="nl-NL"/>
        </w:rPr>
        <w:t xml:space="preserve">) </w:t>
      </w:r>
      <w:r w:rsidRPr="00314883" w:rsidR="00314883">
        <w:rPr>
          <w:b/>
          <w:bCs/>
          <w:lang w:val="nl-NL"/>
        </w:rPr>
        <w:t>over een onafhankelijke beoordeling van de Nederlandse pandemische paraatheid</w:t>
      </w:r>
      <w:r w:rsidR="00314883">
        <w:rPr>
          <w:b/>
          <w:bCs/>
          <w:lang w:val="nl-NL"/>
        </w:rPr>
        <w:t>.</w:t>
      </w:r>
    </w:p>
    <w:p w:rsidRPr="00D15FA9" w:rsidR="00541CEC" w:rsidP="00541CEC" w:rsidRDefault="00541CEC" w14:paraId="14C508CA" w14:textId="120337F9">
      <w:pPr>
        <w:spacing w:line="276" w:lineRule="auto"/>
        <w:textAlignment w:val="baseline"/>
        <w:rPr>
          <w:szCs w:val="18"/>
          <w:lang w:val="nl-NL"/>
        </w:rPr>
      </w:pPr>
      <w:r w:rsidRPr="00541CEC">
        <w:rPr>
          <w:szCs w:val="18"/>
          <w:lang w:val="nl-NL"/>
        </w:rPr>
        <w:t>De vraag “zijn we voldoende weerbaar tegen infectieziekten” is niet digitaal met een ja of nee te beantwoorden.</w:t>
      </w:r>
      <w:r>
        <w:rPr>
          <w:szCs w:val="18"/>
          <w:lang w:val="nl-NL"/>
        </w:rPr>
        <w:t xml:space="preserve"> </w:t>
      </w:r>
      <w:r w:rsidRPr="00D15FA9">
        <w:rPr>
          <w:szCs w:val="18"/>
          <w:lang w:val="nl-NL"/>
        </w:rPr>
        <w:t xml:space="preserve">Kortom, het beleid wordt regelmatig getoetst en bijgesteld. Internationale evaluaties worden periodiek gedaan. </w:t>
      </w:r>
      <w:r w:rsidR="009A41B9">
        <w:rPr>
          <w:szCs w:val="18"/>
          <w:lang w:val="nl-NL"/>
        </w:rPr>
        <w:t>Het kabinet</w:t>
      </w:r>
      <w:r w:rsidR="00446F95">
        <w:rPr>
          <w:szCs w:val="18"/>
          <w:lang w:val="nl-NL"/>
        </w:rPr>
        <w:t xml:space="preserve"> verwijs</w:t>
      </w:r>
      <w:r w:rsidR="009A41B9">
        <w:rPr>
          <w:szCs w:val="18"/>
          <w:lang w:val="nl-NL"/>
        </w:rPr>
        <w:t>t</w:t>
      </w:r>
      <w:r w:rsidR="00446F95">
        <w:rPr>
          <w:szCs w:val="18"/>
          <w:lang w:val="nl-NL"/>
        </w:rPr>
        <w:t xml:space="preserve"> ook naar hetgeen in het debat </w:t>
      </w:r>
      <w:r w:rsidR="009A41B9">
        <w:rPr>
          <w:szCs w:val="18"/>
          <w:lang w:val="nl-NL"/>
        </w:rPr>
        <w:t>is</w:t>
      </w:r>
      <w:r w:rsidR="00446F95">
        <w:rPr>
          <w:szCs w:val="18"/>
          <w:lang w:val="nl-NL"/>
        </w:rPr>
        <w:t xml:space="preserve"> gezegd over de internationale evaluatie.</w:t>
      </w:r>
    </w:p>
    <w:p w:rsidR="00541CEC" w:rsidP="00541CEC" w:rsidRDefault="00541CEC" w14:paraId="244EC3FA" w14:textId="77777777">
      <w:pPr>
        <w:rPr>
          <w:lang w:val="nl-NL"/>
        </w:rPr>
      </w:pPr>
      <w:r>
        <w:rPr>
          <w:lang w:val="nl-NL"/>
        </w:rPr>
        <w:t>In het licht van het voorgaande ontraadt het kabinet deze motie.</w:t>
      </w:r>
    </w:p>
    <w:p w:rsidR="00115C9B" w:rsidRDefault="00115C9B" w14:paraId="0385D22F" w14:textId="77777777">
      <w:pPr>
        <w:rPr>
          <w:lang w:val="nl-NL"/>
        </w:rPr>
      </w:pPr>
    </w:p>
    <w:p w:rsidR="00115C9B" w:rsidP="00115C9B" w:rsidRDefault="00115C9B" w14:paraId="4DE95DC0" w14:textId="17E90109">
      <w:pPr>
        <w:rPr>
          <w:b/>
          <w:bCs/>
          <w:lang w:val="nl-NL"/>
        </w:rPr>
      </w:pPr>
      <w:r>
        <w:rPr>
          <w:b/>
          <w:bCs/>
          <w:lang w:val="nl-NL"/>
        </w:rPr>
        <w:t xml:space="preserve">Motie TK 36915-XVI nr. </w:t>
      </w:r>
      <w:r w:rsidR="00314883">
        <w:rPr>
          <w:b/>
          <w:bCs/>
          <w:lang w:val="nl-NL"/>
        </w:rPr>
        <w:t>26</w:t>
      </w:r>
      <w:r>
        <w:rPr>
          <w:b/>
          <w:bCs/>
          <w:lang w:val="nl-NL"/>
        </w:rPr>
        <w:t xml:space="preserve"> van het lid </w:t>
      </w:r>
      <w:r w:rsidR="00314883">
        <w:rPr>
          <w:b/>
          <w:bCs/>
          <w:lang w:val="nl-NL"/>
        </w:rPr>
        <w:t xml:space="preserve">Coenradie </w:t>
      </w:r>
      <w:r>
        <w:rPr>
          <w:b/>
          <w:bCs/>
          <w:lang w:val="nl-NL"/>
        </w:rPr>
        <w:t>(</w:t>
      </w:r>
      <w:r w:rsidR="00314883">
        <w:rPr>
          <w:b/>
          <w:bCs/>
          <w:lang w:val="nl-NL"/>
        </w:rPr>
        <w:t>JA21</w:t>
      </w:r>
      <w:r>
        <w:rPr>
          <w:b/>
          <w:bCs/>
          <w:lang w:val="nl-NL"/>
        </w:rPr>
        <w:t xml:space="preserve">) </w:t>
      </w:r>
      <w:r w:rsidRPr="00314883" w:rsidR="00314883">
        <w:rPr>
          <w:b/>
          <w:bCs/>
          <w:lang w:val="nl-NL"/>
        </w:rPr>
        <w:t>over meer regie van de minister op spreiding en concentratie van ziekenhuizen</w:t>
      </w:r>
    </w:p>
    <w:p w:rsidRPr="00A4789E" w:rsidR="00A4789E" w:rsidP="00C00B37" w:rsidRDefault="00A4789E" w14:paraId="467BE8D1" w14:textId="7DE0CDC5">
      <w:pPr>
        <w:rPr>
          <w:lang w:val="nl-NL"/>
        </w:rPr>
      </w:pPr>
      <w:r w:rsidRPr="00A4789E">
        <w:rPr>
          <w:lang w:val="nl-NL"/>
        </w:rPr>
        <w:t xml:space="preserve">De afspraken over spreiding en concentratie komen voort uit IZA/AZWA en worden door de veldpartijen zelf uitgewerkt, met veel steun vanuit de patiëntenorganisaties. Het is niet aan </w:t>
      </w:r>
      <w:r>
        <w:rPr>
          <w:lang w:val="nl-NL"/>
        </w:rPr>
        <w:t xml:space="preserve">het kabinet </w:t>
      </w:r>
      <w:r w:rsidRPr="00A4789E">
        <w:rPr>
          <w:lang w:val="nl-NL"/>
        </w:rPr>
        <w:t xml:space="preserve">om te onderbouwen of en in hoeverre concentratie daadwerkelijk leidt tot lagere kosten, personeelswinst en betere kwaliteit van zorg. Dat moeten partijen zelf doen. </w:t>
      </w:r>
    </w:p>
    <w:p w:rsidR="00115C9B" w:rsidP="006829A8" w:rsidRDefault="00A4789E" w14:paraId="1D4A7EA6" w14:textId="17DC451C">
      <w:pPr>
        <w:rPr>
          <w:lang w:val="nl-NL"/>
        </w:rPr>
      </w:pPr>
      <w:r w:rsidRPr="00A4789E">
        <w:rPr>
          <w:lang w:val="nl-NL"/>
        </w:rPr>
        <w:t>We werken aan spreiding en concentratie van zorg omdat dit bijdraagt aan de kwaliteit van de zorg. Soms is concentratie van zorg nodig om zorg van hogere kwaliteit voor patiënten mogelijk te maken. In andere gevallen leidt spreiding tot beter passende zorg dichtbij.</w:t>
      </w:r>
    </w:p>
    <w:p w:rsidR="00A4789E" w:rsidP="00A4789E" w:rsidRDefault="00A4789E" w14:paraId="56FCA6EE" w14:textId="1F62C117">
      <w:pPr>
        <w:rPr>
          <w:lang w:val="nl-NL"/>
        </w:rPr>
      </w:pPr>
      <w:r>
        <w:rPr>
          <w:lang w:val="nl-NL"/>
        </w:rPr>
        <w:t>In het licht van het voorgaande ontraadt het kabinet deze motie.</w:t>
      </w:r>
    </w:p>
    <w:p w:rsidR="00A4789E" w:rsidP="00115C9B" w:rsidRDefault="00A4789E" w14:paraId="5D5658F8" w14:textId="77777777">
      <w:pPr>
        <w:rPr>
          <w:b/>
          <w:bCs/>
          <w:lang w:val="nl-NL"/>
        </w:rPr>
      </w:pPr>
    </w:p>
    <w:p w:rsidR="00115C9B" w:rsidP="00115C9B" w:rsidRDefault="00115C9B" w14:paraId="5D5A1461" w14:textId="359CD9A5">
      <w:pPr>
        <w:rPr>
          <w:b/>
          <w:bCs/>
          <w:lang w:val="nl-NL"/>
        </w:rPr>
      </w:pPr>
      <w:r>
        <w:rPr>
          <w:b/>
          <w:bCs/>
          <w:lang w:val="nl-NL"/>
        </w:rPr>
        <w:lastRenderedPageBreak/>
        <w:t xml:space="preserve">Motie TK 36915-XVI nr. </w:t>
      </w:r>
      <w:r w:rsidR="00314883">
        <w:rPr>
          <w:b/>
          <w:bCs/>
          <w:lang w:val="nl-NL"/>
        </w:rPr>
        <w:t>27</w:t>
      </w:r>
      <w:r>
        <w:rPr>
          <w:b/>
          <w:bCs/>
          <w:lang w:val="nl-NL"/>
        </w:rPr>
        <w:t xml:space="preserve"> van het lid </w:t>
      </w:r>
      <w:r w:rsidR="00314883">
        <w:rPr>
          <w:b/>
          <w:bCs/>
          <w:lang w:val="nl-NL"/>
        </w:rPr>
        <w:t>Coenradie</w:t>
      </w:r>
      <w:r>
        <w:rPr>
          <w:b/>
          <w:bCs/>
          <w:lang w:val="nl-NL"/>
        </w:rPr>
        <w:t xml:space="preserve"> (</w:t>
      </w:r>
      <w:r w:rsidR="00314883">
        <w:rPr>
          <w:b/>
          <w:bCs/>
          <w:lang w:val="nl-NL"/>
        </w:rPr>
        <w:t>JA21</w:t>
      </w:r>
      <w:r>
        <w:rPr>
          <w:b/>
          <w:bCs/>
          <w:lang w:val="nl-NL"/>
        </w:rPr>
        <w:t xml:space="preserve">) </w:t>
      </w:r>
      <w:r w:rsidRPr="00314883" w:rsidR="00314883">
        <w:rPr>
          <w:b/>
          <w:bCs/>
          <w:lang w:val="nl-NL"/>
        </w:rPr>
        <w:t>over een afbouwpad voor externe inhuur binnen VWS</w:t>
      </w:r>
    </w:p>
    <w:p w:rsidRPr="00B33004" w:rsidR="00B33004" w:rsidP="00B33004" w:rsidRDefault="00B33004" w14:paraId="3B2F5C28" w14:textId="768BB2F8">
      <w:pPr>
        <w:rPr>
          <w:lang w:val="nl-NL"/>
        </w:rPr>
      </w:pPr>
      <w:r>
        <w:rPr>
          <w:lang w:val="nl-NL"/>
        </w:rPr>
        <w:t xml:space="preserve">In de ontwerpbegroting VWS 2027 zal de richting zichtbaar zijn waarbij VWS toewerkt naar de Roemernorm. </w:t>
      </w:r>
      <w:r w:rsidRPr="00B33004">
        <w:rPr>
          <w:lang w:val="nl-NL"/>
        </w:rPr>
        <w:t>Een deel van de afbouw van de inhuur externen vindt plaats door verambtelijking. Op deze wijze heeft dit ook direct een positief gevolg voor de kennisborging.</w:t>
      </w:r>
    </w:p>
    <w:p w:rsidRPr="00B33004" w:rsidR="00B33004" w:rsidP="00B33004" w:rsidRDefault="00B33004" w14:paraId="22EF419A" w14:textId="5B5A615A">
      <w:pPr>
        <w:rPr>
          <w:lang w:val="nl-NL"/>
        </w:rPr>
      </w:pPr>
      <w:r w:rsidRPr="00B33004">
        <w:rPr>
          <w:lang w:val="nl-NL"/>
        </w:rPr>
        <w:t>Externe inhuur is en blijft in sommige gevallen noodzakelijk als gevolg van krapte op bepaalde delen op de arbeidsmarkt en specifiek als het gaat om kennis op het gebied van IV/IT. De uitdagingen op IV/IT gebied zijn door het kabinet onderkend met specifieke aandacht in het regeerakkoord. Voor de uitwerking hiervan is VWS afhankelijk van andere ministeries en momenteel is nog niet bekend binnen welk tijdspad de uitwerking zal plaatsvinden.</w:t>
      </w:r>
    </w:p>
    <w:p w:rsidRPr="00B33004" w:rsidR="00B33004" w:rsidP="00B33004" w:rsidRDefault="00B33004" w14:paraId="4FB466F8" w14:textId="768284E9">
      <w:pPr>
        <w:rPr>
          <w:lang w:val="nl-NL"/>
        </w:rPr>
      </w:pPr>
      <w:r>
        <w:rPr>
          <w:lang w:val="nl-NL"/>
        </w:rPr>
        <w:t xml:space="preserve">Het kabinet </w:t>
      </w:r>
      <w:r w:rsidRPr="00B33004">
        <w:rPr>
          <w:lang w:val="nl-NL"/>
        </w:rPr>
        <w:t>interpreteer</w:t>
      </w:r>
      <w:r>
        <w:rPr>
          <w:lang w:val="nl-NL"/>
        </w:rPr>
        <w:t>t</w:t>
      </w:r>
      <w:r w:rsidRPr="00B33004">
        <w:rPr>
          <w:lang w:val="nl-NL"/>
        </w:rPr>
        <w:t xml:space="preserve"> uw motie als een oproep om aan te tonen op welke wijze </w:t>
      </w:r>
      <w:r w:rsidRPr="00B33004" w:rsidR="00323A70">
        <w:rPr>
          <w:lang w:val="nl-NL"/>
        </w:rPr>
        <w:t>VWS-kennis</w:t>
      </w:r>
      <w:r w:rsidRPr="00B33004">
        <w:rPr>
          <w:lang w:val="nl-NL"/>
        </w:rPr>
        <w:t xml:space="preserve"> borgt in geval externe inhuur de organisatie verlaat. Allereerst wil </w:t>
      </w:r>
      <w:r>
        <w:rPr>
          <w:lang w:val="nl-NL"/>
        </w:rPr>
        <w:t>het kabinet</w:t>
      </w:r>
      <w:r w:rsidRPr="00B33004">
        <w:rPr>
          <w:lang w:val="nl-NL"/>
        </w:rPr>
        <w:t xml:space="preserve"> aangeven da</w:t>
      </w:r>
      <w:r>
        <w:rPr>
          <w:lang w:val="nl-NL"/>
        </w:rPr>
        <w:t>t</w:t>
      </w:r>
      <w:r w:rsidRPr="00B33004">
        <w:rPr>
          <w:lang w:val="nl-NL"/>
        </w:rPr>
        <w:t xml:space="preserve"> het belang van kennisbehoud volledig onder</w:t>
      </w:r>
      <w:r>
        <w:rPr>
          <w:lang w:val="nl-NL"/>
        </w:rPr>
        <w:t>schreven wordt</w:t>
      </w:r>
      <w:r w:rsidRPr="00B33004">
        <w:rPr>
          <w:lang w:val="nl-NL"/>
        </w:rPr>
        <w:t xml:space="preserve">. </w:t>
      </w:r>
      <w:r>
        <w:rPr>
          <w:lang w:val="nl-NL"/>
        </w:rPr>
        <w:t>Het kabinet</w:t>
      </w:r>
      <w:r w:rsidRPr="00B33004">
        <w:rPr>
          <w:lang w:val="nl-NL"/>
        </w:rPr>
        <w:t xml:space="preserve"> zal uw kamer vóór het herfstreces informeren over de wijze waarop dit is ingericht binnen</w:t>
      </w:r>
      <w:r w:rsidR="00584B14">
        <w:rPr>
          <w:lang w:val="nl-NL"/>
        </w:rPr>
        <w:t xml:space="preserve"> het</w:t>
      </w:r>
      <w:r w:rsidRPr="00B33004">
        <w:rPr>
          <w:lang w:val="nl-NL"/>
        </w:rPr>
        <w:t xml:space="preserve"> departement. </w:t>
      </w:r>
    </w:p>
    <w:p w:rsidR="00B33004" w:rsidP="00B33004" w:rsidRDefault="00B33004" w14:paraId="31853210" w14:textId="77777777">
      <w:pPr>
        <w:rPr>
          <w:lang w:val="nl-NL"/>
        </w:rPr>
      </w:pPr>
      <w:r>
        <w:rPr>
          <w:lang w:val="nl-NL"/>
        </w:rPr>
        <w:t xml:space="preserve">In het licht van het voorgaande laat het kabinet het oordeel aan de Kamer. </w:t>
      </w:r>
    </w:p>
    <w:p w:rsidR="00115C9B" w:rsidRDefault="00115C9B" w14:paraId="5839F884" w14:textId="77777777">
      <w:pPr>
        <w:rPr>
          <w:lang w:val="nl-NL"/>
        </w:rPr>
      </w:pPr>
      <w:bookmarkStart w:name="_Hlk231568659" w:id="4"/>
    </w:p>
    <w:p w:rsidR="00115C9B" w:rsidP="00115C9B" w:rsidRDefault="00115C9B" w14:paraId="6BD0ACD6" w14:textId="284333A6">
      <w:pPr>
        <w:rPr>
          <w:b/>
          <w:bCs/>
          <w:lang w:val="nl-NL"/>
        </w:rPr>
      </w:pPr>
      <w:r>
        <w:rPr>
          <w:b/>
          <w:bCs/>
          <w:lang w:val="nl-NL"/>
        </w:rPr>
        <w:t xml:space="preserve">Motie TK 36915-XVI nr. </w:t>
      </w:r>
      <w:r w:rsidR="00314883">
        <w:rPr>
          <w:b/>
          <w:bCs/>
          <w:lang w:val="nl-NL"/>
        </w:rPr>
        <w:t>28</w:t>
      </w:r>
      <w:r>
        <w:rPr>
          <w:b/>
          <w:bCs/>
          <w:lang w:val="nl-NL"/>
        </w:rPr>
        <w:t xml:space="preserve"> van het lid </w:t>
      </w:r>
      <w:r w:rsidR="00314883">
        <w:rPr>
          <w:b/>
          <w:bCs/>
          <w:lang w:val="nl-NL"/>
        </w:rPr>
        <w:t>Coenradie</w:t>
      </w:r>
      <w:r>
        <w:rPr>
          <w:b/>
          <w:bCs/>
          <w:lang w:val="nl-NL"/>
        </w:rPr>
        <w:t xml:space="preserve"> (</w:t>
      </w:r>
      <w:r w:rsidR="00314883">
        <w:rPr>
          <w:b/>
          <w:bCs/>
          <w:lang w:val="nl-NL"/>
        </w:rPr>
        <w:t>JA21</w:t>
      </w:r>
      <w:r>
        <w:rPr>
          <w:b/>
          <w:bCs/>
          <w:lang w:val="nl-NL"/>
        </w:rPr>
        <w:t xml:space="preserve">) </w:t>
      </w:r>
      <w:r w:rsidRPr="00314883" w:rsidR="00314883">
        <w:rPr>
          <w:b/>
          <w:bCs/>
          <w:lang w:val="nl-NL"/>
        </w:rPr>
        <w:t>over de OVV scherper afbakenen</w:t>
      </w:r>
    </w:p>
    <w:p w:rsidRPr="00087482" w:rsidR="00087482" w:rsidP="00087482" w:rsidRDefault="00087482" w14:paraId="6B426C39" w14:textId="251F8C65">
      <w:pPr>
        <w:rPr>
          <w:lang w:val="nl-NL"/>
        </w:rPr>
      </w:pPr>
      <w:r w:rsidRPr="00087482">
        <w:rPr>
          <w:lang w:val="nl-NL"/>
        </w:rPr>
        <w:t>Er zijn verschillende korte termijn maatregelen genomen om de fraude met de OVV (en de SOV) aan te pakken. Bij het uitwerken van de nieuwe regeling worden aanvullende maatregelen uitgewerkt. Over de voortgang hiervan wordt de Kamer regelmatig geïnformeerd. Er wordt bij het uitwerken van de nieuwe regeling zorgkosten onverzekerden kritisch gekeken naar wat</w:t>
      </w:r>
      <w:r>
        <w:rPr>
          <w:lang w:val="nl-NL"/>
        </w:rPr>
        <w:t xml:space="preserve"> </w:t>
      </w:r>
      <w:r w:rsidRPr="00087482">
        <w:rPr>
          <w:lang w:val="nl-NL"/>
        </w:rPr>
        <w:t>noodzakelijke zorg is.</w:t>
      </w:r>
    </w:p>
    <w:p w:rsidRPr="00115C9B" w:rsidR="0097619E" w:rsidP="00087482" w:rsidRDefault="00087482" w14:paraId="1FA871DA" w14:textId="198BF33B">
      <w:pPr>
        <w:rPr>
          <w:lang w:val="nl-NL"/>
        </w:rPr>
      </w:pPr>
      <w:r w:rsidRPr="00087482">
        <w:rPr>
          <w:lang w:val="nl-NL"/>
        </w:rPr>
        <w:t xml:space="preserve">In het licht van het voorgaande laat het kabinet het oordeel aan de Kamer. </w:t>
      </w:r>
      <w:bookmarkEnd w:id="4"/>
    </w:p>
    <w:sectPr w:rsidRPr="00115C9B" w:rsidR="0097619E"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BB298" w14:textId="77777777" w:rsidR="00F45C8A" w:rsidRDefault="00F45C8A" w:rsidP="00854241">
      <w:pPr>
        <w:spacing w:after="0" w:line="240" w:lineRule="auto"/>
      </w:pPr>
      <w:r>
        <w:separator/>
      </w:r>
    </w:p>
  </w:endnote>
  <w:endnote w:type="continuationSeparator" w:id="0">
    <w:p w14:paraId="108C2FF0" w14:textId="77777777" w:rsidR="00F45C8A" w:rsidRDefault="00F45C8A" w:rsidP="00854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93BC" w14:textId="77777777" w:rsidR="00F45C8A" w:rsidRDefault="00F45C8A" w:rsidP="00854241">
      <w:pPr>
        <w:spacing w:after="0" w:line="240" w:lineRule="auto"/>
      </w:pPr>
      <w:r>
        <w:separator/>
      </w:r>
    </w:p>
  </w:footnote>
  <w:footnote w:type="continuationSeparator" w:id="0">
    <w:p w14:paraId="4BF32AF0" w14:textId="77777777" w:rsidR="00F45C8A" w:rsidRDefault="00F45C8A" w:rsidP="00854241">
      <w:pPr>
        <w:spacing w:after="0" w:line="240" w:lineRule="auto"/>
      </w:pPr>
      <w:r>
        <w:continuationSeparator/>
      </w:r>
    </w:p>
  </w:footnote>
  <w:footnote w:id="1">
    <w:p w14:paraId="1D0BEA0E" w14:textId="59A3EF3C" w:rsidR="00854241" w:rsidRPr="000D6ECE" w:rsidRDefault="00854241">
      <w:pPr>
        <w:pStyle w:val="Voetnoottekst"/>
        <w:rPr>
          <w:lang w:val="nl-NL"/>
        </w:rPr>
      </w:pPr>
      <w:r>
        <w:rPr>
          <w:rStyle w:val="Voetnootmarkering"/>
        </w:rPr>
        <w:footnoteRef/>
      </w:r>
      <w:r w:rsidRPr="000D6ECE">
        <w:rPr>
          <w:lang w:val="nl-NL"/>
        </w:rPr>
        <w:t xml:space="preserve"> </w:t>
      </w:r>
      <w:hyperlink r:id="rId1" w:history="1">
        <w:r w:rsidRPr="000D6ECE">
          <w:rPr>
            <w:rStyle w:val="Hyperlink"/>
            <w:lang w:val="nl-NL"/>
          </w:rPr>
          <w:t>Kamerbrief over advies RIVM gordelroosvaccinatie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6CE"/>
    <w:multiLevelType w:val="hybridMultilevel"/>
    <w:tmpl w:val="DB1A27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1033647"/>
    <w:multiLevelType w:val="hybridMultilevel"/>
    <w:tmpl w:val="1DFA614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5C33902"/>
    <w:multiLevelType w:val="hybridMultilevel"/>
    <w:tmpl w:val="9116949C"/>
    <w:lvl w:ilvl="0" w:tplc="17347024">
      <w:start w:val="1"/>
      <w:numFmt w:val="bullet"/>
      <w:lvlText w:val=""/>
      <w:lvlJc w:val="left"/>
      <w:pPr>
        <w:ind w:left="720" w:hanging="360"/>
      </w:pPr>
      <w:rPr>
        <w:rFonts w:ascii="Symbol" w:eastAsiaTheme="minorHAnsi" w:hAnsi="Symbol"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C21605"/>
    <w:multiLevelType w:val="hybridMultilevel"/>
    <w:tmpl w:val="4536B428"/>
    <w:lvl w:ilvl="0" w:tplc="C4C8A728">
      <w:numFmt w:val="bullet"/>
      <w:lvlText w:val="-"/>
      <w:lvlJc w:val="left"/>
      <w:pPr>
        <w:ind w:left="720" w:hanging="360"/>
      </w:pPr>
      <w:rPr>
        <w:rFonts w:ascii="Verdana" w:eastAsiaTheme="minorHAnsi" w:hAnsi="Verdana"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83330E"/>
    <w:multiLevelType w:val="hybridMultilevel"/>
    <w:tmpl w:val="3D3ED95C"/>
    <w:lvl w:ilvl="0" w:tplc="28F81C1C">
      <w:start w:val="1"/>
      <w:numFmt w:val="bullet"/>
      <w:lvlText w:val=""/>
      <w:lvlJc w:val="left"/>
      <w:pPr>
        <w:ind w:left="360" w:hanging="360"/>
      </w:pPr>
      <w:rPr>
        <w:rFonts w:ascii="Symbol" w:hAnsi="Symbol" w:hint="default"/>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89702925">
    <w:abstractNumId w:val="2"/>
  </w:num>
  <w:num w:numId="2" w16cid:durableId="491066715">
    <w:abstractNumId w:val="0"/>
  </w:num>
  <w:num w:numId="3" w16cid:durableId="266155171">
    <w:abstractNumId w:val="1"/>
  </w:num>
  <w:num w:numId="4" w16cid:durableId="1690065841">
    <w:abstractNumId w:val="3"/>
  </w:num>
  <w:num w:numId="5" w16cid:durableId="770128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9B"/>
    <w:rsid w:val="00002B2D"/>
    <w:rsid w:val="0000744E"/>
    <w:rsid w:val="00044888"/>
    <w:rsid w:val="00087482"/>
    <w:rsid w:val="000C6388"/>
    <w:rsid w:val="000D6ECE"/>
    <w:rsid w:val="000F3813"/>
    <w:rsid w:val="000F4067"/>
    <w:rsid w:val="00115C9B"/>
    <w:rsid w:val="00124EE8"/>
    <w:rsid w:val="00137375"/>
    <w:rsid w:val="001A6683"/>
    <w:rsid w:val="001E6A24"/>
    <w:rsid w:val="001F4782"/>
    <w:rsid w:val="00235213"/>
    <w:rsid w:val="00293498"/>
    <w:rsid w:val="002A014E"/>
    <w:rsid w:val="0030413D"/>
    <w:rsid w:val="00314883"/>
    <w:rsid w:val="00323A70"/>
    <w:rsid w:val="00365E2C"/>
    <w:rsid w:val="003940C3"/>
    <w:rsid w:val="00423D52"/>
    <w:rsid w:val="00446F95"/>
    <w:rsid w:val="004515E0"/>
    <w:rsid w:val="004E6C15"/>
    <w:rsid w:val="00505DBE"/>
    <w:rsid w:val="00541CEC"/>
    <w:rsid w:val="00584B14"/>
    <w:rsid w:val="00587622"/>
    <w:rsid w:val="006829A8"/>
    <w:rsid w:val="006A3807"/>
    <w:rsid w:val="006D3F31"/>
    <w:rsid w:val="006D7D55"/>
    <w:rsid w:val="0070616A"/>
    <w:rsid w:val="00711966"/>
    <w:rsid w:val="0073156A"/>
    <w:rsid w:val="007322D9"/>
    <w:rsid w:val="00743CC6"/>
    <w:rsid w:val="0074727A"/>
    <w:rsid w:val="007501B9"/>
    <w:rsid w:val="00767258"/>
    <w:rsid w:val="007860F1"/>
    <w:rsid w:val="007868DE"/>
    <w:rsid w:val="007D6C6E"/>
    <w:rsid w:val="00803311"/>
    <w:rsid w:val="00854241"/>
    <w:rsid w:val="008D3C9C"/>
    <w:rsid w:val="008D608C"/>
    <w:rsid w:val="00906C3C"/>
    <w:rsid w:val="00926028"/>
    <w:rsid w:val="00954350"/>
    <w:rsid w:val="0097619E"/>
    <w:rsid w:val="009A41B9"/>
    <w:rsid w:val="009F3A8A"/>
    <w:rsid w:val="009F615C"/>
    <w:rsid w:val="00A04273"/>
    <w:rsid w:val="00A243A5"/>
    <w:rsid w:val="00A4789E"/>
    <w:rsid w:val="00A66291"/>
    <w:rsid w:val="00A766B5"/>
    <w:rsid w:val="00AC3E25"/>
    <w:rsid w:val="00AD3FBD"/>
    <w:rsid w:val="00B031D5"/>
    <w:rsid w:val="00B05596"/>
    <w:rsid w:val="00B06701"/>
    <w:rsid w:val="00B33004"/>
    <w:rsid w:val="00B42018"/>
    <w:rsid w:val="00B754EF"/>
    <w:rsid w:val="00C00B37"/>
    <w:rsid w:val="00C4222F"/>
    <w:rsid w:val="00C629CA"/>
    <w:rsid w:val="00C80B6D"/>
    <w:rsid w:val="00C963D9"/>
    <w:rsid w:val="00CC7FAD"/>
    <w:rsid w:val="00D60242"/>
    <w:rsid w:val="00D61EC1"/>
    <w:rsid w:val="00D66A88"/>
    <w:rsid w:val="00D849EA"/>
    <w:rsid w:val="00D974E3"/>
    <w:rsid w:val="00DA4A70"/>
    <w:rsid w:val="00E30B60"/>
    <w:rsid w:val="00ED34D3"/>
    <w:rsid w:val="00EE2BDB"/>
    <w:rsid w:val="00F45C8A"/>
    <w:rsid w:val="00F86F5C"/>
    <w:rsid w:val="00FD2292"/>
    <w:rsid w:val="00FF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370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15C9B"/>
  </w:style>
  <w:style w:type="paragraph" w:styleId="Kop1">
    <w:name w:val="heading 1"/>
    <w:basedOn w:val="Standaard"/>
    <w:next w:val="Standaard"/>
    <w:link w:val="Kop1Char"/>
    <w:uiPriority w:val="9"/>
    <w:qFormat/>
    <w:rsid w:val="00115C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115C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15C9B"/>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15C9B"/>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15C9B"/>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15C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15C9B"/>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15C9B"/>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15C9B"/>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15C9B"/>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115C9B"/>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115C9B"/>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115C9B"/>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115C9B"/>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115C9B"/>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115C9B"/>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115C9B"/>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115C9B"/>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115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15C9B"/>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115C9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15C9B"/>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115C9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15C9B"/>
    <w:rPr>
      <w:i/>
      <w:iCs/>
      <w:color w:val="404040" w:themeColor="text1" w:themeTint="BF"/>
      <w:lang w:val="nl-NL"/>
    </w:rPr>
  </w:style>
  <w:style w:type="paragraph" w:styleId="Lijstalinea">
    <w:name w:val="List Paragraph"/>
    <w:aliases w:val="Bullet 1,Bullet Points,Bullet alinea,Dot pt,F5 List Paragraph,Indicator Text,List Paragraph Char Char Char,List Paragraph1,List Paragraph2,MAIN CONTENT,No Spacing1,Normal numbere,Numbered Para 1,Párrafo de lista,Recommendation,standaard,000"/>
    <w:basedOn w:val="Standaard"/>
    <w:link w:val="LijstalineaChar"/>
    <w:uiPriority w:val="34"/>
    <w:qFormat/>
    <w:rsid w:val="00115C9B"/>
    <w:pPr>
      <w:ind w:left="720"/>
      <w:contextualSpacing/>
    </w:pPr>
  </w:style>
  <w:style w:type="character" w:styleId="Intensievebenadrukking">
    <w:name w:val="Intense Emphasis"/>
    <w:basedOn w:val="Standaardalinea-lettertype"/>
    <w:uiPriority w:val="21"/>
    <w:qFormat/>
    <w:rsid w:val="00115C9B"/>
    <w:rPr>
      <w:i/>
      <w:iCs/>
      <w:color w:val="2E74B5" w:themeColor="accent1" w:themeShade="BF"/>
    </w:rPr>
  </w:style>
  <w:style w:type="paragraph" w:styleId="Duidelijkcitaat">
    <w:name w:val="Intense Quote"/>
    <w:basedOn w:val="Standaard"/>
    <w:next w:val="Standaard"/>
    <w:link w:val="DuidelijkcitaatChar"/>
    <w:uiPriority w:val="30"/>
    <w:qFormat/>
    <w:rsid w:val="00115C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15C9B"/>
    <w:rPr>
      <w:i/>
      <w:iCs/>
      <w:color w:val="2E74B5" w:themeColor="accent1" w:themeShade="BF"/>
      <w:lang w:val="nl-NL"/>
    </w:rPr>
  </w:style>
  <w:style w:type="character" w:styleId="Intensieveverwijzing">
    <w:name w:val="Intense Reference"/>
    <w:basedOn w:val="Standaardalinea-lettertype"/>
    <w:uiPriority w:val="32"/>
    <w:qFormat/>
    <w:rsid w:val="00115C9B"/>
    <w:rPr>
      <w:b/>
      <w:bCs/>
      <w:smallCaps/>
      <w:color w:val="2E74B5" w:themeColor="accent1" w:themeShade="BF"/>
      <w:spacing w:val="5"/>
    </w:rPr>
  </w:style>
  <w:style w:type="paragraph" w:styleId="Geenafstand">
    <w:name w:val="No Spacing"/>
    <w:uiPriority w:val="1"/>
    <w:qFormat/>
    <w:rsid w:val="006D3F31"/>
    <w:pPr>
      <w:spacing w:after="0" w:line="240" w:lineRule="auto"/>
    </w:pPr>
    <w:rPr>
      <w:kern w:val="2"/>
      <w14:ligatures w14:val="standardContextual"/>
    </w:rPr>
  </w:style>
  <w:style w:type="character" w:customStyle="1" w:styleId="LijstalineaChar">
    <w:name w:val="Lijstalinea Char"/>
    <w:aliases w:val="Bullet 1 Char,Bullet Points Char,Bullet alinea Char,Dot pt Char,F5 List Paragraph Char,Indicator Text Char,List Paragraph Char Char Char Char,List Paragraph1 Char,List Paragraph2 Char,MAIN CONTENT Char,No Spacing1 Char,standaard Char"/>
    <w:link w:val="Lijstalinea"/>
    <w:uiPriority w:val="34"/>
    <w:qFormat/>
    <w:locked/>
    <w:rsid w:val="00DA4A70"/>
  </w:style>
  <w:style w:type="paragraph" w:styleId="Revisie">
    <w:name w:val="Revision"/>
    <w:hidden/>
    <w:uiPriority w:val="99"/>
    <w:semiHidden/>
    <w:rsid w:val="009F3A8A"/>
    <w:pPr>
      <w:spacing w:after="0" w:line="240" w:lineRule="auto"/>
    </w:pPr>
  </w:style>
  <w:style w:type="character" w:styleId="Verwijzingopmerking">
    <w:name w:val="annotation reference"/>
    <w:basedOn w:val="Standaardalinea-lettertype"/>
    <w:uiPriority w:val="99"/>
    <w:semiHidden/>
    <w:unhideWhenUsed/>
    <w:rsid w:val="009F3A8A"/>
    <w:rPr>
      <w:sz w:val="16"/>
      <w:szCs w:val="16"/>
    </w:rPr>
  </w:style>
  <w:style w:type="paragraph" w:styleId="Tekstopmerking">
    <w:name w:val="annotation text"/>
    <w:basedOn w:val="Standaard"/>
    <w:link w:val="TekstopmerkingChar"/>
    <w:uiPriority w:val="99"/>
    <w:unhideWhenUsed/>
    <w:rsid w:val="009F3A8A"/>
    <w:pPr>
      <w:spacing w:line="240" w:lineRule="auto"/>
    </w:pPr>
    <w:rPr>
      <w:sz w:val="20"/>
      <w:szCs w:val="20"/>
    </w:rPr>
  </w:style>
  <w:style w:type="character" w:customStyle="1" w:styleId="TekstopmerkingChar">
    <w:name w:val="Tekst opmerking Char"/>
    <w:basedOn w:val="Standaardalinea-lettertype"/>
    <w:link w:val="Tekstopmerking"/>
    <w:uiPriority w:val="99"/>
    <w:rsid w:val="009F3A8A"/>
    <w:rPr>
      <w:sz w:val="20"/>
      <w:szCs w:val="20"/>
    </w:rPr>
  </w:style>
  <w:style w:type="paragraph" w:styleId="Onderwerpvanopmerking">
    <w:name w:val="annotation subject"/>
    <w:basedOn w:val="Tekstopmerking"/>
    <w:next w:val="Tekstopmerking"/>
    <w:link w:val="OnderwerpvanopmerkingChar"/>
    <w:uiPriority w:val="99"/>
    <w:semiHidden/>
    <w:unhideWhenUsed/>
    <w:rsid w:val="009F3A8A"/>
    <w:rPr>
      <w:b/>
      <w:bCs/>
    </w:rPr>
  </w:style>
  <w:style w:type="character" w:customStyle="1" w:styleId="OnderwerpvanopmerkingChar">
    <w:name w:val="Onderwerp van opmerking Char"/>
    <w:basedOn w:val="TekstopmerkingChar"/>
    <w:link w:val="Onderwerpvanopmerking"/>
    <w:uiPriority w:val="99"/>
    <w:semiHidden/>
    <w:rsid w:val="009F3A8A"/>
    <w:rPr>
      <w:b/>
      <w:bCs/>
      <w:sz w:val="20"/>
      <w:szCs w:val="20"/>
    </w:rPr>
  </w:style>
  <w:style w:type="paragraph" w:styleId="Voetnoottekst">
    <w:name w:val="footnote text"/>
    <w:basedOn w:val="Standaard"/>
    <w:link w:val="VoetnoottekstChar"/>
    <w:uiPriority w:val="99"/>
    <w:semiHidden/>
    <w:unhideWhenUsed/>
    <w:rsid w:val="0085424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54241"/>
    <w:rPr>
      <w:sz w:val="20"/>
      <w:szCs w:val="20"/>
    </w:rPr>
  </w:style>
  <w:style w:type="character" w:styleId="Voetnootmarkering">
    <w:name w:val="footnote reference"/>
    <w:basedOn w:val="Standaardalinea-lettertype"/>
    <w:uiPriority w:val="99"/>
    <w:semiHidden/>
    <w:unhideWhenUsed/>
    <w:rsid w:val="00854241"/>
    <w:rPr>
      <w:vertAlign w:val="superscript"/>
    </w:rPr>
  </w:style>
  <w:style w:type="character" w:styleId="Hyperlink">
    <w:name w:val="Hyperlink"/>
    <w:basedOn w:val="Standaardalinea-lettertype"/>
    <w:uiPriority w:val="99"/>
    <w:unhideWhenUsed/>
    <w:rsid w:val="00854241"/>
    <w:rPr>
      <w:color w:val="0563C1" w:themeColor="hyperlink"/>
      <w:u w:val="single"/>
    </w:rPr>
  </w:style>
  <w:style w:type="character" w:styleId="Onopgelostemelding">
    <w:name w:val="Unresolved Mention"/>
    <w:basedOn w:val="Standaardalinea-lettertype"/>
    <w:uiPriority w:val="99"/>
    <w:semiHidden/>
    <w:unhideWhenUsed/>
    <w:rsid w:val="008542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2568">
      <w:bodyDiv w:val="1"/>
      <w:marLeft w:val="0"/>
      <w:marRight w:val="0"/>
      <w:marTop w:val="0"/>
      <w:marBottom w:val="0"/>
      <w:divBdr>
        <w:top w:val="none" w:sz="0" w:space="0" w:color="auto"/>
        <w:left w:val="none" w:sz="0" w:space="0" w:color="auto"/>
        <w:bottom w:val="none" w:sz="0" w:space="0" w:color="auto"/>
        <w:right w:val="none" w:sz="0" w:space="0" w:color="auto"/>
      </w:divBdr>
    </w:div>
    <w:div w:id="377976619">
      <w:bodyDiv w:val="1"/>
      <w:marLeft w:val="0"/>
      <w:marRight w:val="0"/>
      <w:marTop w:val="0"/>
      <w:marBottom w:val="0"/>
      <w:divBdr>
        <w:top w:val="none" w:sz="0" w:space="0" w:color="auto"/>
        <w:left w:val="none" w:sz="0" w:space="0" w:color="auto"/>
        <w:bottom w:val="none" w:sz="0" w:space="0" w:color="auto"/>
        <w:right w:val="none" w:sz="0" w:space="0" w:color="auto"/>
      </w:divBdr>
    </w:div>
    <w:div w:id="896087368">
      <w:bodyDiv w:val="1"/>
      <w:marLeft w:val="0"/>
      <w:marRight w:val="0"/>
      <w:marTop w:val="0"/>
      <w:marBottom w:val="0"/>
      <w:divBdr>
        <w:top w:val="none" w:sz="0" w:space="0" w:color="auto"/>
        <w:left w:val="none" w:sz="0" w:space="0" w:color="auto"/>
        <w:bottom w:val="none" w:sz="0" w:space="0" w:color="auto"/>
        <w:right w:val="none" w:sz="0" w:space="0" w:color="auto"/>
      </w:divBdr>
    </w:div>
    <w:div w:id="1066033787">
      <w:bodyDiv w:val="1"/>
      <w:marLeft w:val="0"/>
      <w:marRight w:val="0"/>
      <w:marTop w:val="0"/>
      <w:marBottom w:val="0"/>
      <w:divBdr>
        <w:top w:val="none" w:sz="0" w:space="0" w:color="auto"/>
        <w:left w:val="none" w:sz="0" w:space="0" w:color="auto"/>
        <w:bottom w:val="none" w:sz="0" w:space="0" w:color="auto"/>
        <w:right w:val="none" w:sz="0" w:space="0" w:color="auto"/>
      </w:divBdr>
    </w:div>
    <w:div w:id="1101922574">
      <w:bodyDiv w:val="1"/>
      <w:marLeft w:val="0"/>
      <w:marRight w:val="0"/>
      <w:marTop w:val="0"/>
      <w:marBottom w:val="0"/>
      <w:divBdr>
        <w:top w:val="none" w:sz="0" w:space="0" w:color="auto"/>
        <w:left w:val="none" w:sz="0" w:space="0" w:color="auto"/>
        <w:bottom w:val="none" w:sz="0" w:space="0" w:color="auto"/>
        <w:right w:val="none" w:sz="0" w:space="0" w:color="auto"/>
      </w:divBdr>
    </w:div>
    <w:div w:id="1143082871">
      <w:bodyDiv w:val="1"/>
      <w:marLeft w:val="0"/>
      <w:marRight w:val="0"/>
      <w:marTop w:val="0"/>
      <w:marBottom w:val="0"/>
      <w:divBdr>
        <w:top w:val="none" w:sz="0" w:space="0" w:color="auto"/>
        <w:left w:val="none" w:sz="0" w:space="0" w:color="auto"/>
        <w:bottom w:val="none" w:sz="0" w:space="0" w:color="auto"/>
        <w:right w:val="none" w:sz="0" w:space="0" w:color="auto"/>
      </w:divBdr>
    </w:div>
    <w:div w:id="1585727250">
      <w:bodyDiv w:val="1"/>
      <w:marLeft w:val="0"/>
      <w:marRight w:val="0"/>
      <w:marTop w:val="0"/>
      <w:marBottom w:val="0"/>
      <w:divBdr>
        <w:top w:val="none" w:sz="0" w:space="0" w:color="auto"/>
        <w:left w:val="none" w:sz="0" w:space="0" w:color="auto"/>
        <w:bottom w:val="none" w:sz="0" w:space="0" w:color="auto"/>
        <w:right w:val="none" w:sz="0" w:space="0" w:color="auto"/>
      </w:divBdr>
    </w:div>
    <w:div w:id="208969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2026/02/12/kamerbrief-rivm-advies-gordelroosvaccinat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2285</ap:Words>
  <ap:Characters>12568</ap:Characters>
  <ap:DocSecurity>0</ap:DocSecurity>
  <ap:Lines>104</ap:Lines>
  <ap:Paragraphs>29</ap:Paragraphs>
  <ap:ScaleCrop>false</ap:ScaleCrop>
  <ap:LinksUpToDate>false</ap:LinksUpToDate>
  <ap:CharactersWithSpaces>14824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2026-06-05T16:44:00.0000000Z</dcterms:created>
  <dcterms:modified xsi:type="dcterms:W3CDTF">2026-06-05T16:44:00.0000000Z</dcterms:modified>
  <version/>
  <category/>
</coreProperties>
</file>