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1B29" w:rsidR="009A3FA4" w:rsidP="00B27180" w:rsidRDefault="008B5FA8" w14:paraId="63FBBF0B" w14:textId="7A5C603D">
      <w:pPr>
        <w:spacing w:after="160" w:line="259" w:lineRule="auto"/>
      </w:pPr>
      <w:bookmarkStart w:name="_GoBack" w:id="0"/>
      <w:bookmarkEnd w:id="0"/>
      <w:r w:rsidRPr="00F11B29">
        <w:t>Geachte voorzitter,</w:t>
      </w:r>
    </w:p>
    <w:p w:rsidR="009A3FA4" w:rsidP="00B27180" w:rsidRDefault="009A3FA4" w14:paraId="23AD5CF1" w14:textId="570DB15A">
      <w:pPr>
        <w:spacing w:after="160" w:line="259" w:lineRule="auto"/>
      </w:pPr>
      <w:r>
        <w:t>Op 28 mei jl</w:t>
      </w:r>
      <w:r w:rsidR="008B5FA8">
        <w:t>.</w:t>
      </w:r>
      <w:r w:rsidR="00DC34BD">
        <w:t xml:space="preserve"> heb ik </w:t>
      </w:r>
      <w:r>
        <w:t xml:space="preserve">tijdens de plenaire behandeling van de luchtvaartverdragen EU-ASEAN en Nederland-Ivoorkust aan </w:t>
      </w:r>
      <w:r w:rsidR="005E20AD">
        <w:t>het lid</w:t>
      </w:r>
      <w:r>
        <w:t xml:space="preserve"> Kröger </w:t>
      </w:r>
      <w:r w:rsidR="008B5FA8">
        <w:t xml:space="preserve">(GroenLinks-PvdA) </w:t>
      </w:r>
      <w:r>
        <w:t xml:space="preserve">toegezegd om een beleidsappreciatie te geven op de bijdragen van enkele experts in het rondetafelgesprek van 17 april 2025. Met deze </w:t>
      </w:r>
      <w:r w:rsidR="007F582A">
        <w:t>K</w:t>
      </w:r>
      <w:r>
        <w:t>amerbrief wordt deze beleidsappreciatie gegeven</w:t>
      </w:r>
      <w:r w:rsidR="005E20AD">
        <w:t xml:space="preserve"> en</w:t>
      </w:r>
      <w:r>
        <w:t xml:space="preserve"> de toezegging</w:t>
      </w:r>
      <w:r w:rsidR="008B5FA8">
        <w:rPr>
          <w:rStyle w:val="FootnoteReference"/>
        </w:rPr>
        <w:footnoteReference w:id="1"/>
      </w:r>
      <w:r>
        <w:t xml:space="preserve"> afgedaan.</w:t>
      </w:r>
    </w:p>
    <w:p w:rsidR="00153935" w:rsidP="00B27180" w:rsidRDefault="00DC34BD" w14:paraId="06EB9D82" w14:textId="055DC36F">
      <w:pPr>
        <w:spacing w:after="160" w:line="259" w:lineRule="auto"/>
      </w:pPr>
      <w:r>
        <w:t>In</w:t>
      </w:r>
      <w:r w:rsidR="00153935">
        <w:t xml:space="preserve"> deze Kamerbrief wordt, in reactie op het plenaire debat en het rondetafelgesprek, eerst </w:t>
      </w:r>
      <w:r w:rsidR="007F582A">
        <w:t>toegelicht</w:t>
      </w:r>
      <w:r w:rsidR="00153935">
        <w:t xml:space="preserve"> wat luchtvaartverdragen wel regelen en wat niet. Vervolgens wordt de beleidsappreciatie op het rondetafelgesprek gegeven, waarin onder andere wordt ingegaan op de artikelen 8, 10, 11 en 12</w:t>
      </w:r>
      <w:r w:rsidR="008B5FA8">
        <w:t xml:space="preserve"> </w:t>
      </w:r>
      <w:r w:rsidR="00CE2624">
        <w:t>van</w:t>
      </w:r>
      <w:r w:rsidR="008B5FA8">
        <w:t xml:space="preserve"> het </w:t>
      </w:r>
      <w:r w:rsidR="00CE2624">
        <w:t>EU-ASEAN luchtvaart</w:t>
      </w:r>
      <w:r w:rsidRPr="006B2A86" w:rsidR="00CE2624">
        <w:t>verdrag</w:t>
      </w:r>
      <w:r w:rsidR="00153935">
        <w:t>, zoals specifiek toegezegd aan het lid Kröger. Na deze appreciatie worden de gesprekken</w:t>
      </w:r>
      <w:r w:rsidR="00CE2624">
        <w:t xml:space="preserve"> met sectorpartijen</w:t>
      </w:r>
      <w:r w:rsidR="00153935">
        <w:t xml:space="preserve"> die na het rondetafelgesprek zijn gevoerd, en nog altijd lopen, benoemd. Vervolgens worden de gevolgen van niet-ratificeren en de reden waarom aanpassingen complex zijn</w:t>
      </w:r>
      <w:r>
        <w:t>,</w:t>
      </w:r>
      <w:r w:rsidR="00153935">
        <w:t xml:space="preserve"> benoemd. Ten slotte wordt gereflecteerd op de informatiepositie van de Kamer in onderhandelingen, de oproep van onder andere het lid Kosti</w:t>
      </w:r>
      <w:r w:rsidRPr="008B5FA8" w:rsidR="008B5FA8">
        <w:t>ć</w:t>
      </w:r>
      <w:r w:rsidR="008B5FA8">
        <w:t xml:space="preserve"> (PvdD)</w:t>
      </w:r>
      <w:r w:rsidR="00153935">
        <w:t xml:space="preserve"> </w:t>
      </w:r>
      <w:r w:rsidR="00B217D0">
        <w:t xml:space="preserve">om </w:t>
      </w:r>
      <w:r w:rsidR="00CE2624">
        <w:t xml:space="preserve">te blijven </w:t>
      </w:r>
      <w:r w:rsidRPr="00CE2624" w:rsidR="00CE2624">
        <w:t>streven naar verdere versterking van afspraken</w:t>
      </w:r>
      <w:r w:rsidR="00B217D0">
        <w:t xml:space="preserve"> </w:t>
      </w:r>
      <w:r w:rsidR="00153935">
        <w:t>en de vragen over het impact assessment.</w:t>
      </w:r>
    </w:p>
    <w:p w:rsidR="009A3FA4" w:rsidP="00B27180" w:rsidRDefault="009A3FA4" w14:paraId="067720C3" w14:textId="4CF226E2">
      <w:pPr>
        <w:spacing w:after="160" w:line="259" w:lineRule="auto"/>
        <w:rPr>
          <w:b/>
          <w:bCs/>
        </w:rPr>
      </w:pPr>
      <w:r>
        <w:rPr>
          <w:b/>
          <w:bCs/>
        </w:rPr>
        <w:t>Wat regelen luchtvaartverdragen wel en niet</w:t>
      </w:r>
    </w:p>
    <w:p w:rsidRPr="006B2A86" w:rsidR="00FA29FC" w:rsidP="00FA29FC" w:rsidRDefault="00FA29FC" w14:paraId="70AD64CB" w14:textId="77777777">
      <w:pPr>
        <w:spacing w:after="160" w:line="259" w:lineRule="auto"/>
      </w:pPr>
      <w:r w:rsidRPr="006B2A86">
        <w:t xml:space="preserve">Een luchtvaartverdrag vormt de juridische basis voor markttoegang tussen landen. Het bepaalt </w:t>
      </w:r>
      <w:r>
        <w:t xml:space="preserve">primair </w:t>
      </w:r>
      <w:r w:rsidRPr="006B2A86">
        <w:t xml:space="preserve">onder welke voorwaarden luchtvaartmaatschappijen toegang krijgen tot elkaars markten. De </w:t>
      </w:r>
      <w:r>
        <w:t>randvoorwaarden voor de regeling van</w:t>
      </w:r>
      <w:r w:rsidRPr="006B2A86">
        <w:t xml:space="preserve"> publieke belangen zoals milieu, gezondheid, veiligheid, arbeidsomstandigheden en consumentenbescherming</w:t>
      </w:r>
      <w:r>
        <w:t xml:space="preserve"> worden hoofdzakelijk bepaald door de relevante</w:t>
      </w:r>
      <w:r w:rsidRPr="006B2A86">
        <w:t xml:space="preserve"> nationale</w:t>
      </w:r>
      <w:r>
        <w:t xml:space="preserve">, Europese </w:t>
      </w:r>
      <w:r w:rsidRPr="006B2A86">
        <w:t xml:space="preserve">en </w:t>
      </w:r>
      <w:r>
        <w:t>i</w:t>
      </w:r>
      <w:r w:rsidRPr="006B2A86">
        <w:t xml:space="preserve">nternationale </w:t>
      </w:r>
      <w:r>
        <w:t>normen en regelgeving</w:t>
      </w:r>
      <w:r w:rsidRPr="006B2A86">
        <w:t>.</w:t>
      </w:r>
      <w:r>
        <w:t xml:space="preserve"> Hoewel luchtvaartverdragen daar mede invulling aan geven, staan ze niet in de weg aan de implementatie van dergelijke normen en regels. Hierop wordt in de appreciatie van de bijdragen in het rondetafelgesprek nader ingegaan.</w:t>
      </w:r>
    </w:p>
    <w:p w:rsidR="005E20AD" w:rsidP="009A3FA4" w:rsidRDefault="009A3FA4" w14:paraId="17403ECD" w14:textId="281D80D3">
      <w:pPr>
        <w:spacing w:after="160" w:line="259" w:lineRule="auto"/>
      </w:pPr>
      <w:r w:rsidRPr="006B2A86">
        <w:t>Het kabinet deelt de opvatting dat de luchtvaart voor een grote verduurzamingsopgave staat</w:t>
      </w:r>
      <w:r w:rsidR="00A05CA5">
        <w:t xml:space="preserve"> en dat luchtvaartmaatschappijen zoveel als mogelijk </w:t>
      </w:r>
      <w:r w:rsidR="00A05CA5">
        <w:lastRenderedPageBreak/>
        <w:t>onder eerlijke en vergelijkbare</w:t>
      </w:r>
      <w:r w:rsidR="00FA29FC">
        <w:t xml:space="preserve"> regels over arbeidsomstandigheden en duurzaamheid </w:t>
      </w:r>
      <w:r w:rsidR="007F582A">
        <w:t>moeten</w:t>
      </w:r>
      <w:r w:rsidR="00A05CA5">
        <w:t xml:space="preserve"> concurreren</w:t>
      </w:r>
      <w:r w:rsidRPr="006B2A86">
        <w:t xml:space="preserve">. </w:t>
      </w:r>
    </w:p>
    <w:p w:rsidRPr="009A3FA4" w:rsidR="009A3FA4" w:rsidP="00B27180" w:rsidRDefault="00240782" w14:paraId="38F2446A" w14:textId="5F0F1BDF">
      <w:pPr>
        <w:spacing w:after="160" w:line="259" w:lineRule="auto"/>
      </w:pPr>
      <w:r>
        <w:t>Het is</w:t>
      </w:r>
      <w:r w:rsidRPr="006B2A86" w:rsidR="009A3FA4">
        <w:t xml:space="preserve"> van belang om het</w:t>
      </w:r>
      <w:r w:rsidR="005E20AD">
        <w:t xml:space="preserve"> EU-ASEAN luchtvaart</w:t>
      </w:r>
      <w:r w:rsidRPr="006B2A86" w:rsidR="009A3FA4">
        <w:t>verdrag</w:t>
      </w:r>
      <w:r w:rsidR="00680C45">
        <w:t xml:space="preserve"> (hierna aangeduid als “het verdrag”)</w:t>
      </w:r>
      <w:r w:rsidRPr="006B2A86" w:rsidR="009A3FA4">
        <w:t xml:space="preserve"> te beoordelen ten opzichte van de bestaande </w:t>
      </w:r>
      <w:r w:rsidR="009A3FA4">
        <w:t xml:space="preserve">verdragsrechtelijke </w:t>
      </w:r>
      <w:r w:rsidRPr="006B2A86" w:rsidR="009A3FA4">
        <w:t xml:space="preserve">situatie. Het verdrag vervangt een groot aantal oudere bilaterale </w:t>
      </w:r>
      <w:r w:rsidR="009A3FA4">
        <w:t>luchtvaart</w:t>
      </w:r>
      <w:r w:rsidRPr="006B2A86" w:rsidR="009A3FA4">
        <w:t>verdragen</w:t>
      </w:r>
      <w:r w:rsidR="009A3FA4">
        <w:t xml:space="preserve"> tussen Nederland en de ASEAN-lidstaten</w:t>
      </w:r>
      <w:r w:rsidR="00281EA5">
        <w:t>, waarvan het oudste verdrag tussen Nederland en Singapore dateert uit 1966. Ook</w:t>
      </w:r>
      <w:r w:rsidRPr="006B2A86" w:rsidR="009A3FA4">
        <w:t xml:space="preserve"> introduceert </w:t>
      </w:r>
      <w:r w:rsidR="00281EA5">
        <w:t xml:space="preserve">het verdrag </w:t>
      </w:r>
      <w:r w:rsidRPr="006B2A86" w:rsidR="009A3FA4">
        <w:t xml:space="preserve">voor het eerst op </w:t>
      </w:r>
      <w:r w:rsidR="009A3FA4">
        <w:t xml:space="preserve">een </w:t>
      </w:r>
      <w:r w:rsidRPr="006B2A86" w:rsidR="009A3FA4">
        <w:t>multilateraal niveau afspraken over duurzaamheid, eerlijke concurrentie, sociale aspecten en institutionele samenwerking</w:t>
      </w:r>
      <w:r w:rsidR="009A3FA4">
        <w:t xml:space="preserve"> tussen de EU en haar lidstaten enerzijds en de ASEAN-lidstaten anderzijds</w:t>
      </w:r>
      <w:r w:rsidRPr="006B2A86" w:rsidR="009A3FA4">
        <w:t xml:space="preserve">. Verschillende deskundigen hebben erop gewezen dat deze elementen in </w:t>
      </w:r>
      <w:r w:rsidR="009A3FA4">
        <w:t xml:space="preserve">de meeste </w:t>
      </w:r>
      <w:r w:rsidRPr="006B2A86" w:rsidR="009A3FA4">
        <w:t>bestaande</w:t>
      </w:r>
      <w:r w:rsidR="009A3FA4">
        <w:t xml:space="preserve"> bilaterale</w:t>
      </w:r>
      <w:r w:rsidRPr="006B2A86" w:rsidR="009A3FA4">
        <w:t xml:space="preserve"> </w:t>
      </w:r>
      <w:r w:rsidR="009A3FA4">
        <w:t>luchtvaart</w:t>
      </w:r>
      <w:r w:rsidRPr="006B2A86" w:rsidR="009A3FA4">
        <w:t>verdragen</w:t>
      </w:r>
      <w:r w:rsidR="009A3FA4">
        <w:t xml:space="preserve"> met de ASEAN-lidstaten</w:t>
      </w:r>
      <w:r w:rsidRPr="006B2A86" w:rsidR="009A3FA4">
        <w:t xml:space="preserve"> ontbreken of minder vergaand zijn uitgewerkt.</w:t>
      </w:r>
    </w:p>
    <w:p w:rsidRPr="009A3FA4" w:rsidR="009A3FA4" w:rsidP="00B27180" w:rsidRDefault="009A3FA4" w14:paraId="745EC1C6" w14:textId="2CB84852">
      <w:pPr>
        <w:spacing w:after="160" w:line="259" w:lineRule="auto"/>
        <w:rPr>
          <w:b/>
          <w:bCs/>
        </w:rPr>
      </w:pPr>
      <w:r>
        <w:rPr>
          <w:b/>
          <w:bCs/>
        </w:rPr>
        <w:t>Appreciatie van bijdragen in rondetafelgesprek</w:t>
      </w:r>
    </w:p>
    <w:p w:rsidRPr="006B2A86" w:rsidR="00A05CA5" w:rsidP="00A05CA5" w:rsidRDefault="00BB1CDA" w14:paraId="2B80FCB1" w14:textId="081EB1A1">
      <w:pPr>
        <w:spacing w:after="160" w:line="259" w:lineRule="auto"/>
      </w:pPr>
      <w:r>
        <w:t>De</w:t>
      </w:r>
      <w:r w:rsidRPr="006B2A86">
        <w:t xml:space="preserve"> </w:t>
      </w:r>
      <w:r w:rsidRPr="006B2A86" w:rsidR="00B27180">
        <w:t>bijdragen</w:t>
      </w:r>
      <w:r>
        <w:t xml:space="preserve"> van de experts</w:t>
      </w:r>
      <w:r w:rsidRPr="006B2A86" w:rsidR="00B27180">
        <w:t xml:space="preserve"> </w:t>
      </w:r>
      <w:r w:rsidR="009A3FA4">
        <w:t xml:space="preserve">in het Rondetafelgesprek van 17 april 2025 </w:t>
      </w:r>
      <w:r w:rsidRPr="006B2A86" w:rsidR="00B27180">
        <w:t>laten zien dat er breed wordt nagedacht over de toekomst van de luchtvaart, de verduurzaming van de sector en de vraag hoe luchtvaart</w:t>
      </w:r>
      <w:r w:rsidR="008370B8">
        <w:t>verdragen</w:t>
      </w:r>
      <w:r w:rsidRPr="006B2A86" w:rsidR="00B27180">
        <w:t xml:space="preserve"> zich verhouden tot</w:t>
      </w:r>
      <w:r w:rsidR="008370B8">
        <w:t xml:space="preserve"> onze</w:t>
      </w:r>
      <w:r w:rsidRPr="006B2A86" w:rsidR="00B27180">
        <w:t xml:space="preserve"> nationale beleidsruimte</w:t>
      </w:r>
      <w:r w:rsidR="006421BB">
        <w:t xml:space="preserve"> voor veiligheid, arbeidsomstandigheden en concurrentie</w:t>
      </w:r>
      <w:r w:rsidRPr="006B2A86" w:rsidR="00B27180">
        <w:t>.</w:t>
      </w:r>
      <w:r w:rsidR="009A3FA4">
        <w:t xml:space="preserve"> </w:t>
      </w:r>
      <w:r w:rsidR="00A05CA5">
        <w:t xml:space="preserve">Dat is belangrijke input, waar het kabinet dankbaar gebruik van maakt. Tijdens deze </w:t>
      </w:r>
      <w:r w:rsidR="005E20AD">
        <w:t>sessie</w:t>
      </w:r>
      <w:r w:rsidR="00A05CA5">
        <w:t xml:space="preserve"> zijn bijdragen geleverd door </w:t>
      </w:r>
      <w:r w:rsidR="001958E7">
        <w:t xml:space="preserve">professor </w:t>
      </w:r>
      <w:r w:rsidR="00A05CA5">
        <w:t xml:space="preserve">Gössling, Lineaus Universiteit in Zweden, Emeritus professor Peeters van de hogeschool Breda, </w:t>
      </w:r>
      <w:r w:rsidR="001958E7">
        <w:t xml:space="preserve">professor </w:t>
      </w:r>
      <w:r w:rsidR="00A05CA5">
        <w:t>Steven Truxal van de Universiteit Leiden, Ruud Steegers van de Vereniging voor Nederlandse Verkeersvliegers (VNV) en Bill Hemming</w:t>
      </w:r>
      <w:r w:rsidR="006969A2">
        <w:t>s</w:t>
      </w:r>
      <w:r w:rsidR="00A05CA5">
        <w:t xml:space="preserve"> van Rosetta Advisory Services.</w:t>
      </w:r>
    </w:p>
    <w:p w:rsidR="00A05CA5" w:rsidP="00B27180" w:rsidRDefault="00A05CA5" w14:paraId="732AF7AD" w14:textId="05E74C68">
      <w:pPr>
        <w:spacing w:after="160" w:line="259" w:lineRule="auto"/>
      </w:pPr>
      <w:r>
        <w:t xml:space="preserve">Het </w:t>
      </w:r>
      <w:r w:rsidR="005E20AD">
        <w:t>k</w:t>
      </w:r>
      <w:r>
        <w:t xml:space="preserve">abinet heeft begrip voor de zorgen over eerlijke concurrentie, duurzaamheid en arbeidsomstandigheden. Deze </w:t>
      </w:r>
      <w:r w:rsidR="00C32FD3">
        <w:t>belangrijke thema’s</w:t>
      </w:r>
      <w:r>
        <w:t xml:space="preserve"> worden daarom nauwgezet gevolgd en hier is voortdurende aandacht van </w:t>
      </w:r>
      <w:r w:rsidR="00900EB2">
        <w:t xml:space="preserve">het ministerie van </w:t>
      </w:r>
      <w:r>
        <w:t xml:space="preserve">IenW voor. Mede naar aanleiding van de input van de experts tijdens deze </w:t>
      </w:r>
      <w:r w:rsidR="00C32FD3">
        <w:t>sessie</w:t>
      </w:r>
      <w:r>
        <w:t xml:space="preserve"> en naar aanleiding van gesprekken met onder andere de VNV heeft </w:t>
      </w:r>
      <w:r w:rsidR="00900EB2">
        <w:t xml:space="preserve">het ministerie van </w:t>
      </w:r>
      <w:r>
        <w:t xml:space="preserve">IenW in recente </w:t>
      </w:r>
      <w:r w:rsidR="00C32FD3">
        <w:t>G</w:t>
      </w:r>
      <w:r>
        <w:t xml:space="preserve">emengde </w:t>
      </w:r>
      <w:r w:rsidR="00C32FD3">
        <w:t>C</w:t>
      </w:r>
      <w:r>
        <w:t xml:space="preserve">omités al aandacht gevraagd voor </w:t>
      </w:r>
      <w:r w:rsidR="006421BB">
        <w:t xml:space="preserve">onder andere </w:t>
      </w:r>
      <w:r>
        <w:t xml:space="preserve">duurzaamheid en arbeidsomstandigheden. </w:t>
      </w:r>
      <w:r w:rsidR="008D1219">
        <w:t>Deze Gemengde Comités vinden een keer per jaar plaats met alle lidstaten onder het verdrag, en bieden een platform om lopende zaken te bespreken en verbeteringen door te voeren.</w:t>
      </w:r>
    </w:p>
    <w:p w:rsidRPr="006B2A86" w:rsidR="00B27180" w:rsidP="00B27180" w:rsidRDefault="00B27180" w14:paraId="45548534" w14:textId="0A824CF9">
      <w:pPr>
        <w:spacing w:after="160" w:line="259" w:lineRule="auto"/>
      </w:pPr>
      <w:r w:rsidRPr="006B2A86">
        <w:t xml:space="preserve">Ten aanzien van de </w:t>
      </w:r>
      <w:r w:rsidR="001D7A2E">
        <w:t>inbreng</w:t>
      </w:r>
      <w:r w:rsidRPr="006B2A86">
        <w:t xml:space="preserve"> van </w:t>
      </w:r>
      <w:r w:rsidR="00BE37F2">
        <w:t>professor</w:t>
      </w:r>
      <w:r w:rsidRPr="006B2A86">
        <w:t xml:space="preserve"> Gössling</w:t>
      </w:r>
      <w:r w:rsidR="00BE37F2">
        <w:t xml:space="preserve"> </w:t>
      </w:r>
      <w:r w:rsidRPr="006B2A86">
        <w:t>merkt het kabinet op dat de lage winstmarges in de luchtvaartsector een bekend gegeven zijn. Dat vraagt juist om een internationa</w:t>
      </w:r>
      <w:r w:rsidR="001D7A2E">
        <w:t>al</w:t>
      </w:r>
      <w:r w:rsidRPr="006B2A86">
        <w:t xml:space="preserve"> </w:t>
      </w:r>
      <w:r w:rsidR="001D7A2E">
        <w:t>speelveld</w:t>
      </w:r>
      <w:r w:rsidRPr="006B2A86">
        <w:t xml:space="preserve"> waarin </w:t>
      </w:r>
      <w:r w:rsidR="001D7A2E">
        <w:t>luchtvaart</w:t>
      </w:r>
      <w:r w:rsidRPr="006B2A86">
        <w:t xml:space="preserve">maatschappijen op een gezonde en voorspelbare wijze kunnen opereren. Het </w:t>
      </w:r>
      <w:r w:rsidR="001D7A2E">
        <w:t>EU-ASEAN luchtvaart</w:t>
      </w:r>
      <w:r w:rsidRPr="006B2A86">
        <w:t>verdrag biedt daarvoor een juridisch kader en versterkt de commerciële mogelijkheden van Europese luchtvaartmaatschappijen in een van de snelst groeiende</w:t>
      </w:r>
      <w:r w:rsidR="004A7A87">
        <w:t xml:space="preserve"> </w:t>
      </w:r>
      <w:r w:rsidRPr="006B2A86">
        <w:t>luchtvaartregio's ter wereld. Een financieel gezonde sector is bovendien beter in</w:t>
      </w:r>
      <w:r w:rsidR="00BE37F2">
        <w:t xml:space="preserve"> </w:t>
      </w:r>
      <w:r w:rsidRPr="006B2A86">
        <w:t>staat te investeren in vlootvernieuwing, duurzame brandstoffen en andere</w:t>
      </w:r>
      <w:r w:rsidR="001D7A2E">
        <w:t xml:space="preserve"> noodzakelijke</w:t>
      </w:r>
      <w:r w:rsidRPr="006B2A86">
        <w:t xml:space="preserve"> verduurzamingsmaatregelen.</w:t>
      </w:r>
    </w:p>
    <w:p w:rsidRPr="006B2A86" w:rsidR="00B27180" w:rsidP="00B27180" w:rsidRDefault="00B27180" w14:paraId="5686E65E" w14:textId="1E11D74C">
      <w:pPr>
        <w:spacing w:after="160" w:line="259" w:lineRule="auto"/>
      </w:pPr>
      <w:r w:rsidRPr="006B2A86">
        <w:t xml:space="preserve">Het kabinet </w:t>
      </w:r>
      <w:r w:rsidR="001D7A2E">
        <w:t>herkent zich</w:t>
      </w:r>
      <w:r w:rsidRPr="006B2A86">
        <w:t xml:space="preserve"> niet </w:t>
      </w:r>
      <w:r w:rsidR="001D7A2E">
        <w:t xml:space="preserve">in </w:t>
      </w:r>
      <w:r w:rsidR="00153935">
        <w:t>de</w:t>
      </w:r>
      <w:r w:rsidRPr="006B2A86">
        <w:t xml:space="preserve"> conclusie </w:t>
      </w:r>
      <w:r w:rsidR="00153935">
        <w:t xml:space="preserve">van </w:t>
      </w:r>
      <w:r w:rsidR="00C67E30">
        <w:t>professor</w:t>
      </w:r>
      <w:r w:rsidR="00153935">
        <w:t xml:space="preserve"> Gössling </w:t>
      </w:r>
      <w:r w:rsidRPr="006B2A86">
        <w:t>dat dit verdrag verduurzaming zou belemmeren. Het verdrag bevat</w:t>
      </w:r>
      <w:r w:rsidR="001D7A2E">
        <w:t xml:space="preserve"> namelijk</w:t>
      </w:r>
      <w:r w:rsidRPr="006B2A86">
        <w:t xml:space="preserve"> geen bepalingen die de Europese Unie of Nederland verhinderen om binnen hun bevoegdheden </w:t>
      </w:r>
      <w:r w:rsidR="001D7A2E">
        <w:t xml:space="preserve">hun </w:t>
      </w:r>
      <w:r w:rsidRPr="006B2A86">
        <w:t>klimaat- en milieubeleid te voeren. De belangrijkste instrumenten</w:t>
      </w:r>
      <w:r w:rsidR="001D7A2E">
        <w:t xml:space="preserve"> die in Europees en mondiaal verband</w:t>
      </w:r>
      <w:r w:rsidRPr="006B2A86">
        <w:t xml:space="preserve"> voor verduurzaming van de luchtvaart</w:t>
      </w:r>
      <w:r w:rsidR="001D7A2E">
        <w:t xml:space="preserve"> worden ontwikkeld omvatten onder meer</w:t>
      </w:r>
      <w:r w:rsidRPr="006B2A86">
        <w:t xml:space="preserve"> het Europese emissiehandelssysteem, </w:t>
      </w:r>
      <w:r w:rsidR="00B54C60">
        <w:t xml:space="preserve">de EU </w:t>
      </w:r>
      <w:r w:rsidRPr="006B2A86">
        <w:t>ReFuelEU Aviation</w:t>
      </w:r>
      <w:r w:rsidR="00B54C60">
        <w:t xml:space="preserve"> regelgeving</w:t>
      </w:r>
      <w:r w:rsidRPr="006B2A86">
        <w:t>,</w:t>
      </w:r>
      <w:r w:rsidR="00B54C60">
        <w:t xml:space="preserve"> verschillende</w:t>
      </w:r>
      <w:r w:rsidRPr="006B2A86">
        <w:t xml:space="preserve"> duurzaamheidsverplichtingen voor brandstoffen</w:t>
      </w:r>
      <w:r w:rsidR="00B54C60">
        <w:t xml:space="preserve"> </w:t>
      </w:r>
      <w:r w:rsidRPr="006B2A86">
        <w:t>en de internationale afspraken</w:t>
      </w:r>
      <w:r w:rsidR="00B54C60">
        <w:t xml:space="preserve"> over verduurzaming die</w:t>
      </w:r>
      <w:r w:rsidRPr="006B2A86">
        <w:t xml:space="preserve"> </w:t>
      </w:r>
      <w:r w:rsidR="00B54C60">
        <w:t>in</w:t>
      </w:r>
      <w:r w:rsidRPr="006B2A86">
        <w:t xml:space="preserve"> ICAO</w:t>
      </w:r>
      <w:r w:rsidR="00B54C60">
        <w:t xml:space="preserve"> verband worden gemaakt</w:t>
      </w:r>
      <w:r w:rsidRPr="006B2A86">
        <w:t>. Het verdrag staat deze ontwikkelingen niet in de weg.</w:t>
      </w:r>
      <w:r w:rsidR="00BE37F2">
        <w:t xml:space="preserve"> Het is daarnaast relevant te vermelden dat ook in de ASEAN-lidstaten </w:t>
      </w:r>
      <w:r w:rsidR="00A753B2">
        <w:t>ambitieuze plannen en wetgevingstrajecten lopen om de uitstoot van de luchtvaart terug te dringen, bijvoorbeeld door middel van bijmengverplichtingen.</w:t>
      </w:r>
    </w:p>
    <w:p w:rsidR="00B203A0" w:rsidP="00B27180" w:rsidRDefault="00B27180" w14:paraId="13788B72" w14:textId="344E725C">
      <w:pPr>
        <w:spacing w:after="160" w:line="259" w:lineRule="auto"/>
      </w:pPr>
      <w:r w:rsidRPr="006B2A86">
        <w:t xml:space="preserve">Ook de </w:t>
      </w:r>
      <w:r w:rsidR="00D471E5">
        <w:t>bijdrage</w:t>
      </w:r>
      <w:r w:rsidRPr="006B2A86">
        <w:t xml:space="preserve"> van </w:t>
      </w:r>
      <w:r w:rsidR="00C23C4B">
        <w:t>professor</w:t>
      </w:r>
      <w:r w:rsidRPr="006B2A86" w:rsidR="00B203A0">
        <w:t xml:space="preserve"> </w:t>
      </w:r>
      <w:r w:rsidRPr="006B2A86">
        <w:t>Peeters</w:t>
      </w:r>
      <w:r w:rsidR="00C23C4B">
        <w:t xml:space="preserve"> </w:t>
      </w:r>
      <w:r w:rsidR="00D471E5">
        <w:t xml:space="preserve">in het rondetafelgesprek </w:t>
      </w:r>
      <w:r w:rsidRPr="006B2A86">
        <w:t xml:space="preserve">vraagt om enige nuancering. Het kabinet onderschrijft dat de duurzaamheidsbepalingen in het verdrag niet hetzelfde karakter hebben als </w:t>
      </w:r>
      <w:r w:rsidR="002D094A">
        <w:t xml:space="preserve">de </w:t>
      </w:r>
      <w:r w:rsidRPr="006B2A86">
        <w:t>Europese regelgeving</w:t>
      </w:r>
      <w:r w:rsidR="002D094A">
        <w:t xml:space="preserve"> op dat gebied</w:t>
      </w:r>
      <w:r w:rsidRPr="006B2A86">
        <w:t>. Dat is echter inherent aan internationale luchtvaartverdragen</w:t>
      </w:r>
      <w:r>
        <w:t xml:space="preserve">, </w:t>
      </w:r>
      <w:r w:rsidR="002D094A">
        <w:t xml:space="preserve">waarbij zowel de EU en haar lidstaten als de </w:t>
      </w:r>
      <w:r w:rsidR="00320726">
        <w:t>ASEAN-lidstaten</w:t>
      </w:r>
      <w:r w:rsidR="002D094A">
        <w:t xml:space="preserve"> akkoord moeten gaan met de bewoording en reikwijdte van de duurzaamheidsbepalingen</w:t>
      </w:r>
      <w:r w:rsidRPr="006B2A86">
        <w:t xml:space="preserve">. </w:t>
      </w:r>
      <w:r>
        <w:t>H</w:t>
      </w:r>
      <w:r w:rsidRPr="006B2A86">
        <w:t xml:space="preserve">et </w:t>
      </w:r>
      <w:r w:rsidR="002D094A">
        <w:t xml:space="preserve">in het verdrag opgenomen </w:t>
      </w:r>
      <w:r w:rsidRPr="006B2A86">
        <w:t xml:space="preserve">duurzaamheidsartikel </w:t>
      </w:r>
      <w:r>
        <w:t xml:space="preserve">vormt </w:t>
      </w:r>
      <w:r w:rsidRPr="006B2A86">
        <w:t xml:space="preserve">geen sluitpost, maar </w:t>
      </w:r>
      <w:r>
        <w:t>is</w:t>
      </w:r>
      <w:r w:rsidR="0009276F">
        <w:t xml:space="preserve"> te beschouwen als</w:t>
      </w:r>
      <w:r>
        <w:t xml:space="preserve"> </w:t>
      </w:r>
      <w:r w:rsidRPr="006B2A86">
        <w:t xml:space="preserve">een expliciete erkenning dat beide regio's moeten samenwerken </w:t>
      </w:r>
      <w:r w:rsidR="0009276F">
        <w:t xml:space="preserve">en in lijn met hun internationale rechten en verplichtingen de nodige maatregelen moeten nemen om </w:t>
      </w:r>
      <w:r w:rsidRPr="006B2A86">
        <w:t xml:space="preserve">de impact van de luchtvaart op </w:t>
      </w:r>
      <w:r w:rsidR="0009276F">
        <w:t xml:space="preserve">het </w:t>
      </w:r>
      <w:r w:rsidRPr="006B2A86">
        <w:t xml:space="preserve">klimaat en </w:t>
      </w:r>
      <w:r w:rsidR="0009276F">
        <w:t xml:space="preserve">de </w:t>
      </w:r>
      <w:r w:rsidRPr="006B2A86">
        <w:t>leefomgeving</w:t>
      </w:r>
      <w:r w:rsidR="0009276F">
        <w:t xml:space="preserve"> te verminderen</w:t>
      </w:r>
      <w:r w:rsidRPr="006B2A86">
        <w:t>.</w:t>
      </w:r>
      <w:r>
        <w:t xml:space="preserve"> De uitwerking van deze ambities wordt op mondiaal niveau uitgewerkt in </w:t>
      </w:r>
      <w:r w:rsidR="00B203A0">
        <w:t xml:space="preserve">bindende </w:t>
      </w:r>
      <w:r>
        <w:t>eisen.</w:t>
      </w:r>
      <w:r w:rsidR="00B203A0">
        <w:t xml:space="preserve"> </w:t>
      </w:r>
      <w:r w:rsidR="00AA1C8A">
        <w:t>Daarnaast worden nadere eisen uitgewerkt in Europese en nationale wetgeving.</w:t>
      </w:r>
    </w:p>
    <w:p w:rsidR="00B203A0" w:rsidP="00B27180" w:rsidRDefault="00B203A0" w14:paraId="62B78887" w14:textId="0C936606">
      <w:pPr>
        <w:spacing w:after="160" w:line="259" w:lineRule="auto"/>
      </w:pPr>
      <w:r>
        <w:t xml:space="preserve">In het position paper van </w:t>
      </w:r>
      <w:r w:rsidR="001958E7">
        <w:t>professor</w:t>
      </w:r>
      <w:r>
        <w:t xml:space="preserve"> Peeters wordt gesteld dat artikel 8 geen ruimte voor Nederlands milieu-, ruimtelijk, gezondheids- of volkshuisvestingsbeleid zou bieden. Echter, zoals </w:t>
      </w:r>
      <w:r w:rsidR="00AB6C79">
        <w:t>uit</w:t>
      </w:r>
      <w:r>
        <w:t xml:space="preserve"> de </w:t>
      </w:r>
      <w:r w:rsidR="00BB1CDA">
        <w:t>R</w:t>
      </w:r>
      <w:r>
        <w:t xml:space="preserve">egeling </w:t>
      </w:r>
      <w:r w:rsidR="00BB1CDA">
        <w:t xml:space="preserve">operationele beperkingen </w:t>
      </w:r>
      <w:r w:rsidR="00377D7C">
        <w:t>lawaaiige luchtvaartuigen Schiphol</w:t>
      </w:r>
      <w:r w:rsidR="00DC34BD">
        <w:t xml:space="preserve"> blijkt</w:t>
      </w:r>
      <w:r>
        <w:t xml:space="preserve">, </w:t>
      </w:r>
      <w:r w:rsidR="00AB6C79">
        <w:t>staat dit verdrag</w:t>
      </w:r>
      <w:r>
        <w:t xml:space="preserve"> </w:t>
      </w:r>
      <w:r w:rsidR="00AB6C79">
        <w:t xml:space="preserve">duidelijk niet </w:t>
      </w:r>
      <w:r w:rsidR="00DC34BD">
        <w:t>in</w:t>
      </w:r>
      <w:r w:rsidR="00AB6C79">
        <w:t xml:space="preserve"> de weg van</w:t>
      </w:r>
      <w:r w:rsidR="00BB1CDA">
        <w:t xml:space="preserve"> </w:t>
      </w:r>
      <w:r>
        <w:t xml:space="preserve">dergelijke nationale maatregelen. </w:t>
      </w:r>
    </w:p>
    <w:p w:rsidR="00B203A0" w:rsidP="00B27180" w:rsidRDefault="00B203A0" w14:paraId="16F218C3" w14:textId="7034121E">
      <w:pPr>
        <w:spacing w:after="160" w:line="259" w:lineRule="auto"/>
      </w:pPr>
      <w:r>
        <w:t xml:space="preserve">Daarnaast wordt gesteld dat non-discriminatoire slotallocatie, zoals verplicht in artikel </w:t>
      </w:r>
      <w:r w:rsidR="00BE37F2">
        <w:t>6</w:t>
      </w:r>
      <w:r w:rsidR="00AB6C79">
        <w:t xml:space="preserve"> </w:t>
      </w:r>
      <w:r w:rsidR="00BE37F2">
        <w:t>(</w:t>
      </w:r>
      <w:r w:rsidR="00AB6C79">
        <w:t>v</w:t>
      </w:r>
      <w:r w:rsidR="00BE37F2">
        <w:t xml:space="preserve">ermoedelijk wordt hier gedoeld op artikel </w:t>
      </w:r>
      <w:r w:rsidR="0049589B">
        <w:t>10, zesde lid</w:t>
      </w:r>
      <w:r w:rsidR="00BE37F2">
        <w:t>)</w:t>
      </w:r>
      <w:r w:rsidR="00AB6C79">
        <w:t xml:space="preserve"> van het verdrag</w:t>
      </w:r>
      <w:r>
        <w:t xml:space="preserve">, de mogelijkheden om slottoewijzing </w:t>
      </w:r>
      <w:r w:rsidR="00AB6C79">
        <w:t xml:space="preserve">ten behoeve van </w:t>
      </w:r>
      <w:r>
        <w:t>geluids- of klimaatdoelen zou beperken. Ook d</w:t>
      </w:r>
      <w:r w:rsidR="00377D7C">
        <w:t>eze stelling</w:t>
      </w:r>
      <w:r>
        <w:t xml:space="preserve"> deelt het </w:t>
      </w:r>
      <w:r w:rsidR="00BE37F2">
        <w:t>kabinet</w:t>
      </w:r>
      <w:r>
        <w:t xml:space="preserve"> niet. </w:t>
      </w:r>
      <w:r w:rsidR="00AA1C8A">
        <w:t>Non-discriminatoire slotallocatie is een grondbeginsel van slotallocatie, en belangrijk voor eerlijke slottoewijzing in het mondiale speelveld</w:t>
      </w:r>
      <w:r>
        <w:t>. De</w:t>
      </w:r>
      <w:r w:rsidR="00AA1C8A">
        <w:t xml:space="preserve">ze </w:t>
      </w:r>
      <w:r>
        <w:t>eis</w:t>
      </w:r>
      <w:r w:rsidR="00AA1C8A">
        <w:t xml:space="preserve"> van non-discriminatie</w:t>
      </w:r>
      <w:r w:rsidR="00BE37F2">
        <w:t xml:space="preserve"> is ook opgenomen in de EU-slotverordening en</w:t>
      </w:r>
      <w:r>
        <w:t xml:space="preserve"> vindt zijn oorsprong dus niet in dit verdrag. Daarnaast kan </w:t>
      </w:r>
      <w:r w:rsidR="00377D7C">
        <w:t>de slotcoördinator</w:t>
      </w:r>
      <w:r>
        <w:t xml:space="preserve"> op basis van non-discriminatoire criteria nu al onderscheid maken in te alloceren slots. Zo krijgen momenteel stillere en schonere vliegtuigen al voorrang </w:t>
      </w:r>
      <w:r w:rsidR="00AB6C79">
        <w:t>bij toewijzingen</w:t>
      </w:r>
      <w:r w:rsidR="00680C45">
        <w:t xml:space="preserve"> van slots</w:t>
      </w:r>
      <w:r>
        <w:t xml:space="preserve">. </w:t>
      </w:r>
    </w:p>
    <w:p w:rsidR="00B203A0" w:rsidP="00B27180" w:rsidRDefault="00B203A0" w14:paraId="5D8A323A" w14:textId="44E501D1">
      <w:pPr>
        <w:spacing w:after="160" w:line="259" w:lineRule="auto"/>
      </w:pPr>
      <w:r>
        <w:t>Artikel 11</w:t>
      </w:r>
      <w:r w:rsidR="00377D7C">
        <w:t xml:space="preserve"> van</w:t>
      </w:r>
      <w:r w:rsidR="00B217D0">
        <w:t xml:space="preserve"> het</w:t>
      </w:r>
      <w:r w:rsidR="00377D7C">
        <w:t xml:space="preserve"> verdrag</w:t>
      </w:r>
      <w:r>
        <w:t xml:space="preserve"> stelt volgens </w:t>
      </w:r>
      <w:r w:rsidR="00C67E30">
        <w:t>professor</w:t>
      </w:r>
      <w:r>
        <w:t xml:space="preserve"> Peeters dat een accijns op brandstof of een BTW op tickets zijn uitgesloten. De uitzondering van dit artikel geldt echter alleen voor brandstof en producten die al aan boord van het vliegtuig zijn</w:t>
      </w:r>
      <w:r w:rsidR="00377D7C">
        <w:t xml:space="preserve"> </w:t>
      </w:r>
      <w:r>
        <w:t>en ook blijven</w:t>
      </w:r>
      <w:r w:rsidR="00377D7C">
        <w:t>.</w:t>
      </w:r>
      <w:r>
        <w:t xml:space="preserve"> Dit ter voorkoming van dubbele belastingen. Dit </w:t>
      </w:r>
      <w:r w:rsidR="00AA1C8A">
        <w:t>verdrag</w:t>
      </w:r>
      <w:r>
        <w:t xml:space="preserve"> staat een eventuele belasting op brandstof dus niet in de weg. </w:t>
      </w:r>
    </w:p>
    <w:p w:rsidRPr="006B2A86" w:rsidR="00B27180" w:rsidP="00B27180" w:rsidRDefault="00B203A0" w14:paraId="1040931F" w14:textId="57AE65EA">
      <w:pPr>
        <w:spacing w:after="160" w:line="259" w:lineRule="auto"/>
      </w:pPr>
      <w:r>
        <w:t xml:space="preserve">In artikel 12 </w:t>
      </w:r>
      <w:r w:rsidR="00377D7C">
        <w:t xml:space="preserve">van </w:t>
      </w:r>
      <w:r w:rsidR="00B217D0">
        <w:t xml:space="preserve">het </w:t>
      </w:r>
      <w:r w:rsidR="00377D7C">
        <w:t xml:space="preserve">verdrag </w:t>
      </w:r>
      <w:r>
        <w:t xml:space="preserve">wordt inderdaad gesteld dat gebruikersheffingen kostengerelateerd dienen te zijn. </w:t>
      </w:r>
      <w:r w:rsidR="00377D7C">
        <w:t>Het uitgangspunt van kostenoriëntatie is</w:t>
      </w:r>
      <w:r>
        <w:t xml:space="preserve"> de basis van Europese en Nederlandse regelgeving over havengelden. Dit gaat over de heffingen voor bijvoorbeeld het gebruik van de luchthaven of het luchtruim. Zoals de al bestaande vliegbelasting aantoont, staat dit artikel </w:t>
      </w:r>
      <w:r w:rsidR="00377D7C">
        <w:t>maatregelen zoals</w:t>
      </w:r>
      <w:r>
        <w:t xml:space="preserve"> vliegbelasting dus niet in de weg.</w:t>
      </w:r>
      <w:r w:rsidRPr="00AA1C8A" w:rsidR="00AA1C8A">
        <w:t xml:space="preserve"> </w:t>
      </w:r>
      <w:r w:rsidR="00AA1C8A">
        <w:t>B</w:t>
      </w:r>
      <w:r w:rsidRPr="006B2A86" w:rsidR="00AA1C8A">
        <w:t xml:space="preserve">elastingheffing op brandstof wordt primair bepaald door internationale en Europese fiscale kaders en niet door dit </w:t>
      </w:r>
      <w:r w:rsidR="00AA1C8A">
        <w:t>luchtvaart</w:t>
      </w:r>
      <w:r w:rsidRPr="006B2A86" w:rsidR="00AA1C8A">
        <w:t>verdrag.</w:t>
      </w:r>
      <w:r w:rsidR="00AA1C8A">
        <w:t xml:space="preserve"> Daarnaast kan de luchthaven differentiatie toepassen in de luchthavengelden, om het gebruik van stille vliegtuigen aan te moedigen. Dit gebeurt ook nu al.</w:t>
      </w:r>
    </w:p>
    <w:p w:rsidR="0009276F" w:rsidP="00B27180" w:rsidRDefault="00B27180" w14:paraId="300B045E" w14:textId="77777777">
      <w:r w:rsidRPr="006B2A86">
        <w:t xml:space="preserve">Het kabinet deelt evenmin de opvatting dat het verdrag Nederland zou verhinderen aanvullende maatregelen te nemen. </w:t>
      </w:r>
      <w:r w:rsidR="0035710E">
        <w:t xml:space="preserve">Die ruimte blijft aanwezig. </w:t>
      </w:r>
    </w:p>
    <w:p w:rsidR="00B22D29" w:rsidP="00B27180" w:rsidRDefault="00C67E30" w14:paraId="283C89CC" w14:textId="7F4A535B">
      <w:r>
        <w:t>Professor</w:t>
      </w:r>
      <w:r w:rsidR="00224AAA">
        <w:t xml:space="preserve"> Peeters stelt </w:t>
      </w:r>
      <w:r w:rsidR="00B22D29">
        <w:t xml:space="preserve">in zijn inbreng </w:t>
      </w:r>
      <w:r w:rsidR="00224AAA">
        <w:t xml:space="preserve">dat de ICAO-maatregelen geen gram CO2 zullen </w:t>
      </w:r>
      <w:r w:rsidR="0035710E">
        <w:t xml:space="preserve">besparen. </w:t>
      </w:r>
      <w:r w:rsidR="00B22D29">
        <w:t>Volgens het kabinet moeten</w:t>
      </w:r>
      <w:r w:rsidR="00320726">
        <w:t xml:space="preserve"> </w:t>
      </w:r>
      <w:r w:rsidR="00453919">
        <w:t>de</w:t>
      </w:r>
      <w:r w:rsidR="0035710E">
        <w:t xml:space="preserve"> maatregelen die mondiaal binnen ICAO worden afgesproken echter </w:t>
      </w:r>
      <w:r w:rsidR="00B22D29">
        <w:t>in bredere zin</w:t>
      </w:r>
      <w:r w:rsidR="00453919">
        <w:t xml:space="preserve"> </w:t>
      </w:r>
      <w:r w:rsidR="0035710E">
        <w:t>op hun merites worden beoordeeld.</w:t>
      </w:r>
      <w:r w:rsidR="00453919">
        <w:t xml:space="preserve"> </w:t>
      </w:r>
      <w:r w:rsidR="00B22D29">
        <w:t xml:space="preserve">De toepassing van de maatregelen die mondiaal worden afgesproken vormen namelijk een samenhangend pakket op het gebied van technologie, duurzame brandstoffen en efficiënter gebruik van het luchtruim en de benodigde infrastructuur. </w:t>
      </w:r>
      <w:r w:rsidR="00453919">
        <w:t xml:space="preserve">Een belangrijk aspect daarbij is </w:t>
      </w:r>
      <w:r w:rsidR="00B22D29">
        <w:t>onder meer</w:t>
      </w:r>
      <w:r w:rsidR="00453919">
        <w:t xml:space="preserve"> de economische spin-off </w:t>
      </w:r>
      <w:r w:rsidR="00B22D29">
        <w:t xml:space="preserve">ervan </w:t>
      </w:r>
      <w:r w:rsidR="00453919">
        <w:t xml:space="preserve">door bijvoorbeeld </w:t>
      </w:r>
      <w:r w:rsidR="00B22D29">
        <w:t xml:space="preserve">toegenomen </w:t>
      </w:r>
      <w:r w:rsidR="00453919">
        <w:t>investeringen in duurzame brandstoffen.</w:t>
      </w:r>
    </w:p>
    <w:p w:rsidR="00224AAA" w:rsidP="00B27180" w:rsidRDefault="00EF0581" w14:paraId="06331E5E" w14:textId="2F9459CE">
      <w:r>
        <w:t>D</w:t>
      </w:r>
      <w:r w:rsidR="00B22D29">
        <w:t>aarnaast verplicht d</w:t>
      </w:r>
      <w:r>
        <w:t xml:space="preserve">e frequente bijstelling van </w:t>
      </w:r>
      <w:r w:rsidR="00FD52F9">
        <w:t xml:space="preserve">bijvoorbeeld </w:t>
      </w:r>
      <w:r>
        <w:t>c</w:t>
      </w:r>
      <w:r w:rsidR="00A57FBC">
        <w:t>ertificeringseisen voor nieuwe</w:t>
      </w:r>
      <w:r w:rsidR="00453919">
        <w:t xml:space="preserve"> en bestaande</w:t>
      </w:r>
      <w:r w:rsidR="00A57FBC">
        <w:t xml:space="preserve"> vliegt</w:t>
      </w:r>
      <w:r>
        <w:t>uige</w:t>
      </w:r>
      <w:r w:rsidR="00A57FBC">
        <w:t>n</w:t>
      </w:r>
      <w:r w:rsidR="00453919">
        <w:t xml:space="preserve"> </w:t>
      </w:r>
      <w:r w:rsidR="00A57FBC">
        <w:t xml:space="preserve">fabrikanten </w:t>
      </w:r>
      <w:r w:rsidR="00453919">
        <w:t xml:space="preserve">om </w:t>
      </w:r>
      <w:r w:rsidR="00A57FBC">
        <w:t>zuiniger</w:t>
      </w:r>
      <w:r>
        <w:t xml:space="preserve"> en stillere</w:t>
      </w:r>
      <w:r w:rsidR="00A57FBC">
        <w:t xml:space="preserve"> to</w:t>
      </w:r>
      <w:r w:rsidR="00453919">
        <w:t>estellen</w:t>
      </w:r>
      <w:r w:rsidR="00A57FBC">
        <w:t xml:space="preserve"> op de markt te brenge</w:t>
      </w:r>
      <w:r>
        <w:t xml:space="preserve">n, waarmee vlootvernieuwing verder </w:t>
      </w:r>
      <w:r w:rsidR="00FD52F9">
        <w:t xml:space="preserve">wordt </w:t>
      </w:r>
      <w:r>
        <w:t>gestimuleerd</w:t>
      </w:r>
      <w:r w:rsidR="00453919">
        <w:t>.</w:t>
      </w:r>
      <w:r>
        <w:t xml:space="preserve"> Het monitoren van de voortgang</w:t>
      </w:r>
      <w:r w:rsidR="00FD52F9">
        <w:t xml:space="preserve"> van de CO2-reductie</w:t>
      </w:r>
      <w:r>
        <w:t xml:space="preserve"> in het licht van de lange termijn reductiedoelstelling</w:t>
      </w:r>
      <w:r w:rsidR="00FD52F9">
        <w:t>, die</w:t>
      </w:r>
      <w:r>
        <w:t xml:space="preserve"> in</w:t>
      </w:r>
      <w:r w:rsidR="00FD52F9">
        <w:t xml:space="preserve"> </w:t>
      </w:r>
      <w:r>
        <w:t>lijn</w:t>
      </w:r>
      <w:r w:rsidRPr="006808EA" w:rsidR="006808EA">
        <w:t xml:space="preserve"> </w:t>
      </w:r>
      <w:r w:rsidR="006808EA">
        <w:t>is</w:t>
      </w:r>
      <w:r>
        <w:t xml:space="preserve"> met </w:t>
      </w:r>
      <w:r w:rsidR="00BE37F2">
        <w:t xml:space="preserve">de Overeenkomst </w:t>
      </w:r>
      <w:r w:rsidR="009E13E7">
        <w:t>van Parijs</w:t>
      </w:r>
      <w:r w:rsidR="00FD52F9">
        <w:t>,</w:t>
      </w:r>
      <w:r>
        <w:t xml:space="preserve"> vervult hierbij een belangrijke rol.</w:t>
      </w:r>
    </w:p>
    <w:p w:rsidR="00B22D29" w:rsidP="00B27180" w:rsidRDefault="00B22D29" w14:paraId="1E5B8246" w14:textId="77777777"/>
    <w:p w:rsidR="00B27180" w:rsidP="00B27180" w:rsidRDefault="00B27180" w14:paraId="1858C01D" w14:textId="5899E49F">
      <w:r w:rsidRPr="006B2A86">
        <w:t xml:space="preserve">De Balanced Approach-procedure waarnaar </w:t>
      </w:r>
      <w:r w:rsidR="00B22D29">
        <w:t xml:space="preserve">in </w:t>
      </w:r>
      <w:r w:rsidR="00377D7C">
        <w:t>het</w:t>
      </w:r>
      <w:r w:rsidR="00B22D29">
        <w:t xml:space="preserve"> </w:t>
      </w:r>
      <w:r w:rsidR="00320726">
        <w:t>rondetafel</w:t>
      </w:r>
      <w:r w:rsidR="00377D7C">
        <w:t>gesprek</w:t>
      </w:r>
      <w:r w:rsidR="00320726">
        <w:t xml:space="preserve"> door onder andere </w:t>
      </w:r>
      <w:r w:rsidR="006808EA">
        <w:t>professor</w:t>
      </w:r>
      <w:r w:rsidR="00320726">
        <w:t xml:space="preserve"> Peeters</w:t>
      </w:r>
      <w:r w:rsidR="00B22D29">
        <w:t xml:space="preserve"> is</w:t>
      </w:r>
      <w:r w:rsidRPr="006B2A86">
        <w:t xml:space="preserve"> verwezen vloeit voort uit Europees recht</w:t>
      </w:r>
      <w:r>
        <w:t xml:space="preserve"> en ICAO-regelgeving</w:t>
      </w:r>
      <w:r w:rsidR="00B22D29">
        <w:t xml:space="preserve"> op dat gebied</w:t>
      </w:r>
      <w:r w:rsidRPr="006B2A86">
        <w:t xml:space="preserve">. </w:t>
      </w:r>
      <w:r>
        <w:t>Dat deze procedure</w:t>
      </w:r>
      <w:r w:rsidR="00B22D29">
        <w:t xml:space="preserve"> zowel internationaal als binnen de EU</w:t>
      </w:r>
      <w:r>
        <w:t xml:space="preserve"> gevolg</w:t>
      </w:r>
      <w:r w:rsidR="00B22D29">
        <w:t>d</w:t>
      </w:r>
      <w:r>
        <w:t xml:space="preserve"> moet worden is evident</w:t>
      </w:r>
      <w:r w:rsidR="007B7002">
        <w:t xml:space="preserve">. Het EU-ASEAN luchtvaartverdrag </w:t>
      </w:r>
      <w:r>
        <w:t xml:space="preserve">verhindert ook niet dat deze procedure gevolgd </w:t>
      </w:r>
      <w:r w:rsidR="00514B75">
        <w:t>kan</w:t>
      </w:r>
      <w:r>
        <w:t xml:space="preserve"> worden</w:t>
      </w:r>
      <w:r w:rsidR="007B7002">
        <w:t xml:space="preserve"> conform de relevante wet</w:t>
      </w:r>
      <w:r w:rsidR="00B203A0">
        <w:t>-</w:t>
      </w:r>
      <w:r w:rsidR="007B7002">
        <w:t xml:space="preserve"> en regelgeving</w:t>
      </w:r>
      <w:r>
        <w:t>.</w:t>
      </w:r>
    </w:p>
    <w:p w:rsidR="00680C45" w:rsidP="00B27180" w:rsidRDefault="00B27180" w14:paraId="3A8EA9A2" w14:textId="77777777">
      <w:pPr>
        <w:spacing w:after="160" w:line="259" w:lineRule="auto"/>
      </w:pPr>
      <w:r w:rsidRPr="006B2A86">
        <w:t xml:space="preserve">Evenmin is het juist dat Nederland </w:t>
      </w:r>
      <w:r w:rsidR="007B7002">
        <w:t xml:space="preserve">op grond van het EU-ASEAN luchtvaartverdrag </w:t>
      </w:r>
      <w:r w:rsidRPr="006B2A86">
        <w:t xml:space="preserve">geen maatregelen tegen lawaaiige vliegtuigen </w:t>
      </w:r>
      <w:r w:rsidR="007B7002">
        <w:t>zou kunnen</w:t>
      </w:r>
      <w:r w:rsidRPr="006B2A86">
        <w:t xml:space="preserve"> </w:t>
      </w:r>
      <w:r w:rsidRPr="006B2A86" w:rsidR="00320726">
        <w:t>treffen.</w:t>
      </w:r>
      <w:r>
        <w:t xml:space="preserve"> </w:t>
      </w:r>
      <w:r w:rsidR="007B7002">
        <w:t>Zo stelt de Regeling operationele beperkingen lawaaiige luchtvaartuigen Schiphol strikte geluidseisen om hinder voor omwonenden te beperken. Daarbij worden concrete operationele beperkingen gesteld aan luchtvaartmaatschappijen</w:t>
      </w:r>
      <w:r w:rsidR="00320726">
        <w:t xml:space="preserve">. </w:t>
      </w:r>
    </w:p>
    <w:p w:rsidRPr="006B2A86" w:rsidR="00B27180" w:rsidP="00B27180" w:rsidRDefault="00320726" w14:paraId="1FCEE6B0" w14:textId="5858AC7F">
      <w:pPr>
        <w:spacing w:after="160" w:line="259" w:lineRule="auto"/>
      </w:pPr>
      <w:r>
        <w:t>Ook wordt</w:t>
      </w:r>
      <w:r w:rsidR="00B27180">
        <w:t xml:space="preserve"> op Schiphol al gedifferentieerd</w:t>
      </w:r>
      <w:r>
        <w:t xml:space="preserve"> in de luchthavengelden</w:t>
      </w:r>
      <w:r w:rsidR="00B27180">
        <w:t xml:space="preserve"> </w:t>
      </w:r>
      <w:r w:rsidRPr="006B2A86" w:rsidR="00B27180">
        <w:t xml:space="preserve">op basis van geluidskenmerken. Het verdrag </w:t>
      </w:r>
      <w:r w:rsidR="007F79D6">
        <w:t xml:space="preserve">staat ook dergelijke geluidsregelgeving en </w:t>
      </w:r>
      <w:r w:rsidRPr="006B2A86" w:rsidR="00B27180">
        <w:t>maatregelen niet</w:t>
      </w:r>
      <w:r w:rsidR="007F79D6">
        <w:t xml:space="preserve"> in de weg</w:t>
      </w:r>
      <w:r w:rsidRPr="006B2A86" w:rsidR="00B27180">
        <w:t>.</w:t>
      </w:r>
      <w:r w:rsidR="00B27180">
        <w:t xml:space="preserve"> Deze </w:t>
      </w:r>
      <w:r w:rsidR="00680C45">
        <w:t>worden</w:t>
      </w:r>
      <w:r w:rsidR="00B27180">
        <w:t xml:space="preserve"> niet</w:t>
      </w:r>
      <w:r w:rsidR="00680C45">
        <w:t xml:space="preserve"> als</w:t>
      </w:r>
      <w:r>
        <w:t xml:space="preserve"> discriminerend</w:t>
      </w:r>
      <w:r w:rsidR="00680C45">
        <w:t xml:space="preserve"> beschouwd</w:t>
      </w:r>
      <w:r>
        <w:t xml:space="preserve"> wanneer een land niet over moderne luchtvaartuigen zou beschikken. Het stellen dat bepaalde</w:t>
      </w:r>
      <w:r w:rsidR="00680C45">
        <w:t xml:space="preserve"> typen</w:t>
      </w:r>
      <w:r>
        <w:t xml:space="preserve"> vliegtuigen niet welkom zijn, </w:t>
      </w:r>
      <w:r w:rsidR="00680C45">
        <w:t xml:space="preserve">geldt namelijk in gelijke </w:t>
      </w:r>
      <w:r w:rsidR="006421BB">
        <w:t>mate voor</w:t>
      </w:r>
      <w:r w:rsidR="00377D7C">
        <w:t xml:space="preserve"> alle luchtvaartmaatschappijen uit alle landen</w:t>
      </w:r>
      <w:r>
        <w:t xml:space="preserve"> en </w:t>
      </w:r>
      <w:r w:rsidR="00680C45">
        <w:t xml:space="preserve">is </w:t>
      </w:r>
      <w:r>
        <w:t xml:space="preserve">daarmee niet discriminerend. </w:t>
      </w:r>
    </w:p>
    <w:p w:rsidR="000C345B" w:rsidP="00B27180" w:rsidRDefault="00B27180" w14:paraId="56F6CC5D" w14:textId="7869BC21">
      <w:r w:rsidRPr="006B2A86">
        <w:t xml:space="preserve">Het kabinet </w:t>
      </w:r>
      <w:r w:rsidR="007F79D6">
        <w:t>herkent zich ook</w:t>
      </w:r>
      <w:r w:rsidRPr="006B2A86">
        <w:t xml:space="preserve"> niet </w:t>
      </w:r>
      <w:r w:rsidR="007F79D6">
        <w:t xml:space="preserve">in </w:t>
      </w:r>
      <w:r w:rsidRPr="006B2A86">
        <w:t>de conclusie dat Nederland nauwelijks van het verdrag zou profiteren</w:t>
      </w:r>
      <w:r w:rsidR="00C6227A">
        <w:t>,</w:t>
      </w:r>
      <w:r w:rsidRPr="006B2A86">
        <w:t xml:space="preserve"> omdat Schiphol </w:t>
      </w:r>
      <w:r w:rsidR="004F077A">
        <w:t>qua capaciteit vol zit</w:t>
      </w:r>
      <w:r w:rsidRPr="006B2A86">
        <w:t xml:space="preserve">. De voordelen van het verdrag </w:t>
      </w:r>
      <w:r w:rsidR="000C345B">
        <w:t>staan los van de capaciteit van Schiphol</w:t>
      </w:r>
      <w:r w:rsidRPr="006B2A86">
        <w:t xml:space="preserve">. </w:t>
      </w:r>
    </w:p>
    <w:p w:rsidR="000C345B" w:rsidP="00B27180" w:rsidRDefault="00B27180" w14:paraId="67FA8C27" w14:textId="3B1CB92E">
      <w:r w:rsidRPr="006B2A86">
        <w:t xml:space="preserve">Het verdrag biedt consumenten meer </w:t>
      </w:r>
      <w:r w:rsidR="000C345B">
        <w:t>reis</w:t>
      </w:r>
      <w:r w:rsidR="00320726">
        <w:t>-</w:t>
      </w:r>
      <w:r w:rsidR="000C345B">
        <w:t xml:space="preserve"> en overstap</w:t>
      </w:r>
      <w:r w:rsidRPr="006B2A86">
        <w:t xml:space="preserve">mogelijkheden en </w:t>
      </w:r>
      <w:r w:rsidR="000C345B">
        <w:t>vergroot de operationele mogelijkheden voor Europese luchtvaartmaatschappijen om vracht en passagiers te vervoeren</w:t>
      </w:r>
      <w:r w:rsidR="00996ED8">
        <w:t>. Daarmee</w:t>
      </w:r>
      <w:r w:rsidR="000C345B">
        <w:t xml:space="preserve"> </w:t>
      </w:r>
      <w:r w:rsidRPr="006B2A86">
        <w:t xml:space="preserve">versterkt </w:t>
      </w:r>
      <w:r w:rsidR="00996ED8">
        <w:t xml:space="preserve">het verdrag </w:t>
      </w:r>
      <w:r w:rsidRPr="006B2A86">
        <w:t>de positie in de concurrentie met andere mondiale luchtvaartregio</w:t>
      </w:r>
      <w:r w:rsidR="000C345B">
        <w:t>’</w:t>
      </w:r>
      <w:r w:rsidRPr="006B2A86">
        <w:t xml:space="preserve">s. </w:t>
      </w:r>
    </w:p>
    <w:p w:rsidR="00B27180" w:rsidP="00B27180" w:rsidRDefault="000C345B" w14:paraId="1AF9334F" w14:textId="51B47277">
      <w:r>
        <w:t>Daarbij kan het verdrag de netwerkkwaliteit van Schiphol helpen versterken</w:t>
      </w:r>
      <w:r w:rsidRPr="006B2A86" w:rsidR="00B27180">
        <w:t>.</w:t>
      </w:r>
    </w:p>
    <w:p w:rsidR="00B27180" w:rsidP="00B27180" w:rsidRDefault="00B27180" w14:paraId="653217D7" w14:textId="77777777">
      <w:r w:rsidRPr="006B2A86">
        <w:t>Het kabinet onderschrijft de observatie van professor Truxal dat het verdrag een raamwerk biedt voor verdere harmonisatie. Juist omdat volledige harmonisatie tussen verschillende regio's niet van de ene op de andere dag kan worden gerealiseerd, is het van belang een juridisch kader te hebben waarbinnen verdere convergentie kan plaatsvinden. Het Gemengd Comité speelt daarbij een belangrijke rol.</w:t>
      </w:r>
    </w:p>
    <w:p w:rsidR="00224AAA" w:rsidP="00B27180" w:rsidRDefault="00224AAA" w14:paraId="0BE2E74C" w14:textId="77777777"/>
    <w:p w:rsidR="00F954B8" w:rsidP="00B27180" w:rsidRDefault="00F954B8" w14:paraId="26D0D395" w14:textId="06E6B6C6">
      <w:r>
        <w:t>H</w:t>
      </w:r>
      <w:r w:rsidRPr="006B2A86" w:rsidR="00B27180">
        <w:t>et kabinet heeft</w:t>
      </w:r>
      <w:r>
        <w:t xml:space="preserve"> eveneens </w:t>
      </w:r>
      <w:r w:rsidRPr="006B2A86" w:rsidR="00B27180">
        <w:t>met belangstelling kennisgenomen van de bijdrage</w:t>
      </w:r>
      <w:r w:rsidR="00B27180">
        <w:t>n</w:t>
      </w:r>
      <w:r>
        <w:t xml:space="preserve"> in de tweede ronde van de bijeenkomst</w:t>
      </w:r>
      <w:r w:rsidR="00B27180">
        <w:t>.</w:t>
      </w:r>
      <w:r>
        <w:t xml:space="preserve"> In algemene zin heeft het kabinet begrip voor de daarin geuite</w:t>
      </w:r>
      <w:r w:rsidRPr="006B2A86" w:rsidR="00B27180">
        <w:t xml:space="preserve"> zorgen </w:t>
      </w:r>
      <w:r w:rsidR="00B27180">
        <w:t xml:space="preserve">van de Vereniging voor Nederlandse Verkeersvliegers (VNV) </w:t>
      </w:r>
      <w:r w:rsidRPr="006B2A86" w:rsidR="00B27180">
        <w:t xml:space="preserve">over arbeidsvoorwaarden, eerlijke concurrentie en veiligheid. </w:t>
      </w:r>
    </w:p>
    <w:p w:rsidR="008739E8" w:rsidP="00B27180" w:rsidRDefault="00F954B8" w14:paraId="71C7302B" w14:textId="03098865">
      <w:r>
        <w:t xml:space="preserve">In reactie hierop kan worden aangegeven </w:t>
      </w:r>
      <w:r w:rsidRPr="006B2A86" w:rsidR="00B27180">
        <w:t xml:space="preserve">dat het EU-ASEAN </w:t>
      </w:r>
      <w:r>
        <w:t>luchtvaart</w:t>
      </w:r>
      <w:r w:rsidRPr="006B2A86" w:rsidR="00B27180">
        <w:t xml:space="preserve">verdrag juist institutionele mechanismen creëert om dergelijke </w:t>
      </w:r>
      <w:r>
        <w:t>belangrijke onderwerpen</w:t>
      </w:r>
      <w:r w:rsidRPr="006B2A86" w:rsidR="00B27180">
        <w:t xml:space="preserve"> structureel te bespreken</w:t>
      </w:r>
      <w:r>
        <w:t xml:space="preserve"> met de mogelijkheid </w:t>
      </w:r>
      <w:r w:rsidR="008739E8">
        <w:t>tot verbetering</w:t>
      </w:r>
      <w:r w:rsidRPr="006B2A86" w:rsidR="00B27180">
        <w:t xml:space="preserve">. </w:t>
      </w:r>
    </w:p>
    <w:p w:rsidR="00B27180" w:rsidP="00B27180" w:rsidRDefault="00B27180" w14:paraId="4DC99182" w14:textId="0086B7CB">
      <w:r w:rsidRPr="006B2A86">
        <w:t>Het alternatief is terugvallen op oudere verdragen waarin dergelijke bepalingen grotendeels ontbreken</w:t>
      </w:r>
      <w:r w:rsidRPr="009E13E7" w:rsidR="009E13E7">
        <w:t xml:space="preserve"> en die menigmaal niet in overeenstemming zijn met Europees recht. </w:t>
      </w:r>
    </w:p>
    <w:p w:rsidR="008739E8" w:rsidP="00B27180" w:rsidRDefault="008739E8" w14:paraId="74F82C68" w14:textId="77777777"/>
    <w:p w:rsidRPr="00860EEA" w:rsidR="00B27180" w:rsidP="00B27180" w:rsidRDefault="00B27180" w14:paraId="48E0127A" w14:textId="0D40BA38">
      <w:pPr>
        <w:spacing w:after="160" w:line="259" w:lineRule="auto"/>
      </w:pPr>
      <w:r w:rsidRPr="00860EEA">
        <w:t xml:space="preserve">Het kabinet </w:t>
      </w:r>
      <w:r>
        <w:t>onderschrijft</w:t>
      </w:r>
      <w:r w:rsidRPr="00860EEA">
        <w:t xml:space="preserve"> de bijdrage van de heer Hemmings dat luchtvaartverdragen de juridische en institutionele basis vormen </w:t>
      </w:r>
      <w:r w:rsidR="008739E8">
        <w:t>voor</w:t>
      </w:r>
      <w:r w:rsidRPr="00860EEA">
        <w:t xml:space="preserve"> internationale luchtvaartverbindingen en dat verbeteringen in internationale samenwerking vrijwel altijd via dergelijke verdragen tot stand komen. Juist omdat luchtvaart per definitie grensoverschrijdend is, kunnen vraagstukken rond duurzaamheid, eerlijke concurrentie en veiligheid niet effectief worden aangepakt zonder internationale afspraken.</w:t>
      </w:r>
    </w:p>
    <w:p w:rsidRPr="00860EEA" w:rsidR="00B27180" w:rsidP="00B27180" w:rsidRDefault="00B27180" w14:paraId="57319B86" w14:textId="5511672D">
      <w:pPr>
        <w:spacing w:after="160" w:line="259" w:lineRule="auto"/>
      </w:pPr>
      <w:r w:rsidRPr="00860EEA">
        <w:t xml:space="preserve">Het kabinet deelt ook de observatie </w:t>
      </w:r>
      <w:r w:rsidR="00B203A0">
        <w:t xml:space="preserve">van de heer Hemmings </w:t>
      </w:r>
      <w:r w:rsidRPr="00860EEA">
        <w:t>dat het EU-ASEAN verdrag moet worden beoordeeld ten opzichte van de bestaande situatie. De relevante vergelijking is</w:t>
      </w:r>
      <w:r w:rsidR="008739E8">
        <w:t xml:space="preserve"> dus</w:t>
      </w:r>
      <w:r w:rsidRPr="00860EEA">
        <w:t xml:space="preserve"> niet tussen </w:t>
      </w:r>
      <w:r w:rsidR="008739E8">
        <w:t>het EU-ASEAN luchtvaart</w:t>
      </w:r>
      <w:r w:rsidRPr="00860EEA">
        <w:t xml:space="preserve">verdrag en een theoretisch ideaal, maar tussen </w:t>
      </w:r>
      <w:r w:rsidR="008739E8">
        <w:t>het EU-ASEAN luchtvaart</w:t>
      </w:r>
      <w:r w:rsidRPr="00860EEA">
        <w:t xml:space="preserve">verdrag en de </w:t>
      </w:r>
      <w:r w:rsidR="005862E2">
        <w:t>bestaande</w:t>
      </w:r>
      <w:r w:rsidR="008739E8">
        <w:t xml:space="preserve"> </w:t>
      </w:r>
      <w:r>
        <w:t>bilaterale verdragen</w:t>
      </w:r>
      <w:r w:rsidR="008739E8">
        <w:t xml:space="preserve"> met </w:t>
      </w:r>
      <w:r w:rsidR="00320726">
        <w:t>ASEAN-lidstaten</w:t>
      </w:r>
      <w:r w:rsidRPr="00860EEA">
        <w:t xml:space="preserve">. Vanuit dat perspectief </w:t>
      </w:r>
      <w:r w:rsidR="008739E8">
        <w:t>is</w:t>
      </w:r>
      <w:r w:rsidRPr="00860EEA">
        <w:t xml:space="preserve"> het EU-ASEAN </w:t>
      </w:r>
      <w:r w:rsidR="008739E8">
        <w:t>luchtvaart</w:t>
      </w:r>
      <w:r w:rsidRPr="00860EEA">
        <w:t xml:space="preserve">verdrag een duidelijke stap vooruit. </w:t>
      </w:r>
      <w:r w:rsidR="008739E8">
        <w:t>Dit komt omdat het verdrag o</w:t>
      </w:r>
      <w:r w:rsidRPr="00860EEA">
        <w:t>p verschillende terreinen, waaronder duurzaamheid, sociale aspecten, eerlijke concurrentie en institutionele samenwerking, bepalingen</w:t>
      </w:r>
      <w:r w:rsidR="008739E8">
        <w:t xml:space="preserve"> bevat</w:t>
      </w:r>
      <w:r w:rsidRPr="00860EEA">
        <w:t xml:space="preserve"> die ontbreken in veel bestaande bilaterale verdragen en die ook</w:t>
      </w:r>
      <w:r w:rsidR="005862E2">
        <w:t xml:space="preserve"> weer</w:t>
      </w:r>
      <w:r w:rsidRPr="00860EEA">
        <w:t xml:space="preserve"> verder gaan dan sommige andere recente </w:t>
      </w:r>
      <w:r w:rsidR="00320726">
        <w:t>EU</w:t>
      </w:r>
      <w:r w:rsidRPr="00860EEA" w:rsidR="00320726">
        <w:t>-luchtvaartovereenkomsten</w:t>
      </w:r>
      <w:r w:rsidRPr="00860EEA">
        <w:t xml:space="preserve"> </w:t>
      </w:r>
      <w:r w:rsidR="005862E2">
        <w:t>met andere landen</w:t>
      </w:r>
      <w:r w:rsidRPr="00860EEA">
        <w:t>.</w:t>
      </w:r>
      <w:r>
        <w:t xml:space="preserve"> </w:t>
      </w:r>
      <w:r w:rsidR="005862E2">
        <w:t>Het verdrag zorgt daarbij voor een</w:t>
      </w:r>
      <w:r>
        <w:t xml:space="preserve"> nieuwe samenwerking tussen de</w:t>
      </w:r>
      <w:r w:rsidR="005862E2">
        <w:t xml:space="preserve"> belangrijke</w:t>
      </w:r>
      <w:r>
        <w:t xml:space="preserve"> machtsblokken van </w:t>
      </w:r>
      <w:r w:rsidR="005862E2">
        <w:t xml:space="preserve">de </w:t>
      </w:r>
      <w:r w:rsidR="00320726">
        <w:t>ASEAN-landen</w:t>
      </w:r>
      <w:r w:rsidR="005862E2">
        <w:t xml:space="preserve"> enerzijds</w:t>
      </w:r>
      <w:r>
        <w:t xml:space="preserve"> en de EU</w:t>
      </w:r>
      <w:r w:rsidR="005862E2">
        <w:t xml:space="preserve"> en haar lidstaten anderzijds</w:t>
      </w:r>
      <w:r>
        <w:t>, in plaats van tussen alle onderliggende individuele l</w:t>
      </w:r>
      <w:r w:rsidR="005862E2">
        <w:t>anden onderling op bilaterale bas</w:t>
      </w:r>
      <w:r w:rsidR="00996ED8">
        <w:t>i</w:t>
      </w:r>
      <w:r w:rsidR="005862E2">
        <w:t>s</w:t>
      </w:r>
      <w:r>
        <w:t xml:space="preserve">. </w:t>
      </w:r>
      <w:r w:rsidR="005862E2">
        <w:t xml:space="preserve">Hiermee biedt dit belangrijke </w:t>
      </w:r>
      <w:r w:rsidR="00320726">
        <w:t>EU-</w:t>
      </w:r>
      <w:r w:rsidR="009E13E7">
        <w:t>luchtvaartverdrag</w:t>
      </w:r>
      <w:r w:rsidR="005862E2">
        <w:t xml:space="preserve"> volgens het kabinet</w:t>
      </w:r>
      <w:r>
        <w:t xml:space="preserve"> veel meer potentieel om tot</w:t>
      </w:r>
      <w:r w:rsidR="005862E2">
        <w:t xml:space="preserve"> </w:t>
      </w:r>
      <w:r>
        <w:t>verbeteringen te komen</w:t>
      </w:r>
      <w:r w:rsidR="005862E2">
        <w:t xml:space="preserve"> op al deze belangrijke terreinen</w:t>
      </w:r>
      <w:r>
        <w:t>.</w:t>
      </w:r>
    </w:p>
    <w:p w:rsidRPr="00F11B29" w:rsidR="00B27180" w:rsidP="00B27180" w:rsidRDefault="00B27180" w14:paraId="25284F47" w14:textId="77777777">
      <w:pPr>
        <w:spacing w:after="160" w:line="259" w:lineRule="auto"/>
      </w:pPr>
      <w:r w:rsidRPr="00860EEA">
        <w:t xml:space="preserve">Het kabinet deelt daarom de opvatting van de heer Hemmings dat dit verdrag niet als eindpunt moet worden gezien, maar als een verbeterd vertrekpunt van waaruit verdere convergentie en samenwerking kunnen worden gerealiseerd. Juist door ratificatie ontstaat een structureel kader waarbinnen de Europese Unie en de ASEAN-landen gezamenlijk verdere stappen kunnen zetten. Zonder ratificatie blijft men aangewezen op een versnipperd stelsel van oudere verdragen waarin </w:t>
      </w:r>
      <w:r w:rsidRPr="00F11B29">
        <w:t>dergelijke mogelijkheden beperkter zijn.</w:t>
      </w:r>
    </w:p>
    <w:p w:rsidRPr="00F11B29" w:rsidR="00697280" w:rsidP="00B27180" w:rsidRDefault="00697280" w14:paraId="485CCCD4" w14:textId="5C106026">
      <w:pPr>
        <w:spacing w:after="160" w:line="259" w:lineRule="auto"/>
        <w:rPr>
          <w:b/>
          <w:bCs/>
        </w:rPr>
      </w:pPr>
      <w:r w:rsidRPr="00F11B29">
        <w:rPr>
          <w:b/>
          <w:bCs/>
        </w:rPr>
        <w:t>Vervolggesprek</w:t>
      </w:r>
      <w:r w:rsidRPr="00F11B29" w:rsidR="00240782">
        <w:rPr>
          <w:b/>
          <w:bCs/>
        </w:rPr>
        <w:t>ken om toegevoegde waarde te borgen</w:t>
      </w:r>
    </w:p>
    <w:p w:rsidRPr="00F11B29" w:rsidR="00240782" w:rsidP="00B27180" w:rsidRDefault="00C6227A" w14:paraId="4E4307C5" w14:textId="5EDD647C">
      <w:pPr>
        <w:spacing w:after="160" w:line="259" w:lineRule="auto"/>
      </w:pPr>
      <w:r w:rsidRPr="00F11B29">
        <w:t>Het ministerie van</w:t>
      </w:r>
      <w:r w:rsidRPr="00F11B29" w:rsidR="00697280">
        <w:t xml:space="preserve"> IenW is, mede naar aanleiding van deze zorgen, in goed gesprek met VNV</w:t>
      </w:r>
      <w:r w:rsidRPr="00F11B29" w:rsidR="00A05CA5">
        <w:t xml:space="preserve"> en de vakbond voor Nederlands cabinepersoneel (VNC)</w:t>
      </w:r>
      <w:r w:rsidRPr="00F11B29" w:rsidR="00697280">
        <w:t>.</w:t>
      </w:r>
      <w:r w:rsidRPr="00F11B29" w:rsidR="00F11B29">
        <w:t xml:space="preserve"> Dit zijn constructieve gesprekken met begrip van de diplomatie verhoudingen.</w:t>
      </w:r>
      <w:r w:rsidRPr="00F11B29" w:rsidR="00697280">
        <w:t xml:space="preserve"> Hierin wordt gewerkt aan inbreng voor de Gemengde Comités, om ook op die manier tot verbeteringen te komen</w:t>
      </w:r>
      <w:r w:rsidRPr="00F11B29" w:rsidR="00F11B29">
        <w:t xml:space="preserve"> en is afgesproken om samen te werken om tot duidelijke afspraken in toekomstige verdragen te komen.</w:t>
      </w:r>
    </w:p>
    <w:p w:rsidRPr="00697280" w:rsidR="00697280" w:rsidP="00B27180" w:rsidRDefault="00240782" w14:paraId="734BF010" w14:textId="4FFABE25">
      <w:pPr>
        <w:spacing w:after="160" w:line="259" w:lineRule="auto"/>
        <w:rPr>
          <w:b/>
          <w:bCs/>
        </w:rPr>
      </w:pPr>
      <w:r w:rsidRPr="00F11B29">
        <w:t>Om</w:t>
      </w:r>
      <w:r w:rsidRPr="00F11B29" w:rsidR="00A05CA5">
        <w:t xml:space="preserve"> te borgen dat de luchtvaartverdragen aansluiten bij de wensen van de Nederlandse luchtvaartsector</w:t>
      </w:r>
      <w:r w:rsidRPr="00F11B29">
        <w:t xml:space="preserve"> is </w:t>
      </w:r>
      <w:r w:rsidRPr="00F11B29" w:rsidR="00900EB2">
        <w:t xml:space="preserve">het ministerie van </w:t>
      </w:r>
      <w:r w:rsidRPr="00F11B29">
        <w:t>IenW</w:t>
      </w:r>
      <w:r w:rsidRPr="00F11B29" w:rsidR="00A05CA5">
        <w:t xml:space="preserve"> ook in goed gesprek met de in Nederland gevestigde luchtvaartmaatschappijen. Het is belangrijk dat luchtvaartverdragen aansluiten bij operationele wensen van de luchtvaartsector en bijdragen aan eerlijke concurrentie.</w:t>
      </w:r>
    </w:p>
    <w:p w:rsidRPr="006B2A86" w:rsidR="00B27180" w:rsidP="00C25658" w:rsidRDefault="00B27180" w14:paraId="16762A57" w14:textId="77777777">
      <w:pPr>
        <w:keepNext/>
        <w:keepLines/>
        <w:spacing w:after="160" w:line="259" w:lineRule="auto"/>
        <w:rPr>
          <w:b/>
          <w:bCs/>
        </w:rPr>
      </w:pPr>
      <w:r w:rsidRPr="006B2A86">
        <w:rPr>
          <w:b/>
          <w:bCs/>
        </w:rPr>
        <w:t>Gevolgen van niet-ratificatie</w:t>
      </w:r>
    </w:p>
    <w:p w:rsidRPr="006B2A86" w:rsidR="00B27180" w:rsidP="00C25658" w:rsidRDefault="00B27180" w14:paraId="4E431363" w14:textId="2770C8BB">
      <w:pPr>
        <w:keepNext/>
        <w:keepLines/>
        <w:spacing w:after="160" w:line="259" w:lineRule="auto"/>
      </w:pPr>
      <w:r w:rsidRPr="006B2A86">
        <w:t>Het kabinet acht het van belang om ook stil te staan bij de gevolgen van een eventuele Nederlandse niet-ratificatie.</w:t>
      </w:r>
      <w:r w:rsidR="004A7A87">
        <w:t xml:space="preserve"> De rol van het parlement is hier zonder meer van fundamenteel belang. </w:t>
      </w:r>
      <w:r w:rsidR="00BE37F2">
        <w:t xml:space="preserve">Een verdrag kan voor Nederland immers alleen definitief in werking treden wanneer het parlement daarmee heeft ingestemd. </w:t>
      </w:r>
      <w:r w:rsidR="004A7A87">
        <w:t>Echter, een uitonderhandeld verdrag kan alleen goed</w:t>
      </w:r>
      <w:r w:rsidR="00070FD2">
        <w:t>-</w:t>
      </w:r>
      <w:r w:rsidR="004A7A87">
        <w:t xml:space="preserve"> of afgekeurd worden. Wijzigingen in de tekst vereisen in feite een nieuw onderhandelingstraject. </w:t>
      </w:r>
    </w:p>
    <w:p w:rsidRPr="006B2A86" w:rsidR="00B27180" w:rsidP="00B27180" w:rsidRDefault="00B27180" w14:paraId="7E4B9740" w14:textId="6ED35B23">
      <w:pPr>
        <w:spacing w:after="160" w:line="259" w:lineRule="auto"/>
      </w:pPr>
      <w:r w:rsidRPr="006B2A86">
        <w:t xml:space="preserve">Het EU-ASEAN luchtvaartverdrag is het eerste luchtvaartverdrag ter wereld dat op blok-tot-blokniveau is gesloten tussen twee grote economische regio's. Het is het resultaat van jarenlange onderhandelingen tussen de Europese Commissie, de </w:t>
      </w:r>
      <w:r w:rsidR="004011FC">
        <w:t xml:space="preserve">27 </w:t>
      </w:r>
      <w:r w:rsidRPr="006B2A86">
        <w:t xml:space="preserve">lidstaten van de Europese Unie en de </w:t>
      </w:r>
      <w:r w:rsidR="004011FC">
        <w:t xml:space="preserve">negen </w:t>
      </w:r>
      <w:r w:rsidRPr="006B2A86">
        <w:t>ASEAN-landen.</w:t>
      </w:r>
    </w:p>
    <w:p w:rsidRPr="006B2A86" w:rsidR="00AA1C8A" w:rsidP="00AA1C8A" w:rsidRDefault="00AA1C8A" w14:paraId="38381745" w14:textId="77777777">
      <w:pPr>
        <w:spacing w:after="160" w:line="259" w:lineRule="auto"/>
      </w:pPr>
      <w:r w:rsidRPr="006B2A86">
        <w:t>ASEAN is een van de snelst groeiende economische regio's ter wereld en een steeds belangrijkere partner voor Nederland op het gebied van handel, investeringen, logistiek, belastingsamenwerking en internationale rechtsbetrekkingen. In de huidige geopolitieke context is het van groot belang om relaties met gelijkgezinde en opkomende partners verder te versterken.</w:t>
      </w:r>
    </w:p>
    <w:p w:rsidRPr="006B2A86" w:rsidR="00B27180" w:rsidP="00B27180" w:rsidRDefault="00B27180" w14:paraId="34F66DBC" w14:textId="762B047C">
      <w:pPr>
        <w:spacing w:after="160" w:line="259" w:lineRule="auto"/>
      </w:pPr>
      <w:r w:rsidRPr="006B2A86">
        <w:t xml:space="preserve">Wanneer Nederland het verdrag niet zou ratificeren, kan het verdrag </w:t>
      </w:r>
      <w:r w:rsidR="004011FC">
        <w:t xml:space="preserve">voor alle </w:t>
      </w:r>
      <w:r w:rsidR="005862E2">
        <w:t xml:space="preserve">aangesloten </w:t>
      </w:r>
      <w:r w:rsidR="004011FC">
        <w:t>landen</w:t>
      </w:r>
      <w:r w:rsidR="009E13E7">
        <w:t xml:space="preserve"> en de Europese Unie</w:t>
      </w:r>
      <w:r w:rsidR="004011FC">
        <w:t xml:space="preserve"> </w:t>
      </w:r>
      <w:r w:rsidRPr="006B2A86">
        <w:t>niet in werking treden. Daarmee zouden niet alleen de voordelen voor de luchtvaartsector verloren gaan, maar zou ook een belangrijk politiek en diplomatiek signaal worden afgegeven aan zowel de ASEAN-</w:t>
      </w:r>
      <w:r w:rsidR="009E13E7">
        <w:t>landen</w:t>
      </w:r>
      <w:r w:rsidRPr="006B2A86">
        <w:t xml:space="preserve"> als de overige EU-lidstaten</w:t>
      </w:r>
      <w:r w:rsidR="009E13E7">
        <w:t xml:space="preserve"> en de Europese </w:t>
      </w:r>
      <w:r w:rsidR="00F11B29">
        <w:t>Commissie</w:t>
      </w:r>
      <w:r w:rsidRPr="006B2A86">
        <w:t>.</w:t>
      </w:r>
    </w:p>
    <w:p w:rsidRPr="006B2A86" w:rsidR="00B27180" w:rsidP="00B27180" w:rsidRDefault="00B27180" w14:paraId="630BFED7" w14:textId="277223E4">
      <w:pPr>
        <w:spacing w:after="160" w:line="259" w:lineRule="auto"/>
      </w:pPr>
      <w:r w:rsidRPr="006B2A86">
        <w:t xml:space="preserve">Niet-ratificatie zou bovendien vragen kunnen oproepen over de betrouwbaarheid van Nederland als verdragspartner. </w:t>
      </w:r>
      <w:r w:rsidR="00770E99">
        <w:t>Het mandaat voor dit verdrag is in 2016</w:t>
      </w:r>
      <w:r w:rsidR="00D471E5">
        <w:t xml:space="preserve"> voorgelegd aan de Kamer, waardoor ook de Europese Commissie kon vertrouwen op het onderhandelingsmandaat. De Europese Commissie heeft het verdrag binnen dit mandaat uitonderhandeld. </w:t>
      </w:r>
      <w:r w:rsidRPr="006B2A86">
        <w:t>ASEAN-landen hebben jarenlang onderhandeld in de veronderstelling dat de lidstaten van de Europese Unie de uitkomst van dat proces serieus zouden beoordelen. Wanneer één lidstaat uiteindelijk het gehele akkoord blokkeert, kan dat gevolgen hebben voor de bereidheid van partners om in de toekomst met Nederland en de Europese Unie vergelijkbare trajecten aan te gaan.</w:t>
      </w:r>
    </w:p>
    <w:p w:rsidR="00B27180" w:rsidP="00B27180" w:rsidRDefault="00B27180" w14:paraId="5E3C5B3D" w14:textId="1AB487C3">
      <w:pPr>
        <w:spacing w:after="160" w:line="259" w:lineRule="auto"/>
      </w:pPr>
      <w:r w:rsidRPr="006B2A86">
        <w:t>Daarnaast zou een Nederlandse blokkade de samenwerking met de Europese Commissie en andere lidstaten onder druk zetten op een moment waarop juist gezamenlijke Europese inzet noodzakelijk is. De luchtvaartsector staat voor grote geopolitieke uitdagingen, waaronder verstoringen van internationale routes, onzekerheden rond luchtruimtoegang, leveringszekerheid van brandstoffen en de mondiale verduurzamingsopgave. Voor de behartiging van Nederlandse belangen is een sterke gezamenlijke Europese externe luchtvaartstrategie essentieel.</w:t>
      </w:r>
    </w:p>
    <w:p w:rsidR="004011FC" w:rsidP="00B27180" w:rsidRDefault="004F077A" w14:paraId="54ECB5E6" w14:textId="116435D9">
      <w:pPr>
        <w:spacing w:after="160" w:line="259" w:lineRule="auto"/>
      </w:pPr>
      <w:r>
        <w:t xml:space="preserve">Estland, Frankrijk, Hongarije, Ierland, Litouwen, Luxemburg, Oostenrijk, Polen, Roemenië, Slovenië, Slowakije, Spanje en Tsjechië hebben het verdrag al geratificeerd. Daarmee hebben veel </w:t>
      </w:r>
      <w:r w:rsidR="004011FC">
        <w:t xml:space="preserve">EU-landen het verdrag </w:t>
      </w:r>
      <w:r>
        <w:t xml:space="preserve">nog niet </w:t>
      </w:r>
      <w:r w:rsidR="004011FC">
        <w:t>geratificeerd.</w:t>
      </w:r>
      <w:r>
        <w:t xml:space="preserve"> </w:t>
      </w:r>
      <w:r w:rsidR="004011FC">
        <w:t xml:space="preserve">Dat maakt de vraag waarom Nederland </w:t>
      </w:r>
      <w:r w:rsidR="00514B75">
        <w:t xml:space="preserve">nu </w:t>
      </w:r>
      <w:r w:rsidR="004011FC">
        <w:t xml:space="preserve">moet ratificeren zeer begrijpelijk. </w:t>
      </w:r>
      <w:r w:rsidR="004A7A87">
        <w:t>Dat ratificeren lang kan duren, is niet diplomatiek gevoelig</w:t>
      </w:r>
      <w:r w:rsidR="004011FC">
        <w:t>. Ratificatietrajecten duren lang, en in sommige lidstaten langer dan in andere. Wat wel diplomatiek gevoelig ligt,</w:t>
      </w:r>
      <w:r w:rsidR="004A7A87">
        <w:t xml:space="preserve"> zou het</w:t>
      </w:r>
      <w:r w:rsidR="004011FC">
        <w:t xml:space="preserve"> niet ratificeren</w:t>
      </w:r>
      <w:r w:rsidR="004A7A87">
        <w:t xml:space="preserve"> van het verdrag zijn</w:t>
      </w:r>
      <w:r w:rsidR="004011FC">
        <w:t xml:space="preserve">, of om terug te gaan naar de tekentafel om </w:t>
      </w:r>
      <w:r w:rsidR="00996ED8">
        <w:t>tot een ander akkoord te komen.</w:t>
      </w:r>
      <w:r w:rsidR="004011FC">
        <w:t xml:space="preserve"> </w:t>
      </w:r>
    </w:p>
    <w:p w:rsidR="004011FC" w:rsidP="004011FC" w:rsidRDefault="004011FC" w14:paraId="7948387D" w14:textId="677FC1B1">
      <w:pPr>
        <w:spacing w:after="160" w:line="259" w:lineRule="auto"/>
      </w:pPr>
      <w:r>
        <w:t>Al</w:t>
      </w:r>
      <w:r w:rsidRPr="004011FC">
        <w:t>s Nederland de hele EU zou dwingen op opnieuw te onderhandelen, wordt de kans zeer gering</w:t>
      </w:r>
      <w:r>
        <w:t xml:space="preserve"> </w:t>
      </w:r>
      <w:r w:rsidRPr="004011FC">
        <w:t xml:space="preserve">geacht dat dit tot een beter resultaat zal leiden. Omdat de ASEAN-landen al een akkoord hadden, en ook akkoord moeten gaan met de door ons voorgestelde wijzigingen, is de kans groter dat ASEAN dit </w:t>
      </w:r>
      <w:r w:rsidR="009E13E7">
        <w:t xml:space="preserve">niet accepteert </w:t>
      </w:r>
      <w:r w:rsidRPr="004011FC">
        <w:t>en terugvalt op oude verdragen.</w:t>
      </w:r>
      <w:r w:rsidR="00996ED8">
        <w:t xml:space="preserve"> Dit zou voor de hele EU een achteruitgang betekenen.</w:t>
      </w:r>
      <w:r w:rsidRPr="004011FC">
        <w:t xml:space="preserve">     </w:t>
      </w:r>
    </w:p>
    <w:p w:rsidRPr="006B2A86" w:rsidR="00B27180" w:rsidP="00B27180" w:rsidRDefault="00697280" w14:paraId="2BCB7713" w14:textId="3C36A0D4">
      <w:pPr>
        <w:rPr>
          <w:b/>
          <w:bCs/>
        </w:rPr>
      </w:pPr>
      <w:r>
        <w:rPr>
          <w:b/>
          <w:bCs/>
        </w:rPr>
        <w:t>Tot slot</w:t>
      </w:r>
    </w:p>
    <w:p w:rsidR="00B27180" w:rsidP="00B27180" w:rsidRDefault="00B27180" w14:paraId="37A3CC40" w14:textId="4248152F">
      <w:r w:rsidRPr="006B2A86">
        <w:t xml:space="preserve">Internationale onderhandelingen kunnen vele jaren duren, juist omdat Nederland en de Europese Unie streven naar zo goed mogelijke afspraken. Het kabinet is bereid te bezien hoe de Kamer gedurende dergelijke trajecten periodiek </w:t>
      </w:r>
      <w:r w:rsidR="0004106E">
        <w:t xml:space="preserve">meer </w:t>
      </w:r>
      <w:r w:rsidR="00996ED8">
        <w:t>geïnformeerd kan worden</w:t>
      </w:r>
      <w:r w:rsidRPr="006B2A86">
        <w:t xml:space="preserve">, uiteraard binnen de grenzen van diplomatieke vertrouwelijkheid en de onderhandelingspositie van Nederland en de Europese Unie. </w:t>
      </w:r>
    </w:p>
    <w:p w:rsidR="0004106E" w:rsidP="00B27180" w:rsidRDefault="0004106E" w14:paraId="6C51F979" w14:textId="77777777"/>
    <w:p w:rsidRPr="006B2A86" w:rsidR="00B27180" w:rsidP="00B27180" w:rsidRDefault="00B27180" w14:paraId="21DF7D82" w14:textId="3B55611F">
      <w:pPr>
        <w:spacing w:after="160" w:line="259" w:lineRule="auto"/>
      </w:pPr>
      <w:r w:rsidRPr="006B2A86">
        <w:t xml:space="preserve">Daarbij </w:t>
      </w:r>
      <w:r w:rsidR="0004106E">
        <w:t>voelt</w:t>
      </w:r>
      <w:r w:rsidRPr="006B2A86">
        <w:t xml:space="preserve"> het kabinet </w:t>
      </w:r>
      <w:r w:rsidR="0004106E">
        <w:t xml:space="preserve">zich aangemoedigd door </w:t>
      </w:r>
      <w:r w:rsidRPr="006B2A86">
        <w:t xml:space="preserve">de oproep </w:t>
      </w:r>
      <w:r>
        <w:t xml:space="preserve">van </w:t>
      </w:r>
      <w:r w:rsidR="0004106E">
        <w:t xml:space="preserve">het </w:t>
      </w:r>
      <w:r>
        <w:t xml:space="preserve">lid </w:t>
      </w:r>
      <w:r w:rsidR="00240782">
        <w:t>Kostic en</w:t>
      </w:r>
      <w:r w:rsidR="004A7A87">
        <w:t xml:space="preserve"> collega-Kamerleden </w:t>
      </w:r>
      <w:r w:rsidRPr="006B2A86">
        <w:t>om bij toekomstige onderhandelingen steeds te blijven streven naar verdere versterking van afspraken op het terrein van duurzaamheid, eerlijke concurrentie en arbeidsomstandigheden.</w:t>
      </w:r>
      <w:r>
        <w:t xml:space="preserve"> </w:t>
      </w:r>
      <w:r w:rsidR="00BE37F2">
        <w:t xml:space="preserve">Ten slotte herhaal ik graag dat Nederland de oproep van </w:t>
      </w:r>
      <w:r w:rsidR="00240782">
        <w:t>België</w:t>
      </w:r>
      <w:r w:rsidR="00BE37F2">
        <w:t xml:space="preserve"> heeft gesteund, en bij de Commissie zal aandringen om een impactassessment te maken op het gebied van klimaat en duurzaamheid als onderdeel van nieuwe onderhandelingsmandaten.</w:t>
      </w:r>
      <w:r w:rsidR="004F077A">
        <w:t xml:space="preserve"> Een impact assessment maken voor het al uitonderhandelde verdrag is niet doelmatig, omdat dit niet leidt tot aanpassingen van het verdrag. Ook is eerder aangegeven dat de impact voor Nederland gering is, omdat Schiphol qua capaciteit al vol zit. Voor toekomstige EU-verdragen wordt het nut van impact assessments erkend, waardoor Nederland deze eerder door België geuite wens in Brussel zal herhalen.</w:t>
      </w:r>
    </w:p>
    <w:p w:rsidR="00BA3DF6" w:rsidRDefault="00BD755E" w14:paraId="60740016" w14:textId="77777777">
      <w:pPr>
        <w:pStyle w:val="WitregelW1bodytekst"/>
      </w:pPr>
      <w:r>
        <w:t xml:space="preserve">  </w:t>
      </w:r>
    </w:p>
    <w:p w:rsidR="00BA3DF6" w:rsidRDefault="00BD755E" w14:paraId="5D3423F5" w14:textId="77777777">
      <w:pPr>
        <w:pStyle w:val="Slotzin"/>
      </w:pPr>
      <w:r>
        <w:t>Hoogachtend,</w:t>
      </w:r>
    </w:p>
    <w:p w:rsidR="00BA3DF6" w:rsidRDefault="00BD755E" w14:paraId="34545149" w14:textId="77777777">
      <w:pPr>
        <w:pStyle w:val="OndertekeningArea1"/>
      </w:pPr>
      <w:r>
        <w:t>DE MINISTER VAN INFRASTRUCTUUR EN WATERSTAAT,</w:t>
      </w:r>
    </w:p>
    <w:p w:rsidR="00BA3DF6" w:rsidRDefault="00BA3DF6" w14:paraId="21BF2AD9" w14:textId="77777777"/>
    <w:p w:rsidR="00BA3DF6" w:rsidRDefault="00BA3DF6" w14:paraId="3DDB8BB1" w14:textId="77777777"/>
    <w:p w:rsidR="00BA3DF6" w:rsidRDefault="00BA3DF6" w14:paraId="2A8ADC5E" w14:textId="77777777"/>
    <w:p w:rsidR="00BA3DF6" w:rsidRDefault="00BA3DF6" w14:paraId="2C34DE89" w14:textId="77777777"/>
    <w:p w:rsidR="00BA3DF6" w:rsidRDefault="00BD755E" w14:paraId="034A0630" w14:textId="77777777">
      <w:r>
        <w:t>Vincent Karremans</w:t>
      </w:r>
    </w:p>
    <w:sectPr w:rsidR="00BA3DF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7930" w14:textId="77777777" w:rsidR="00034C45" w:rsidRDefault="00034C45">
      <w:pPr>
        <w:spacing w:line="240" w:lineRule="auto"/>
      </w:pPr>
      <w:r>
        <w:separator/>
      </w:r>
    </w:p>
  </w:endnote>
  <w:endnote w:type="continuationSeparator" w:id="0">
    <w:p w14:paraId="404CA224" w14:textId="77777777" w:rsidR="00034C45" w:rsidRDefault="00034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5A8C" w14:textId="77777777" w:rsidR="00034C45" w:rsidRDefault="00034C45">
      <w:pPr>
        <w:spacing w:line="240" w:lineRule="auto"/>
      </w:pPr>
      <w:r>
        <w:separator/>
      </w:r>
    </w:p>
  </w:footnote>
  <w:footnote w:type="continuationSeparator" w:id="0">
    <w:p w14:paraId="51BFFBAE" w14:textId="77777777" w:rsidR="00034C45" w:rsidRDefault="00034C45">
      <w:pPr>
        <w:spacing w:line="240" w:lineRule="auto"/>
      </w:pPr>
      <w:r>
        <w:continuationSeparator/>
      </w:r>
    </w:p>
  </w:footnote>
  <w:footnote w:id="1">
    <w:p w14:paraId="4359AB2D" w14:textId="7E4D15A0" w:rsidR="008B5FA8" w:rsidRDefault="008B5FA8">
      <w:pPr>
        <w:pStyle w:val="FootnoteText"/>
      </w:pPr>
      <w:r w:rsidRPr="00F11B29">
        <w:rPr>
          <w:rStyle w:val="FootnoteReference"/>
          <w:sz w:val="16"/>
          <w:szCs w:val="16"/>
        </w:rPr>
        <w:footnoteRef/>
      </w:r>
      <w:r w:rsidRPr="00F11B29">
        <w:rPr>
          <w:sz w:val="16"/>
          <w:szCs w:val="16"/>
        </w:rPr>
        <w:t xml:space="preserve"> TZ202605-112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F290" w14:textId="77777777" w:rsidR="00BA3DF6" w:rsidRDefault="00BD755E">
    <w:r>
      <w:rPr>
        <w:noProof/>
        <w:lang w:val="en-GB" w:eastAsia="en-GB"/>
      </w:rPr>
      <mc:AlternateContent>
        <mc:Choice Requires="wps">
          <w:drawing>
            <wp:anchor distT="0" distB="0" distL="0" distR="0" simplePos="0" relativeHeight="251651584" behindDoc="0" locked="1" layoutInCell="1" allowOverlap="1" wp14:anchorId="5FE56DA7" wp14:editId="7FAC77A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84CFAA" w14:textId="77777777" w:rsidR="00BA3DF6" w:rsidRDefault="00BD755E">
                          <w:pPr>
                            <w:pStyle w:val="AfzendgegevensKop0"/>
                          </w:pPr>
                          <w:r>
                            <w:t>Ministerie van Infrastructuur en Waterstaat</w:t>
                          </w:r>
                        </w:p>
                        <w:p w14:paraId="1284C0D1" w14:textId="77777777" w:rsidR="005A7800" w:rsidRDefault="005A7800" w:rsidP="005A7800"/>
                        <w:p w14:paraId="72EDE02F" w14:textId="77777777" w:rsidR="005A7800" w:rsidRPr="005A7800" w:rsidRDefault="005A7800" w:rsidP="005A7800">
                          <w:pPr>
                            <w:spacing w:line="276" w:lineRule="auto"/>
                            <w:rPr>
                              <w:b/>
                              <w:bCs/>
                              <w:sz w:val="13"/>
                              <w:szCs w:val="13"/>
                            </w:rPr>
                          </w:pPr>
                          <w:r w:rsidRPr="005A7800">
                            <w:rPr>
                              <w:b/>
                              <w:bCs/>
                              <w:sz w:val="13"/>
                              <w:szCs w:val="13"/>
                            </w:rPr>
                            <w:t>Kenmerk</w:t>
                          </w:r>
                        </w:p>
                        <w:p w14:paraId="2ABE67C2" w14:textId="77777777" w:rsidR="005A7800" w:rsidRDefault="005A7800" w:rsidP="005A7800">
                          <w:pPr>
                            <w:spacing w:line="276" w:lineRule="auto"/>
                            <w:rPr>
                              <w:sz w:val="13"/>
                              <w:szCs w:val="13"/>
                            </w:rPr>
                          </w:pPr>
                          <w:r w:rsidRPr="005A7800">
                            <w:rPr>
                              <w:sz w:val="13"/>
                              <w:szCs w:val="13"/>
                            </w:rPr>
                            <w:t>IENW/BSK-2026/97190</w:t>
                          </w:r>
                        </w:p>
                        <w:p w14:paraId="5037420E" w14:textId="77777777" w:rsidR="005A7800" w:rsidRPr="005A7800" w:rsidRDefault="005A7800" w:rsidP="005A7800"/>
                      </w:txbxContent>
                    </wps:txbx>
                    <wps:bodyPr vert="horz" wrap="square" lIns="0" tIns="0" rIns="0" bIns="0" anchor="t" anchorCtr="0"/>
                  </wps:wsp>
                </a:graphicData>
              </a:graphic>
            </wp:anchor>
          </w:drawing>
        </mc:Choice>
        <mc:Fallback>
          <w:pict>
            <v:shapetype w14:anchorId="5FE56DA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584CFAA" w14:textId="77777777" w:rsidR="00BA3DF6" w:rsidRDefault="00BD755E">
                    <w:pPr>
                      <w:pStyle w:val="AfzendgegevensKop0"/>
                    </w:pPr>
                    <w:r>
                      <w:t>Ministerie van Infrastructuur en Waterstaat</w:t>
                    </w:r>
                  </w:p>
                  <w:p w14:paraId="1284C0D1" w14:textId="77777777" w:rsidR="005A7800" w:rsidRDefault="005A7800" w:rsidP="005A7800"/>
                  <w:p w14:paraId="72EDE02F" w14:textId="77777777" w:rsidR="005A7800" w:rsidRPr="005A7800" w:rsidRDefault="005A7800" w:rsidP="005A7800">
                    <w:pPr>
                      <w:spacing w:line="276" w:lineRule="auto"/>
                      <w:rPr>
                        <w:b/>
                        <w:bCs/>
                        <w:sz w:val="13"/>
                        <w:szCs w:val="13"/>
                      </w:rPr>
                    </w:pPr>
                    <w:r w:rsidRPr="005A7800">
                      <w:rPr>
                        <w:b/>
                        <w:bCs/>
                        <w:sz w:val="13"/>
                        <w:szCs w:val="13"/>
                      </w:rPr>
                      <w:t>Kenmerk</w:t>
                    </w:r>
                  </w:p>
                  <w:p w14:paraId="2ABE67C2" w14:textId="77777777" w:rsidR="005A7800" w:rsidRDefault="005A7800" w:rsidP="005A7800">
                    <w:pPr>
                      <w:spacing w:line="276" w:lineRule="auto"/>
                      <w:rPr>
                        <w:sz w:val="13"/>
                        <w:szCs w:val="13"/>
                      </w:rPr>
                    </w:pPr>
                    <w:r w:rsidRPr="005A7800">
                      <w:rPr>
                        <w:sz w:val="13"/>
                        <w:szCs w:val="13"/>
                      </w:rPr>
                      <w:t>IENW/BSK-2026/97190</w:t>
                    </w:r>
                  </w:p>
                  <w:p w14:paraId="5037420E" w14:textId="77777777" w:rsidR="005A7800" w:rsidRPr="005A7800" w:rsidRDefault="005A7800" w:rsidP="005A780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6766522" wp14:editId="571296C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CFFA14" w14:textId="77777777" w:rsidR="00BA3DF6" w:rsidRDefault="00BD755E">
                          <w:pPr>
                            <w:pStyle w:val="Referentiegegevens"/>
                          </w:pPr>
                          <w:r>
                            <w:t xml:space="preserve">Page </w:t>
                          </w:r>
                          <w:r>
                            <w:fldChar w:fldCharType="begin"/>
                          </w:r>
                          <w:r>
                            <w:instrText>PAGE</w:instrText>
                          </w:r>
                          <w:r>
                            <w:fldChar w:fldCharType="separate"/>
                          </w:r>
                          <w:r w:rsidR="00B27180">
                            <w:rPr>
                              <w:noProof/>
                            </w:rPr>
                            <w:t>1</w:t>
                          </w:r>
                          <w:r>
                            <w:fldChar w:fldCharType="end"/>
                          </w:r>
                          <w:r>
                            <w:t xml:space="preserve"> of </w:t>
                          </w:r>
                          <w:r>
                            <w:fldChar w:fldCharType="begin"/>
                          </w:r>
                          <w:r>
                            <w:instrText>NUMPAGES</w:instrText>
                          </w:r>
                          <w:r>
                            <w:fldChar w:fldCharType="separate"/>
                          </w:r>
                          <w:r w:rsidR="00B27180">
                            <w:rPr>
                              <w:noProof/>
                            </w:rPr>
                            <w:t>1</w:t>
                          </w:r>
                          <w:r>
                            <w:fldChar w:fldCharType="end"/>
                          </w:r>
                        </w:p>
                      </w:txbxContent>
                    </wps:txbx>
                    <wps:bodyPr vert="horz" wrap="square" lIns="0" tIns="0" rIns="0" bIns="0" anchor="t" anchorCtr="0"/>
                  </wps:wsp>
                </a:graphicData>
              </a:graphic>
            </wp:anchor>
          </w:drawing>
        </mc:Choice>
        <mc:Fallback>
          <w:pict>
            <v:shape w14:anchorId="1676652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4CFFA14" w14:textId="77777777" w:rsidR="00BA3DF6" w:rsidRDefault="00BD755E">
                    <w:pPr>
                      <w:pStyle w:val="Referentiegegevens"/>
                    </w:pPr>
                    <w:r>
                      <w:t xml:space="preserve">Page </w:t>
                    </w:r>
                    <w:r>
                      <w:fldChar w:fldCharType="begin"/>
                    </w:r>
                    <w:r>
                      <w:instrText>PAGE</w:instrText>
                    </w:r>
                    <w:r>
                      <w:fldChar w:fldCharType="separate"/>
                    </w:r>
                    <w:r w:rsidR="00B27180">
                      <w:rPr>
                        <w:noProof/>
                      </w:rPr>
                      <w:t>1</w:t>
                    </w:r>
                    <w:r>
                      <w:fldChar w:fldCharType="end"/>
                    </w:r>
                    <w:r>
                      <w:t xml:space="preserve"> of </w:t>
                    </w:r>
                    <w:r>
                      <w:fldChar w:fldCharType="begin"/>
                    </w:r>
                    <w:r>
                      <w:instrText>NUMPAGES</w:instrText>
                    </w:r>
                    <w:r>
                      <w:fldChar w:fldCharType="separate"/>
                    </w:r>
                    <w:r w:rsidR="00B2718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2E35F0" wp14:editId="2AD8317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FB4C26" w14:textId="77777777" w:rsidR="00BD755E" w:rsidRDefault="00BD755E"/>
                      </w:txbxContent>
                    </wps:txbx>
                    <wps:bodyPr vert="horz" wrap="square" lIns="0" tIns="0" rIns="0" bIns="0" anchor="t" anchorCtr="0"/>
                  </wps:wsp>
                </a:graphicData>
              </a:graphic>
            </wp:anchor>
          </w:drawing>
        </mc:Choice>
        <mc:Fallback>
          <w:pict>
            <v:shape w14:anchorId="7F2E35F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BFB4C26" w14:textId="77777777" w:rsidR="00BD755E" w:rsidRDefault="00BD755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2EFB1F9" wp14:editId="008B795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1AAE39" w14:textId="77777777" w:rsidR="00BD755E" w:rsidRDefault="00BD755E"/>
                      </w:txbxContent>
                    </wps:txbx>
                    <wps:bodyPr vert="horz" wrap="square" lIns="0" tIns="0" rIns="0" bIns="0" anchor="t" anchorCtr="0"/>
                  </wps:wsp>
                </a:graphicData>
              </a:graphic>
            </wp:anchor>
          </w:drawing>
        </mc:Choice>
        <mc:Fallback>
          <w:pict>
            <v:shape w14:anchorId="42EFB1F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01AAE39" w14:textId="77777777" w:rsidR="00BD755E" w:rsidRDefault="00BD755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2AC8" w14:textId="77777777" w:rsidR="00BA3DF6" w:rsidRDefault="00BD755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BA0CCB" wp14:editId="59897E9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3032A3" w14:textId="77777777" w:rsidR="00BD755E" w:rsidRDefault="00BD755E"/>
                      </w:txbxContent>
                    </wps:txbx>
                    <wps:bodyPr vert="horz" wrap="square" lIns="0" tIns="0" rIns="0" bIns="0" anchor="t" anchorCtr="0"/>
                  </wps:wsp>
                </a:graphicData>
              </a:graphic>
            </wp:anchor>
          </w:drawing>
        </mc:Choice>
        <mc:Fallback>
          <w:pict>
            <v:shapetype w14:anchorId="01BA0CC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93032A3" w14:textId="77777777" w:rsidR="00BD755E" w:rsidRDefault="00BD755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CA7110" wp14:editId="136023E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C632BB" w14:textId="14030050" w:rsidR="00BA3DF6" w:rsidRDefault="00BD755E">
                          <w:pPr>
                            <w:pStyle w:val="Referentiegegevens"/>
                          </w:pPr>
                          <w:r>
                            <w:t xml:space="preserve">Page </w:t>
                          </w:r>
                          <w:r>
                            <w:fldChar w:fldCharType="begin"/>
                          </w:r>
                          <w:r>
                            <w:instrText>PAGE</w:instrText>
                          </w:r>
                          <w:r>
                            <w:fldChar w:fldCharType="separate"/>
                          </w:r>
                          <w:r w:rsidR="00E318AD">
                            <w:rPr>
                              <w:noProof/>
                            </w:rPr>
                            <w:t>1</w:t>
                          </w:r>
                          <w:r>
                            <w:fldChar w:fldCharType="end"/>
                          </w:r>
                          <w:r>
                            <w:t xml:space="preserve"> of </w:t>
                          </w:r>
                          <w:r>
                            <w:fldChar w:fldCharType="begin"/>
                          </w:r>
                          <w:r>
                            <w:instrText>NUMPAGES</w:instrText>
                          </w:r>
                          <w:r>
                            <w:fldChar w:fldCharType="separate"/>
                          </w:r>
                          <w:r w:rsidR="00E318AD">
                            <w:rPr>
                              <w:noProof/>
                            </w:rPr>
                            <w:t>1</w:t>
                          </w:r>
                          <w:r>
                            <w:fldChar w:fldCharType="end"/>
                          </w:r>
                        </w:p>
                      </w:txbxContent>
                    </wps:txbx>
                    <wps:bodyPr vert="horz" wrap="square" lIns="0" tIns="0" rIns="0" bIns="0" anchor="t" anchorCtr="0"/>
                  </wps:wsp>
                </a:graphicData>
              </a:graphic>
            </wp:anchor>
          </w:drawing>
        </mc:Choice>
        <mc:Fallback>
          <w:pict>
            <v:shape w14:anchorId="0ACA711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C632BB" w14:textId="14030050" w:rsidR="00BA3DF6" w:rsidRDefault="00BD755E">
                    <w:pPr>
                      <w:pStyle w:val="Referentiegegevens"/>
                    </w:pPr>
                    <w:r>
                      <w:t xml:space="preserve">Page </w:t>
                    </w:r>
                    <w:r>
                      <w:fldChar w:fldCharType="begin"/>
                    </w:r>
                    <w:r>
                      <w:instrText>PAGE</w:instrText>
                    </w:r>
                    <w:r>
                      <w:fldChar w:fldCharType="separate"/>
                    </w:r>
                    <w:r w:rsidR="00E318AD">
                      <w:rPr>
                        <w:noProof/>
                      </w:rPr>
                      <w:t>1</w:t>
                    </w:r>
                    <w:r>
                      <w:fldChar w:fldCharType="end"/>
                    </w:r>
                    <w:r>
                      <w:t xml:space="preserve"> of </w:t>
                    </w:r>
                    <w:r>
                      <w:fldChar w:fldCharType="begin"/>
                    </w:r>
                    <w:r>
                      <w:instrText>NUMPAGES</w:instrText>
                    </w:r>
                    <w:r>
                      <w:fldChar w:fldCharType="separate"/>
                    </w:r>
                    <w:r w:rsidR="00E318A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4DBAB1" wp14:editId="4300027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7C846A" w14:textId="77777777" w:rsidR="00BA3DF6" w:rsidRDefault="00BD755E">
                          <w:pPr>
                            <w:pStyle w:val="AfzendgegevensKop0"/>
                          </w:pPr>
                          <w:r>
                            <w:t>Ministerie van Infrastructuur en Waterstaat</w:t>
                          </w:r>
                        </w:p>
                        <w:p w14:paraId="65F09CDD" w14:textId="77777777" w:rsidR="00BA3DF6" w:rsidRDefault="00BA3DF6">
                          <w:pPr>
                            <w:pStyle w:val="WitregelW1"/>
                          </w:pPr>
                        </w:p>
                        <w:p w14:paraId="5ABEB9A1" w14:textId="77777777" w:rsidR="00BA3DF6" w:rsidRDefault="00BD755E">
                          <w:pPr>
                            <w:pStyle w:val="Afzendgegevens"/>
                          </w:pPr>
                          <w:r>
                            <w:t>Rijnstraat 8</w:t>
                          </w:r>
                        </w:p>
                        <w:p w14:paraId="61E42C2E" w14:textId="77777777" w:rsidR="00BA3DF6" w:rsidRPr="00B27180" w:rsidRDefault="00BD755E">
                          <w:pPr>
                            <w:pStyle w:val="Afzendgegevens"/>
                            <w:rPr>
                              <w:lang w:val="de-DE"/>
                            </w:rPr>
                          </w:pPr>
                          <w:r w:rsidRPr="00B27180">
                            <w:rPr>
                              <w:lang w:val="de-DE"/>
                            </w:rPr>
                            <w:t>2515 XP  Den Haag</w:t>
                          </w:r>
                        </w:p>
                        <w:p w14:paraId="097FC09F" w14:textId="77777777" w:rsidR="00BA3DF6" w:rsidRPr="00B27180" w:rsidRDefault="00BD755E">
                          <w:pPr>
                            <w:pStyle w:val="Afzendgegevens"/>
                            <w:rPr>
                              <w:lang w:val="de-DE"/>
                            </w:rPr>
                          </w:pPr>
                          <w:r w:rsidRPr="00B27180">
                            <w:rPr>
                              <w:lang w:val="de-DE"/>
                            </w:rPr>
                            <w:t>Postbus 20901</w:t>
                          </w:r>
                        </w:p>
                        <w:p w14:paraId="050D5A6C" w14:textId="77777777" w:rsidR="00BA3DF6" w:rsidRPr="00B27180" w:rsidRDefault="00BD755E">
                          <w:pPr>
                            <w:pStyle w:val="Afzendgegevens"/>
                            <w:rPr>
                              <w:lang w:val="de-DE"/>
                            </w:rPr>
                          </w:pPr>
                          <w:r w:rsidRPr="00B27180">
                            <w:rPr>
                              <w:lang w:val="de-DE"/>
                            </w:rPr>
                            <w:t>2500 EX Den Haag</w:t>
                          </w:r>
                        </w:p>
                        <w:p w14:paraId="6C529FB9" w14:textId="77777777" w:rsidR="00BA3DF6" w:rsidRPr="00B27180" w:rsidRDefault="00BA3DF6">
                          <w:pPr>
                            <w:pStyle w:val="WitregelW1"/>
                            <w:rPr>
                              <w:lang w:val="de-DE"/>
                            </w:rPr>
                          </w:pPr>
                        </w:p>
                        <w:p w14:paraId="38C668C7" w14:textId="77777777" w:rsidR="00BA3DF6" w:rsidRPr="00B27180" w:rsidRDefault="00BD755E">
                          <w:pPr>
                            <w:pStyle w:val="Afzendgegevens"/>
                            <w:rPr>
                              <w:lang w:val="de-DE"/>
                            </w:rPr>
                          </w:pPr>
                          <w:r w:rsidRPr="00B27180">
                            <w:rPr>
                              <w:lang w:val="de-DE"/>
                            </w:rPr>
                            <w:t>T   070-456 0000</w:t>
                          </w:r>
                        </w:p>
                        <w:p w14:paraId="2EAE7BC7" w14:textId="77777777" w:rsidR="00BA3DF6" w:rsidRDefault="00BD755E">
                          <w:pPr>
                            <w:pStyle w:val="Afzendgegevens"/>
                          </w:pPr>
                          <w:r>
                            <w:t>F   070-456 1111</w:t>
                          </w:r>
                        </w:p>
                        <w:p w14:paraId="7F96DAAF" w14:textId="77777777" w:rsidR="005A7800" w:rsidRDefault="005A7800" w:rsidP="005A7800"/>
                        <w:p w14:paraId="7C634D20" w14:textId="6B17BDAC" w:rsidR="005A7800" w:rsidRPr="005A7800" w:rsidRDefault="005A7800" w:rsidP="005A7800">
                          <w:pPr>
                            <w:spacing w:line="276" w:lineRule="auto"/>
                            <w:rPr>
                              <w:b/>
                              <w:bCs/>
                              <w:sz w:val="13"/>
                              <w:szCs w:val="13"/>
                            </w:rPr>
                          </w:pPr>
                          <w:r w:rsidRPr="005A7800">
                            <w:rPr>
                              <w:b/>
                              <w:bCs/>
                              <w:sz w:val="13"/>
                              <w:szCs w:val="13"/>
                            </w:rPr>
                            <w:t>Kenmerk</w:t>
                          </w:r>
                        </w:p>
                        <w:p w14:paraId="57189857" w14:textId="2F95B889" w:rsidR="005A7800" w:rsidRDefault="005A7800" w:rsidP="005A7800">
                          <w:pPr>
                            <w:spacing w:line="276" w:lineRule="auto"/>
                            <w:rPr>
                              <w:sz w:val="13"/>
                              <w:szCs w:val="13"/>
                            </w:rPr>
                          </w:pPr>
                          <w:r w:rsidRPr="005A7800">
                            <w:rPr>
                              <w:sz w:val="13"/>
                              <w:szCs w:val="13"/>
                            </w:rPr>
                            <w:t>IENW/BSK-2026/97190</w:t>
                          </w:r>
                        </w:p>
                        <w:p w14:paraId="7ABE488C" w14:textId="77777777" w:rsidR="005A7800" w:rsidRDefault="005A7800" w:rsidP="005A7800">
                          <w:pPr>
                            <w:spacing w:line="276" w:lineRule="auto"/>
                            <w:rPr>
                              <w:sz w:val="13"/>
                              <w:szCs w:val="13"/>
                            </w:rPr>
                          </w:pPr>
                        </w:p>
                        <w:p w14:paraId="03D78BAF" w14:textId="3285DF0B" w:rsidR="005A7800" w:rsidRPr="00C25658" w:rsidRDefault="00C25658" w:rsidP="005A7800">
                          <w:pPr>
                            <w:spacing w:line="276" w:lineRule="auto"/>
                            <w:rPr>
                              <w:b/>
                              <w:bCs/>
                              <w:sz w:val="13"/>
                              <w:szCs w:val="13"/>
                            </w:rPr>
                          </w:pPr>
                          <w:r w:rsidRPr="00C25658">
                            <w:rPr>
                              <w:b/>
                              <w:bCs/>
                              <w:sz w:val="13"/>
                              <w:szCs w:val="13"/>
                            </w:rPr>
                            <w:t>Bijlage(n)</w:t>
                          </w:r>
                        </w:p>
                        <w:p w14:paraId="784F1A4F" w14:textId="0DB13247" w:rsidR="00C25658" w:rsidRPr="005A7800" w:rsidRDefault="00C25658" w:rsidP="005A7800">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A4DBAB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A7C846A" w14:textId="77777777" w:rsidR="00BA3DF6" w:rsidRDefault="00BD755E">
                    <w:pPr>
                      <w:pStyle w:val="AfzendgegevensKop0"/>
                    </w:pPr>
                    <w:r>
                      <w:t>Ministerie van Infrastructuur en Waterstaat</w:t>
                    </w:r>
                  </w:p>
                  <w:p w14:paraId="65F09CDD" w14:textId="77777777" w:rsidR="00BA3DF6" w:rsidRDefault="00BA3DF6">
                    <w:pPr>
                      <w:pStyle w:val="WitregelW1"/>
                    </w:pPr>
                  </w:p>
                  <w:p w14:paraId="5ABEB9A1" w14:textId="77777777" w:rsidR="00BA3DF6" w:rsidRDefault="00BD755E">
                    <w:pPr>
                      <w:pStyle w:val="Afzendgegevens"/>
                    </w:pPr>
                    <w:r>
                      <w:t>Rijnstraat 8</w:t>
                    </w:r>
                  </w:p>
                  <w:p w14:paraId="61E42C2E" w14:textId="77777777" w:rsidR="00BA3DF6" w:rsidRPr="00B27180" w:rsidRDefault="00BD755E">
                    <w:pPr>
                      <w:pStyle w:val="Afzendgegevens"/>
                      <w:rPr>
                        <w:lang w:val="de-DE"/>
                      </w:rPr>
                    </w:pPr>
                    <w:r w:rsidRPr="00B27180">
                      <w:rPr>
                        <w:lang w:val="de-DE"/>
                      </w:rPr>
                      <w:t>2515 XP  Den Haag</w:t>
                    </w:r>
                  </w:p>
                  <w:p w14:paraId="097FC09F" w14:textId="77777777" w:rsidR="00BA3DF6" w:rsidRPr="00B27180" w:rsidRDefault="00BD755E">
                    <w:pPr>
                      <w:pStyle w:val="Afzendgegevens"/>
                      <w:rPr>
                        <w:lang w:val="de-DE"/>
                      </w:rPr>
                    </w:pPr>
                    <w:r w:rsidRPr="00B27180">
                      <w:rPr>
                        <w:lang w:val="de-DE"/>
                      </w:rPr>
                      <w:t>Postbus 20901</w:t>
                    </w:r>
                  </w:p>
                  <w:p w14:paraId="050D5A6C" w14:textId="77777777" w:rsidR="00BA3DF6" w:rsidRPr="00B27180" w:rsidRDefault="00BD755E">
                    <w:pPr>
                      <w:pStyle w:val="Afzendgegevens"/>
                      <w:rPr>
                        <w:lang w:val="de-DE"/>
                      </w:rPr>
                    </w:pPr>
                    <w:r w:rsidRPr="00B27180">
                      <w:rPr>
                        <w:lang w:val="de-DE"/>
                      </w:rPr>
                      <w:t>2500 EX Den Haag</w:t>
                    </w:r>
                  </w:p>
                  <w:p w14:paraId="6C529FB9" w14:textId="77777777" w:rsidR="00BA3DF6" w:rsidRPr="00B27180" w:rsidRDefault="00BA3DF6">
                    <w:pPr>
                      <w:pStyle w:val="WitregelW1"/>
                      <w:rPr>
                        <w:lang w:val="de-DE"/>
                      </w:rPr>
                    </w:pPr>
                  </w:p>
                  <w:p w14:paraId="38C668C7" w14:textId="77777777" w:rsidR="00BA3DF6" w:rsidRPr="00B27180" w:rsidRDefault="00BD755E">
                    <w:pPr>
                      <w:pStyle w:val="Afzendgegevens"/>
                      <w:rPr>
                        <w:lang w:val="de-DE"/>
                      </w:rPr>
                    </w:pPr>
                    <w:r w:rsidRPr="00B27180">
                      <w:rPr>
                        <w:lang w:val="de-DE"/>
                      </w:rPr>
                      <w:t>T   070-456 0000</w:t>
                    </w:r>
                  </w:p>
                  <w:p w14:paraId="2EAE7BC7" w14:textId="77777777" w:rsidR="00BA3DF6" w:rsidRDefault="00BD755E">
                    <w:pPr>
                      <w:pStyle w:val="Afzendgegevens"/>
                    </w:pPr>
                    <w:r>
                      <w:t>F   070-456 1111</w:t>
                    </w:r>
                  </w:p>
                  <w:p w14:paraId="7F96DAAF" w14:textId="77777777" w:rsidR="005A7800" w:rsidRDefault="005A7800" w:rsidP="005A7800"/>
                  <w:p w14:paraId="7C634D20" w14:textId="6B17BDAC" w:rsidR="005A7800" w:rsidRPr="005A7800" w:rsidRDefault="005A7800" w:rsidP="005A7800">
                    <w:pPr>
                      <w:spacing w:line="276" w:lineRule="auto"/>
                      <w:rPr>
                        <w:b/>
                        <w:bCs/>
                        <w:sz w:val="13"/>
                        <w:szCs w:val="13"/>
                      </w:rPr>
                    </w:pPr>
                    <w:r w:rsidRPr="005A7800">
                      <w:rPr>
                        <w:b/>
                        <w:bCs/>
                        <w:sz w:val="13"/>
                        <w:szCs w:val="13"/>
                      </w:rPr>
                      <w:t>Kenmerk</w:t>
                    </w:r>
                  </w:p>
                  <w:p w14:paraId="57189857" w14:textId="2F95B889" w:rsidR="005A7800" w:rsidRDefault="005A7800" w:rsidP="005A7800">
                    <w:pPr>
                      <w:spacing w:line="276" w:lineRule="auto"/>
                      <w:rPr>
                        <w:sz w:val="13"/>
                        <w:szCs w:val="13"/>
                      </w:rPr>
                    </w:pPr>
                    <w:r w:rsidRPr="005A7800">
                      <w:rPr>
                        <w:sz w:val="13"/>
                        <w:szCs w:val="13"/>
                      </w:rPr>
                      <w:t>IENW/BSK-2026/97190</w:t>
                    </w:r>
                  </w:p>
                  <w:p w14:paraId="7ABE488C" w14:textId="77777777" w:rsidR="005A7800" w:rsidRDefault="005A7800" w:rsidP="005A7800">
                    <w:pPr>
                      <w:spacing w:line="276" w:lineRule="auto"/>
                      <w:rPr>
                        <w:sz w:val="13"/>
                        <w:szCs w:val="13"/>
                      </w:rPr>
                    </w:pPr>
                  </w:p>
                  <w:p w14:paraId="03D78BAF" w14:textId="3285DF0B" w:rsidR="005A7800" w:rsidRPr="00C25658" w:rsidRDefault="00C25658" w:rsidP="005A7800">
                    <w:pPr>
                      <w:spacing w:line="276" w:lineRule="auto"/>
                      <w:rPr>
                        <w:b/>
                        <w:bCs/>
                        <w:sz w:val="13"/>
                        <w:szCs w:val="13"/>
                      </w:rPr>
                    </w:pPr>
                    <w:r w:rsidRPr="00C25658">
                      <w:rPr>
                        <w:b/>
                        <w:bCs/>
                        <w:sz w:val="13"/>
                        <w:szCs w:val="13"/>
                      </w:rPr>
                      <w:t>Bijlage(n)</w:t>
                    </w:r>
                  </w:p>
                  <w:p w14:paraId="784F1A4F" w14:textId="0DB13247" w:rsidR="00C25658" w:rsidRPr="005A7800" w:rsidRDefault="00C25658" w:rsidP="005A7800">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6BC48E" wp14:editId="2B606B4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F7066C" w14:textId="77777777" w:rsidR="00BA3DF6" w:rsidRDefault="00BD755E">
                          <w:pPr>
                            <w:spacing w:line="240" w:lineRule="auto"/>
                          </w:pPr>
                          <w:r>
                            <w:rPr>
                              <w:noProof/>
                              <w:lang w:val="en-GB" w:eastAsia="en-GB"/>
                            </w:rPr>
                            <w:drawing>
                              <wp:inline distT="0" distB="0" distL="0" distR="0" wp14:anchorId="3F5449FC" wp14:editId="1FA712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6BC48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F7066C" w14:textId="77777777" w:rsidR="00BA3DF6" w:rsidRDefault="00BD755E">
                    <w:pPr>
                      <w:spacing w:line="240" w:lineRule="auto"/>
                    </w:pPr>
                    <w:r>
                      <w:rPr>
                        <w:noProof/>
                        <w:lang w:val="en-GB" w:eastAsia="en-GB"/>
                      </w:rPr>
                      <w:drawing>
                        <wp:inline distT="0" distB="0" distL="0" distR="0" wp14:anchorId="3F5449FC" wp14:editId="1FA712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D016295" wp14:editId="292FC06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D37BF6" w14:textId="77777777" w:rsidR="00BA3DF6" w:rsidRDefault="00BD755E">
                          <w:pPr>
                            <w:spacing w:line="240" w:lineRule="auto"/>
                          </w:pPr>
                          <w:r>
                            <w:rPr>
                              <w:noProof/>
                              <w:lang w:val="en-GB" w:eastAsia="en-GB"/>
                            </w:rPr>
                            <w:drawing>
                              <wp:inline distT="0" distB="0" distL="0" distR="0" wp14:anchorId="67835CCB" wp14:editId="358BC69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01629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6D37BF6" w14:textId="77777777" w:rsidR="00BA3DF6" w:rsidRDefault="00BD755E">
                    <w:pPr>
                      <w:spacing w:line="240" w:lineRule="auto"/>
                    </w:pPr>
                    <w:r>
                      <w:rPr>
                        <w:noProof/>
                        <w:lang w:val="en-GB" w:eastAsia="en-GB"/>
                      </w:rPr>
                      <w:drawing>
                        <wp:inline distT="0" distB="0" distL="0" distR="0" wp14:anchorId="67835CCB" wp14:editId="358BC69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7F4F3D4" wp14:editId="7B3ADFA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72DF85" w14:textId="77777777" w:rsidR="00BA3DF6" w:rsidRDefault="00BD755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F4F3D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72DF85" w14:textId="77777777" w:rsidR="00BA3DF6" w:rsidRDefault="00BD755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A23EF8" wp14:editId="17565FF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6FA502A" w14:textId="77777777" w:rsidR="00BA3DF6" w:rsidRDefault="00BD755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A23EF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6FA502A" w14:textId="77777777" w:rsidR="00BA3DF6" w:rsidRDefault="00BD755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7ACAFEB" wp14:editId="66E5A9C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A3DF6" w14:paraId="4B7064B6" w14:textId="77777777">
                            <w:trPr>
                              <w:trHeight w:val="200"/>
                            </w:trPr>
                            <w:tc>
                              <w:tcPr>
                                <w:tcW w:w="1140" w:type="dxa"/>
                              </w:tcPr>
                              <w:p w14:paraId="346BA02B" w14:textId="77777777" w:rsidR="00BA3DF6" w:rsidRDefault="00BA3DF6"/>
                            </w:tc>
                            <w:tc>
                              <w:tcPr>
                                <w:tcW w:w="5400" w:type="dxa"/>
                              </w:tcPr>
                              <w:p w14:paraId="1FEC6877" w14:textId="77777777" w:rsidR="00BA3DF6" w:rsidRDefault="00BA3DF6"/>
                            </w:tc>
                          </w:tr>
                          <w:tr w:rsidR="00BA3DF6" w14:paraId="0032DD47" w14:textId="77777777">
                            <w:trPr>
                              <w:trHeight w:val="240"/>
                            </w:trPr>
                            <w:tc>
                              <w:tcPr>
                                <w:tcW w:w="1140" w:type="dxa"/>
                              </w:tcPr>
                              <w:p w14:paraId="31D47EE6" w14:textId="77777777" w:rsidR="00BA3DF6" w:rsidRDefault="00BD755E">
                                <w:r>
                                  <w:t>Datum</w:t>
                                </w:r>
                              </w:p>
                            </w:tc>
                            <w:tc>
                              <w:tcPr>
                                <w:tcW w:w="5400" w:type="dxa"/>
                              </w:tcPr>
                              <w:p w14:paraId="4014FCCB" w14:textId="6267DCCC" w:rsidR="00BA3DF6" w:rsidRDefault="00C25658">
                                <w:r>
                                  <w:t>5 juni 2026</w:t>
                                </w:r>
                              </w:p>
                            </w:tc>
                          </w:tr>
                          <w:tr w:rsidR="00BA3DF6" w14:paraId="540B718C" w14:textId="77777777">
                            <w:trPr>
                              <w:trHeight w:val="240"/>
                            </w:trPr>
                            <w:tc>
                              <w:tcPr>
                                <w:tcW w:w="1140" w:type="dxa"/>
                              </w:tcPr>
                              <w:p w14:paraId="3A5FA4FD" w14:textId="77777777" w:rsidR="00BA3DF6" w:rsidRDefault="00BD755E">
                                <w:r>
                                  <w:t>Betreft</w:t>
                                </w:r>
                              </w:p>
                            </w:tc>
                            <w:tc>
                              <w:tcPr>
                                <w:tcW w:w="5400" w:type="dxa"/>
                              </w:tcPr>
                              <w:p w14:paraId="02496099" w14:textId="59B6D2D4" w:rsidR="00BA3DF6" w:rsidRDefault="00BD755E">
                                <w:r>
                                  <w:t>Beleidsappreciatie rondetafel</w:t>
                                </w:r>
                                <w:r w:rsidR="00AA1C8A">
                                  <w:t>gesprek van 17 april 2025 over luchtvaartverdrag</w:t>
                                </w:r>
                                <w:r>
                                  <w:t xml:space="preserve"> EU-ASEAN </w:t>
                                </w:r>
                              </w:p>
                            </w:tc>
                          </w:tr>
                          <w:tr w:rsidR="00BA3DF6" w14:paraId="63551737" w14:textId="77777777">
                            <w:trPr>
                              <w:trHeight w:val="200"/>
                            </w:trPr>
                            <w:tc>
                              <w:tcPr>
                                <w:tcW w:w="1140" w:type="dxa"/>
                              </w:tcPr>
                              <w:p w14:paraId="560FE8E5" w14:textId="77777777" w:rsidR="00BA3DF6" w:rsidRDefault="00BA3DF6"/>
                            </w:tc>
                            <w:tc>
                              <w:tcPr>
                                <w:tcW w:w="5400" w:type="dxa"/>
                              </w:tcPr>
                              <w:p w14:paraId="3B666C4A" w14:textId="77777777" w:rsidR="00BA3DF6" w:rsidRDefault="00BA3DF6"/>
                            </w:tc>
                          </w:tr>
                        </w:tbl>
                        <w:p w14:paraId="52688BFF" w14:textId="77777777" w:rsidR="00BD755E" w:rsidRDefault="00BD755E"/>
                      </w:txbxContent>
                    </wps:txbx>
                    <wps:bodyPr vert="horz" wrap="square" lIns="0" tIns="0" rIns="0" bIns="0" anchor="t" anchorCtr="0"/>
                  </wps:wsp>
                </a:graphicData>
              </a:graphic>
            </wp:anchor>
          </w:drawing>
        </mc:Choice>
        <mc:Fallback>
          <w:pict>
            <v:shape w14:anchorId="67ACAFE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A3DF6" w14:paraId="4B7064B6" w14:textId="77777777">
                      <w:trPr>
                        <w:trHeight w:val="200"/>
                      </w:trPr>
                      <w:tc>
                        <w:tcPr>
                          <w:tcW w:w="1140" w:type="dxa"/>
                        </w:tcPr>
                        <w:p w14:paraId="346BA02B" w14:textId="77777777" w:rsidR="00BA3DF6" w:rsidRDefault="00BA3DF6"/>
                      </w:tc>
                      <w:tc>
                        <w:tcPr>
                          <w:tcW w:w="5400" w:type="dxa"/>
                        </w:tcPr>
                        <w:p w14:paraId="1FEC6877" w14:textId="77777777" w:rsidR="00BA3DF6" w:rsidRDefault="00BA3DF6"/>
                      </w:tc>
                    </w:tr>
                    <w:tr w:rsidR="00BA3DF6" w14:paraId="0032DD47" w14:textId="77777777">
                      <w:trPr>
                        <w:trHeight w:val="240"/>
                      </w:trPr>
                      <w:tc>
                        <w:tcPr>
                          <w:tcW w:w="1140" w:type="dxa"/>
                        </w:tcPr>
                        <w:p w14:paraId="31D47EE6" w14:textId="77777777" w:rsidR="00BA3DF6" w:rsidRDefault="00BD755E">
                          <w:r>
                            <w:t>Datum</w:t>
                          </w:r>
                        </w:p>
                      </w:tc>
                      <w:tc>
                        <w:tcPr>
                          <w:tcW w:w="5400" w:type="dxa"/>
                        </w:tcPr>
                        <w:p w14:paraId="4014FCCB" w14:textId="6267DCCC" w:rsidR="00BA3DF6" w:rsidRDefault="00C25658">
                          <w:r>
                            <w:t>5 juni 2026</w:t>
                          </w:r>
                        </w:p>
                      </w:tc>
                    </w:tr>
                    <w:tr w:rsidR="00BA3DF6" w14:paraId="540B718C" w14:textId="77777777">
                      <w:trPr>
                        <w:trHeight w:val="240"/>
                      </w:trPr>
                      <w:tc>
                        <w:tcPr>
                          <w:tcW w:w="1140" w:type="dxa"/>
                        </w:tcPr>
                        <w:p w14:paraId="3A5FA4FD" w14:textId="77777777" w:rsidR="00BA3DF6" w:rsidRDefault="00BD755E">
                          <w:r>
                            <w:t>Betreft</w:t>
                          </w:r>
                        </w:p>
                      </w:tc>
                      <w:tc>
                        <w:tcPr>
                          <w:tcW w:w="5400" w:type="dxa"/>
                        </w:tcPr>
                        <w:p w14:paraId="02496099" w14:textId="59B6D2D4" w:rsidR="00BA3DF6" w:rsidRDefault="00BD755E">
                          <w:r>
                            <w:t>Beleidsappreciatie rondetafel</w:t>
                          </w:r>
                          <w:r w:rsidR="00AA1C8A">
                            <w:t>gesprek van 17 april 2025 over luchtvaartverdrag</w:t>
                          </w:r>
                          <w:r>
                            <w:t xml:space="preserve"> EU-ASEAN </w:t>
                          </w:r>
                        </w:p>
                      </w:tc>
                    </w:tr>
                    <w:tr w:rsidR="00BA3DF6" w14:paraId="63551737" w14:textId="77777777">
                      <w:trPr>
                        <w:trHeight w:val="200"/>
                      </w:trPr>
                      <w:tc>
                        <w:tcPr>
                          <w:tcW w:w="1140" w:type="dxa"/>
                        </w:tcPr>
                        <w:p w14:paraId="560FE8E5" w14:textId="77777777" w:rsidR="00BA3DF6" w:rsidRDefault="00BA3DF6"/>
                      </w:tc>
                      <w:tc>
                        <w:tcPr>
                          <w:tcW w:w="5400" w:type="dxa"/>
                        </w:tcPr>
                        <w:p w14:paraId="3B666C4A" w14:textId="77777777" w:rsidR="00BA3DF6" w:rsidRDefault="00BA3DF6"/>
                      </w:tc>
                    </w:tr>
                  </w:tbl>
                  <w:p w14:paraId="52688BFF" w14:textId="77777777" w:rsidR="00BD755E" w:rsidRDefault="00BD755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3AE33B9" wp14:editId="1D02F52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7B4B905" w14:textId="77777777" w:rsidR="00BD755E" w:rsidRDefault="00BD755E"/>
                      </w:txbxContent>
                    </wps:txbx>
                    <wps:bodyPr vert="horz" wrap="square" lIns="0" tIns="0" rIns="0" bIns="0" anchor="t" anchorCtr="0"/>
                  </wps:wsp>
                </a:graphicData>
              </a:graphic>
            </wp:anchor>
          </w:drawing>
        </mc:Choice>
        <mc:Fallback>
          <w:pict>
            <v:shape w14:anchorId="13AE33B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7B4B905" w14:textId="77777777" w:rsidR="00BD755E" w:rsidRDefault="00BD755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9EB184"/>
    <w:multiLevelType w:val="multilevel"/>
    <w:tmpl w:val="801957E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D22808"/>
    <w:multiLevelType w:val="multilevel"/>
    <w:tmpl w:val="D93AFB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AF3247"/>
    <w:multiLevelType w:val="multilevel"/>
    <w:tmpl w:val="36843D9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30EB8B"/>
    <w:multiLevelType w:val="multilevel"/>
    <w:tmpl w:val="94F9507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45E586"/>
    <w:multiLevelType w:val="multilevel"/>
    <w:tmpl w:val="9F25376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8B262C"/>
    <w:multiLevelType w:val="multilevel"/>
    <w:tmpl w:val="B8DACF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AB8F53"/>
    <w:multiLevelType w:val="multilevel"/>
    <w:tmpl w:val="4991164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65DB26"/>
    <w:multiLevelType w:val="multilevel"/>
    <w:tmpl w:val="8D455C4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708493"/>
    <w:multiLevelType w:val="multilevel"/>
    <w:tmpl w:val="19077E7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9868DF"/>
    <w:multiLevelType w:val="multilevel"/>
    <w:tmpl w:val="70BC9C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8115FD"/>
    <w:multiLevelType w:val="multilevel"/>
    <w:tmpl w:val="C4C7B30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000AFE"/>
    <w:multiLevelType w:val="multilevel"/>
    <w:tmpl w:val="F96DF2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4045A"/>
    <w:multiLevelType w:val="multilevel"/>
    <w:tmpl w:val="001D74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8905F"/>
    <w:multiLevelType w:val="multilevel"/>
    <w:tmpl w:val="247EFAE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56CB20"/>
    <w:multiLevelType w:val="multilevel"/>
    <w:tmpl w:val="2294A6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36229F"/>
    <w:multiLevelType w:val="multilevel"/>
    <w:tmpl w:val="972B647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25C2BA"/>
    <w:multiLevelType w:val="multilevel"/>
    <w:tmpl w:val="601C9D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62E64E1C"/>
    <w:multiLevelType w:val="multilevel"/>
    <w:tmpl w:val="DFF2D9F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E2ADEA"/>
    <w:multiLevelType w:val="multilevel"/>
    <w:tmpl w:val="50FAE0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53FD12C"/>
    <w:multiLevelType w:val="multilevel"/>
    <w:tmpl w:val="92A7EA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185281"/>
    <w:multiLevelType w:val="multilevel"/>
    <w:tmpl w:val="91B81CA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81CE3A"/>
    <w:multiLevelType w:val="multilevel"/>
    <w:tmpl w:val="2C384EB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8CD909"/>
    <w:multiLevelType w:val="multilevel"/>
    <w:tmpl w:val="6DDBBA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3"/>
  </w:num>
  <w:num w:numId="4">
    <w:abstractNumId w:val="4"/>
  </w:num>
  <w:num w:numId="5">
    <w:abstractNumId w:val="18"/>
  </w:num>
  <w:num w:numId="6">
    <w:abstractNumId w:val="21"/>
  </w:num>
  <w:num w:numId="7">
    <w:abstractNumId w:val="8"/>
  </w:num>
  <w:num w:numId="8">
    <w:abstractNumId w:val="0"/>
  </w:num>
  <w:num w:numId="9">
    <w:abstractNumId w:val="15"/>
  </w:num>
  <w:num w:numId="10">
    <w:abstractNumId w:val="12"/>
  </w:num>
  <w:num w:numId="11">
    <w:abstractNumId w:val="13"/>
  </w:num>
  <w:num w:numId="12">
    <w:abstractNumId w:val="16"/>
  </w:num>
  <w:num w:numId="13">
    <w:abstractNumId w:val="1"/>
  </w:num>
  <w:num w:numId="14">
    <w:abstractNumId w:val="19"/>
  </w:num>
  <w:num w:numId="15">
    <w:abstractNumId w:val="14"/>
  </w:num>
  <w:num w:numId="16">
    <w:abstractNumId w:val="22"/>
  </w:num>
  <w:num w:numId="17">
    <w:abstractNumId w:val="20"/>
  </w:num>
  <w:num w:numId="18">
    <w:abstractNumId w:val="9"/>
  </w:num>
  <w:num w:numId="19">
    <w:abstractNumId w:val="11"/>
  </w:num>
  <w:num w:numId="20">
    <w:abstractNumId w:val="10"/>
  </w:num>
  <w:num w:numId="21">
    <w:abstractNumId w:val="2"/>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80"/>
    <w:rsid w:val="00025C54"/>
    <w:rsid w:val="00034C45"/>
    <w:rsid w:val="0004106E"/>
    <w:rsid w:val="00070FD2"/>
    <w:rsid w:val="0007532C"/>
    <w:rsid w:val="000904D6"/>
    <w:rsid w:val="0009276F"/>
    <w:rsid w:val="00096C40"/>
    <w:rsid w:val="000A0A18"/>
    <w:rsid w:val="000B0C99"/>
    <w:rsid w:val="000C345B"/>
    <w:rsid w:val="00110229"/>
    <w:rsid w:val="00112589"/>
    <w:rsid w:val="0013323B"/>
    <w:rsid w:val="00153935"/>
    <w:rsid w:val="0019479E"/>
    <w:rsid w:val="001958E7"/>
    <w:rsid w:val="001D7A2E"/>
    <w:rsid w:val="001E1CA3"/>
    <w:rsid w:val="00224AAA"/>
    <w:rsid w:val="00240782"/>
    <w:rsid w:val="00281EA5"/>
    <w:rsid w:val="00292CDE"/>
    <w:rsid w:val="002D094A"/>
    <w:rsid w:val="003030BF"/>
    <w:rsid w:val="00320726"/>
    <w:rsid w:val="0035710E"/>
    <w:rsid w:val="00372E4A"/>
    <w:rsid w:val="00375E8B"/>
    <w:rsid w:val="00377D7C"/>
    <w:rsid w:val="003B7BD2"/>
    <w:rsid w:val="003D702F"/>
    <w:rsid w:val="003E0FAF"/>
    <w:rsid w:val="004011FC"/>
    <w:rsid w:val="00415E1B"/>
    <w:rsid w:val="00452CC8"/>
    <w:rsid w:val="00453919"/>
    <w:rsid w:val="004928D6"/>
    <w:rsid w:val="0049589B"/>
    <w:rsid w:val="004A47F7"/>
    <w:rsid w:val="004A61E9"/>
    <w:rsid w:val="004A7A87"/>
    <w:rsid w:val="004E6290"/>
    <w:rsid w:val="004F077A"/>
    <w:rsid w:val="004F4421"/>
    <w:rsid w:val="004F6DEA"/>
    <w:rsid w:val="0050082F"/>
    <w:rsid w:val="00506A58"/>
    <w:rsid w:val="00514B75"/>
    <w:rsid w:val="00537E27"/>
    <w:rsid w:val="00570EDA"/>
    <w:rsid w:val="00585EEE"/>
    <w:rsid w:val="005862E2"/>
    <w:rsid w:val="005A7800"/>
    <w:rsid w:val="005B555D"/>
    <w:rsid w:val="005E20AD"/>
    <w:rsid w:val="00605D1A"/>
    <w:rsid w:val="00614EC5"/>
    <w:rsid w:val="00617567"/>
    <w:rsid w:val="00624725"/>
    <w:rsid w:val="006421BB"/>
    <w:rsid w:val="00644FA0"/>
    <w:rsid w:val="00653B78"/>
    <w:rsid w:val="006808EA"/>
    <w:rsid w:val="00680C45"/>
    <w:rsid w:val="00686AE3"/>
    <w:rsid w:val="00694005"/>
    <w:rsid w:val="006969A2"/>
    <w:rsid w:val="00697280"/>
    <w:rsid w:val="006C1E4B"/>
    <w:rsid w:val="00751827"/>
    <w:rsid w:val="00770E99"/>
    <w:rsid w:val="007B1A51"/>
    <w:rsid w:val="007B1E4B"/>
    <w:rsid w:val="007B3B61"/>
    <w:rsid w:val="007B7002"/>
    <w:rsid w:val="007D3AD1"/>
    <w:rsid w:val="007D4A83"/>
    <w:rsid w:val="007F582A"/>
    <w:rsid w:val="007F79D6"/>
    <w:rsid w:val="008370B8"/>
    <w:rsid w:val="00851FAB"/>
    <w:rsid w:val="008715BA"/>
    <w:rsid w:val="008739E8"/>
    <w:rsid w:val="00876CEB"/>
    <w:rsid w:val="00880595"/>
    <w:rsid w:val="00880E53"/>
    <w:rsid w:val="008B5FA8"/>
    <w:rsid w:val="008C130C"/>
    <w:rsid w:val="008C3708"/>
    <w:rsid w:val="008D1219"/>
    <w:rsid w:val="008F63B1"/>
    <w:rsid w:val="00900EB2"/>
    <w:rsid w:val="009143DF"/>
    <w:rsid w:val="009145C7"/>
    <w:rsid w:val="00957081"/>
    <w:rsid w:val="00996ED8"/>
    <w:rsid w:val="009A2C35"/>
    <w:rsid w:val="009A3FA4"/>
    <w:rsid w:val="009B7C74"/>
    <w:rsid w:val="009D45CC"/>
    <w:rsid w:val="009E13E7"/>
    <w:rsid w:val="009E5B52"/>
    <w:rsid w:val="009F2EF9"/>
    <w:rsid w:val="00A05CA5"/>
    <w:rsid w:val="00A12695"/>
    <w:rsid w:val="00A23AA8"/>
    <w:rsid w:val="00A57FBC"/>
    <w:rsid w:val="00A753B2"/>
    <w:rsid w:val="00AA1C8A"/>
    <w:rsid w:val="00AB6C79"/>
    <w:rsid w:val="00AC3019"/>
    <w:rsid w:val="00B14167"/>
    <w:rsid w:val="00B203A0"/>
    <w:rsid w:val="00B217D0"/>
    <w:rsid w:val="00B22D29"/>
    <w:rsid w:val="00B27180"/>
    <w:rsid w:val="00B37697"/>
    <w:rsid w:val="00B54C60"/>
    <w:rsid w:val="00B64EF4"/>
    <w:rsid w:val="00B65DDE"/>
    <w:rsid w:val="00B96E8D"/>
    <w:rsid w:val="00BA1179"/>
    <w:rsid w:val="00BA3DF6"/>
    <w:rsid w:val="00BA776B"/>
    <w:rsid w:val="00BB1CDA"/>
    <w:rsid w:val="00BD755E"/>
    <w:rsid w:val="00BE37F2"/>
    <w:rsid w:val="00C11139"/>
    <w:rsid w:val="00C23C4B"/>
    <w:rsid w:val="00C25658"/>
    <w:rsid w:val="00C32FD3"/>
    <w:rsid w:val="00C373AB"/>
    <w:rsid w:val="00C6227A"/>
    <w:rsid w:val="00C65EE5"/>
    <w:rsid w:val="00C67E30"/>
    <w:rsid w:val="00C9539F"/>
    <w:rsid w:val="00C96F8B"/>
    <w:rsid w:val="00CB61A9"/>
    <w:rsid w:val="00CC578A"/>
    <w:rsid w:val="00CC5B5A"/>
    <w:rsid w:val="00CC6CB1"/>
    <w:rsid w:val="00CE2624"/>
    <w:rsid w:val="00D471E5"/>
    <w:rsid w:val="00D54631"/>
    <w:rsid w:val="00DB4358"/>
    <w:rsid w:val="00DC34BD"/>
    <w:rsid w:val="00DD7157"/>
    <w:rsid w:val="00E318AD"/>
    <w:rsid w:val="00E47870"/>
    <w:rsid w:val="00E547B6"/>
    <w:rsid w:val="00E85059"/>
    <w:rsid w:val="00EC4003"/>
    <w:rsid w:val="00EE0073"/>
    <w:rsid w:val="00EF0581"/>
    <w:rsid w:val="00F11B29"/>
    <w:rsid w:val="00F13B1A"/>
    <w:rsid w:val="00F31869"/>
    <w:rsid w:val="00F4027E"/>
    <w:rsid w:val="00F450FF"/>
    <w:rsid w:val="00F53AD6"/>
    <w:rsid w:val="00F800B5"/>
    <w:rsid w:val="00F954B8"/>
    <w:rsid w:val="00FA29FC"/>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E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27180"/>
    <w:pPr>
      <w:tabs>
        <w:tab w:val="center" w:pos="4536"/>
        <w:tab w:val="right" w:pos="9072"/>
      </w:tabs>
      <w:spacing w:line="240" w:lineRule="auto"/>
    </w:pPr>
  </w:style>
  <w:style w:type="character" w:customStyle="1" w:styleId="HeaderChar">
    <w:name w:val="Header Char"/>
    <w:basedOn w:val="DefaultParagraphFont"/>
    <w:link w:val="Header"/>
    <w:uiPriority w:val="99"/>
    <w:rsid w:val="00B27180"/>
    <w:rPr>
      <w:rFonts w:ascii="Verdana" w:hAnsi="Verdana"/>
      <w:color w:val="000000"/>
      <w:sz w:val="18"/>
      <w:szCs w:val="18"/>
    </w:rPr>
  </w:style>
  <w:style w:type="paragraph" w:styleId="Footer">
    <w:name w:val="footer"/>
    <w:basedOn w:val="Normal"/>
    <w:link w:val="FooterChar"/>
    <w:uiPriority w:val="99"/>
    <w:unhideWhenUsed/>
    <w:rsid w:val="00B27180"/>
    <w:pPr>
      <w:tabs>
        <w:tab w:val="center" w:pos="4536"/>
        <w:tab w:val="right" w:pos="9072"/>
      </w:tabs>
      <w:spacing w:line="240" w:lineRule="auto"/>
    </w:pPr>
  </w:style>
  <w:style w:type="character" w:customStyle="1" w:styleId="FooterChar">
    <w:name w:val="Footer Char"/>
    <w:basedOn w:val="DefaultParagraphFont"/>
    <w:link w:val="Footer"/>
    <w:uiPriority w:val="99"/>
    <w:rsid w:val="00B27180"/>
    <w:rPr>
      <w:rFonts w:ascii="Verdana" w:hAnsi="Verdana"/>
      <w:color w:val="000000"/>
      <w:sz w:val="18"/>
      <w:szCs w:val="18"/>
    </w:rPr>
  </w:style>
  <w:style w:type="character" w:styleId="CommentReference">
    <w:name w:val="annotation reference"/>
    <w:basedOn w:val="DefaultParagraphFont"/>
    <w:uiPriority w:val="99"/>
    <w:semiHidden/>
    <w:unhideWhenUsed/>
    <w:rsid w:val="00B27180"/>
    <w:rPr>
      <w:sz w:val="16"/>
      <w:szCs w:val="16"/>
    </w:rPr>
  </w:style>
  <w:style w:type="paragraph" w:styleId="CommentText">
    <w:name w:val="annotation text"/>
    <w:basedOn w:val="Normal"/>
    <w:link w:val="CommentTextChar"/>
    <w:uiPriority w:val="99"/>
    <w:unhideWhenUsed/>
    <w:rsid w:val="00B27180"/>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27180"/>
    <w:rPr>
      <w:rFonts w:asciiTheme="minorHAnsi" w:eastAsiaTheme="minorHAnsi" w:hAnsiTheme="minorHAnsi" w:cstheme="minorBidi"/>
      <w:lang w:eastAsia="en-US"/>
    </w:rPr>
  </w:style>
  <w:style w:type="paragraph" w:styleId="Revision">
    <w:name w:val="Revision"/>
    <w:hidden/>
    <w:uiPriority w:val="99"/>
    <w:semiHidden/>
    <w:rsid w:val="0035710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9276F"/>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9276F"/>
    <w:rPr>
      <w:rFonts w:ascii="Verdana" w:eastAsiaTheme="minorHAnsi" w:hAnsi="Verdana" w:cstheme="minorBidi"/>
      <w:b/>
      <w:bCs/>
      <w:color w:val="000000"/>
      <w:lang w:eastAsia="en-US"/>
    </w:rPr>
  </w:style>
  <w:style w:type="paragraph" w:styleId="FootnoteText">
    <w:name w:val="footnote text"/>
    <w:basedOn w:val="Normal"/>
    <w:link w:val="FootnoteTextChar"/>
    <w:uiPriority w:val="99"/>
    <w:semiHidden/>
    <w:unhideWhenUsed/>
    <w:rsid w:val="008B5FA8"/>
    <w:pPr>
      <w:spacing w:line="240" w:lineRule="auto"/>
    </w:pPr>
    <w:rPr>
      <w:sz w:val="20"/>
      <w:szCs w:val="20"/>
    </w:rPr>
  </w:style>
  <w:style w:type="character" w:customStyle="1" w:styleId="FootnoteTextChar">
    <w:name w:val="Footnote Text Char"/>
    <w:basedOn w:val="DefaultParagraphFont"/>
    <w:link w:val="FootnoteText"/>
    <w:uiPriority w:val="99"/>
    <w:semiHidden/>
    <w:rsid w:val="008B5FA8"/>
    <w:rPr>
      <w:rFonts w:ascii="Verdana" w:hAnsi="Verdana"/>
      <w:color w:val="000000"/>
    </w:rPr>
  </w:style>
  <w:style w:type="character" w:styleId="FootnoteReference">
    <w:name w:val="footnote reference"/>
    <w:basedOn w:val="DefaultParagraphFont"/>
    <w:uiPriority w:val="99"/>
    <w:semiHidden/>
    <w:unhideWhenUsed/>
    <w:rsid w:val="008B5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3538">
      <w:bodyDiv w:val="1"/>
      <w:marLeft w:val="0"/>
      <w:marRight w:val="0"/>
      <w:marTop w:val="0"/>
      <w:marBottom w:val="0"/>
      <w:divBdr>
        <w:top w:val="none" w:sz="0" w:space="0" w:color="auto"/>
        <w:left w:val="none" w:sz="0" w:space="0" w:color="auto"/>
        <w:bottom w:val="none" w:sz="0" w:space="0" w:color="auto"/>
        <w:right w:val="none" w:sz="0" w:space="0" w:color="auto"/>
      </w:divBdr>
    </w:div>
    <w:div w:id="1946573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3193</ap:Words>
  <ap:Characters>18203</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Brief aan Parlement - Beleidsappreciatie rondetafel EU-ASEAN 17 april 2025</vt:lpstr>
    </vt:vector>
  </ap:TitlesOfParts>
  <ap:LinksUpToDate>false</ap:LinksUpToDate>
  <ap:CharactersWithSpaces>21354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2026-06-05T14:14:00.0000000Z</dcterms:created>
  <dcterms:modified xsi:type="dcterms:W3CDTF">2026-06-05T14:14:00.0000000Z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Beleidsappreciatie rondetafel EU-ASEAN 17 april 2025</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A.P. Heijstek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