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page" w:tblpX="2460" w:tblpY="1637"/>
        <w:tblW w:w="6018" w:type="dxa"/>
        <w:tblLayout w:type="fixed"/>
        <w:tblCellMar>
          <w:left w:w="0" w:type="dxa"/>
          <w:right w:w="0" w:type="dxa"/>
        </w:tblCellMar>
        <w:tblLook w:val="0000" w:firstRow="0" w:lastRow="0" w:firstColumn="0" w:lastColumn="0" w:noHBand="0" w:noVBand="0"/>
      </w:tblPr>
      <w:tblGrid>
        <w:gridCol w:w="6018"/>
      </w:tblGrid>
      <w:tr w:rsidR="005836BF" w14:paraId="6175DDB9" w14:textId="77777777">
        <w:trPr>
          <w:trHeight w:val="1698"/>
        </w:trPr>
        <w:tc>
          <w:tcPr>
            <w:tcW w:w="6018" w:type="dxa"/>
            <w:shd w:val="clear" w:color="auto" w:fill="auto"/>
          </w:tcPr>
          <w:p w:rsidR="005836BF" w:rsidRDefault="005836BF" w14:paraId="2241F210" w14:textId="7D76C4DC">
            <w:pPr>
              <w:jc w:val="both"/>
              <w:rPr>
                <w:rStyle w:val="Huisstijl-Rubricering"/>
                <w:smallCaps w:val="0"/>
              </w:rPr>
            </w:pPr>
          </w:p>
          <w:p w:rsidR="005836BF" w:rsidRDefault="005836BF" w14:paraId="56F015A5" w14:textId="77777777">
            <w:pPr>
              <w:spacing w:line="180" w:lineRule="atLeast"/>
              <w:jc w:val="both"/>
              <w:rPr>
                <w:rStyle w:val="Huisstijl-Rubricering"/>
                <w:smallCaps w:val="0"/>
              </w:rPr>
            </w:pPr>
          </w:p>
          <w:p w:rsidR="005836BF" w:rsidRDefault="00CE2D7C" w14:paraId="3A4E1B30" w14:textId="46638F73">
            <w:pPr>
              <w:rPr>
                <w:rFonts w:cs="Arial"/>
                <w:b/>
                <w:sz w:val="32"/>
                <w:szCs w:val="40"/>
              </w:rPr>
            </w:pPr>
            <w:r>
              <w:rPr>
                <w:rFonts w:cs="Arial"/>
                <w:b/>
                <w:sz w:val="32"/>
                <w:szCs w:val="32"/>
              </w:rPr>
              <w:t xml:space="preserve">Plan van Aanpak </w:t>
            </w:r>
            <w:r w:rsidR="005511E4">
              <w:rPr>
                <w:rFonts w:cs="Arial"/>
                <w:b/>
                <w:sz w:val="32"/>
                <w:szCs w:val="32"/>
              </w:rPr>
              <w:t xml:space="preserve">Openstaande </w:t>
            </w:r>
            <w:r>
              <w:rPr>
                <w:rFonts w:cs="Arial"/>
                <w:b/>
                <w:sz w:val="32"/>
                <w:szCs w:val="32"/>
              </w:rPr>
              <w:t xml:space="preserve">Asielaanvragen </w:t>
            </w:r>
            <w:r w:rsidR="00DC465F">
              <w:rPr>
                <w:rFonts w:cs="Arial"/>
                <w:b/>
                <w:sz w:val="32"/>
                <w:szCs w:val="32"/>
              </w:rPr>
              <w:t xml:space="preserve">van </w:t>
            </w:r>
            <w:r w:rsidRPr="00DC465F" w:rsidR="00DC465F">
              <w:rPr>
                <w:rFonts w:cs="Arial"/>
                <w:b/>
                <w:bCs/>
                <w:sz w:val="32"/>
                <w:szCs w:val="32"/>
              </w:rPr>
              <w:t>vóór</w:t>
            </w:r>
            <w:r>
              <w:rPr>
                <w:rFonts w:cs="Arial"/>
                <w:b/>
                <w:sz w:val="32"/>
                <w:szCs w:val="32"/>
              </w:rPr>
              <w:t xml:space="preserve"> 12 juni 2026</w:t>
            </w:r>
          </w:p>
        </w:tc>
      </w:tr>
      <w:tr w:rsidR="005836BF" w14:paraId="6C236097" w14:textId="77777777">
        <w:trPr>
          <w:trHeight w:val="231"/>
        </w:trPr>
        <w:tc>
          <w:tcPr>
            <w:tcW w:w="6018" w:type="dxa"/>
            <w:shd w:val="clear" w:color="auto" w:fill="auto"/>
          </w:tcPr>
          <w:p w:rsidR="005836BF" w:rsidRDefault="005836BF" w14:paraId="01C7E185" w14:textId="77777777">
            <w:pPr>
              <w:jc w:val="both"/>
            </w:pPr>
          </w:p>
        </w:tc>
      </w:tr>
      <w:tr w:rsidR="005836BF" w14:paraId="61A4DDB6" w14:textId="77777777">
        <w:trPr>
          <w:trHeight w:val="462"/>
        </w:trPr>
        <w:tc>
          <w:tcPr>
            <w:tcW w:w="6018" w:type="dxa"/>
            <w:shd w:val="clear" w:color="auto" w:fill="auto"/>
          </w:tcPr>
          <w:p w:rsidR="005836BF" w:rsidRDefault="005836BF" w14:paraId="243D6052" w14:textId="77777777">
            <w:pPr>
              <w:jc w:val="both"/>
              <w:rPr>
                <w:sz w:val="20"/>
              </w:rPr>
            </w:pPr>
          </w:p>
        </w:tc>
      </w:tr>
    </w:tbl>
    <w:p w:rsidR="005836BF" w:rsidRDefault="005836BF" w14:paraId="0CDA8A9A" w14:textId="1D1BE196">
      <w:pPr>
        <w:pStyle w:val="Kopzondernummering"/>
        <w:jc w:val="both"/>
        <w:rPr>
          <w:sz w:val="28"/>
        </w:rPr>
      </w:pPr>
    </w:p>
    <w:p w:rsidR="005836BF" w:rsidRDefault="005836BF" w14:paraId="3703F69C" w14:textId="77777777">
      <w:pPr>
        <w:pStyle w:val="Kopzondernummering"/>
        <w:jc w:val="both"/>
        <w:rPr>
          <w:sz w:val="28"/>
        </w:rPr>
      </w:pPr>
    </w:p>
    <w:p w:rsidR="005836BF" w:rsidRDefault="005836BF" w14:paraId="2E188F25" w14:textId="77777777">
      <w:pPr>
        <w:pStyle w:val="Kopzondernummering"/>
        <w:jc w:val="both"/>
        <w:rPr>
          <w:sz w:val="28"/>
        </w:rPr>
      </w:pPr>
    </w:p>
    <w:p w:rsidR="005836BF" w:rsidRDefault="005836BF" w14:paraId="7F385B6D" w14:textId="77777777">
      <w:pPr>
        <w:pStyle w:val="Kopzondernummering"/>
        <w:jc w:val="both"/>
        <w:rPr>
          <w:sz w:val="28"/>
        </w:rPr>
      </w:pPr>
    </w:p>
    <w:p w:rsidR="005836BF" w:rsidRDefault="005836BF" w14:paraId="30184E66" w14:textId="77777777">
      <w:pPr>
        <w:pStyle w:val="Kopzondernummering"/>
        <w:jc w:val="both"/>
        <w:rPr>
          <w:sz w:val="28"/>
        </w:rPr>
      </w:pPr>
    </w:p>
    <w:p w:rsidR="005836BF" w:rsidRDefault="005836BF" w14:paraId="2F8464D0" w14:textId="77777777">
      <w:pPr>
        <w:pStyle w:val="Kopzondernummering"/>
        <w:jc w:val="both"/>
        <w:rPr>
          <w:sz w:val="28"/>
        </w:rPr>
      </w:pPr>
    </w:p>
    <w:p w:rsidR="005836BF" w:rsidRDefault="005836BF" w14:paraId="051C5D87" w14:textId="1C18E084">
      <w:pPr>
        <w:pStyle w:val="Kopzondernummering"/>
        <w:jc w:val="both"/>
        <w:rPr>
          <w:sz w:val="28"/>
        </w:rPr>
      </w:pPr>
    </w:p>
    <w:p w:rsidR="005836BF" w:rsidRDefault="005836BF" w14:paraId="2C3CAEFA" w14:textId="77777777">
      <w:pPr>
        <w:jc w:val="both"/>
        <w:rPr>
          <w:sz w:val="20"/>
        </w:rPr>
      </w:pPr>
    </w:p>
    <w:p w:rsidR="005836BF" w:rsidRDefault="005836BF" w14:paraId="2F1189BC" w14:textId="41F7AF2C">
      <w:pPr>
        <w:jc w:val="both"/>
        <w:rPr>
          <w:sz w:val="20"/>
        </w:rPr>
      </w:pPr>
    </w:p>
    <w:tbl>
      <w:tblPr>
        <w:tblW w:w="5640" w:type="dxa"/>
        <w:tblInd w:w="575" w:type="dxa"/>
        <w:tblLayout w:type="fixed"/>
        <w:tblCellMar>
          <w:left w:w="0" w:type="dxa"/>
          <w:right w:w="0" w:type="dxa"/>
        </w:tblCellMar>
        <w:tblLook w:val="0000" w:firstRow="0" w:lastRow="0" w:firstColumn="0" w:lastColumn="0" w:noHBand="0" w:noVBand="0"/>
      </w:tblPr>
      <w:tblGrid>
        <w:gridCol w:w="1152"/>
        <w:gridCol w:w="4488"/>
      </w:tblGrid>
      <w:tr w:rsidR="005836BF" w14:paraId="09F1121F" w14:textId="77777777">
        <w:trPr>
          <w:trHeight w:val="240"/>
        </w:trPr>
        <w:tc>
          <w:tcPr>
            <w:tcW w:w="1152" w:type="dxa"/>
            <w:shd w:val="clear" w:color="auto" w:fill="auto"/>
          </w:tcPr>
          <w:p w:rsidR="005836BF" w:rsidRDefault="005836BF" w14:paraId="29600216" w14:textId="77777777">
            <w:pPr>
              <w:jc w:val="both"/>
              <w:rPr>
                <w:sz w:val="20"/>
              </w:rPr>
            </w:pPr>
          </w:p>
          <w:p w:rsidRPr="00CE2D7C" w:rsidR="005836BF" w:rsidRDefault="00F23CB1" w14:paraId="633CBD36" w14:textId="77777777">
            <w:pPr>
              <w:jc w:val="both"/>
              <w:rPr>
                <w:b/>
                <w:bCs/>
                <w:sz w:val="20"/>
              </w:rPr>
            </w:pPr>
            <w:r w:rsidRPr="00CE2D7C">
              <w:rPr>
                <w:b/>
                <w:bCs/>
                <w:sz w:val="20"/>
                <w:szCs w:val="20"/>
              </w:rPr>
              <w:t>Datum:</w:t>
            </w:r>
          </w:p>
        </w:tc>
        <w:tc>
          <w:tcPr>
            <w:tcW w:w="4488" w:type="dxa"/>
            <w:shd w:val="clear" w:color="auto" w:fill="auto"/>
          </w:tcPr>
          <w:p w:rsidR="005836BF" w:rsidRDefault="005836BF" w14:paraId="2C33BBCD" w14:textId="79FE069E">
            <w:pPr>
              <w:jc w:val="both"/>
              <w:rPr>
                <w:sz w:val="20"/>
              </w:rPr>
            </w:pPr>
          </w:p>
          <w:p w:rsidR="005836BF" w:rsidRDefault="005836BF" w14:paraId="57B872A0" w14:textId="77777777">
            <w:pPr>
              <w:jc w:val="both"/>
              <w:rPr>
                <w:sz w:val="20"/>
              </w:rPr>
            </w:pPr>
          </w:p>
          <w:p w:rsidR="005836BF" w:rsidRDefault="00752376" w14:paraId="5A124515" w14:textId="4AF2D9BE">
            <w:pPr>
              <w:tabs>
                <w:tab w:val="left" w:pos="740"/>
              </w:tabs>
              <w:jc w:val="both"/>
              <w:rPr>
                <w:rFonts w:cs="Verdana"/>
                <w:sz w:val="20"/>
                <w:szCs w:val="18"/>
              </w:rPr>
            </w:pPr>
            <w:r>
              <w:rPr>
                <w:rFonts w:cs="Verdana"/>
                <w:sz w:val="20"/>
                <w:szCs w:val="20"/>
              </w:rPr>
              <w:t>Mei</w:t>
            </w:r>
            <w:r w:rsidR="00F23CB1">
              <w:rPr>
                <w:rFonts w:cs="Verdana"/>
                <w:sz w:val="20"/>
                <w:szCs w:val="20"/>
              </w:rPr>
              <w:t xml:space="preserve"> - 202</w:t>
            </w:r>
            <w:r>
              <w:rPr>
                <w:rFonts w:cs="Verdana"/>
                <w:sz w:val="20"/>
                <w:szCs w:val="20"/>
              </w:rPr>
              <w:t>6</w:t>
            </w:r>
          </w:p>
        </w:tc>
      </w:tr>
      <w:tr w:rsidR="005836BF" w14:paraId="58373268" w14:textId="77777777">
        <w:trPr>
          <w:trHeight w:val="240"/>
        </w:trPr>
        <w:tc>
          <w:tcPr>
            <w:tcW w:w="1152" w:type="dxa"/>
            <w:shd w:val="clear" w:color="auto" w:fill="auto"/>
          </w:tcPr>
          <w:p w:rsidR="005836BF" w:rsidRDefault="005836BF" w14:paraId="0050DA6D" w14:textId="77777777">
            <w:pPr>
              <w:jc w:val="both"/>
              <w:rPr>
                <w:sz w:val="20"/>
              </w:rPr>
            </w:pPr>
          </w:p>
        </w:tc>
        <w:tc>
          <w:tcPr>
            <w:tcW w:w="4488" w:type="dxa"/>
            <w:shd w:val="clear" w:color="auto" w:fill="auto"/>
          </w:tcPr>
          <w:p w:rsidR="005836BF" w:rsidRDefault="005836BF" w14:paraId="38D82CB0" w14:textId="77777777">
            <w:pPr>
              <w:tabs>
                <w:tab w:val="left" w:pos="740"/>
              </w:tabs>
              <w:jc w:val="both"/>
              <w:rPr>
                <w:rFonts w:cs="Verdana"/>
                <w:sz w:val="20"/>
                <w:szCs w:val="18"/>
              </w:rPr>
            </w:pPr>
          </w:p>
        </w:tc>
      </w:tr>
      <w:tr w:rsidR="005836BF" w14:paraId="78AF125E" w14:textId="77777777">
        <w:trPr>
          <w:trHeight w:val="240"/>
        </w:trPr>
        <w:tc>
          <w:tcPr>
            <w:tcW w:w="1152" w:type="dxa"/>
            <w:shd w:val="clear" w:color="auto" w:fill="auto"/>
          </w:tcPr>
          <w:p w:rsidRPr="00CE2D7C" w:rsidR="005836BF" w:rsidRDefault="00F23CB1" w14:paraId="5895992B" w14:textId="77777777">
            <w:pPr>
              <w:jc w:val="both"/>
              <w:rPr>
                <w:b/>
                <w:bCs/>
                <w:sz w:val="20"/>
              </w:rPr>
            </w:pPr>
            <w:r w:rsidRPr="00CE2D7C">
              <w:rPr>
                <w:b/>
                <w:bCs/>
                <w:sz w:val="20"/>
                <w:szCs w:val="20"/>
              </w:rPr>
              <w:t>Status:</w:t>
            </w:r>
          </w:p>
        </w:tc>
        <w:tc>
          <w:tcPr>
            <w:tcW w:w="4488" w:type="dxa"/>
            <w:shd w:val="clear" w:color="auto" w:fill="auto"/>
          </w:tcPr>
          <w:p w:rsidR="005836BF" w:rsidRDefault="00B85EE9" w14:paraId="7E21FB35" w14:textId="57E08A4A">
            <w:pPr>
              <w:jc w:val="both"/>
              <w:rPr>
                <w:rFonts w:cs="Verdana"/>
                <w:sz w:val="20"/>
                <w:szCs w:val="18"/>
              </w:rPr>
            </w:pPr>
            <w:r>
              <w:rPr>
                <w:rFonts w:cs="Verdana"/>
                <w:sz w:val="20"/>
                <w:szCs w:val="20"/>
              </w:rPr>
              <w:t xml:space="preserve">Definitief </w:t>
            </w:r>
          </w:p>
        </w:tc>
      </w:tr>
    </w:tbl>
    <w:p w:rsidR="005836BF" w:rsidRDefault="005836BF" w14:paraId="6F609290" w14:textId="77777777">
      <w:pPr>
        <w:pStyle w:val="Kopzondernummering"/>
        <w:jc w:val="both"/>
      </w:pPr>
    </w:p>
    <w:p w:rsidR="005836BF" w:rsidRDefault="005836BF" w14:paraId="66E3863C" w14:textId="77777777">
      <w:pPr>
        <w:pStyle w:val="Kopzondernummering"/>
        <w:ind w:left="720"/>
        <w:jc w:val="both"/>
      </w:pPr>
    </w:p>
    <w:p w:rsidR="005836BF" w:rsidRDefault="005836BF" w14:paraId="41A1A99A" w14:textId="77777777">
      <w:pPr>
        <w:pStyle w:val="Kopzondernummering"/>
        <w:jc w:val="both"/>
      </w:pPr>
    </w:p>
    <w:p w:rsidR="005836BF" w:rsidRDefault="005836BF" w14:paraId="71F451CF" w14:textId="77777777">
      <w:pPr>
        <w:pStyle w:val="Kopzondernummering"/>
        <w:jc w:val="both"/>
      </w:pPr>
    </w:p>
    <w:p w:rsidR="005836BF" w:rsidRDefault="005836BF" w14:paraId="44F35C5F" w14:textId="77777777">
      <w:pPr>
        <w:pStyle w:val="Kopzondernummering"/>
        <w:jc w:val="both"/>
      </w:pPr>
    </w:p>
    <w:p w:rsidR="005836BF" w:rsidRDefault="005836BF" w14:paraId="472B9130" w14:textId="77777777">
      <w:pPr>
        <w:pStyle w:val="Kopzondernummering"/>
        <w:jc w:val="both"/>
      </w:pPr>
    </w:p>
    <w:p w:rsidR="005836BF" w:rsidRDefault="005836BF" w14:paraId="6D6DAEC2" w14:textId="77777777">
      <w:pPr>
        <w:pStyle w:val="Kopzondernummering"/>
        <w:jc w:val="both"/>
      </w:pPr>
    </w:p>
    <w:p w:rsidR="005836BF" w:rsidRDefault="005836BF" w14:paraId="23D63DE4" w14:textId="77777777">
      <w:pPr>
        <w:pStyle w:val="Kopzondernummering"/>
        <w:jc w:val="both"/>
      </w:pPr>
    </w:p>
    <w:p w:rsidR="005836BF" w:rsidRDefault="005836BF" w14:paraId="6D111F94" w14:textId="77777777">
      <w:pPr>
        <w:pStyle w:val="Kopzondernummering"/>
        <w:jc w:val="both"/>
      </w:pPr>
    </w:p>
    <w:p w:rsidR="005836BF" w:rsidRDefault="005836BF" w14:paraId="44F5631B" w14:textId="77777777">
      <w:pPr>
        <w:pStyle w:val="Kopzondernummering"/>
        <w:jc w:val="both"/>
      </w:pPr>
    </w:p>
    <w:p w:rsidR="005836BF" w:rsidRDefault="002B5ABE" w14:paraId="14E7E3D8" w14:textId="77777777">
      <w:pPr>
        <w:pStyle w:val="Kopzondernummering"/>
        <w:jc w:val="both"/>
      </w:pPr>
      <w:r>
        <w:rPr>
          <w:rFonts w:cs="Verdana-Bold"/>
          <w:b/>
          <w:bCs/>
          <w:smallCaps/>
          <w:color w:val="FFFFFF"/>
        </w:rPr>
        <w:pict w14:anchorId="16EABCD9">
          <v:rect id="Rechthoek 7" style="position:absolute;left:0;text-align:left;margin-left:26116.8pt;margin-top:0;width:595.3pt;height:420.9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spid="_x0000_s2050" fillcolor="#365f91 [2404]" stroked="f" strokeweight="2pt">
            <w10:wrap anchorx="page" anchory="page"/>
          </v:rect>
        </w:pict>
      </w:r>
    </w:p>
    <w:p w:rsidR="005836BF" w:rsidRDefault="005836BF" w14:paraId="1F1C9190" w14:textId="77777777">
      <w:pPr>
        <w:pStyle w:val="Kopzondernummering"/>
        <w:jc w:val="both"/>
      </w:pPr>
    </w:p>
    <w:p w:rsidR="005836BF" w:rsidRDefault="005836BF" w14:paraId="26090EB7" w14:textId="77777777">
      <w:pPr>
        <w:pStyle w:val="Kopzondernummering"/>
        <w:jc w:val="both"/>
      </w:pPr>
    </w:p>
    <w:p w:rsidR="005836BF" w:rsidRDefault="005836BF" w14:paraId="44864E4F" w14:textId="77777777">
      <w:pPr>
        <w:pStyle w:val="Kopzondernummering"/>
        <w:jc w:val="both"/>
      </w:pPr>
    </w:p>
    <w:p w:rsidR="005836BF" w:rsidRDefault="005836BF" w14:paraId="6F76FFA4" w14:textId="77777777">
      <w:pPr>
        <w:pStyle w:val="Kopzondernummering"/>
        <w:jc w:val="both"/>
      </w:pPr>
    </w:p>
    <w:p w:rsidR="005836BF" w:rsidRDefault="005836BF" w14:paraId="433A39B4" w14:textId="77777777">
      <w:pPr>
        <w:pStyle w:val="Kopzondernummering"/>
        <w:jc w:val="both"/>
      </w:pPr>
    </w:p>
    <w:p w:rsidR="005836BF" w:rsidRDefault="005836BF" w14:paraId="2BC48370" w14:textId="77777777">
      <w:pPr>
        <w:pStyle w:val="Kopzondernummering"/>
        <w:jc w:val="both"/>
      </w:pPr>
    </w:p>
    <w:p w:rsidR="005836BF" w:rsidRDefault="005836BF" w14:paraId="2CF31962" w14:textId="77777777">
      <w:pPr>
        <w:pStyle w:val="Kopzondernummering"/>
        <w:jc w:val="both"/>
      </w:pPr>
    </w:p>
    <w:p w:rsidR="005836BF" w:rsidRDefault="005836BF" w14:paraId="05219933" w14:textId="77777777">
      <w:pPr>
        <w:pStyle w:val="Kopzondernummering"/>
        <w:jc w:val="both"/>
      </w:pPr>
    </w:p>
    <w:p w:rsidR="005836BF" w:rsidRDefault="005836BF" w14:paraId="74FEEFC6" w14:textId="77777777">
      <w:pPr>
        <w:pStyle w:val="Kopzondernummering"/>
        <w:jc w:val="both"/>
      </w:pPr>
    </w:p>
    <w:p w:rsidR="005836BF" w:rsidRDefault="005836BF" w14:paraId="73416C3F" w14:textId="77777777">
      <w:pPr>
        <w:pStyle w:val="Kopzondernummering"/>
        <w:jc w:val="both"/>
      </w:pPr>
    </w:p>
    <w:p w:rsidR="005836BF" w:rsidRDefault="005836BF" w14:paraId="2FE2ADB1" w14:textId="77777777">
      <w:pPr>
        <w:pStyle w:val="Kopzondernummering"/>
        <w:jc w:val="both"/>
      </w:pPr>
    </w:p>
    <w:p w:rsidR="005836BF" w:rsidRDefault="005836BF" w14:paraId="262E1C12" w14:textId="77777777">
      <w:pPr>
        <w:pStyle w:val="Kopzondernummering"/>
        <w:jc w:val="both"/>
      </w:pPr>
    </w:p>
    <w:p w:rsidR="005836BF" w:rsidRDefault="005836BF" w14:paraId="51F79DED" w14:textId="77777777">
      <w:pPr>
        <w:pStyle w:val="Kopzondernummering"/>
        <w:jc w:val="both"/>
      </w:pPr>
    </w:p>
    <w:p w:rsidR="005836BF" w:rsidRDefault="005836BF" w14:paraId="23728090" w14:textId="77777777">
      <w:pPr>
        <w:pStyle w:val="Kopzondernummering"/>
        <w:jc w:val="both"/>
      </w:pPr>
    </w:p>
    <w:p w:rsidR="005836BF" w:rsidRDefault="00F23CB1" w14:paraId="7ABAEAA0" w14:textId="77777777">
      <w:pPr>
        <w:pStyle w:val="Kopzondernummering"/>
        <w:tabs>
          <w:tab w:val="left" w:pos="7156"/>
        </w:tabs>
        <w:jc w:val="both"/>
      </w:pPr>
      <w:r>
        <w:tab/>
      </w:r>
    </w:p>
    <w:p w:rsidR="005836BF" w:rsidRDefault="005836BF" w14:paraId="6FC805EA" w14:textId="77777777">
      <w:pPr>
        <w:pStyle w:val="Kopzondernummering"/>
        <w:jc w:val="both"/>
      </w:pPr>
    </w:p>
    <w:p w:rsidR="005836BF" w:rsidRDefault="005836BF" w14:paraId="6797E3B5" w14:textId="77777777">
      <w:pPr>
        <w:pStyle w:val="Kopzondernummering"/>
        <w:jc w:val="both"/>
      </w:pPr>
    </w:p>
    <w:p w:rsidR="005836BF" w:rsidRDefault="005836BF" w14:paraId="490780C7" w14:textId="77777777">
      <w:pPr>
        <w:pStyle w:val="Kopzondernummering"/>
        <w:jc w:val="both"/>
      </w:pPr>
    </w:p>
    <w:p w:rsidR="005836BF" w:rsidRDefault="00F23CB1" w14:paraId="3FE42CF5" w14:textId="77777777">
      <w:pPr>
        <w:pStyle w:val="Kopzondernummering"/>
        <w:jc w:val="both"/>
      </w:pPr>
      <w:r>
        <w:lastRenderedPageBreak/>
        <w:t>Colofon</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gridCol w:w="4882"/>
      </w:tblGrid>
      <w:tr w:rsidR="005836BF" w14:paraId="746A1A7E" w14:textId="77777777">
        <w:tc>
          <w:tcPr>
            <w:tcW w:w="2835" w:type="dxa"/>
            <w:shd w:val="clear" w:color="auto" w:fill="auto"/>
          </w:tcPr>
          <w:p w:rsidR="005836BF" w:rsidRDefault="00F23CB1" w14:paraId="2F9D849A" w14:textId="77777777">
            <w:pPr>
              <w:jc w:val="both"/>
              <w:rPr>
                <w:sz w:val="20"/>
              </w:rPr>
            </w:pPr>
            <w:r>
              <w:rPr>
                <w:sz w:val="20"/>
                <w:szCs w:val="20"/>
              </w:rPr>
              <w:t>Titel</w:t>
            </w:r>
          </w:p>
        </w:tc>
        <w:tc>
          <w:tcPr>
            <w:tcW w:w="4882" w:type="dxa"/>
            <w:shd w:val="clear" w:color="auto" w:fill="auto"/>
          </w:tcPr>
          <w:p w:rsidRPr="00DC465F" w:rsidR="005836BF" w:rsidP="00C806DF" w:rsidRDefault="00DC465F" w14:paraId="48F4DA5E" w14:textId="58386F7B">
            <w:pPr>
              <w:rPr>
                <w:bCs/>
                <w:sz w:val="20"/>
                <w:szCs w:val="20"/>
              </w:rPr>
            </w:pPr>
            <w:r w:rsidRPr="00DC465F">
              <w:rPr>
                <w:rFonts w:cs="Arial"/>
                <w:bCs/>
                <w:sz w:val="20"/>
                <w:szCs w:val="20"/>
              </w:rPr>
              <w:t>Plan van Aanpak</w:t>
            </w:r>
            <w:r w:rsidR="00C806DF">
              <w:rPr>
                <w:rFonts w:cs="Arial"/>
                <w:bCs/>
                <w:sz w:val="20"/>
                <w:szCs w:val="20"/>
              </w:rPr>
              <w:t xml:space="preserve"> </w:t>
            </w:r>
            <w:r w:rsidR="005511E4">
              <w:rPr>
                <w:rFonts w:cs="Arial"/>
                <w:bCs/>
                <w:sz w:val="20"/>
                <w:szCs w:val="20"/>
              </w:rPr>
              <w:t>Openstaande</w:t>
            </w:r>
            <w:r w:rsidRPr="00DC465F">
              <w:rPr>
                <w:rFonts w:cs="Arial"/>
                <w:bCs/>
                <w:sz w:val="20"/>
                <w:szCs w:val="20"/>
              </w:rPr>
              <w:t xml:space="preserve"> Asielaanvragen van vóór 12 juni 2026</w:t>
            </w:r>
          </w:p>
        </w:tc>
      </w:tr>
      <w:tr w:rsidR="00565D73" w14:paraId="43322C67" w14:textId="77777777">
        <w:tc>
          <w:tcPr>
            <w:tcW w:w="2835" w:type="dxa"/>
            <w:shd w:val="clear" w:color="auto" w:fill="auto"/>
          </w:tcPr>
          <w:p w:rsidR="00565D73" w:rsidRDefault="00565D73" w14:paraId="1A69D1B8" w14:textId="77777777">
            <w:pPr>
              <w:jc w:val="both"/>
              <w:rPr>
                <w:sz w:val="20"/>
                <w:szCs w:val="20"/>
              </w:rPr>
            </w:pPr>
          </w:p>
        </w:tc>
        <w:tc>
          <w:tcPr>
            <w:tcW w:w="4882" w:type="dxa"/>
            <w:shd w:val="clear" w:color="auto" w:fill="auto"/>
          </w:tcPr>
          <w:p w:rsidRPr="00DC465F" w:rsidR="00565D73" w:rsidRDefault="00565D73" w14:paraId="689F52A3" w14:textId="77777777">
            <w:pPr>
              <w:jc w:val="both"/>
              <w:rPr>
                <w:rFonts w:cs="Arial"/>
                <w:bCs/>
                <w:sz w:val="20"/>
                <w:szCs w:val="20"/>
              </w:rPr>
            </w:pPr>
          </w:p>
        </w:tc>
      </w:tr>
      <w:tr w:rsidR="005836BF" w14:paraId="1C8AF902" w14:textId="77777777">
        <w:tc>
          <w:tcPr>
            <w:tcW w:w="2835" w:type="dxa"/>
            <w:shd w:val="clear" w:color="auto" w:fill="auto"/>
          </w:tcPr>
          <w:p w:rsidR="005836BF" w:rsidRDefault="00F23CB1" w14:paraId="25874584" w14:textId="77777777">
            <w:pPr>
              <w:jc w:val="both"/>
              <w:rPr>
                <w:sz w:val="20"/>
              </w:rPr>
            </w:pPr>
            <w:r>
              <w:rPr>
                <w:sz w:val="20"/>
                <w:szCs w:val="20"/>
              </w:rPr>
              <w:t>Status</w:t>
            </w:r>
          </w:p>
        </w:tc>
        <w:tc>
          <w:tcPr>
            <w:tcW w:w="4882" w:type="dxa"/>
            <w:shd w:val="clear" w:color="auto" w:fill="auto"/>
          </w:tcPr>
          <w:p w:rsidR="005836BF" w:rsidRDefault="00D25B11" w14:paraId="5182A89A" w14:textId="440A8395">
            <w:pPr>
              <w:jc w:val="both"/>
              <w:rPr>
                <w:sz w:val="20"/>
              </w:rPr>
            </w:pPr>
            <w:r>
              <w:rPr>
                <w:sz w:val="20"/>
              </w:rPr>
              <w:t xml:space="preserve">Definitief </w:t>
            </w:r>
          </w:p>
        </w:tc>
      </w:tr>
      <w:tr w:rsidR="005836BF" w14:paraId="03658940" w14:textId="77777777">
        <w:tc>
          <w:tcPr>
            <w:tcW w:w="2835" w:type="dxa"/>
            <w:shd w:val="clear" w:color="auto" w:fill="auto"/>
          </w:tcPr>
          <w:p w:rsidR="005836BF" w:rsidRDefault="005836BF" w14:paraId="1A7F8C22" w14:textId="77777777">
            <w:pPr>
              <w:jc w:val="both"/>
              <w:rPr>
                <w:sz w:val="20"/>
              </w:rPr>
            </w:pPr>
          </w:p>
        </w:tc>
        <w:tc>
          <w:tcPr>
            <w:tcW w:w="4882" w:type="dxa"/>
            <w:shd w:val="clear" w:color="auto" w:fill="auto"/>
          </w:tcPr>
          <w:p w:rsidR="005836BF" w:rsidRDefault="005836BF" w14:paraId="2A2FB5FE" w14:textId="77777777">
            <w:pPr>
              <w:jc w:val="both"/>
              <w:rPr>
                <w:sz w:val="20"/>
              </w:rPr>
            </w:pPr>
          </w:p>
        </w:tc>
      </w:tr>
      <w:tr w:rsidR="005836BF" w14:paraId="0CB88B40" w14:textId="77777777">
        <w:tc>
          <w:tcPr>
            <w:tcW w:w="2835" w:type="dxa"/>
            <w:shd w:val="clear" w:color="auto" w:fill="auto"/>
          </w:tcPr>
          <w:p w:rsidR="005836BF" w:rsidRDefault="005836BF" w14:paraId="2CE7D88C" w14:textId="77777777">
            <w:pPr>
              <w:jc w:val="both"/>
              <w:rPr>
                <w:sz w:val="20"/>
              </w:rPr>
            </w:pPr>
          </w:p>
        </w:tc>
        <w:tc>
          <w:tcPr>
            <w:tcW w:w="4882" w:type="dxa"/>
            <w:shd w:val="clear" w:color="auto" w:fill="auto"/>
          </w:tcPr>
          <w:p w:rsidR="005836BF" w:rsidRDefault="005836BF" w14:paraId="556B340C" w14:textId="77777777">
            <w:pPr>
              <w:jc w:val="both"/>
              <w:rPr>
                <w:sz w:val="20"/>
              </w:rPr>
            </w:pPr>
          </w:p>
        </w:tc>
      </w:tr>
      <w:tr w:rsidR="005836BF" w14:paraId="47436E80" w14:textId="77777777">
        <w:tc>
          <w:tcPr>
            <w:tcW w:w="2835" w:type="dxa"/>
            <w:shd w:val="clear" w:color="auto" w:fill="auto"/>
          </w:tcPr>
          <w:p w:rsidR="005836BF" w:rsidRDefault="00F23CB1" w14:paraId="1EC2D664" w14:textId="77777777">
            <w:pPr>
              <w:jc w:val="both"/>
              <w:rPr>
                <w:sz w:val="20"/>
              </w:rPr>
            </w:pPr>
            <w:r>
              <w:rPr>
                <w:sz w:val="20"/>
                <w:szCs w:val="20"/>
              </w:rPr>
              <w:t>Contact</w:t>
            </w:r>
          </w:p>
        </w:tc>
        <w:tc>
          <w:tcPr>
            <w:tcW w:w="4882" w:type="dxa"/>
            <w:shd w:val="clear" w:color="auto" w:fill="auto"/>
          </w:tcPr>
          <w:p w:rsidR="00565D73" w:rsidP="00565D73" w:rsidRDefault="00565D73" w14:paraId="726B22E2" w14:textId="77777777">
            <w:pPr>
              <w:jc w:val="both"/>
              <w:rPr>
                <w:sz w:val="20"/>
              </w:rPr>
            </w:pPr>
            <w:r>
              <w:rPr>
                <w:sz w:val="20"/>
                <w:szCs w:val="20"/>
              </w:rPr>
              <w:t>Ministerie van Justitie en Veiligheid</w:t>
            </w:r>
          </w:p>
          <w:p w:rsidR="00565D73" w:rsidP="00565D73" w:rsidRDefault="00565D73" w14:paraId="13262CD8" w14:textId="77777777">
            <w:pPr>
              <w:jc w:val="both"/>
              <w:rPr>
                <w:sz w:val="20"/>
              </w:rPr>
            </w:pPr>
            <w:r>
              <w:rPr>
                <w:sz w:val="20"/>
                <w:szCs w:val="20"/>
              </w:rPr>
              <w:t>Immigratie- en Naturalisatiedienst</w:t>
            </w:r>
          </w:p>
          <w:p w:rsidR="00565D73" w:rsidP="00565D73" w:rsidRDefault="00565D73" w14:paraId="3A930DF2" w14:textId="77777777">
            <w:pPr>
              <w:jc w:val="both"/>
              <w:rPr>
                <w:sz w:val="20"/>
                <w:szCs w:val="20"/>
              </w:rPr>
            </w:pPr>
            <w:r>
              <w:rPr>
                <w:sz w:val="20"/>
                <w:szCs w:val="20"/>
              </w:rPr>
              <w:t>Directie Strategie en Uitvoeringsadvies</w:t>
            </w:r>
          </w:p>
          <w:p w:rsidR="00E430F2" w:rsidP="00565D73" w:rsidRDefault="00E430F2" w14:paraId="593658C5" w14:textId="4C9D2C0E">
            <w:pPr>
              <w:jc w:val="both"/>
              <w:rPr>
                <w:sz w:val="20"/>
              </w:rPr>
            </w:pPr>
            <w:r>
              <w:rPr>
                <w:sz w:val="20"/>
              </w:rPr>
              <w:t xml:space="preserve">Afdeling Asiel en Migratie </w:t>
            </w:r>
          </w:p>
          <w:p w:rsidR="00565D73" w:rsidP="00565D73" w:rsidRDefault="00565D73" w14:paraId="062429E3" w14:textId="77777777">
            <w:pPr>
              <w:jc w:val="both"/>
              <w:rPr>
                <w:sz w:val="20"/>
              </w:rPr>
            </w:pPr>
            <w:r>
              <w:rPr>
                <w:sz w:val="20"/>
                <w:szCs w:val="20"/>
              </w:rPr>
              <w:t>Rijnstraat 8 | 2515 XP | Den Haag</w:t>
            </w:r>
          </w:p>
          <w:p w:rsidR="005836BF" w:rsidP="00565D73" w:rsidRDefault="00565D73" w14:paraId="3BF5296F" w14:textId="34679154">
            <w:pPr>
              <w:jc w:val="both"/>
              <w:rPr>
                <w:sz w:val="20"/>
              </w:rPr>
            </w:pPr>
            <w:r>
              <w:rPr>
                <w:sz w:val="20"/>
                <w:szCs w:val="20"/>
              </w:rPr>
              <w:t>Postbus 16275 | 2500 BG | Den Haag</w:t>
            </w:r>
          </w:p>
        </w:tc>
      </w:tr>
      <w:tr w:rsidR="005836BF" w14:paraId="39A70699" w14:textId="77777777">
        <w:tc>
          <w:tcPr>
            <w:tcW w:w="2835" w:type="dxa"/>
            <w:shd w:val="clear" w:color="auto" w:fill="auto"/>
          </w:tcPr>
          <w:p w:rsidR="005836BF" w:rsidRDefault="005836BF" w14:paraId="00F302EA" w14:textId="77777777">
            <w:pPr>
              <w:jc w:val="both"/>
              <w:rPr>
                <w:sz w:val="20"/>
              </w:rPr>
            </w:pPr>
          </w:p>
        </w:tc>
        <w:tc>
          <w:tcPr>
            <w:tcW w:w="4882" w:type="dxa"/>
            <w:shd w:val="clear" w:color="auto" w:fill="auto"/>
          </w:tcPr>
          <w:p w:rsidR="005836BF" w:rsidRDefault="005836BF" w14:paraId="71DCAB5D" w14:textId="0EA1DB6A">
            <w:pPr>
              <w:jc w:val="both"/>
              <w:rPr>
                <w:sz w:val="20"/>
              </w:rPr>
            </w:pPr>
          </w:p>
        </w:tc>
      </w:tr>
    </w:tbl>
    <w:p w:rsidR="005836BF" w:rsidRDefault="005836BF" w14:paraId="57B4E024" w14:textId="77777777">
      <w:pPr>
        <w:jc w:val="both"/>
      </w:pPr>
    </w:p>
    <w:p w:rsidR="005836BF" w:rsidRDefault="005836BF" w14:paraId="5107A6A2" w14:textId="77777777">
      <w:pPr>
        <w:jc w:val="both"/>
      </w:pPr>
    </w:p>
    <w:p w:rsidR="005836BF" w:rsidRDefault="005836BF" w14:paraId="2D9081B9" w14:textId="77777777">
      <w:pPr>
        <w:jc w:val="both"/>
      </w:pPr>
    </w:p>
    <w:p w:rsidR="00D25B11" w:rsidP="00D25B11" w:rsidRDefault="00D25B11" w14:paraId="166A9036" w14:textId="77777777">
      <w:pPr>
        <w:jc w:val="both"/>
        <w:rPr>
          <w:szCs w:val="18"/>
        </w:rPr>
      </w:pPr>
    </w:p>
    <w:p w:rsidR="00D25B11" w:rsidP="00D25B11" w:rsidRDefault="00D25B11" w14:paraId="3F75E57A" w14:textId="77777777">
      <w:pPr>
        <w:jc w:val="both"/>
        <w:rPr>
          <w:szCs w:val="18"/>
        </w:rPr>
      </w:pPr>
    </w:p>
    <w:p w:rsidR="00D25B11" w:rsidP="00D25B11" w:rsidRDefault="00D25B11" w14:paraId="49DFC24B" w14:textId="77777777">
      <w:pPr>
        <w:jc w:val="both"/>
        <w:rPr>
          <w:szCs w:val="18"/>
        </w:rPr>
      </w:pPr>
    </w:p>
    <w:p w:rsidR="00D25B11" w:rsidP="00D25B11" w:rsidRDefault="00D25B11" w14:paraId="79FDE9D0" w14:textId="77777777">
      <w:pPr>
        <w:jc w:val="both"/>
        <w:rPr>
          <w:szCs w:val="18"/>
        </w:rPr>
      </w:pPr>
    </w:p>
    <w:p w:rsidR="00D25B11" w:rsidP="00D25B11" w:rsidRDefault="00D25B11" w14:paraId="1B43D49C" w14:textId="77777777">
      <w:pPr>
        <w:jc w:val="both"/>
        <w:rPr>
          <w:szCs w:val="18"/>
        </w:rPr>
      </w:pPr>
    </w:p>
    <w:p w:rsidR="00D25B11" w:rsidP="00D25B11" w:rsidRDefault="00D25B11" w14:paraId="7CC83A7F" w14:textId="77777777">
      <w:pPr>
        <w:jc w:val="both"/>
        <w:rPr>
          <w:szCs w:val="18"/>
        </w:rPr>
      </w:pPr>
    </w:p>
    <w:p w:rsidR="00D25B11" w:rsidP="00D25B11" w:rsidRDefault="00D25B11" w14:paraId="46A1480C" w14:textId="77777777">
      <w:pPr>
        <w:jc w:val="both"/>
        <w:rPr>
          <w:szCs w:val="18"/>
        </w:rPr>
      </w:pPr>
    </w:p>
    <w:p w:rsidR="00D25B11" w:rsidP="00D25B11" w:rsidRDefault="00D25B11" w14:paraId="5C1EDD53" w14:textId="77777777">
      <w:pPr>
        <w:jc w:val="both"/>
        <w:rPr>
          <w:szCs w:val="18"/>
        </w:rPr>
      </w:pPr>
    </w:p>
    <w:p w:rsidR="00D25B11" w:rsidP="00D25B11" w:rsidRDefault="00D25B11" w14:paraId="384321EA" w14:textId="77777777">
      <w:pPr>
        <w:jc w:val="both"/>
        <w:rPr>
          <w:szCs w:val="18"/>
        </w:rPr>
      </w:pPr>
    </w:p>
    <w:p w:rsidR="00D25B11" w:rsidP="00D25B11" w:rsidRDefault="00D25B11" w14:paraId="73D35C75" w14:textId="77777777">
      <w:pPr>
        <w:jc w:val="both"/>
        <w:rPr>
          <w:szCs w:val="18"/>
        </w:rPr>
      </w:pPr>
    </w:p>
    <w:p w:rsidR="00D25B11" w:rsidP="00D25B11" w:rsidRDefault="00D25B11" w14:paraId="1C2699D4" w14:textId="77777777">
      <w:pPr>
        <w:jc w:val="both"/>
        <w:rPr>
          <w:szCs w:val="18"/>
        </w:rPr>
      </w:pPr>
    </w:p>
    <w:p w:rsidR="00D25B11" w:rsidP="00D25B11" w:rsidRDefault="00D25B11" w14:paraId="54578C93" w14:textId="77777777">
      <w:pPr>
        <w:jc w:val="both"/>
        <w:rPr>
          <w:szCs w:val="18"/>
        </w:rPr>
      </w:pPr>
    </w:p>
    <w:p w:rsidR="00D25B11" w:rsidP="00D25B11" w:rsidRDefault="00D25B11" w14:paraId="73CD9EDB" w14:textId="77777777">
      <w:pPr>
        <w:jc w:val="both"/>
        <w:rPr>
          <w:szCs w:val="18"/>
        </w:rPr>
      </w:pPr>
    </w:p>
    <w:p w:rsidR="00D25B11" w:rsidP="00D25B11" w:rsidRDefault="00D25B11" w14:paraId="6256B7E5" w14:textId="77777777">
      <w:pPr>
        <w:jc w:val="both"/>
        <w:rPr>
          <w:szCs w:val="18"/>
        </w:rPr>
      </w:pPr>
    </w:p>
    <w:p w:rsidR="00D25B11" w:rsidP="00D25B11" w:rsidRDefault="00D25B11" w14:paraId="42A0519A" w14:textId="77777777">
      <w:pPr>
        <w:jc w:val="both"/>
        <w:rPr>
          <w:szCs w:val="18"/>
        </w:rPr>
      </w:pPr>
    </w:p>
    <w:p w:rsidR="00D25B11" w:rsidP="00D25B11" w:rsidRDefault="00D25B11" w14:paraId="64BF9D76" w14:textId="77777777">
      <w:pPr>
        <w:jc w:val="both"/>
        <w:rPr>
          <w:szCs w:val="18"/>
        </w:rPr>
      </w:pPr>
    </w:p>
    <w:p w:rsidR="00D25B11" w:rsidP="00D25B11" w:rsidRDefault="00D25B11" w14:paraId="33152F8E" w14:textId="77777777">
      <w:pPr>
        <w:jc w:val="both"/>
        <w:rPr>
          <w:szCs w:val="18"/>
        </w:rPr>
      </w:pPr>
    </w:p>
    <w:p w:rsidR="00D25B11" w:rsidP="00D25B11" w:rsidRDefault="00D25B11" w14:paraId="55A48374" w14:textId="77777777">
      <w:pPr>
        <w:jc w:val="both"/>
        <w:rPr>
          <w:szCs w:val="18"/>
        </w:rPr>
      </w:pPr>
    </w:p>
    <w:p w:rsidR="00D25B11" w:rsidP="00D25B11" w:rsidRDefault="00D25B11" w14:paraId="6241D3CF" w14:textId="77777777">
      <w:pPr>
        <w:jc w:val="both"/>
        <w:rPr>
          <w:szCs w:val="18"/>
        </w:rPr>
      </w:pPr>
    </w:p>
    <w:p w:rsidR="00D25B11" w:rsidP="00D25B11" w:rsidRDefault="00D25B11" w14:paraId="2D25AA69" w14:textId="77777777">
      <w:pPr>
        <w:jc w:val="both"/>
        <w:rPr>
          <w:szCs w:val="18"/>
        </w:rPr>
      </w:pPr>
    </w:p>
    <w:p w:rsidR="00D25B11" w:rsidP="00D25B11" w:rsidRDefault="00D25B11" w14:paraId="4A14CCBA" w14:textId="77777777">
      <w:pPr>
        <w:jc w:val="both"/>
        <w:rPr>
          <w:szCs w:val="18"/>
        </w:rPr>
      </w:pPr>
    </w:p>
    <w:p w:rsidR="00D25B11" w:rsidP="00D25B11" w:rsidRDefault="00D25B11" w14:paraId="3DCF48FF" w14:textId="77777777">
      <w:pPr>
        <w:jc w:val="both"/>
        <w:rPr>
          <w:szCs w:val="18"/>
        </w:rPr>
      </w:pPr>
    </w:p>
    <w:p w:rsidR="00D25B11" w:rsidP="00D25B11" w:rsidRDefault="00D25B11" w14:paraId="59D687C6" w14:textId="77777777">
      <w:pPr>
        <w:jc w:val="both"/>
        <w:rPr>
          <w:szCs w:val="18"/>
        </w:rPr>
      </w:pPr>
    </w:p>
    <w:p w:rsidR="00D25B11" w:rsidP="00D25B11" w:rsidRDefault="00D25B11" w14:paraId="70586600" w14:textId="77777777">
      <w:pPr>
        <w:jc w:val="both"/>
        <w:rPr>
          <w:szCs w:val="18"/>
        </w:rPr>
      </w:pPr>
    </w:p>
    <w:p w:rsidR="00D25B11" w:rsidP="00D25B11" w:rsidRDefault="00D25B11" w14:paraId="6BF47BB5" w14:textId="77777777">
      <w:pPr>
        <w:jc w:val="both"/>
        <w:rPr>
          <w:szCs w:val="18"/>
        </w:rPr>
      </w:pPr>
    </w:p>
    <w:p w:rsidR="00D25B11" w:rsidP="00D25B11" w:rsidRDefault="00D25B11" w14:paraId="70B5A644" w14:textId="77777777">
      <w:pPr>
        <w:jc w:val="both"/>
        <w:rPr>
          <w:szCs w:val="18"/>
        </w:rPr>
      </w:pPr>
    </w:p>
    <w:p w:rsidR="00D25B11" w:rsidP="00D25B11" w:rsidRDefault="00D25B11" w14:paraId="5892F479" w14:textId="77777777">
      <w:pPr>
        <w:jc w:val="both"/>
        <w:rPr>
          <w:szCs w:val="18"/>
        </w:rPr>
      </w:pPr>
    </w:p>
    <w:p w:rsidR="00D25B11" w:rsidP="00D25B11" w:rsidRDefault="00D25B11" w14:paraId="244845E1" w14:textId="77777777">
      <w:pPr>
        <w:jc w:val="both"/>
        <w:rPr>
          <w:szCs w:val="18"/>
        </w:rPr>
      </w:pPr>
    </w:p>
    <w:p w:rsidR="00D25B11" w:rsidP="00D25B11" w:rsidRDefault="00D25B11" w14:paraId="32DEEC01" w14:textId="77777777">
      <w:pPr>
        <w:jc w:val="both"/>
        <w:rPr>
          <w:szCs w:val="18"/>
        </w:rPr>
      </w:pPr>
    </w:p>
    <w:p w:rsidR="00D25B11" w:rsidP="00D25B11" w:rsidRDefault="00D25B11" w14:paraId="76028935" w14:textId="77777777">
      <w:pPr>
        <w:jc w:val="both"/>
        <w:rPr>
          <w:szCs w:val="18"/>
        </w:rPr>
      </w:pPr>
    </w:p>
    <w:p w:rsidR="00D25B11" w:rsidP="00D25B11" w:rsidRDefault="00D25B11" w14:paraId="48E7F79A" w14:textId="77777777">
      <w:pPr>
        <w:jc w:val="both"/>
        <w:rPr>
          <w:szCs w:val="18"/>
        </w:rPr>
      </w:pPr>
    </w:p>
    <w:p w:rsidR="00D25B11" w:rsidP="00D25B11" w:rsidRDefault="00D25B11" w14:paraId="1569129E" w14:textId="77777777">
      <w:pPr>
        <w:jc w:val="both"/>
        <w:rPr>
          <w:szCs w:val="18"/>
        </w:rPr>
      </w:pPr>
    </w:p>
    <w:p w:rsidR="00D25B11" w:rsidP="00D25B11" w:rsidRDefault="00D25B11" w14:paraId="2D15490F" w14:textId="77777777">
      <w:pPr>
        <w:jc w:val="both"/>
        <w:rPr>
          <w:szCs w:val="18"/>
        </w:rPr>
      </w:pPr>
    </w:p>
    <w:p w:rsidR="00D25B11" w:rsidP="00D25B11" w:rsidRDefault="00D25B11" w14:paraId="3CFCFB90" w14:textId="77777777">
      <w:pPr>
        <w:jc w:val="both"/>
        <w:rPr>
          <w:szCs w:val="18"/>
        </w:rPr>
      </w:pPr>
    </w:p>
    <w:p w:rsidR="00D25B11" w:rsidP="00D25B11" w:rsidRDefault="00D25B11" w14:paraId="7C3B1C7B" w14:textId="77777777">
      <w:pPr>
        <w:jc w:val="both"/>
        <w:rPr>
          <w:szCs w:val="18"/>
        </w:rPr>
      </w:pPr>
    </w:p>
    <w:p w:rsidR="00D25B11" w:rsidP="00D25B11" w:rsidRDefault="00D25B11" w14:paraId="2F95E426" w14:textId="77777777">
      <w:pPr>
        <w:jc w:val="both"/>
        <w:rPr>
          <w:szCs w:val="18"/>
        </w:rPr>
      </w:pPr>
    </w:p>
    <w:p w:rsidRPr="00D25B11" w:rsidR="007D7247" w:rsidP="00D25B11" w:rsidRDefault="00DC465F" w14:paraId="36615FAD" w14:textId="02C08AB5">
      <w:pPr>
        <w:jc w:val="both"/>
      </w:pPr>
      <w:r w:rsidRPr="00C34248">
        <w:rPr>
          <w:b/>
          <w:bCs/>
          <w:color w:val="4F81BD" w:themeColor="accent1"/>
          <w:sz w:val="32"/>
          <w:szCs w:val="32"/>
        </w:rPr>
        <w:lastRenderedPageBreak/>
        <w:t>Aanleiding</w:t>
      </w:r>
      <w:r w:rsidR="00C34248">
        <w:rPr>
          <w:b/>
          <w:bCs/>
          <w:szCs w:val="18"/>
        </w:rPr>
        <w:br/>
      </w:r>
      <w:r w:rsidR="007D7247">
        <w:rPr>
          <w:b/>
          <w:bCs/>
          <w:szCs w:val="18"/>
        </w:rPr>
        <w:br/>
      </w:r>
      <w:r w:rsidRPr="00B25EA9" w:rsidR="007D7247">
        <w:rPr>
          <w:szCs w:val="18"/>
        </w:rPr>
        <w:t xml:space="preserve">Vanaf 12 juni 2026 treedt het </w:t>
      </w:r>
      <w:r w:rsidR="00936940">
        <w:rPr>
          <w:szCs w:val="18"/>
        </w:rPr>
        <w:t xml:space="preserve">Europees </w:t>
      </w:r>
      <w:r w:rsidRPr="00B25EA9" w:rsidR="007D7247">
        <w:rPr>
          <w:szCs w:val="18"/>
        </w:rPr>
        <w:t xml:space="preserve">Asiel- en Migratiepact (hierna: </w:t>
      </w:r>
      <w:r w:rsidR="00BE7106">
        <w:rPr>
          <w:szCs w:val="18"/>
        </w:rPr>
        <w:t>P</w:t>
      </w:r>
      <w:r w:rsidRPr="00B25EA9" w:rsidR="007D7247">
        <w:rPr>
          <w:szCs w:val="18"/>
        </w:rPr>
        <w:t xml:space="preserve">act) in werking. Het doel van het </w:t>
      </w:r>
      <w:r w:rsidR="00CC1348">
        <w:rPr>
          <w:szCs w:val="18"/>
        </w:rPr>
        <w:t>P</w:t>
      </w:r>
      <w:r w:rsidRPr="00B25EA9" w:rsidR="007D7247">
        <w:rPr>
          <w:szCs w:val="18"/>
        </w:rPr>
        <w:t xml:space="preserve">act is om het Europese asielstelsel zo te herzien dat dit eerlijker en effectiever wordt en </w:t>
      </w:r>
      <w:r w:rsidR="006237E7">
        <w:rPr>
          <w:szCs w:val="18"/>
        </w:rPr>
        <w:t xml:space="preserve">het </w:t>
      </w:r>
      <w:r w:rsidRPr="00B25EA9" w:rsidR="007D7247">
        <w:rPr>
          <w:szCs w:val="18"/>
        </w:rPr>
        <w:t xml:space="preserve">de solidariteit tussen lidstaten vergroot. Voor Nederland is een beter functionerend Europees asielsysteem essentieel voor meer beheersbaarheid op migratie aan de EU-buitengrenzen en meer grip op secundaire migratie tussen de lidstaten. Een goede implementatie en werking in alle EU-landen </w:t>
      </w:r>
      <w:r w:rsidRPr="00B25EA9" w:rsidR="00C806DF">
        <w:rPr>
          <w:szCs w:val="18"/>
        </w:rPr>
        <w:t>is de</w:t>
      </w:r>
      <w:r w:rsidRPr="00B25EA9" w:rsidR="007D7247">
        <w:rPr>
          <w:szCs w:val="18"/>
        </w:rPr>
        <w:t xml:space="preserve"> Europese opdracht en d</w:t>
      </w:r>
      <w:r w:rsidR="007D7247">
        <w:rPr>
          <w:szCs w:val="18"/>
        </w:rPr>
        <w:t xml:space="preserve">at </w:t>
      </w:r>
      <w:r w:rsidR="00C806DF">
        <w:rPr>
          <w:szCs w:val="18"/>
        </w:rPr>
        <w:t>is voor</w:t>
      </w:r>
      <w:r w:rsidR="007D7247">
        <w:rPr>
          <w:szCs w:val="18"/>
        </w:rPr>
        <w:t xml:space="preserve"> </w:t>
      </w:r>
      <w:r w:rsidR="003F59BC">
        <w:rPr>
          <w:szCs w:val="18"/>
        </w:rPr>
        <w:t>Nederland en daarmee de IND</w:t>
      </w:r>
      <w:r w:rsidR="007D7247">
        <w:rPr>
          <w:szCs w:val="18"/>
        </w:rPr>
        <w:t xml:space="preserve"> </w:t>
      </w:r>
      <w:r w:rsidRPr="00B25EA9" w:rsidR="007D7247">
        <w:rPr>
          <w:szCs w:val="18"/>
        </w:rPr>
        <w:t xml:space="preserve">essentieel. Dit komt de beheersbaarheid van asielmigratie naar </w:t>
      </w:r>
      <w:r w:rsidRPr="00B25EA9" w:rsidR="00C806DF">
        <w:rPr>
          <w:szCs w:val="18"/>
        </w:rPr>
        <w:t>Nederland ten</w:t>
      </w:r>
      <w:r w:rsidRPr="00B25EA9" w:rsidR="007D7247">
        <w:rPr>
          <w:szCs w:val="18"/>
        </w:rPr>
        <w:t xml:space="preserve"> goede. Om een beroep te kunnen doen op de goede werking van het </w:t>
      </w:r>
      <w:r w:rsidR="00CC1348">
        <w:rPr>
          <w:szCs w:val="18"/>
        </w:rPr>
        <w:t>P</w:t>
      </w:r>
      <w:r w:rsidRPr="00B25EA9" w:rsidR="007D7247">
        <w:rPr>
          <w:szCs w:val="18"/>
        </w:rPr>
        <w:t xml:space="preserve">act in andere lidstaten, dient Nederland de werking van het </w:t>
      </w:r>
      <w:r w:rsidR="00CC1348">
        <w:rPr>
          <w:szCs w:val="18"/>
        </w:rPr>
        <w:t>P</w:t>
      </w:r>
      <w:r w:rsidRPr="00B25EA9" w:rsidR="007D7247">
        <w:rPr>
          <w:szCs w:val="18"/>
        </w:rPr>
        <w:t xml:space="preserve">act </w:t>
      </w:r>
      <w:r w:rsidRPr="00B25EA9" w:rsidR="00C806DF">
        <w:rPr>
          <w:szCs w:val="18"/>
        </w:rPr>
        <w:t>zelf geborgd</w:t>
      </w:r>
      <w:r w:rsidRPr="00B25EA9" w:rsidR="007D7247">
        <w:rPr>
          <w:szCs w:val="18"/>
        </w:rPr>
        <w:t xml:space="preserve"> te hebben. Om het </w:t>
      </w:r>
      <w:r w:rsidR="00CC1348">
        <w:rPr>
          <w:szCs w:val="18"/>
        </w:rPr>
        <w:t>P</w:t>
      </w:r>
      <w:r w:rsidRPr="00B25EA9" w:rsidR="007D7247">
        <w:rPr>
          <w:szCs w:val="18"/>
        </w:rPr>
        <w:t xml:space="preserve">act te laten slagen, hoort hierbij het beslissen op de aanvragen die vanaf inwerkingtreding </w:t>
      </w:r>
      <w:r w:rsidR="00CC1348">
        <w:rPr>
          <w:szCs w:val="18"/>
        </w:rPr>
        <w:t>P</w:t>
      </w:r>
      <w:r w:rsidRPr="00B25EA9" w:rsidR="007D7247">
        <w:rPr>
          <w:szCs w:val="18"/>
        </w:rPr>
        <w:t xml:space="preserve">act gedaan worden binnen de nieuwe termijnen die het Pact voorschrijft. </w:t>
      </w:r>
    </w:p>
    <w:p w:rsidR="003F59BC" w:rsidP="007D7247" w:rsidRDefault="003F59BC" w14:paraId="64B911CE" w14:textId="77777777">
      <w:pPr>
        <w:rPr>
          <w:szCs w:val="18"/>
        </w:rPr>
      </w:pPr>
    </w:p>
    <w:p w:rsidR="007D7247" w:rsidP="007D7247" w:rsidRDefault="007D7247" w14:paraId="3188077B" w14:textId="0AF1B8F1">
      <w:pPr>
        <w:pStyle w:val="broodtekst"/>
      </w:pPr>
      <w:r>
        <w:t xml:space="preserve">Met de introductie van </w:t>
      </w:r>
      <w:r w:rsidR="00CC1348">
        <w:t>h</w:t>
      </w:r>
      <w:r w:rsidRPr="00B25EA9">
        <w:t xml:space="preserve">et </w:t>
      </w:r>
      <w:r w:rsidR="00CC1348">
        <w:t>P</w:t>
      </w:r>
      <w:r w:rsidRPr="00B25EA9">
        <w:t xml:space="preserve">act </w:t>
      </w:r>
      <w:r>
        <w:t xml:space="preserve">gelden, </w:t>
      </w:r>
      <w:r w:rsidRPr="00B25EA9">
        <w:t>ten aanzien van de Nederlandse asielprocedure</w:t>
      </w:r>
      <w:r>
        <w:t>,</w:t>
      </w:r>
      <w:r w:rsidRPr="00B25EA9">
        <w:t xml:space="preserve"> meerdere kortere behandeltermijnen. De IND kan de instroom en de beslistermijnen onder het migratiepact alleen bijhouden als hiertoe voldoende capaciteit wordt vrijgemaakt</w:t>
      </w:r>
      <w:r w:rsidR="00CC1348">
        <w:t>,</w:t>
      </w:r>
      <w:r w:rsidRPr="00B25EA9">
        <w:t xml:space="preserve"> die zich specifiek richt op het behandelen van de asielaanvragen van na 12 juni 2026. Hierdoor moet de IND prioriteren op deze nieuwe instroom</w:t>
      </w:r>
      <w:r>
        <w:t>.</w:t>
      </w:r>
    </w:p>
    <w:p w:rsidR="007D7247" w:rsidP="007D7247" w:rsidRDefault="007D7247" w14:paraId="4A93BD45" w14:textId="77777777">
      <w:pPr>
        <w:pStyle w:val="broodtekst"/>
      </w:pPr>
    </w:p>
    <w:p w:rsidRPr="003C28F3" w:rsidR="007D7247" w:rsidP="007D7247" w:rsidRDefault="007D7247" w14:paraId="20D0D3C3" w14:textId="1628585B">
      <w:pPr>
        <w:pStyle w:val="broodtekst"/>
      </w:pPr>
      <w:r w:rsidRPr="003C28F3">
        <w:t xml:space="preserve">Het bijhouden van de termijnen </w:t>
      </w:r>
      <w:r>
        <w:t xml:space="preserve">van de </w:t>
      </w:r>
      <w:r w:rsidR="006237E7">
        <w:t>asiel</w:t>
      </w:r>
      <w:r>
        <w:t xml:space="preserve">aanvragen vanaf 12 juni </w:t>
      </w:r>
      <w:r w:rsidRPr="003C28F3">
        <w:t xml:space="preserve">levert </w:t>
      </w:r>
      <w:r w:rsidR="006237E7">
        <w:t xml:space="preserve">gelijktijdig </w:t>
      </w:r>
      <w:r w:rsidRPr="003C28F3">
        <w:t>een vraagstuk op ten aanzien van de inzet van de beschikbare capaciteit van de IND</w:t>
      </w:r>
      <w:r>
        <w:t xml:space="preserve"> op de </w:t>
      </w:r>
      <w:r w:rsidR="00B36042">
        <w:t xml:space="preserve">openstaande </w:t>
      </w:r>
      <w:r w:rsidR="006237E7">
        <w:t>asielaanvragen.</w:t>
      </w:r>
      <w:r>
        <w:t xml:space="preserve"> </w:t>
      </w:r>
      <w:r w:rsidRPr="003C28F3">
        <w:t xml:space="preserve">De behandelduur van deze </w:t>
      </w:r>
      <w:r>
        <w:t xml:space="preserve">voor 12 juni 2026 ingediende </w:t>
      </w:r>
      <w:r w:rsidRPr="003C28F3">
        <w:t xml:space="preserve">aanvragen zou, zonder aanvullende maatregelen, verder oplopen en </w:t>
      </w:r>
      <w:r w:rsidRPr="003C28F3" w:rsidR="00C806DF">
        <w:t xml:space="preserve">daarmee </w:t>
      </w:r>
      <w:r w:rsidR="00C806DF">
        <w:t>buitenproportioneel</w:t>
      </w:r>
      <w:r w:rsidR="006237E7">
        <w:t xml:space="preserve"> </w:t>
      </w:r>
      <w:r w:rsidRPr="003C28F3">
        <w:t xml:space="preserve">lang worden. De betekenis hiervan voor de asielzoeker en alle ketenpartners, moet niet onderschat worden. </w:t>
      </w:r>
      <w:r>
        <w:t>Het is daarom van belang o</w:t>
      </w:r>
      <w:r w:rsidRPr="003C28F3">
        <w:t xml:space="preserve">m maatregelen te treffen die deze gevolgen kunnen </w:t>
      </w:r>
      <w:r w:rsidR="000426C9">
        <w:t>be</w:t>
      </w:r>
      <w:r w:rsidRPr="003C28F3">
        <w:t xml:space="preserve">perken. De herinrichting van de asielprocedure zoals voorzien met de implementatie van het </w:t>
      </w:r>
      <w:r w:rsidR="00CC1348">
        <w:t>P</w:t>
      </w:r>
      <w:r w:rsidRPr="003C28F3">
        <w:t>act en de bijbehorende nationale uitvoeringskeuzes, vormt hierin al een belangrijke kans. De voorgenomen afschaffing van verschillende onverplichte procedurestappen z</w:t>
      </w:r>
      <w:r w:rsidR="00102DAD">
        <w:t>al</w:t>
      </w:r>
      <w:r w:rsidRPr="003C28F3">
        <w:t xml:space="preserve"> immers bijdragen aan de flexibiliteit en daarmee ook de efficiëntie van de asielprocedure. Maar ook met deze aanpassingen, zullen aanvullende ingrijpende keuzes nodig zijn om de behandelduur van de aanvragen ingediend vóór 12 juni niet buitenproportioneel te laten oplopen. </w:t>
      </w:r>
    </w:p>
    <w:p w:rsidRPr="003C28F3" w:rsidR="007D7247" w:rsidP="007D7247" w:rsidRDefault="007D7247" w14:paraId="0658B590" w14:textId="77777777">
      <w:pPr>
        <w:pStyle w:val="broodtekst"/>
      </w:pPr>
      <w:r w:rsidRPr="003C28F3">
        <w:t> </w:t>
      </w:r>
    </w:p>
    <w:p w:rsidRPr="003C28F3" w:rsidR="007D7247" w:rsidP="007D7247" w:rsidRDefault="00580BF4" w14:paraId="143A0100" w14:textId="12975EAD">
      <w:pPr>
        <w:pStyle w:val="broodtekst"/>
        <w:rPr>
          <w:i/>
          <w:iCs/>
        </w:rPr>
      </w:pPr>
      <w:r>
        <w:rPr>
          <w:i/>
          <w:iCs/>
        </w:rPr>
        <w:t>Verzoek tot p</w:t>
      </w:r>
      <w:r w:rsidR="008D1C43">
        <w:rPr>
          <w:i/>
          <w:iCs/>
        </w:rPr>
        <w:t>rioriteit</w:t>
      </w:r>
      <w:r w:rsidRPr="003C28F3" w:rsidR="007D7247">
        <w:rPr>
          <w:i/>
          <w:iCs/>
        </w:rPr>
        <w:t xml:space="preserve"> nieuwe aanvragen</w:t>
      </w:r>
      <w:r w:rsidR="008D1C43">
        <w:rPr>
          <w:i/>
          <w:iCs/>
        </w:rPr>
        <w:t xml:space="preserve"> na 12 juni 2026 </w:t>
      </w:r>
    </w:p>
    <w:p w:rsidRPr="00926993" w:rsidR="007D7247" w:rsidP="007D7247" w:rsidRDefault="007D7247" w14:paraId="10450C82" w14:textId="3198DAC5">
      <w:pPr>
        <w:rPr>
          <w:szCs w:val="18"/>
        </w:rPr>
      </w:pPr>
      <w:r w:rsidRPr="003C28F3">
        <w:rPr>
          <w:szCs w:val="18"/>
        </w:rPr>
        <w:t xml:space="preserve">Gelet op de invoering van het </w:t>
      </w:r>
      <w:r w:rsidR="00936940">
        <w:rPr>
          <w:szCs w:val="18"/>
        </w:rPr>
        <w:t>Pact op</w:t>
      </w:r>
      <w:r w:rsidRPr="003C28F3">
        <w:rPr>
          <w:szCs w:val="18"/>
        </w:rPr>
        <w:t xml:space="preserve"> 12 juni 2026</w:t>
      </w:r>
      <w:r>
        <w:rPr>
          <w:szCs w:val="18"/>
        </w:rPr>
        <w:t xml:space="preserve"> </w:t>
      </w:r>
      <w:r w:rsidRPr="003C28F3">
        <w:rPr>
          <w:szCs w:val="18"/>
        </w:rPr>
        <w:t xml:space="preserve">en het belang van een beheersbare uitvoering, </w:t>
      </w:r>
      <w:r>
        <w:rPr>
          <w:szCs w:val="18"/>
        </w:rPr>
        <w:t xml:space="preserve">zal </w:t>
      </w:r>
      <w:r w:rsidRPr="003C28F3">
        <w:rPr>
          <w:szCs w:val="18"/>
        </w:rPr>
        <w:t xml:space="preserve">de IND inzetten op het voorkomen van het ontstaan van nieuwe achterstanden onder het nieuwe stelsel. En </w:t>
      </w:r>
      <w:r>
        <w:rPr>
          <w:szCs w:val="18"/>
        </w:rPr>
        <w:t xml:space="preserve">daarmee </w:t>
      </w:r>
      <w:r w:rsidRPr="003C28F3">
        <w:rPr>
          <w:szCs w:val="18"/>
        </w:rPr>
        <w:t xml:space="preserve">vanaf de inwerkingtreding van het </w:t>
      </w:r>
      <w:r w:rsidR="00CC1348">
        <w:rPr>
          <w:szCs w:val="18"/>
        </w:rPr>
        <w:t>P</w:t>
      </w:r>
      <w:r w:rsidRPr="003C28F3">
        <w:rPr>
          <w:szCs w:val="18"/>
        </w:rPr>
        <w:t xml:space="preserve">act </w:t>
      </w:r>
      <w:r w:rsidRPr="003C28F3" w:rsidR="00C806DF">
        <w:rPr>
          <w:szCs w:val="18"/>
        </w:rPr>
        <w:t>prioriteit geven</w:t>
      </w:r>
      <w:r w:rsidRPr="003C28F3">
        <w:rPr>
          <w:szCs w:val="18"/>
        </w:rPr>
        <w:t xml:space="preserve"> aan het tijdig behandelen van nieuwe asielaanvragen binnen de geldende wettelijke beslistermijnen</w:t>
      </w:r>
      <w:r w:rsidRPr="00102DAD" w:rsidR="00936940">
        <w:rPr>
          <w:rStyle w:val="Voetnootmarkering"/>
          <w:sz w:val="12"/>
          <w:szCs w:val="12"/>
          <w:vertAlign w:val="superscript"/>
        </w:rPr>
        <w:footnoteReference w:id="1"/>
      </w:r>
      <w:r w:rsidRPr="003C28F3">
        <w:rPr>
          <w:szCs w:val="18"/>
        </w:rPr>
        <w:t xml:space="preserve">. Het niet separaat behandelen van deze nieuwe instroom zou betekenen dat de aanvragen ingediend vanaf 12 juni </w:t>
      </w:r>
      <w:r w:rsidRPr="00926993">
        <w:rPr>
          <w:szCs w:val="18"/>
        </w:rPr>
        <w:t xml:space="preserve">2026 </w:t>
      </w:r>
      <w:r w:rsidRPr="00926993" w:rsidR="00CC1348">
        <w:rPr>
          <w:szCs w:val="18"/>
        </w:rPr>
        <w:t xml:space="preserve">op korte </w:t>
      </w:r>
      <w:r w:rsidRPr="00926993" w:rsidR="00C806DF">
        <w:rPr>
          <w:szCs w:val="18"/>
        </w:rPr>
        <w:t>termijn een</w:t>
      </w:r>
      <w:r w:rsidRPr="00926993">
        <w:rPr>
          <w:szCs w:val="18"/>
        </w:rPr>
        <w:t xml:space="preserve"> doorlooptijd zullen kennen die langer is dan door het </w:t>
      </w:r>
      <w:r w:rsidRPr="00926993" w:rsidR="00CC1348">
        <w:rPr>
          <w:szCs w:val="18"/>
        </w:rPr>
        <w:t>P</w:t>
      </w:r>
      <w:r w:rsidRPr="00926993">
        <w:rPr>
          <w:szCs w:val="18"/>
        </w:rPr>
        <w:t>act is voorgeschreven</w:t>
      </w:r>
      <w:r w:rsidRPr="00926993" w:rsidR="008362AC">
        <w:rPr>
          <w:szCs w:val="18"/>
        </w:rPr>
        <w:t xml:space="preserve"> en er daarmee hierop achterstanden ontstaan.</w:t>
      </w:r>
    </w:p>
    <w:p w:rsidRPr="003C28F3" w:rsidR="007D7247" w:rsidP="007D7247" w:rsidRDefault="007D7247" w14:paraId="43FD90D9" w14:textId="59C2DB69">
      <w:pPr>
        <w:pStyle w:val="broodtekst"/>
        <w:rPr>
          <w:i/>
          <w:iCs/>
        </w:rPr>
      </w:pPr>
      <w:r w:rsidRPr="00926993">
        <w:rPr>
          <w:i/>
          <w:iCs/>
        </w:rPr>
        <w:br/>
      </w:r>
      <w:r w:rsidRPr="00926993" w:rsidR="00580BF4">
        <w:rPr>
          <w:i/>
          <w:iCs/>
        </w:rPr>
        <w:t>Verzoek tot g</w:t>
      </w:r>
      <w:r w:rsidRPr="00926993">
        <w:rPr>
          <w:i/>
          <w:iCs/>
        </w:rPr>
        <w:t xml:space="preserve">erichte aanpak </w:t>
      </w:r>
      <w:r w:rsidRPr="00926993" w:rsidR="004A4AFF">
        <w:rPr>
          <w:i/>
          <w:iCs/>
        </w:rPr>
        <w:t>openstaande</w:t>
      </w:r>
      <w:r w:rsidRPr="00926993">
        <w:rPr>
          <w:i/>
          <w:iCs/>
        </w:rPr>
        <w:t xml:space="preserve"> </w:t>
      </w:r>
      <w:r w:rsidRPr="00926993" w:rsidR="004A4AFF">
        <w:rPr>
          <w:i/>
          <w:iCs/>
        </w:rPr>
        <w:t>asiel</w:t>
      </w:r>
      <w:r w:rsidRPr="00926993">
        <w:rPr>
          <w:i/>
          <w:iCs/>
        </w:rPr>
        <w:t>aanvrage</w:t>
      </w:r>
      <w:r w:rsidRPr="00926993" w:rsidR="00580BF4">
        <w:rPr>
          <w:i/>
          <w:iCs/>
        </w:rPr>
        <w:t>n</w:t>
      </w:r>
      <w:r w:rsidRPr="00926993" w:rsidR="008D1C43">
        <w:rPr>
          <w:i/>
          <w:iCs/>
        </w:rPr>
        <w:t xml:space="preserve"> vóór 12 juni 2026</w:t>
      </w:r>
      <w:r w:rsidR="008D1C43">
        <w:rPr>
          <w:i/>
          <w:iCs/>
        </w:rPr>
        <w:t xml:space="preserve"> </w:t>
      </w:r>
    </w:p>
    <w:p w:rsidR="008D1C43" w:rsidP="007D7247" w:rsidRDefault="007D7247" w14:paraId="393FBA7C" w14:textId="6164C605">
      <w:pPr>
        <w:pStyle w:val="broodtekst"/>
      </w:pPr>
      <w:r w:rsidRPr="003C28F3">
        <w:t xml:space="preserve">De IND </w:t>
      </w:r>
      <w:r w:rsidR="001A54A8">
        <w:t>ziet</w:t>
      </w:r>
      <w:r w:rsidRPr="003C28F3">
        <w:t xml:space="preserve"> al </w:t>
      </w:r>
      <w:r w:rsidRPr="003C28F3" w:rsidR="00C806DF">
        <w:t>jaren</w:t>
      </w:r>
      <w:r w:rsidR="00C806DF">
        <w:t>lange</w:t>
      </w:r>
      <w:r w:rsidR="008D1C43">
        <w:t xml:space="preserve"> wachttijden bij asiel- en nareisaanvragen. </w:t>
      </w:r>
      <w:r w:rsidRPr="003C28F3">
        <w:t xml:space="preserve">De realiteit van dit moment is dat de behandeling van veel </w:t>
      </w:r>
      <w:r w:rsidRPr="003C28F3" w:rsidR="00C806DF">
        <w:t>asielaanvragen een</w:t>
      </w:r>
      <w:r w:rsidRPr="003C28F3">
        <w:t xml:space="preserve"> doorlooptijd kent die ver boven de wettelijke beslistermijn uitgaat. De onwenselijkheid daarvan is voor </w:t>
      </w:r>
      <w:r>
        <w:t>de minister</w:t>
      </w:r>
      <w:r w:rsidR="00CC1348">
        <w:t xml:space="preserve"> van Asiel en Migratie</w:t>
      </w:r>
      <w:r w:rsidRPr="003C28F3">
        <w:t xml:space="preserve"> reden geweest om de IND te verzoeken de behandeling in tijd zoveel mogelijk te begrenzen en afhandeling te versnellen</w:t>
      </w:r>
      <w:r>
        <w:t xml:space="preserve"> en hiertoe een plan van aanpak</w:t>
      </w:r>
      <w:r w:rsidR="008D1C43">
        <w:t xml:space="preserve"> op te </w:t>
      </w:r>
      <w:r w:rsidR="00C806DF">
        <w:t>stellen.</w:t>
      </w:r>
      <w:r w:rsidRPr="003C28F3">
        <w:t xml:space="preserve"> Het gros van de maatregelen binnen de operationele, beleidsmatige of procesmatige kaders is afgelopen jaren </w:t>
      </w:r>
      <w:r w:rsidR="008D1C43">
        <w:t>al</w:t>
      </w:r>
      <w:r w:rsidRPr="003C28F3" w:rsidR="008D1C43">
        <w:t xml:space="preserve"> </w:t>
      </w:r>
      <w:r w:rsidRPr="003C28F3">
        <w:t xml:space="preserve">ingezet. </w:t>
      </w:r>
      <w:r w:rsidR="008D1C43">
        <w:t xml:space="preserve"> De minister van Asiel en Migratie heeft </w:t>
      </w:r>
      <w:r w:rsidRPr="003C28F3" w:rsidR="008D1C43">
        <w:t xml:space="preserve">de IND gevraagd </w:t>
      </w:r>
      <w:r w:rsidR="00C806DF">
        <w:t>erop</w:t>
      </w:r>
      <w:r w:rsidR="00102DAD">
        <w:t xml:space="preserve"> </w:t>
      </w:r>
      <w:r w:rsidR="00C806DF">
        <w:t>in</w:t>
      </w:r>
      <w:r w:rsidR="00CC1348">
        <w:t xml:space="preserve"> te zetten</w:t>
      </w:r>
      <w:r w:rsidRPr="003C28F3" w:rsidR="008D1C43">
        <w:t xml:space="preserve"> binnen maximaal drie jaar na 12 juni 2026 de asielaanvragen van voor die datum </w:t>
      </w:r>
      <w:r w:rsidRPr="003C28F3" w:rsidR="00C806DF">
        <w:t>zoveel mogelijk</w:t>
      </w:r>
      <w:r w:rsidRPr="003C28F3" w:rsidR="008D1C43">
        <w:t xml:space="preserve"> van</w:t>
      </w:r>
      <w:r w:rsidRPr="00312432" w:rsidR="008D1C43">
        <w:t xml:space="preserve"> een eerste besluit te hebben voorzien. Deze termijn van drie jaar omvat niet de eventuele</w:t>
      </w:r>
      <w:r w:rsidR="00596D0B">
        <w:t xml:space="preserve"> </w:t>
      </w:r>
      <w:r w:rsidRPr="00312432" w:rsidR="008D1C43">
        <w:t>behandeling van een beroepsprocedure</w:t>
      </w:r>
      <w:r w:rsidR="00B4419B">
        <w:t xml:space="preserve"> </w:t>
      </w:r>
      <w:r w:rsidRPr="00312432" w:rsidR="008D1C43">
        <w:t>tegen een besluit van de IND.</w:t>
      </w:r>
    </w:p>
    <w:p w:rsidR="008D1C43" w:rsidP="007D7247" w:rsidRDefault="008D1C43" w14:paraId="0C99DBEE" w14:textId="77777777">
      <w:pPr>
        <w:pStyle w:val="broodtekst"/>
      </w:pPr>
    </w:p>
    <w:p w:rsidR="00102DAD" w:rsidP="007D7247" w:rsidRDefault="00102DAD" w14:paraId="0C6D65F5" w14:textId="77777777">
      <w:pPr>
        <w:pStyle w:val="broodtekst"/>
        <w:rPr>
          <w:i/>
          <w:iCs/>
        </w:rPr>
      </w:pPr>
    </w:p>
    <w:p w:rsidR="00102DAD" w:rsidRDefault="00102DAD" w14:paraId="318C17A2" w14:textId="77777777">
      <w:pPr>
        <w:spacing w:line="240" w:lineRule="auto"/>
        <w:rPr>
          <w:i/>
          <w:iCs/>
          <w:szCs w:val="18"/>
        </w:rPr>
      </w:pPr>
      <w:r>
        <w:rPr>
          <w:i/>
          <w:iCs/>
        </w:rPr>
        <w:br w:type="page"/>
      </w:r>
    </w:p>
    <w:p w:rsidRPr="00C806DF" w:rsidR="00580BF4" w:rsidP="007D7247" w:rsidRDefault="001E0B8D" w14:paraId="32B9E917" w14:textId="5BED16AF">
      <w:pPr>
        <w:pStyle w:val="broodtekst"/>
        <w:rPr>
          <w:i/>
          <w:iCs/>
        </w:rPr>
      </w:pPr>
      <w:r>
        <w:rPr>
          <w:i/>
          <w:iCs/>
        </w:rPr>
        <w:lastRenderedPageBreak/>
        <w:t xml:space="preserve">Plan van aanpak </w:t>
      </w:r>
      <w:r w:rsidR="004A4AFF">
        <w:rPr>
          <w:i/>
          <w:iCs/>
        </w:rPr>
        <w:t>openstaande</w:t>
      </w:r>
      <w:r>
        <w:rPr>
          <w:i/>
          <w:iCs/>
        </w:rPr>
        <w:t xml:space="preserve"> aanvragen vóór 12 juni 2026 </w:t>
      </w:r>
    </w:p>
    <w:p w:rsidR="007D7247" w:rsidP="007D7247" w:rsidRDefault="007D7247" w14:paraId="71AAA274" w14:textId="2C2EB1EC">
      <w:pPr>
        <w:pStyle w:val="broodtekst"/>
        <w:rPr>
          <w:b/>
          <w:bCs/>
        </w:rPr>
      </w:pPr>
      <w:r w:rsidRPr="003C28F3">
        <w:t xml:space="preserve">De </w:t>
      </w:r>
      <w:r>
        <w:t xml:space="preserve">in </w:t>
      </w:r>
      <w:r w:rsidR="00CC1348">
        <w:t>dit</w:t>
      </w:r>
      <w:r>
        <w:t xml:space="preserve"> plan van aanpak </w:t>
      </w:r>
      <w:r w:rsidRPr="003C28F3">
        <w:t xml:space="preserve">gepresenteerde maatregelen </w:t>
      </w:r>
      <w:r w:rsidR="00F41127">
        <w:t>komen tegemoet aan de vraag van de minister</w:t>
      </w:r>
      <w:r w:rsidR="00102DAD">
        <w:t>,</w:t>
      </w:r>
      <w:r w:rsidR="00F41127">
        <w:t xml:space="preserve"> </w:t>
      </w:r>
      <w:r w:rsidR="00C806DF">
        <w:t>tegelijkertijd zijn</w:t>
      </w:r>
      <w:r w:rsidR="00CC1348">
        <w:t xml:space="preserve"> ze</w:t>
      </w:r>
      <w:r w:rsidRPr="003C28F3">
        <w:t xml:space="preserve"> ingrijpend en wijken af van de gebruikelijke behandeling van asielverzoeken</w:t>
      </w:r>
      <w:r>
        <w:t xml:space="preserve"> </w:t>
      </w:r>
      <w:r w:rsidRPr="003C28F3" w:rsidR="00C806DF">
        <w:t>en hebben</w:t>
      </w:r>
      <w:r w:rsidRPr="003C28F3">
        <w:t xml:space="preserve"> meerdere ketenafhankelijkheden en keteneffecten tot gevolg</w:t>
      </w:r>
      <w:r>
        <w:t>.</w:t>
      </w:r>
      <w:r w:rsidR="00B36042">
        <w:t xml:space="preserve"> </w:t>
      </w:r>
      <w:r>
        <w:t xml:space="preserve">Het is de </w:t>
      </w:r>
      <w:r w:rsidRPr="003C28F3" w:rsidR="00D0052E">
        <w:t>verwacht</w:t>
      </w:r>
      <w:r w:rsidR="00D0052E">
        <w:t>ing</w:t>
      </w:r>
      <w:r w:rsidRPr="003C28F3">
        <w:t xml:space="preserve"> met deze maatregelen te kunnen komen tot een substantiële versnelling in de afdoening van de </w:t>
      </w:r>
      <w:r w:rsidR="005511E4">
        <w:t>openstaande</w:t>
      </w:r>
      <w:r w:rsidRPr="003C28F3">
        <w:t xml:space="preserve"> aanvragen. De exacte effecten en de realisatie van de maatregelen laten </w:t>
      </w:r>
      <w:r w:rsidRPr="003C28F3" w:rsidR="00C806DF">
        <w:t>zich moeilijk</w:t>
      </w:r>
      <w:r w:rsidRPr="003C28F3">
        <w:t xml:space="preserve"> doorberekenen, en zijn bovendien afhankelijk van gelijkblijvende interne en externe omstandigheden.</w:t>
      </w:r>
      <w:r w:rsidR="00697B7D">
        <w:t xml:space="preserve"> De IND benadrukt daarom het belang van het monitoren en </w:t>
      </w:r>
      <w:r w:rsidR="001A54A8">
        <w:t xml:space="preserve">zo nodig </w:t>
      </w:r>
      <w:r w:rsidR="00697B7D">
        <w:t>herijken</w:t>
      </w:r>
      <w:r w:rsidR="00B36042">
        <w:t xml:space="preserve">. </w:t>
      </w:r>
    </w:p>
    <w:p w:rsidR="007D7247" w:rsidP="007D7247" w:rsidRDefault="007D7247" w14:paraId="3A27433D" w14:textId="77777777">
      <w:pPr>
        <w:rPr>
          <w:b/>
          <w:bCs/>
          <w:szCs w:val="18"/>
        </w:rPr>
      </w:pPr>
    </w:p>
    <w:p w:rsidR="007D7247" w:rsidP="007D7247" w:rsidRDefault="007D7247" w14:paraId="0F4B41D2" w14:textId="7220091C">
      <w:pPr>
        <w:rPr>
          <w:szCs w:val="18"/>
        </w:rPr>
      </w:pPr>
      <w:r w:rsidRPr="003C28F3">
        <w:rPr>
          <w:b/>
          <w:bCs/>
          <w:szCs w:val="18"/>
        </w:rPr>
        <w:t xml:space="preserve">Uitgangspunten </w:t>
      </w:r>
      <w:r>
        <w:rPr>
          <w:b/>
          <w:bCs/>
          <w:szCs w:val="18"/>
        </w:rPr>
        <w:t xml:space="preserve">aanpak </w:t>
      </w:r>
      <w:r w:rsidRPr="003C28F3">
        <w:rPr>
          <w:szCs w:val="18"/>
          <w:u w:val="single"/>
        </w:rPr>
        <w:br/>
      </w:r>
      <w:r w:rsidRPr="003C28F3">
        <w:rPr>
          <w:szCs w:val="18"/>
        </w:rPr>
        <w:t xml:space="preserve">Algemene uitgangspunten bij de aanpak van de </w:t>
      </w:r>
      <w:r w:rsidR="004A4AFF">
        <w:rPr>
          <w:szCs w:val="18"/>
        </w:rPr>
        <w:t xml:space="preserve">openstaande asielaanvragen </w:t>
      </w:r>
      <w:r w:rsidRPr="003C28F3">
        <w:rPr>
          <w:szCs w:val="18"/>
        </w:rPr>
        <w:t>zijn:</w:t>
      </w:r>
    </w:p>
    <w:p w:rsidR="007D7247" w:rsidP="009704C7" w:rsidRDefault="007D7247" w14:paraId="5528D3C7" w14:textId="4DA83F82">
      <w:pPr>
        <w:pStyle w:val="Lijstalinea"/>
        <w:numPr>
          <w:ilvl w:val="0"/>
          <w:numId w:val="9"/>
        </w:numPr>
        <w:rPr>
          <w:szCs w:val="18"/>
        </w:rPr>
      </w:pPr>
      <w:r w:rsidRPr="00DC465F">
        <w:rPr>
          <w:szCs w:val="18"/>
        </w:rPr>
        <w:t>Vanaf 12 juni 2026 geeft de IND prioriteit aan het bijhouden van de instroom om de</w:t>
      </w:r>
      <w:r w:rsidR="001F4D61">
        <w:rPr>
          <w:szCs w:val="18"/>
        </w:rPr>
        <w:t xml:space="preserve"> </w:t>
      </w:r>
      <w:r w:rsidR="00C806DF">
        <w:rPr>
          <w:szCs w:val="18"/>
        </w:rPr>
        <w:t xml:space="preserve">nieuwe </w:t>
      </w:r>
      <w:r w:rsidRPr="00DC465F" w:rsidR="00C806DF">
        <w:rPr>
          <w:szCs w:val="18"/>
        </w:rPr>
        <w:t>beslistermijnen</w:t>
      </w:r>
      <w:r w:rsidRPr="00DC465F">
        <w:rPr>
          <w:szCs w:val="18"/>
        </w:rPr>
        <w:t xml:space="preserve"> uit het </w:t>
      </w:r>
      <w:r w:rsidR="005017CC">
        <w:rPr>
          <w:szCs w:val="18"/>
        </w:rPr>
        <w:t>P</w:t>
      </w:r>
      <w:r w:rsidRPr="00DC465F">
        <w:rPr>
          <w:szCs w:val="18"/>
        </w:rPr>
        <w:t xml:space="preserve">act bij te houden. Dit komt de werking van het </w:t>
      </w:r>
      <w:r w:rsidR="00CC1348">
        <w:rPr>
          <w:szCs w:val="18"/>
        </w:rPr>
        <w:t>P</w:t>
      </w:r>
      <w:r w:rsidRPr="00DC465F">
        <w:rPr>
          <w:szCs w:val="18"/>
        </w:rPr>
        <w:t xml:space="preserve">act ten </w:t>
      </w:r>
      <w:r w:rsidRPr="00DC465F" w:rsidR="00C806DF">
        <w:rPr>
          <w:szCs w:val="18"/>
        </w:rPr>
        <w:t>goede</w:t>
      </w:r>
      <w:r w:rsidR="00C806DF">
        <w:rPr>
          <w:szCs w:val="18"/>
        </w:rPr>
        <w:t>. Op</w:t>
      </w:r>
      <w:r w:rsidR="001F4D61">
        <w:rPr>
          <w:szCs w:val="18"/>
        </w:rPr>
        <w:t xml:space="preserve"> dit moment is de omvang van de openstaande asielaanvragen 54.000 aanvragen</w:t>
      </w:r>
      <w:r w:rsidRPr="00E430F2" w:rsidR="003A0C82">
        <w:rPr>
          <w:rStyle w:val="Voetnootmarkering"/>
          <w:szCs w:val="18"/>
          <w:vertAlign w:val="superscript"/>
        </w:rPr>
        <w:footnoteReference w:id="2"/>
      </w:r>
      <w:r w:rsidRPr="00DC465F" w:rsidR="00813CBA">
        <w:rPr>
          <w:szCs w:val="18"/>
        </w:rPr>
        <w:t>.</w:t>
      </w:r>
      <w:r w:rsidR="001F4D61">
        <w:rPr>
          <w:szCs w:val="18"/>
        </w:rPr>
        <w:t xml:space="preserve"> </w:t>
      </w:r>
    </w:p>
    <w:p w:rsidR="007D7247" w:rsidP="009704C7" w:rsidRDefault="007D7247" w14:paraId="1A5165DE" w14:textId="2C867434">
      <w:pPr>
        <w:pStyle w:val="Lijstalinea"/>
        <w:numPr>
          <w:ilvl w:val="0"/>
          <w:numId w:val="9"/>
        </w:numPr>
        <w:rPr>
          <w:szCs w:val="18"/>
        </w:rPr>
      </w:pPr>
      <w:r w:rsidRPr="00DC465F">
        <w:rPr>
          <w:szCs w:val="18"/>
        </w:rPr>
        <w:t>De benodigde capaciteit om</w:t>
      </w:r>
      <w:r w:rsidR="001F4D61">
        <w:rPr>
          <w:szCs w:val="18"/>
        </w:rPr>
        <w:t xml:space="preserve"> prioriteit te geven aan de nieuwe instroom</w:t>
      </w:r>
      <w:r w:rsidRPr="00E430F2">
        <w:rPr>
          <w:rStyle w:val="Voetnootmarkering"/>
          <w:szCs w:val="18"/>
          <w:vertAlign w:val="superscript"/>
        </w:rPr>
        <w:footnoteReference w:id="3"/>
      </w:r>
      <w:r w:rsidRPr="00DC465F">
        <w:rPr>
          <w:szCs w:val="18"/>
        </w:rPr>
        <w:t xml:space="preserve">, groeit mee met de instroom: dat wil zeggen dat de benodigde inzet schuift en </w:t>
      </w:r>
      <w:r w:rsidR="00CC1348">
        <w:rPr>
          <w:szCs w:val="18"/>
        </w:rPr>
        <w:t xml:space="preserve">bijvoorbeeld </w:t>
      </w:r>
      <w:r w:rsidRPr="00DC465F">
        <w:rPr>
          <w:szCs w:val="18"/>
        </w:rPr>
        <w:t xml:space="preserve">vlak na inwerkingtreding kleiner is dan na verloop van enkele maanden. Is de instroom lager dan verwacht, dan is de in te zetten </w:t>
      </w:r>
      <w:r w:rsidRPr="00DC465F" w:rsidR="00C806DF">
        <w:rPr>
          <w:szCs w:val="18"/>
        </w:rPr>
        <w:t>capaciteit lager</w:t>
      </w:r>
      <w:r w:rsidRPr="00DC465F">
        <w:rPr>
          <w:szCs w:val="18"/>
        </w:rPr>
        <w:t xml:space="preserve"> en blijft meer capaciteit over voor de </w:t>
      </w:r>
      <w:r w:rsidR="00D9314B">
        <w:rPr>
          <w:szCs w:val="18"/>
        </w:rPr>
        <w:t>openstaande aanvragen</w:t>
      </w:r>
      <w:r w:rsidRPr="00DC465F">
        <w:rPr>
          <w:szCs w:val="18"/>
        </w:rPr>
        <w:t xml:space="preserve">. Dit kan door het jaar fluctueren mede door de </w:t>
      </w:r>
      <w:proofErr w:type="spellStart"/>
      <w:r w:rsidRPr="00DC465F">
        <w:rPr>
          <w:szCs w:val="18"/>
        </w:rPr>
        <w:t>seizoen</w:t>
      </w:r>
      <w:r>
        <w:rPr>
          <w:szCs w:val="18"/>
        </w:rPr>
        <w:t>s</w:t>
      </w:r>
      <w:r w:rsidRPr="00DC465F">
        <w:rPr>
          <w:szCs w:val="18"/>
        </w:rPr>
        <w:t>patronen</w:t>
      </w:r>
      <w:proofErr w:type="spellEnd"/>
      <w:r w:rsidRPr="00DC465F">
        <w:rPr>
          <w:szCs w:val="18"/>
        </w:rPr>
        <w:t xml:space="preserve"> en daarbij komend</w:t>
      </w:r>
      <w:r>
        <w:rPr>
          <w:szCs w:val="18"/>
        </w:rPr>
        <w:t>e</w:t>
      </w:r>
      <w:r w:rsidRPr="00DC465F">
        <w:rPr>
          <w:szCs w:val="18"/>
        </w:rPr>
        <w:t xml:space="preserve"> pieken </w:t>
      </w:r>
      <w:r>
        <w:rPr>
          <w:szCs w:val="18"/>
        </w:rPr>
        <w:t xml:space="preserve">en dalen </w:t>
      </w:r>
      <w:r w:rsidRPr="00DC465F">
        <w:rPr>
          <w:szCs w:val="18"/>
        </w:rPr>
        <w:t xml:space="preserve">in de instroom. </w:t>
      </w:r>
    </w:p>
    <w:p w:rsidR="007D7247" w:rsidP="009704C7" w:rsidRDefault="007D7247" w14:paraId="3FBDB0B1" w14:textId="79D7F60D">
      <w:pPr>
        <w:pStyle w:val="Lijstalinea"/>
        <w:numPr>
          <w:ilvl w:val="0"/>
          <w:numId w:val="9"/>
        </w:numPr>
        <w:rPr>
          <w:szCs w:val="18"/>
        </w:rPr>
      </w:pPr>
      <w:r w:rsidRPr="00DC465F">
        <w:rPr>
          <w:szCs w:val="18"/>
        </w:rPr>
        <w:t xml:space="preserve">De nieuwe asielprocedure wordt volledig conform </w:t>
      </w:r>
      <w:r w:rsidR="00D9314B">
        <w:rPr>
          <w:szCs w:val="18"/>
        </w:rPr>
        <w:t>Pact</w:t>
      </w:r>
      <w:r w:rsidRPr="00DC465F">
        <w:rPr>
          <w:szCs w:val="18"/>
        </w:rPr>
        <w:t xml:space="preserve"> ingericht waarbij de nationale maatregelen (zoals het wegvallen van de voornemenprocedure) zijn opgenomen in de GEAS-wetgeving. </w:t>
      </w:r>
      <w:proofErr w:type="spellStart"/>
      <w:r w:rsidRPr="00DC465F">
        <w:rPr>
          <w:szCs w:val="18"/>
        </w:rPr>
        <w:t>Randvoorwaardelijk</w:t>
      </w:r>
      <w:proofErr w:type="spellEnd"/>
      <w:r w:rsidRPr="00DC465F">
        <w:rPr>
          <w:szCs w:val="18"/>
        </w:rPr>
        <w:t xml:space="preserve"> is dat de maatregelen van de nieuwe asielprocedure ook worden toegepast op de </w:t>
      </w:r>
      <w:r w:rsidR="00D9314B">
        <w:rPr>
          <w:szCs w:val="18"/>
        </w:rPr>
        <w:t>openstaande</w:t>
      </w:r>
      <w:r w:rsidRPr="00DC465F">
        <w:rPr>
          <w:szCs w:val="18"/>
        </w:rPr>
        <w:t xml:space="preserve"> </w:t>
      </w:r>
      <w:r w:rsidR="001F4D61">
        <w:rPr>
          <w:szCs w:val="18"/>
        </w:rPr>
        <w:t>asielaanvragen</w:t>
      </w:r>
      <w:r w:rsidR="00102DAD">
        <w:rPr>
          <w:szCs w:val="18"/>
        </w:rPr>
        <w:t>.</w:t>
      </w:r>
    </w:p>
    <w:p w:rsidRPr="00596D0B" w:rsidR="00DA091B" w:rsidP="00A81472" w:rsidRDefault="007D7247" w14:paraId="4FDD11DE" w14:textId="1A813428">
      <w:pPr>
        <w:pStyle w:val="Lijstalinea"/>
        <w:numPr>
          <w:ilvl w:val="0"/>
          <w:numId w:val="9"/>
        </w:numPr>
        <w:rPr>
          <w:szCs w:val="18"/>
        </w:rPr>
      </w:pPr>
      <w:r w:rsidRPr="00596D0B">
        <w:rPr>
          <w:szCs w:val="18"/>
        </w:rPr>
        <w:t xml:space="preserve">Om te voorkomen dat asielzoekers hun aanvraag intrekken en onder </w:t>
      </w:r>
      <w:r w:rsidRPr="00596D0B" w:rsidR="00733E86">
        <w:rPr>
          <w:szCs w:val="18"/>
        </w:rPr>
        <w:t xml:space="preserve">Pact </w:t>
      </w:r>
      <w:r w:rsidRPr="00596D0B">
        <w:rPr>
          <w:szCs w:val="18"/>
        </w:rPr>
        <w:t xml:space="preserve">een nieuwe asielaanvraag indienen met als gevolg dat er een verschuiving plaatsvindt, zullen asielzoekers die hun asielaanvraag intrekken en na 12 juni 2026 </w:t>
      </w:r>
      <w:r w:rsidR="00102DAD">
        <w:rPr>
          <w:szCs w:val="18"/>
        </w:rPr>
        <w:t>opnieuw</w:t>
      </w:r>
      <w:r w:rsidRPr="00596D0B">
        <w:rPr>
          <w:szCs w:val="18"/>
        </w:rPr>
        <w:t xml:space="preserve"> indienen, onder de </w:t>
      </w:r>
      <w:r w:rsidRPr="00596D0B" w:rsidR="00C806DF">
        <w:rPr>
          <w:szCs w:val="18"/>
        </w:rPr>
        <w:t>openstaande asielaanvragen vallen</w:t>
      </w:r>
      <w:r w:rsidRPr="00596D0B">
        <w:rPr>
          <w:szCs w:val="18"/>
        </w:rPr>
        <w:t xml:space="preserve">. </w:t>
      </w:r>
    </w:p>
    <w:p w:rsidRPr="00990BAA" w:rsidR="007D7247" w:rsidP="00990BAA" w:rsidRDefault="007D7247" w14:paraId="737E2DDA" w14:textId="362ADBA0">
      <w:pPr>
        <w:pStyle w:val="Lijstalinea"/>
        <w:numPr>
          <w:ilvl w:val="0"/>
          <w:numId w:val="9"/>
        </w:numPr>
        <w:rPr>
          <w:szCs w:val="18"/>
        </w:rPr>
      </w:pPr>
      <w:r w:rsidRPr="00226572">
        <w:rPr>
          <w:szCs w:val="18"/>
        </w:rPr>
        <w:t xml:space="preserve">De </w:t>
      </w:r>
      <w:r w:rsidRPr="00226572" w:rsidR="00D9314B">
        <w:rPr>
          <w:szCs w:val="18"/>
        </w:rPr>
        <w:t>openstaande</w:t>
      </w:r>
      <w:r w:rsidRPr="00226572">
        <w:rPr>
          <w:szCs w:val="18"/>
        </w:rPr>
        <w:t xml:space="preserve"> </w:t>
      </w:r>
      <w:r w:rsidRPr="00226572" w:rsidR="00C806DF">
        <w:rPr>
          <w:szCs w:val="18"/>
        </w:rPr>
        <w:t>asielaanvragen worden</w:t>
      </w:r>
      <w:r w:rsidRPr="00226572">
        <w:rPr>
          <w:szCs w:val="18"/>
        </w:rPr>
        <w:t xml:space="preserve"> in categorieën verdeeld.</w:t>
      </w:r>
      <w:r w:rsidRPr="00226572" w:rsidR="00367011">
        <w:rPr>
          <w:szCs w:val="18"/>
        </w:rPr>
        <w:t xml:space="preserve"> </w:t>
      </w:r>
      <w:r w:rsidRPr="00226572" w:rsidR="00226572">
        <w:rPr>
          <w:szCs w:val="18"/>
        </w:rPr>
        <w:t>Bij alle categorieën geldt dat het landenbeleid leidend is en vervolgens risico</w:t>
      </w:r>
      <w:r w:rsidR="00102DAD">
        <w:rPr>
          <w:szCs w:val="18"/>
        </w:rPr>
        <w:t xml:space="preserve"> </w:t>
      </w:r>
      <w:r w:rsidRPr="00226572" w:rsidR="00226572">
        <w:rPr>
          <w:szCs w:val="18"/>
        </w:rPr>
        <w:t>gestuurd gewerkt kan worden. Per categorie zal een andere, maar een zoveel als mogelijk gestandaardiseerde werkwijze op inhoud en proces gelden, waarbij het doel is om het proces zo efficiënt mogelijk te doorlopen. Binnen deze categorieën worden verschillende nationaliteiten tegelijkertijd behandeld, die na een aantal maanden worden afgewisseld door andere nationaliteiten.</w:t>
      </w:r>
    </w:p>
    <w:p w:rsidRPr="00755EEF" w:rsidR="002B07D1" w:rsidP="002B07D1" w:rsidRDefault="00B85EE9" w14:paraId="2AD38778" w14:textId="5DE09518">
      <w:pPr>
        <w:pStyle w:val="Lijstalinea"/>
        <w:numPr>
          <w:ilvl w:val="0"/>
          <w:numId w:val="9"/>
        </w:numPr>
        <w:rPr>
          <w:szCs w:val="18"/>
        </w:rPr>
      </w:pPr>
      <w:bookmarkStart w:name="_Hlk230766489" w:id="0"/>
      <w:r w:rsidRPr="00755EEF">
        <w:rPr>
          <w:szCs w:val="18"/>
        </w:rPr>
        <w:t xml:space="preserve">Eventuele wijziging in prioriteiten </w:t>
      </w:r>
      <w:r w:rsidRPr="00755EEF" w:rsidR="00D25B11">
        <w:rPr>
          <w:szCs w:val="18"/>
        </w:rPr>
        <w:t xml:space="preserve">gedurende het traject </w:t>
      </w:r>
      <w:r w:rsidRPr="00755EEF" w:rsidR="00B900F1">
        <w:rPr>
          <w:szCs w:val="18"/>
        </w:rPr>
        <w:t xml:space="preserve">die niet bijdragen aan het afdoen van de openstaande vragen van vóór 12 juni 2026 hebben effect op de doorlooptijd van het traject. </w:t>
      </w:r>
    </w:p>
    <w:bookmarkEnd w:id="0"/>
    <w:p w:rsidRPr="0001651E" w:rsidR="00DC465F" w:rsidP="00C806DF" w:rsidRDefault="00DC465F" w14:paraId="457CBA52" w14:textId="2FE327E3">
      <w:pPr>
        <w:rPr>
          <w:szCs w:val="18"/>
        </w:rPr>
      </w:pPr>
      <w:r>
        <w:rPr>
          <w:b/>
          <w:bCs/>
          <w:szCs w:val="18"/>
        </w:rPr>
        <w:br/>
      </w:r>
      <w:r w:rsidRPr="00C34248">
        <w:rPr>
          <w:b/>
          <w:bCs/>
          <w:color w:val="4F81BD" w:themeColor="accent1"/>
          <w:sz w:val="32"/>
          <w:szCs w:val="32"/>
        </w:rPr>
        <w:t>Aanpak</w:t>
      </w:r>
      <w:r w:rsidRPr="00C34248">
        <w:rPr>
          <w:color w:val="4F81BD" w:themeColor="accent1"/>
          <w:sz w:val="32"/>
          <w:szCs w:val="32"/>
        </w:rPr>
        <w:t xml:space="preserve"> </w:t>
      </w:r>
      <w:r w:rsidR="007D7247">
        <w:rPr>
          <w:color w:val="4F81BD" w:themeColor="accent1"/>
          <w:sz w:val="32"/>
          <w:szCs w:val="32"/>
        </w:rPr>
        <w:br/>
      </w:r>
      <w:r>
        <w:br/>
      </w:r>
      <w:bookmarkStart w:name="_Hlk229575985" w:id="1"/>
      <w:r w:rsidRPr="00DC465F">
        <w:rPr>
          <w:szCs w:val="18"/>
        </w:rPr>
        <w:t>De IND</w:t>
      </w:r>
      <w:r w:rsidRPr="003C28F3">
        <w:rPr>
          <w:szCs w:val="18"/>
        </w:rPr>
        <w:t xml:space="preserve"> </w:t>
      </w:r>
      <w:r>
        <w:rPr>
          <w:szCs w:val="18"/>
        </w:rPr>
        <w:t xml:space="preserve">heeft </w:t>
      </w:r>
      <w:r w:rsidRPr="003C28F3">
        <w:rPr>
          <w:szCs w:val="18"/>
        </w:rPr>
        <w:t xml:space="preserve">een brede analyse gemaakt van de </w:t>
      </w:r>
      <w:r w:rsidR="00D9314B">
        <w:rPr>
          <w:szCs w:val="18"/>
        </w:rPr>
        <w:t>openstaande</w:t>
      </w:r>
      <w:r w:rsidR="0001651E">
        <w:rPr>
          <w:szCs w:val="18"/>
        </w:rPr>
        <w:t xml:space="preserve"> asielaanvragen. </w:t>
      </w:r>
      <w:r w:rsidR="00130226">
        <w:rPr>
          <w:szCs w:val="18"/>
        </w:rPr>
        <w:t xml:space="preserve">Naast de beschrijving hieronder staan deze ook weergegeven in </w:t>
      </w:r>
      <w:r w:rsidR="00102DAD">
        <w:rPr>
          <w:szCs w:val="18"/>
        </w:rPr>
        <w:t>de</w:t>
      </w:r>
      <w:r w:rsidR="00130226">
        <w:rPr>
          <w:szCs w:val="18"/>
        </w:rPr>
        <w:t xml:space="preserve"> tabel</w:t>
      </w:r>
      <w:r w:rsidR="00102DAD">
        <w:rPr>
          <w:szCs w:val="18"/>
        </w:rPr>
        <w:t xml:space="preserve"> op pagina 6</w:t>
      </w:r>
      <w:r w:rsidR="00130226">
        <w:rPr>
          <w:szCs w:val="18"/>
        </w:rPr>
        <w:t xml:space="preserve">. </w:t>
      </w:r>
      <w:r w:rsidRPr="003C28F3">
        <w:rPr>
          <w:szCs w:val="18"/>
        </w:rPr>
        <w:t>Op basis van deze analyse k</w:t>
      </w:r>
      <w:r w:rsidR="0001651E">
        <w:rPr>
          <w:szCs w:val="18"/>
        </w:rPr>
        <w:t xml:space="preserve">unnen deze </w:t>
      </w:r>
      <w:r w:rsidR="00C806DF">
        <w:rPr>
          <w:szCs w:val="18"/>
        </w:rPr>
        <w:t>aanvragen worden</w:t>
      </w:r>
      <w:r w:rsidRPr="003C28F3">
        <w:rPr>
          <w:szCs w:val="18"/>
        </w:rPr>
        <w:t xml:space="preserve"> onderverdeeld in</w:t>
      </w:r>
      <w:r>
        <w:rPr>
          <w:szCs w:val="18"/>
        </w:rPr>
        <w:t xml:space="preserve"> verschillende</w:t>
      </w:r>
      <w:r w:rsidRPr="003C28F3">
        <w:rPr>
          <w:szCs w:val="18"/>
        </w:rPr>
        <w:t xml:space="preserve"> categorieën, waarbij onder andere gekeken is naar het </w:t>
      </w:r>
      <w:r>
        <w:rPr>
          <w:szCs w:val="18"/>
        </w:rPr>
        <w:t xml:space="preserve">afwijzings- en </w:t>
      </w:r>
      <w:r w:rsidRPr="003C28F3">
        <w:rPr>
          <w:szCs w:val="18"/>
        </w:rPr>
        <w:t xml:space="preserve">inwilligingspercentage, het landenbeleid en de complexiteit van </w:t>
      </w:r>
      <w:r>
        <w:rPr>
          <w:szCs w:val="18"/>
        </w:rPr>
        <w:t xml:space="preserve">bepaalde typen zaken voor </w:t>
      </w:r>
      <w:r w:rsidRPr="003C28F3">
        <w:rPr>
          <w:szCs w:val="18"/>
        </w:rPr>
        <w:t xml:space="preserve">de beoordeling </w:t>
      </w:r>
      <w:r>
        <w:rPr>
          <w:szCs w:val="18"/>
        </w:rPr>
        <w:t>d</w:t>
      </w:r>
      <w:r w:rsidRPr="003C28F3">
        <w:rPr>
          <w:szCs w:val="18"/>
        </w:rPr>
        <w:t>oor de IND. Op basis daarvan is gezocht naar een categorisering die het mogelijk maakt om voor (een deel van) het werkproces van de IND te komen tot specialisatie of standaardisering en daarmee een snellere behandeling van de aanvragen.</w:t>
      </w:r>
      <w:r w:rsidR="0001651E">
        <w:rPr>
          <w:szCs w:val="18"/>
        </w:rPr>
        <w:t xml:space="preserve"> </w:t>
      </w:r>
      <w:r w:rsidR="000426C9">
        <w:rPr>
          <w:szCs w:val="18"/>
        </w:rPr>
        <w:t xml:space="preserve">Dit in het verlengde van de mogelijkheden die het Pact biedt. </w:t>
      </w:r>
      <w:r>
        <w:rPr>
          <w:szCs w:val="18"/>
        </w:rPr>
        <w:t xml:space="preserve">Daarbij </w:t>
      </w:r>
      <w:r w:rsidR="00D9314B">
        <w:rPr>
          <w:szCs w:val="18"/>
        </w:rPr>
        <w:t>wordt</w:t>
      </w:r>
      <w:r>
        <w:rPr>
          <w:szCs w:val="18"/>
        </w:rPr>
        <w:t xml:space="preserve"> </w:t>
      </w:r>
      <w:r w:rsidR="00C806DF">
        <w:rPr>
          <w:szCs w:val="18"/>
        </w:rPr>
        <w:t>opgemerkt dat</w:t>
      </w:r>
      <w:r>
        <w:rPr>
          <w:szCs w:val="18"/>
        </w:rPr>
        <w:t xml:space="preserve"> </w:t>
      </w:r>
      <w:r w:rsidRPr="0089210D">
        <w:rPr>
          <w:szCs w:val="18"/>
        </w:rPr>
        <w:t xml:space="preserve">de aanpak van </w:t>
      </w:r>
      <w:proofErr w:type="spellStart"/>
      <w:r w:rsidRPr="0089210D">
        <w:rPr>
          <w:szCs w:val="18"/>
        </w:rPr>
        <w:t>overlastgevende</w:t>
      </w:r>
      <w:proofErr w:type="spellEnd"/>
      <w:r w:rsidRPr="0089210D">
        <w:rPr>
          <w:szCs w:val="18"/>
        </w:rPr>
        <w:t xml:space="preserve"> </w:t>
      </w:r>
      <w:r w:rsidR="00D9314B">
        <w:rPr>
          <w:szCs w:val="18"/>
        </w:rPr>
        <w:t xml:space="preserve">asielzoekers </w:t>
      </w:r>
      <w:r w:rsidR="00EA0177">
        <w:rPr>
          <w:szCs w:val="18"/>
        </w:rPr>
        <w:t xml:space="preserve">de hoogste </w:t>
      </w:r>
      <w:r w:rsidRPr="0089210D">
        <w:rPr>
          <w:szCs w:val="18"/>
        </w:rPr>
        <w:t xml:space="preserve">prioriteit blijft houden en dat deze </w:t>
      </w:r>
      <w:r w:rsidR="00EA0177">
        <w:rPr>
          <w:szCs w:val="18"/>
        </w:rPr>
        <w:t>groep</w:t>
      </w:r>
      <w:r w:rsidR="00D9314B">
        <w:rPr>
          <w:szCs w:val="18"/>
        </w:rPr>
        <w:t xml:space="preserve"> </w:t>
      </w:r>
      <w:r w:rsidR="00EA0177">
        <w:rPr>
          <w:szCs w:val="18"/>
        </w:rPr>
        <w:t xml:space="preserve">net als nu het geval is, </w:t>
      </w:r>
      <w:r w:rsidRPr="0089210D">
        <w:rPr>
          <w:szCs w:val="18"/>
        </w:rPr>
        <w:t xml:space="preserve">met </w:t>
      </w:r>
      <w:r w:rsidR="00D9314B">
        <w:rPr>
          <w:szCs w:val="18"/>
        </w:rPr>
        <w:t>een</w:t>
      </w:r>
      <w:r w:rsidRPr="0089210D">
        <w:rPr>
          <w:szCs w:val="18"/>
        </w:rPr>
        <w:t xml:space="preserve"> versnelde procedure door het proces gaa</w:t>
      </w:r>
      <w:r w:rsidR="00D9314B">
        <w:rPr>
          <w:szCs w:val="18"/>
        </w:rPr>
        <w:t>t</w:t>
      </w:r>
      <w:r w:rsidRPr="0089210D">
        <w:rPr>
          <w:szCs w:val="18"/>
        </w:rPr>
        <w:t xml:space="preserve"> en daarmee los staa</w:t>
      </w:r>
      <w:r w:rsidR="00C806DF">
        <w:rPr>
          <w:szCs w:val="18"/>
        </w:rPr>
        <w:t>n</w:t>
      </w:r>
      <w:r w:rsidRPr="0089210D">
        <w:rPr>
          <w:szCs w:val="18"/>
        </w:rPr>
        <w:t xml:space="preserve"> van dit plan van aanpak.</w:t>
      </w:r>
      <w:r w:rsidR="0001651E">
        <w:rPr>
          <w:szCs w:val="18"/>
        </w:rPr>
        <w:t xml:space="preserve"> </w:t>
      </w:r>
      <w:r w:rsidR="00EA0177">
        <w:rPr>
          <w:szCs w:val="18"/>
        </w:rPr>
        <w:t xml:space="preserve">Ook zullen </w:t>
      </w:r>
      <w:r w:rsidR="00D9314B">
        <w:rPr>
          <w:szCs w:val="18"/>
        </w:rPr>
        <w:t>aanvragen van asielzoekers</w:t>
      </w:r>
      <w:r w:rsidR="00EA0177">
        <w:rPr>
          <w:szCs w:val="18"/>
        </w:rPr>
        <w:t xml:space="preserve"> uit de </w:t>
      </w:r>
      <w:r w:rsidR="00075C14">
        <w:rPr>
          <w:szCs w:val="18"/>
        </w:rPr>
        <w:t xml:space="preserve">voormalige </w:t>
      </w:r>
      <w:r w:rsidR="00EA0177">
        <w:rPr>
          <w:szCs w:val="18"/>
        </w:rPr>
        <w:t>veilige landen van herkomst</w:t>
      </w:r>
      <w:r w:rsidR="00D9314B">
        <w:rPr>
          <w:szCs w:val="18"/>
        </w:rPr>
        <w:t>,</w:t>
      </w:r>
      <w:r w:rsidR="00EA0177">
        <w:rPr>
          <w:szCs w:val="18"/>
        </w:rPr>
        <w:t xml:space="preserve"> net als momenteel het geval is</w:t>
      </w:r>
      <w:r w:rsidR="00D9314B">
        <w:rPr>
          <w:szCs w:val="18"/>
        </w:rPr>
        <w:t>,</w:t>
      </w:r>
      <w:r w:rsidR="00EA0177">
        <w:rPr>
          <w:szCs w:val="18"/>
        </w:rPr>
        <w:t xml:space="preserve"> met prioriteit worden </w:t>
      </w:r>
      <w:r w:rsidR="00D9314B">
        <w:rPr>
          <w:szCs w:val="18"/>
        </w:rPr>
        <w:t>afgehandeld</w:t>
      </w:r>
      <w:r w:rsidR="00EA0177">
        <w:rPr>
          <w:szCs w:val="18"/>
        </w:rPr>
        <w:t xml:space="preserve">. </w:t>
      </w:r>
      <w:r w:rsidRPr="006C0270">
        <w:rPr>
          <w:szCs w:val="18"/>
        </w:rPr>
        <w:t xml:space="preserve">Voor </w:t>
      </w:r>
      <w:proofErr w:type="spellStart"/>
      <w:r w:rsidR="005D0C16">
        <w:rPr>
          <w:szCs w:val="18"/>
        </w:rPr>
        <w:t>amv’s</w:t>
      </w:r>
      <w:proofErr w:type="spellEnd"/>
      <w:r w:rsidRPr="006C0270">
        <w:rPr>
          <w:szCs w:val="18"/>
        </w:rPr>
        <w:t xml:space="preserve"> geldt dat de</w:t>
      </w:r>
      <w:r w:rsidR="00683D6F">
        <w:rPr>
          <w:szCs w:val="18"/>
        </w:rPr>
        <w:t>ze</w:t>
      </w:r>
      <w:r w:rsidRPr="006C0270">
        <w:rPr>
          <w:szCs w:val="18"/>
        </w:rPr>
        <w:t xml:space="preserve"> </w:t>
      </w:r>
      <w:r w:rsidR="0001651E">
        <w:rPr>
          <w:szCs w:val="18"/>
        </w:rPr>
        <w:t xml:space="preserve">buiten </w:t>
      </w:r>
      <w:r w:rsidR="00C806DF">
        <w:rPr>
          <w:szCs w:val="18"/>
        </w:rPr>
        <w:t>de categorieën</w:t>
      </w:r>
      <w:r>
        <w:rPr>
          <w:szCs w:val="18"/>
        </w:rPr>
        <w:t xml:space="preserve"> </w:t>
      </w:r>
      <w:r w:rsidR="0001651E">
        <w:rPr>
          <w:szCs w:val="18"/>
        </w:rPr>
        <w:t xml:space="preserve">van het plan van aanpak vallen </w:t>
      </w:r>
      <w:r>
        <w:rPr>
          <w:szCs w:val="18"/>
        </w:rPr>
        <w:t>en net als nu met prioriteit worden behandeld. Deze aanvragen worden afgedaan door een team</w:t>
      </w:r>
      <w:r w:rsidR="0001651E">
        <w:rPr>
          <w:szCs w:val="18"/>
        </w:rPr>
        <w:t xml:space="preserve"> met</w:t>
      </w:r>
      <w:r>
        <w:rPr>
          <w:szCs w:val="18"/>
        </w:rPr>
        <w:t xml:space="preserve"> </w:t>
      </w:r>
      <w:r>
        <w:rPr>
          <w:szCs w:val="18"/>
        </w:rPr>
        <w:lastRenderedPageBreak/>
        <w:t xml:space="preserve">hoor- en beslismedewerkers die hier speciaal voor </w:t>
      </w:r>
      <w:r w:rsidR="00D9314B">
        <w:rPr>
          <w:szCs w:val="18"/>
        </w:rPr>
        <w:t>is</w:t>
      </w:r>
      <w:r>
        <w:rPr>
          <w:szCs w:val="18"/>
        </w:rPr>
        <w:t xml:space="preserve"> opgeleid. </w:t>
      </w:r>
      <w:r w:rsidR="00D9314B">
        <w:rPr>
          <w:szCs w:val="18"/>
        </w:rPr>
        <w:t>Hiertoe</w:t>
      </w:r>
      <w:r>
        <w:rPr>
          <w:szCs w:val="18"/>
        </w:rPr>
        <w:t xml:space="preserve"> </w:t>
      </w:r>
      <w:r w:rsidR="00C806DF">
        <w:rPr>
          <w:szCs w:val="18"/>
        </w:rPr>
        <w:t>is een locatie ingericht</w:t>
      </w:r>
      <w:r>
        <w:rPr>
          <w:szCs w:val="18"/>
        </w:rPr>
        <w:t xml:space="preserve"> met</w:t>
      </w:r>
      <w:r w:rsidR="0006622D">
        <w:rPr>
          <w:szCs w:val="18"/>
        </w:rPr>
        <w:t>, waar nodig,</w:t>
      </w:r>
      <w:r>
        <w:rPr>
          <w:szCs w:val="18"/>
        </w:rPr>
        <w:t xml:space="preserve"> speciale </w:t>
      </w:r>
      <w:proofErr w:type="spellStart"/>
      <w:r>
        <w:rPr>
          <w:szCs w:val="18"/>
        </w:rPr>
        <w:t>hoorkamers</w:t>
      </w:r>
      <w:proofErr w:type="spellEnd"/>
      <w:r>
        <w:rPr>
          <w:szCs w:val="18"/>
        </w:rPr>
        <w:t xml:space="preserve">. </w:t>
      </w:r>
      <w:bookmarkStart w:name="_Hlk231467295" w:id="2"/>
      <w:r w:rsidR="0006622D">
        <w:rPr>
          <w:szCs w:val="18"/>
        </w:rPr>
        <w:t>Gezien de bijzondere kwetsbaarheid van deze groep heb ik aan die bestaande prioritering geen afbreuk willen doen.</w:t>
      </w:r>
    </w:p>
    <w:bookmarkEnd w:id="1"/>
    <w:bookmarkEnd w:id="2"/>
    <w:p w:rsidR="00DC465F" w:rsidP="00DC465F" w:rsidRDefault="00DC465F" w14:paraId="5D04C570" w14:textId="77777777">
      <w:pPr>
        <w:rPr>
          <w:szCs w:val="18"/>
        </w:rPr>
      </w:pPr>
    </w:p>
    <w:p w:rsidRPr="00596D0B" w:rsidR="00DC465F" w:rsidP="00DC465F" w:rsidRDefault="00DC465F" w14:paraId="64C74C36" w14:textId="529AA8B7">
      <w:pPr>
        <w:rPr>
          <w:szCs w:val="18"/>
        </w:rPr>
      </w:pPr>
      <w:r w:rsidRPr="003C28F3">
        <w:rPr>
          <w:szCs w:val="18"/>
        </w:rPr>
        <w:t xml:space="preserve">De IND zal de groepen in tijdscohorten oppakken. Dit houdt in dat </w:t>
      </w:r>
      <w:bookmarkStart w:name="_Hlk230029804" w:id="3"/>
      <w:r w:rsidRPr="003C28F3">
        <w:rPr>
          <w:szCs w:val="18"/>
        </w:rPr>
        <w:t>de IND met een plancyclus gaat werken van circa 3 maanden en op grond van</w:t>
      </w:r>
      <w:r w:rsidR="00F1038B">
        <w:rPr>
          <w:szCs w:val="18"/>
        </w:rPr>
        <w:t xml:space="preserve"> huidige</w:t>
      </w:r>
      <w:r w:rsidRPr="003C28F3">
        <w:rPr>
          <w:szCs w:val="18"/>
        </w:rPr>
        <w:t xml:space="preserve"> inwilligingspercentages en wachttijd een keuze zal maken om een groep op te pakken volgens de aanpak</w:t>
      </w:r>
      <w:r w:rsidR="00281661">
        <w:rPr>
          <w:szCs w:val="18"/>
        </w:rPr>
        <w:t xml:space="preserve"> in desbetreffende categorie</w:t>
      </w:r>
      <w:r w:rsidRPr="003C28F3">
        <w:rPr>
          <w:szCs w:val="18"/>
        </w:rPr>
        <w:t xml:space="preserve">. Van belang is – </w:t>
      </w:r>
      <w:r w:rsidR="00281661">
        <w:rPr>
          <w:szCs w:val="18"/>
        </w:rPr>
        <w:t>mede</w:t>
      </w:r>
      <w:r w:rsidRPr="003C28F3">
        <w:rPr>
          <w:szCs w:val="18"/>
        </w:rPr>
        <w:t xml:space="preserve"> vanwege de effecten bij het COA en de Rechtspraak – om een juiste verdeling te maken tussen de mogelijk</w:t>
      </w:r>
      <w:r w:rsidR="00281661">
        <w:rPr>
          <w:szCs w:val="18"/>
        </w:rPr>
        <w:t xml:space="preserve">e </w:t>
      </w:r>
      <w:r w:rsidRPr="003C28F3">
        <w:rPr>
          <w:szCs w:val="18"/>
        </w:rPr>
        <w:t xml:space="preserve">in te willigen en af te wijzen </w:t>
      </w:r>
      <w:r w:rsidR="00D9314B">
        <w:rPr>
          <w:szCs w:val="18"/>
        </w:rPr>
        <w:t>aanvragen</w:t>
      </w:r>
      <w:r w:rsidRPr="003C28F3">
        <w:rPr>
          <w:szCs w:val="18"/>
        </w:rPr>
        <w:t xml:space="preserve"> zodat het inwilligingspercentage </w:t>
      </w:r>
      <w:r w:rsidR="000C71ED">
        <w:rPr>
          <w:szCs w:val="18"/>
        </w:rPr>
        <w:t xml:space="preserve">overwegend </w:t>
      </w:r>
      <w:r w:rsidR="00C806DF">
        <w:rPr>
          <w:szCs w:val="18"/>
        </w:rPr>
        <w:t xml:space="preserve">stabiel </w:t>
      </w:r>
      <w:r w:rsidRPr="003C28F3" w:rsidR="00C806DF">
        <w:rPr>
          <w:szCs w:val="18"/>
        </w:rPr>
        <w:t>blijft</w:t>
      </w:r>
      <w:r w:rsidRPr="003C28F3">
        <w:rPr>
          <w:szCs w:val="18"/>
        </w:rPr>
        <w:t xml:space="preserve">. </w:t>
      </w:r>
      <w:bookmarkEnd w:id="3"/>
      <w:r w:rsidR="00596D0B">
        <w:rPr>
          <w:szCs w:val="18"/>
        </w:rPr>
        <w:t>D</w:t>
      </w:r>
      <w:r w:rsidRPr="003C28F3">
        <w:rPr>
          <w:szCs w:val="18"/>
        </w:rPr>
        <w:t xml:space="preserve">e beoordeling of iemand in Nederland mag blijven valt grofweg </w:t>
      </w:r>
      <w:r w:rsidR="00F1038B">
        <w:rPr>
          <w:szCs w:val="18"/>
        </w:rPr>
        <w:t>in</w:t>
      </w:r>
      <w:r w:rsidRPr="003C28F3" w:rsidR="00F1038B">
        <w:rPr>
          <w:szCs w:val="18"/>
        </w:rPr>
        <w:t xml:space="preserve"> </w:t>
      </w:r>
      <w:r w:rsidRPr="003C28F3">
        <w:rPr>
          <w:szCs w:val="18"/>
        </w:rPr>
        <w:t xml:space="preserve">te delen in aanvragen die </w:t>
      </w:r>
      <w:r w:rsidR="00275FB1">
        <w:rPr>
          <w:szCs w:val="18"/>
        </w:rPr>
        <w:t>volgens</w:t>
      </w:r>
      <w:r w:rsidRPr="003C28F3">
        <w:rPr>
          <w:szCs w:val="18"/>
        </w:rPr>
        <w:t xml:space="preserve"> het huidige landenbeleid al snel in aanmerking komen voor bescherming, andere aanvragen met nationaliteiten die daarentegen juist in zeer uitzonderlijke gevallen bescherming krijgen, of waar bijvoorbeeld mede vanwege uiteenlopende motieven, een uitgebreide beoordeling nodig is.</w:t>
      </w:r>
      <w:r w:rsidR="006F65A6">
        <w:rPr>
          <w:szCs w:val="18"/>
        </w:rPr>
        <w:t xml:space="preserve"> Dit biedt de IND de mogelijkheid om </w:t>
      </w:r>
      <w:proofErr w:type="spellStart"/>
      <w:r w:rsidR="006F65A6">
        <w:rPr>
          <w:szCs w:val="18"/>
        </w:rPr>
        <w:t>risicogestuurd</w:t>
      </w:r>
      <w:proofErr w:type="spellEnd"/>
      <w:r w:rsidR="006F65A6">
        <w:rPr>
          <w:szCs w:val="18"/>
        </w:rPr>
        <w:t xml:space="preserve"> te werk te gaan.</w:t>
      </w:r>
      <w:r w:rsidRPr="003C28F3">
        <w:rPr>
          <w:szCs w:val="18"/>
        </w:rPr>
        <w:t xml:space="preserve"> Vervolgens kan een </w:t>
      </w:r>
      <w:r w:rsidR="006F65A6">
        <w:rPr>
          <w:szCs w:val="18"/>
        </w:rPr>
        <w:t xml:space="preserve">namelijk </w:t>
      </w:r>
      <w:r w:rsidRPr="003C28F3">
        <w:rPr>
          <w:szCs w:val="18"/>
        </w:rPr>
        <w:t>onderscheid gemaakt worden op basis van:</w:t>
      </w:r>
      <w:r w:rsidR="00275FB1">
        <w:rPr>
          <w:szCs w:val="18"/>
        </w:rPr>
        <w:br/>
      </w:r>
    </w:p>
    <w:p w:rsidRPr="003C28F3" w:rsidR="00DC465F" w:rsidP="009704C7" w:rsidRDefault="00DC465F" w14:paraId="4CC3AA87" w14:textId="77777777">
      <w:pPr>
        <w:numPr>
          <w:ilvl w:val="0"/>
          <w:numId w:val="7"/>
        </w:numPr>
        <w:spacing w:after="160" w:line="259" w:lineRule="auto"/>
        <w:ind w:left="720"/>
        <w:rPr>
          <w:szCs w:val="18"/>
        </w:rPr>
      </w:pPr>
      <w:r w:rsidRPr="003C28F3">
        <w:rPr>
          <w:szCs w:val="18"/>
        </w:rPr>
        <w:t xml:space="preserve">Nationaliteit in relatie tot het </w:t>
      </w:r>
      <w:r>
        <w:rPr>
          <w:szCs w:val="18"/>
        </w:rPr>
        <w:t xml:space="preserve">afwijzings- en </w:t>
      </w:r>
      <w:r w:rsidRPr="003C28F3">
        <w:rPr>
          <w:szCs w:val="18"/>
        </w:rPr>
        <w:t>inwilligingspercentage.</w:t>
      </w:r>
    </w:p>
    <w:p w:rsidRPr="003C28F3" w:rsidR="00DC465F" w:rsidP="009704C7" w:rsidRDefault="00DC465F" w14:paraId="0971E100" w14:textId="035CEE32">
      <w:pPr>
        <w:numPr>
          <w:ilvl w:val="0"/>
          <w:numId w:val="7"/>
        </w:numPr>
        <w:spacing w:after="160" w:line="259" w:lineRule="auto"/>
        <w:ind w:left="720"/>
        <w:rPr>
          <w:szCs w:val="18"/>
        </w:rPr>
      </w:pPr>
      <w:r w:rsidRPr="003C28F3">
        <w:rPr>
          <w:szCs w:val="18"/>
        </w:rPr>
        <w:t>De mate waarin op basis van het onderliggende dossier voldoende informatie is om in te willigen/af te wijzen.</w:t>
      </w:r>
    </w:p>
    <w:p w:rsidRPr="003C28F3" w:rsidR="00DC465F" w:rsidP="009704C7" w:rsidRDefault="00DC465F" w14:paraId="70D17C50" w14:textId="77777777">
      <w:pPr>
        <w:numPr>
          <w:ilvl w:val="0"/>
          <w:numId w:val="7"/>
        </w:numPr>
        <w:spacing w:after="160" w:line="259" w:lineRule="auto"/>
        <w:ind w:left="720"/>
        <w:rPr>
          <w:szCs w:val="18"/>
        </w:rPr>
      </w:pPr>
      <w:r w:rsidRPr="003C28F3">
        <w:rPr>
          <w:szCs w:val="18"/>
        </w:rPr>
        <w:t>De mate waarin besluiten gestandaardiseerd kunnen worden.</w:t>
      </w:r>
    </w:p>
    <w:p w:rsidRPr="003C28F3" w:rsidR="00DC465F" w:rsidP="009704C7" w:rsidRDefault="00DC465F" w14:paraId="2F9AF58F" w14:textId="7767DEF1">
      <w:pPr>
        <w:numPr>
          <w:ilvl w:val="0"/>
          <w:numId w:val="7"/>
        </w:numPr>
        <w:spacing w:after="160" w:line="259" w:lineRule="auto"/>
        <w:ind w:left="720"/>
        <w:rPr>
          <w:szCs w:val="18"/>
        </w:rPr>
      </w:pPr>
      <w:r w:rsidRPr="003C28F3">
        <w:rPr>
          <w:szCs w:val="18"/>
        </w:rPr>
        <w:t>Overige</w:t>
      </w:r>
      <w:r w:rsidR="00C806DF">
        <w:rPr>
          <w:szCs w:val="18"/>
        </w:rPr>
        <w:t xml:space="preserve"> </w:t>
      </w:r>
      <w:r w:rsidR="00967E6A">
        <w:rPr>
          <w:szCs w:val="18"/>
        </w:rPr>
        <w:t>groepen</w:t>
      </w:r>
      <w:r w:rsidRPr="003C28F3">
        <w:rPr>
          <w:szCs w:val="18"/>
        </w:rPr>
        <w:t xml:space="preserve"> waarbij een indeling op basis van voorgaande uitgangspunten minder voor de hand ligt. </w:t>
      </w:r>
    </w:p>
    <w:p w:rsidRPr="003C28F3" w:rsidR="00226572" w:rsidP="00DC465F" w:rsidRDefault="00DC465F" w14:paraId="6DFAF2F1" w14:textId="1414123D">
      <w:pPr>
        <w:rPr>
          <w:szCs w:val="18"/>
        </w:rPr>
      </w:pPr>
      <w:r w:rsidRPr="003C28F3">
        <w:rPr>
          <w:szCs w:val="18"/>
        </w:rPr>
        <w:t>Dit resulteert</w:t>
      </w:r>
      <w:r w:rsidR="00275FB1">
        <w:rPr>
          <w:szCs w:val="18"/>
        </w:rPr>
        <w:t xml:space="preserve"> voor merendeel van </w:t>
      </w:r>
      <w:r w:rsidR="00C806DF">
        <w:rPr>
          <w:szCs w:val="18"/>
        </w:rPr>
        <w:t>de 54.000</w:t>
      </w:r>
      <w:r w:rsidR="00D0052E">
        <w:rPr>
          <w:szCs w:val="18"/>
        </w:rPr>
        <w:t xml:space="preserve"> </w:t>
      </w:r>
      <w:r w:rsidR="00275FB1">
        <w:rPr>
          <w:szCs w:val="18"/>
        </w:rPr>
        <w:t xml:space="preserve">openstaande asielaanvragen een </w:t>
      </w:r>
      <w:r w:rsidR="00C806DF">
        <w:rPr>
          <w:szCs w:val="18"/>
        </w:rPr>
        <w:t>onderverdeling in</w:t>
      </w:r>
      <w:r w:rsidRPr="003C28F3">
        <w:rPr>
          <w:szCs w:val="18"/>
        </w:rPr>
        <w:t xml:space="preserve"> </w:t>
      </w:r>
      <w:r>
        <w:rPr>
          <w:szCs w:val="18"/>
        </w:rPr>
        <w:t>4</w:t>
      </w:r>
      <w:r w:rsidRPr="003C28F3">
        <w:rPr>
          <w:szCs w:val="18"/>
        </w:rPr>
        <w:t xml:space="preserve"> categorieën.</w:t>
      </w:r>
      <w:r w:rsidR="00FD49C6">
        <w:rPr>
          <w:szCs w:val="18"/>
        </w:rPr>
        <w:t xml:space="preserve"> </w:t>
      </w:r>
      <w:r w:rsidR="00226572">
        <w:rPr>
          <w:szCs w:val="18"/>
        </w:rPr>
        <w:t>Bij alle categorieën geldt dat het landenbeleid leidend is. Per categorie zal een andere, maar een zoveel als mogelijk gestandaardiseerde werkwijze op inhoud en proces gelden, waarbij het doel is om het proces zo efficiënt mogelijk te doorlopen.</w:t>
      </w:r>
      <w:r w:rsidRPr="00DC465F" w:rsidR="00226572">
        <w:rPr>
          <w:szCs w:val="18"/>
        </w:rPr>
        <w:t xml:space="preserve"> Binnen deze categorieën worden verschillende nationaliteiten tegelijkertijd behandeld, die na een aantal maanden worden afgewisseld door andere nationaliteiten.</w:t>
      </w:r>
    </w:p>
    <w:p w:rsidRPr="003C28F3" w:rsidR="00DC465F" w:rsidP="00DC465F" w:rsidRDefault="00DC465F" w14:paraId="1FCB3E06" w14:textId="254BC2EA">
      <w:pPr>
        <w:rPr>
          <w:szCs w:val="18"/>
        </w:rPr>
      </w:pPr>
      <w:r>
        <w:rPr>
          <w:i/>
          <w:iCs/>
          <w:szCs w:val="18"/>
        </w:rPr>
        <w:br/>
      </w:r>
      <w:r w:rsidR="00967E6A">
        <w:rPr>
          <w:i/>
          <w:iCs/>
          <w:szCs w:val="18"/>
        </w:rPr>
        <w:t>Voorfase</w:t>
      </w:r>
      <w:r w:rsidR="00967E6A">
        <w:rPr>
          <w:i/>
          <w:iCs/>
          <w:szCs w:val="18"/>
        </w:rPr>
        <w:br/>
      </w:r>
      <w:r>
        <w:rPr>
          <w:szCs w:val="18"/>
        </w:rPr>
        <w:t xml:space="preserve">Alle aanvragen starten in de voorfase. Dit houdt in dat de IND  </w:t>
      </w:r>
      <w:r w:rsidRPr="003C28F3">
        <w:rPr>
          <w:szCs w:val="18"/>
        </w:rPr>
        <w:t xml:space="preserve">ruim voor </w:t>
      </w:r>
      <w:r w:rsidRPr="003C28F3" w:rsidR="00C806DF">
        <w:rPr>
          <w:szCs w:val="18"/>
        </w:rPr>
        <w:t>het gehoor</w:t>
      </w:r>
      <w:r w:rsidRPr="003C28F3">
        <w:rPr>
          <w:szCs w:val="18"/>
        </w:rPr>
        <w:t xml:space="preserve"> de asielzoeker een uitnodiging </w:t>
      </w:r>
      <w:r w:rsidR="00D9314B">
        <w:rPr>
          <w:szCs w:val="18"/>
        </w:rPr>
        <w:t>stuurt</w:t>
      </w:r>
      <w:r w:rsidRPr="003C28F3">
        <w:rPr>
          <w:szCs w:val="18"/>
        </w:rPr>
        <w:t xml:space="preserve"> om voorafgaand aan het gehoor, één dag te verschijnen op een aangewezen locatie. Op die dag vinden zoveel mogelijk voorbereidende handelingen plaats</w:t>
      </w:r>
      <w:r w:rsidR="00967E6A">
        <w:rPr>
          <w:szCs w:val="18"/>
        </w:rPr>
        <w:t xml:space="preserve">. </w:t>
      </w:r>
      <w:r w:rsidRPr="003C28F3">
        <w:rPr>
          <w:szCs w:val="18"/>
        </w:rPr>
        <w:t>In ieder geval dienen asielzoekers hun documenten op die dag bij de IND in te leveren, kan een taalindicatie worden afgenomen én worden asielzoekers</w:t>
      </w:r>
      <w:r w:rsidR="00F1038B">
        <w:rPr>
          <w:szCs w:val="18"/>
        </w:rPr>
        <w:t xml:space="preserve"> waar nodig</w:t>
      </w:r>
      <w:r w:rsidRPr="003C28F3">
        <w:rPr>
          <w:szCs w:val="18"/>
        </w:rPr>
        <w:t xml:space="preserve"> in de gelegenheid gesteld hun asielmotief en relaas op papier </w:t>
      </w:r>
      <w:r w:rsidR="008362AC">
        <w:rPr>
          <w:szCs w:val="18"/>
        </w:rPr>
        <w:t xml:space="preserve">te </w:t>
      </w:r>
      <w:r w:rsidRPr="003C28F3">
        <w:rPr>
          <w:szCs w:val="18"/>
        </w:rPr>
        <w:t>zetten.</w:t>
      </w:r>
      <w:r w:rsidR="00967E6A">
        <w:rPr>
          <w:szCs w:val="18"/>
        </w:rPr>
        <w:t xml:space="preserve"> Daarnaast </w:t>
      </w:r>
      <w:r w:rsidR="00C806DF">
        <w:rPr>
          <w:szCs w:val="18"/>
        </w:rPr>
        <w:t>kan ook voorlichting</w:t>
      </w:r>
      <w:r w:rsidR="00967E6A">
        <w:rPr>
          <w:szCs w:val="18"/>
        </w:rPr>
        <w:t xml:space="preserve"> worden gegeven op deze dag</w:t>
      </w:r>
      <w:r w:rsidR="00D9314B">
        <w:rPr>
          <w:szCs w:val="18"/>
        </w:rPr>
        <w:t xml:space="preserve"> met betrekking tot de asielprocedure en eventueel het terugkeerproces</w:t>
      </w:r>
      <w:r w:rsidR="00967E6A">
        <w:rPr>
          <w:szCs w:val="18"/>
        </w:rPr>
        <w:t xml:space="preserve">. Gezien </w:t>
      </w:r>
      <w:r w:rsidR="00D9314B">
        <w:rPr>
          <w:szCs w:val="18"/>
        </w:rPr>
        <w:t>het hier</w:t>
      </w:r>
      <w:r w:rsidR="00967E6A">
        <w:rPr>
          <w:szCs w:val="18"/>
        </w:rPr>
        <w:t xml:space="preserve"> om reeds ingediende asielaanvragen gaat </w:t>
      </w:r>
      <w:r w:rsidR="00C806DF">
        <w:rPr>
          <w:szCs w:val="18"/>
        </w:rPr>
        <w:t>heeft al</w:t>
      </w:r>
      <w:r w:rsidR="00967E6A">
        <w:rPr>
          <w:szCs w:val="18"/>
        </w:rPr>
        <w:t xml:space="preserve"> een aanmeldgehoor </w:t>
      </w:r>
      <w:r w:rsidR="00D9314B">
        <w:rPr>
          <w:szCs w:val="18"/>
        </w:rPr>
        <w:t>plaatsgevonden</w:t>
      </w:r>
      <w:r w:rsidR="00967E6A">
        <w:rPr>
          <w:szCs w:val="18"/>
        </w:rPr>
        <w:t xml:space="preserve"> en </w:t>
      </w:r>
      <w:r w:rsidRPr="003C28F3" w:rsidR="00C806DF">
        <w:rPr>
          <w:szCs w:val="18"/>
        </w:rPr>
        <w:t>is een</w:t>
      </w:r>
      <w:r w:rsidRPr="003C28F3">
        <w:rPr>
          <w:szCs w:val="18"/>
        </w:rPr>
        <w:t xml:space="preserve"> </w:t>
      </w:r>
      <w:proofErr w:type="spellStart"/>
      <w:r w:rsidRPr="00D0052E">
        <w:rPr>
          <w:i/>
          <w:iCs/>
          <w:szCs w:val="18"/>
        </w:rPr>
        <w:t>social</w:t>
      </w:r>
      <w:proofErr w:type="spellEnd"/>
      <w:r w:rsidRPr="00D0052E">
        <w:rPr>
          <w:i/>
          <w:iCs/>
          <w:szCs w:val="18"/>
        </w:rPr>
        <w:t xml:space="preserve"> media</w:t>
      </w:r>
      <w:r w:rsidRPr="003C28F3">
        <w:rPr>
          <w:szCs w:val="18"/>
        </w:rPr>
        <w:t xml:space="preserve"> screening gedaan. Eventuele 1F/NV signalen worden doorgezet naar een daartoe geëquipeerde afdeling.</w:t>
      </w:r>
      <w:r w:rsidR="00967E6A">
        <w:rPr>
          <w:szCs w:val="18"/>
        </w:rPr>
        <w:t xml:space="preserve"> Door al deze handelingen in de voorfase kan het </w:t>
      </w:r>
      <w:r w:rsidR="00C806DF">
        <w:rPr>
          <w:szCs w:val="18"/>
        </w:rPr>
        <w:t>vervolgproces goed</w:t>
      </w:r>
      <w:r w:rsidR="00967E6A">
        <w:rPr>
          <w:szCs w:val="18"/>
        </w:rPr>
        <w:t xml:space="preserve"> voorbereid worden en geheel toegespitst worden op de specifieke </w:t>
      </w:r>
      <w:r w:rsidR="004C4076">
        <w:rPr>
          <w:szCs w:val="18"/>
        </w:rPr>
        <w:t xml:space="preserve">aanvraag. </w:t>
      </w:r>
      <w:r w:rsidR="006A032E">
        <w:rPr>
          <w:szCs w:val="18"/>
        </w:rPr>
        <w:t xml:space="preserve">Hoe het vervolgproces eruit </w:t>
      </w:r>
      <w:r w:rsidR="00E40E10">
        <w:rPr>
          <w:szCs w:val="18"/>
        </w:rPr>
        <w:t xml:space="preserve">is </w:t>
      </w:r>
      <w:r w:rsidR="00C806DF">
        <w:rPr>
          <w:szCs w:val="18"/>
        </w:rPr>
        <w:t>afhankelijk van</w:t>
      </w:r>
      <w:r w:rsidR="00E40E10">
        <w:rPr>
          <w:szCs w:val="18"/>
        </w:rPr>
        <w:t xml:space="preserve"> </w:t>
      </w:r>
      <w:r w:rsidR="00C806DF">
        <w:rPr>
          <w:szCs w:val="18"/>
        </w:rPr>
        <w:t>de categorie</w:t>
      </w:r>
      <w:r w:rsidR="009B2EBE">
        <w:rPr>
          <w:szCs w:val="18"/>
        </w:rPr>
        <w:t xml:space="preserve"> </w:t>
      </w:r>
      <w:r w:rsidR="00E40E10">
        <w:rPr>
          <w:szCs w:val="18"/>
        </w:rPr>
        <w:t xml:space="preserve">waaronder </w:t>
      </w:r>
      <w:r w:rsidR="009B2EBE">
        <w:rPr>
          <w:szCs w:val="18"/>
        </w:rPr>
        <w:t xml:space="preserve">de aanvraag valt. </w:t>
      </w:r>
      <w:r w:rsidR="006A032E">
        <w:rPr>
          <w:szCs w:val="18"/>
        </w:rPr>
        <w:t xml:space="preserve"> </w:t>
      </w:r>
    </w:p>
    <w:p w:rsidRPr="003C28F3" w:rsidR="00DC465F" w:rsidP="006B41F8" w:rsidRDefault="00DC465F" w14:paraId="5317249A" w14:textId="7F31F0CD">
      <w:pPr>
        <w:rPr>
          <w:szCs w:val="18"/>
        </w:rPr>
      </w:pPr>
      <w:r>
        <w:rPr>
          <w:i/>
          <w:iCs/>
          <w:szCs w:val="18"/>
        </w:rPr>
        <w:br/>
      </w:r>
      <w:r w:rsidR="00F93F38">
        <w:rPr>
          <w:i/>
          <w:iCs/>
          <w:szCs w:val="18"/>
        </w:rPr>
        <w:t xml:space="preserve">Gericht horen </w:t>
      </w:r>
      <w:r>
        <w:rPr>
          <w:i/>
          <w:iCs/>
          <w:szCs w:val="18"/>
        </w:rPr>
        <w:br/>
      </w:r>
      <w:r>
        <w:rPr>
          <w:szCs w:val="18"/>
        </w:rPr>
        <w:t>U</w:t>
      </w:r>
      <w:r w:rsidRPr="003C28F3">
        <w:rPr>
          <w:szCs w:val="18"/>
        </w:rPr>
        <w:t>itgangspunt</w:t>
      </w:r>
      <w:r w:rsidR="00F93F38">
        <w:rPr>
          <w:szCs w:val="18"/>
        </w:rPr>
        <w:t xml:space="preserve"> is dat</w:t>
      </w:r>
      <w:r w:rsidR="006B41F8">
        <w:rPr>
          <w:szCs w:val="18"/>
        </w:rPr>
        <w:t xml:space="preserve"> de </w:t>
      </w:r>
      <w:r w:rsidRPr="003C28F3" w:rsidR="006B41F8">
        <w:rPr>
          <w:szCs w:val="18"/>
        </w:rPr>
        <w:t>beoordeling van de documenten, de taalindicatie</w:t>
      </w:r>
      <w:r w:rsidR="006B41F8">
        <w:rPr>
          <w:szCs w:val="18"/>
        </w:rPr>
        <w:t xml:space="preserve">, het asielmotief en het schriftelijke relaas </w:t>
      </w:r>
      <w:r w:rsidRPr="003C28F3" w:rsidR="006B41F8">
        <w:rPr>
          <w:szCs w:val="18"/>
        </w:rPr>
        <w:t xml:space="preserve">in de voorfase zal bijdragen aan het gerichter kunnen horen van de </w:t>
      </w:r>
      <w:r w:rsidR="00E40E10">
        <w:rPr>
          <w:szCs w:val="18"/>
        </w:rPr>
        <w:t>asielzoeker</w:t>
      </w:r>
      <w:r w:rsidRPr="003C28F3" w:rsidR="006B41F8">
        <w:rPr>
          <w:szCs w:val="18"/>
        </w:rPr>
        <w:t xml:space="preserve">. </w:t>
      </w:r>
      <w:r w:rsidR="00E40E10">
        <w:rPr>
          <w:szCs w:val="18"/>
        </w:rPr>
        <w:t>Dit</w:t>
      </w:r>
      <w:r w:rsidR="006B41F8">
        <w:rPr>
          <w:szCs w:val="18"/>
        </w:rPr>
        <w:t xml:space="preserve"> </w:t>
      </w:r>
      <w:r w:rsidR="00C806DF">
        <w:rPr>
          <w:szCs w:val="18"/>
        </w:rPr>
        <w:t>bepaalt</w:t>
      </w:r>
      <w:r w:rsidR="006B41F8">
        <w:rPr>
          <w:szCs w:val="18"/>
        </w:rPr>
        <w:t xml:space="preserve"> de mate van standaardisering die in het vervolgproces mogelijk is. </w:t>
      </w:r>
      <w:r w:rsidR="00F93F38">
        <w:rPr>
          <w:szCs w:val="18"/>
        </w:rPr>
        <w:t xml:space="preserve">Voor een deel van de zaken, die </w:t>
      </w:r>
      <w:r>
        <w:rPr>
          <w:szCs w:val="18"/>
        </w:rPr>
        <w:t>evident in aanmerking komen voor een inwilliging,</w:t>
      </w:r>
      <w:r w:rsidR="00F93F38">
        <w:rPr>
          <w:szCs w:val="18"/>
        </w:rPr>
        <w:t xml:space="preserve"> zal </w:t>
      </w:r>
      <w:r w:rsidR="00C806DF">
        <w:rPr>
          <w:szCs w:val="18"/>
        </w:rPr>
        <w:t xml:space="preserve">het </w:t>
      </w:r>
      <w:r w:rsidRPr="003C28F3" w:rsidR="00C806DF">
        <w:rPr>
          <w:szCs w:val="18"/>
        </w:rPr>
        <w:t>geschreven</w:t>
      </w:r>
      <w:r w:rsidRPr="003C28F3">
        <w:rPr>
          <w:szCs w:val="18"/>
        </w:rPr>
        <w:t xml:space="preserve"> vrije asielrelaas volsta</w:t>
      </w:r>
      <w:r w:rsidR="00F93F38">
        <w:rPr>
          <w:szCs w:val="18"/>
        </w:rPr>
        <w:t xml:space="preserve">an. Met de notie dat de IND alert blijft op de inhoud van het geschreven asielrelaas en bij bijzonderheden, tegenstrijdigheden of anderszins de aanvrager </w:t>
      </w:r>
      <w:r w:rsidR="006B41F8">
        <w:rPr>
          <w:szCs w:val="18"/>
        </w:rPr>
        <w:t>alsnog</w:t>
      </w:r>
      <w:r w:rsidR="00F93F38">
        <w:rPr>
          <w:szCs w:val="18"/>
        </w:rPr>
        <w:t xml:space="preserve"> zal uitnodigen voor een </w:t>
      </w:r>
      <w:r w:rsidR="00E40E10">
        <w:rPr>
          <w:szCs w:val="18"/>
        </w:rPr>
        <w:t xml:space="preserve">aanvullend </w:t>
      </w:r>
      <w:r w:rsidR="00F93F38">
        <w:rPr>
          <w:szCs w:val="18"/>
        </w:rPr>
        <w:t>gehoor.</w:t>
      </w:r>
      <w:r>
        <w:rPr>
          <w:szCs w:val="18"/>
        </w:rPr>
        <w:t xml:space="preserve"> </w:t>
      </w:r>
      <w:r w:rsidR="006B41F8">
        <w:rPr>
          <w:szCs w:val="18"/>
        </w:rPr>
        <w:t xml:space="preserve">Voor de overige </w:t>
      </w:r>
      <w:r>
        <w:rPr>
          <w:szCs w:val="18"/>
        </w:rPr>
        <w:t>zaken</w:t>
      </w:r>
      <w:r w:rsidR="006B41F8">
        <w:rPr>
          <w:szCs w:val="18"/>
        </w:rPr>
        <w:t xml:space="preserve"> is het noodzakelijk om te horen</w:t>
      </w:r>
      <w:r w:rsidR="00E40E10">
        <w:rPr>
          <w:szCs w:val="18"/>
        </w:rPr>
        <w:t>,</w:t>
      </w:r>
      <w:r w:rsidR="006B41F8">
        <w:rPr>
          <w:szCs w:val="18"/>
        </w:rPr>
        <w:t xml:space="preserve"> dit kan een gericht en kort gehoor zijn. </w:t>
      </w:r>
    </w:p>
    <w:p w:rsidR="007779B7" w:rsidP="00DC465F" w:rsidRDefault="00DC465F" w14:paraId="6F5869FD" w14:textId="77777777">
      <w:pPr>
        <w:rPr>
          <w:i/>
          <w:iCs/>
          <w:szCs w:val="18"/>
        </w:rPr>
      </w:pPr>
      <w:r>
        <w:rPr>
          <w:i/>
          <w:iCs/>
          <w:szCs w:val="18"/>
        </w:rPr>
        <w:br/>
      </w:r>
    </w:p>
    <w:p w:rsidR="00DC465F" w:rsidP="00DC465F" w:rsidRDefault="00DC465F" w14:paraId="39E3F92B" w14:textId="2191BEFB">
      <w:pPr>
        <w:rPr>
          <w:szCs w:val="18"/>
        </w:rPr>
      </w:pPr>
      <w:r w:rsidRPr="003C28F3">
        <w:rPr>
          <w:i/>
          <w:iCs/>
          <w:szCs w:val="18"/>
        </w:rPr>
        <w:lastRenderedPageBreak/>
        <w:t>Besluit</w:t>
      </w:r>
      <w:r w:rsidR="00C806DF">
        <w:rPr>
          <w:i/>
          <w:iCs/>
          <w:szCs w:val="18"/>
        </w:rPr>
        <w:br/>
      </w:r>
      <w:r>
        <w:rPr>
          <w:szCs w:val="18"/>
        </w:rPr>
        <w:t>E</w:t>
      </w:r>
      <w:r w:rsidRPr="003C28F3">
        <w:rPr>
          <w:szCs w:val="18"/>
        </w:rPr>
        <w:t xml:space="preserve">r wordt niet ingeleverd op de tijd die nodig is om </w:t>
      </w:r>
      <w:r w:rsidR="00F1038B">
        <w:rPr>
          <w:szCs w:val="18"/>
        </w:rPr>
        <w:t xml:space="preserve">tot </w:t>
      </w:r>
      <w:r w:rsidRPr="003C28F3">
        <w:rPr>
          <w:szCs w:val="18"/>
        </w:rPr>
        <w:t>een</w:t>
      </w:r>
      <w:r w:rsidR="00F1038B">
        <w:rPr>
          <w:szCs w:val="18"/>
        </w:rPr>
        <w:t xml:space="preserve"> zorgvuldig</w:t>
      </w:r>
      <w:r w:rsidRPr="003C28F3">
        <w:rPr>
          <w:szCs w:val="18"/>
        </w:rPr>
        <w:t xml:space="preserve"> besluit te</w:t>
      </w:r>
      <w:r w:rsidR="00F1038B">
        <w:rPr>
          <w:szCs w:val="18"/>
        </w:rPr>
        <w:t xml:space="preserve"> komen.</w:t>
      </w:r>
      <w:r w:rsidRPr="003C28F3">
        <w:rPr>
          <w:szCs w:val="18"/>
        </w:rPr>
        <w:t xml:space="preserve"> </w:t>
      </w:r>
      <w:r w:rsidRPr="00EC2F26" w:rsidR="00974D45">
        <w:rPr>
          <w:szCs w:val="18"/>
        </w:rPr>
        <w:t xml:space="preserve">Op die manier wordt de besliskwaliteit geborgd. </w:t>
      </w:r>
    </w:p>
    <w:p w:rsidR="00B66D0A" w:rsidP="00DC465F" w:rsidRDefault="00B66D0A" w14:paraId="3F220BCC" w14:textId="77777777">
      <w:pPr>
        <w:rPr>
          <w:szCs w:val="18"/>
        </w:rPr>
      </w:pPr>
    </w:p>
    <w:p w:rsidRPr="005F6569" w:rsidR="00DC465F" w:rsidP="00DC465F" w:rsidRDefault="00B66D0A" w14:paraId="79DABC90" w14:textId="34F8F796">
      <w:pPr>
        <w:rPr>
          <w:szCs w:val="18"/>
        </w:rPr>
      </w:pPr>
      <w:r>
        <w:rPr>
          <w:szCs w:val="18"/>
        </w:rPr>
        <w:t xml:space="preserve">Op dit moment </w:t>
      </w:r>
      <w:r w:rsidR="00C806DF">
        <w:rPr>
          <w:szCs w:val="18"/>
        </w:rPr>
        <w:t>staan 54.000</w:t>
      </w:r>
      <w:r>
        <w:rPr>
          <w:szCs w:val="18"/>
        </w:rPr>
        <w:t xml:space="preserve"> asielaanvragen </w:t>
      </w:r>
      <w:r w:rsidRPr="003701C4">
        <w:rPr>
          <w:szCs w:val="18"/>
        </w:rPr>
        <w:t xml:space="preserve">open </w:t>
      </w:r>
      <w:r w:rsidRPr="003701C4" w:rsidR="00DC465F">
        <w:rPr>
          <w:szCs w:val="18"/>
        </w:rPr>
        <w:t xml:space="preserve">(peildatum </w:t>
      </w:r>
      <w:r w:rsidR="00D00CA0">
        <w:rPr>
          <w:szCs w:val="18"/>
        </w:rPr>
        <w:t>1 april 2026</w:t>
      </w:r>
      <w:r w:rsidRPr="003701C4" w:rsidR="00DC465F">
        <w:rPr>
          <w:szCs w:val="18"/>
        </w:rPr>
        <w:t>). Er</w:t>
      </w:r>
      <w:r w:rsidRPr="00BD20D9" w:rsidR="00DC465F">
        <w:rPr>
          <w:szCs w:val="18"/>
        </w:rPr>
        <w:t xml:space="preserve"> kunnen nog eventuele verschuivingen plaatsvinden tussen de categorieën. </w:t>
      </w:r>
      <w:r w:rsidR="00DC465F">
        <w:rPr>
          <w:szCs w:val="18"/>
        </w:rPr>
        <w:t>H</w:t>
      </w:r>
      <w:r w:rsidRPr="00BD20D9" w:rsidR="00DC465F">
        <w:rPr>
          <w:szCs w:val="18"/>
        </w:rPr>
        <w:t>et</w:t>
      </w:r>
      <w:r w:rsidR="00DC465F">
        <w:rPr>
          <w:szCs w:val="18"/>
        </w:rPr>
        <w:t xml:space="preserve"> kan</w:t>
      </w:r>
      <w:r w:rsidRPr="00BD20D9" w:rsidR="00DC465F">
        <w:rPr>
          <w:szCs w:val="18"/>
        </w:rPr>
        <w:t xml:space="preserve"> voorkomen dat iemand bij een bepaalde uitkomst uit de voorfase naar een andere categorie verschuift. </w:t>
      </w:r>
      <w:r w:rsidR="00DC465F">
        <w:rPr>
          <w:szCs w:val="18"/>
        </w:rPr>
        <w:t xml:space="preserve">Daarnaast laten niet alle nationaliteiten, bijvoorbeeld door de grootte van de groep, zich lenen tot </w:t>
      </w:r>
      <w:r w:rsidR="00E40E10">
        <w:rPr>
          <w:szCs w:val="18"/>
        </w:rPr>
        <w:t xml:space="preserve">een </w:t>
      </w:r>
      <w:r w:rsidR="00FA32BD">
        <w:rPr>
          <w:szCs w:val="18"/>
        </w:rPr>
        <w:t>werkbare</w:t>
      </w:r>
      <w:r w:rsidR="00DC465F">
        <w:rPr>
          <w:szCs w:val="18"/>
        </w:rPr>
        <w:t xml:space="preserve"> mate van standaardisering. Deze </w:t>
      </w:r>
      <w:r w:rsidR="00FA32BD">
        <w:rPr>
          <w:szCs w:val="18"/>
        </w:rPr>
        <w:t>kleine groepen</w:t>
      </w:r>
      <w:r w:rsidR="00DC465F">
        <w:rPr>
          <w:szCs w:val="18"/>
        </w:rPr>
        <w:t xml:space="preserve"> bevinden </w:t>
      </w:r>
      <w:r w:rsidR="00142701">
        <w:rPr>
          <w:szCs w:val="18"/>
        </w:rPr>
        <w:t xml:space="preserve">zich buiten </w:t>
      </w:r>
      <w:r w:rsidR="00FA32BD">
        <w:rPr>
          <w:szCs w:val="18"/>
        </w:rPr>
        <w:t>onderstaande</w:t>
      </w:r>
      <w:r w:rsidR="00142701">
        <w:rPr>
          <w:szCs w:val="18"/>
        </w:rPr>
        <w:t xml:space="preserve"> categorieën.</w:t>
      </w:r>
      <w:r w:rsidR="00DC465F">
        <w:rPr>
          <w:szCs w:val="18"/>
        </w:rPr>
        <w:t xml:space="preserve"> </w:t>
      </w:r>
      <w:r w:rsidRPr="00BD20D9" w:rsidR="00DC465F">
        <w:rPr>
          <w:szCs w:val="18"/>
        </w:rPr>
        <w:t xml:space="preserve">Tot slot is </w:t>
      </w:r>
      <w:r w:rsidRPr="00BD20D9" w:rsidR="00C806DF">
        <w:rPr>
          <w:szCs w:val="18"/>
        </w:rPr>
        <w:t>het actuele</w:t>
      </w:r>
      <w:r w:rsidRPr="00BD20D9" w:rsidR="00DC465F">
        <w:rPr>
          <w:szCs w:val="18"/>
        </w:rPr>
        <w:t xml:space="preserve"> </w:t>
      </w:r>
      <w:r w:rsidRPr="00BD20D9" w:rsidR="00C806DF">
        <w:rPr>
          <w:szCs w:val="18"/>
        </w:rPr>
        <w:t>landenbeleid van</w:t>
      </w:r>
      <w:r w:rsidRPr="00BD20D9" w:rsidR="00DC465F">
        <w:rPr>
          <w:szCs w:val="18"/>
        </w:rPr>
        <w:t xml:space="preserve"> invloed op de categorieën en indeling</w:t>
      </w:r>
      <w:r w:rsidR="00DC465F">
        <w:rPr>
          <w:szCs w:val="18"/>
        </w:rPr>
        <w:t>.</w:t>
      </w:r>
    </w:p>
    <w:p w:rsidRPr="003C28F3" w:rsidR="00752376" w:rsidP="00DC465F" w:rsidRDefault="00752376" w14:paraId="721BB472" w14:textId="76784854">
      <w:pPr>
        <w:rPr>
          <w:szCs w:val="18"/>
        </w:rPr>
      </w:pPr>
    </w:p>
    <w:tbl>
      <w:tblPr>
        <w:tblStyle w:val="Tabelraster"/>
        <w:tblW w:w="0" w:type="auto"/>
        <w:tblLook w:val="04A0" w:firstRow="1" w:lastRow="0" w:firstColumn="1" w:lastColumn="0" w:noHBand="0" w:noVBand="1"/>
      </w:tblPr>
      <w:tblGrid>
        <w:gridCol w:w="3765"/>
        <w:gridCol w:w="3766"/>
      </w:tblGrid>
      <w:tr w:rsidRPr="00DA3BFA" w:rsidR="00752376" w:rsidTr="00DC465F" w14:paraId="41702FC4" w14:textId="77777777">
        <w:tc>
          <w:tcPr>
            <w:tcW w:w="7531" w:type="dxa"/>
            <w:gridSpan w:val="2"/>
            <w:shd w:val="clear" w:color="auto" w:fill="4F81BD" w:themeFill="accent1"/>
          </w:tcPr>
          <w:p w:rsidRPr="00DA3BFA" w:rsidR="00752376" w:rsidP="00F41CCC" w:rsidRDefault="00752376" w14:paraId="2BE669A9" w14:textId="77777777">
            <w:pPr>
              <w:rPr>
                <w:b/>
                <w:bCs/>
                <w:szCs w:val="18"/>
              </w:rPr>
            </w:pPr>
            <w:r w:rsidRPr="00503544">
              <w:rPr>
                <w:b/>
                <w:bCs/>
                <w:szCs w:val="18"/>
              </w:rPr>
              <w:t>Categorieën</w:t>
            </w:r>
          </w:p>
        </w:tc>
      </w:tr>
      <w:tr w:rsidRPr="00DA3BFA" w:rsidR="00752376" w:rsidTr="00F41CCC" w14:paraId="5A9A97F1" w14:textId="77777777">
        <w:tc>
          <w:tcPr>
            <w:tcW w:w="3765" w:type="dxa"/>
          </w:tcPr>
          <w:p w:rsidRPr="00DA3BFA" w:rsidR="00752376" w:rsidP="00F41CCC" w:rsidRDefault="006F65A6" w14:paraId="07E554F6" w14:textId="5F27FBCB">
            <w:pPr>
              <w:rPr>
                <w:szCs w:val="18"/>
              </w:rPr>
            </w:pPr>
            <w:r>
              <w:rPr>
                <w:szCs w:val="18"/>
              </w:rPr>
              <w:t xml:space="preserve">A: </w:t>
            </w:r>
            <w:r w:rsidRPr="00DA3BFA" w:rsidR="00142701">
              <w:rPr>
                <w:szCs w:val="18"/>
              </w:rPr>
              <w:t>Asielaanvragen van personen uit landen waarvoor het niet zeer waarschijnlijk is dat deze worden ingewilligd op basis van het landenbeleid</w:t>
            </w:r>
            <w:r w:rsidR="00142701">
              <w:rPr>
                <w:szCs w:val="18"/>
              </w:rPr>
              <w:t xml:space="preserve"> (39%)</w:t>
            </w:r>
          </w:p>
        </w:tc>
        <w:tc>
          <w:tcPr>
            <w:tcW w:w="3766" w:type="dxa"/>
          </w:tcPr>
          <w:p w:rsidRPr="00DA3BFA" w:rsidR="00752376" w:rsidP="00F41CCC" w:rsidRDefault="00752376" w14:paraId="03F92448" w14:textId="50E86208">
            <w:pPr>
              <w:rPr>
                <w:szCs w:val="18"/>
              </w:rPr>
            </w:pPr>
            <w:r w:rsidRPr="00DA3BFA">
              <w:rPr>
                <w:b/>
                <w:bCs/>
                <w:szCs w:val="18"/>
              </w:rPr>
              <w:t>B:</w:t>
            </w:r>
            <w:r w:rsidRPr="00DA3BFA">
              <w:rPr>
                <w:szCs w:val="18"/>
              </w:rPr>
              <w:t xml:space="preserve"> </w:t>
            </w:r>
            <w:r w:rsidRPr="00DA3BFA" w:rsidR="00142701">
              <w:rPr>
                <w:szCs w:val="18"/>
              </w:rPr>
              <w:t>Asielaanvragen van personen uit landen waarvoor het waarschijnlijk is dat deze worden ingewilligd op basis van het landenbeleid</w:t>
            </w:r>
            <w:r w:rsidR="00142701">
              <w:rPr>
                <w:szCs w:val="18"/>
              </w:rPr>
              <w:t xml:space="preserve"> (17%)</w:t>
            </w:r>
          </w:p>
          <w:p w:rsidRPr="00DA3BFA" w:rsidR="00752376" w:rsidP="00F41CCC" w:rsidRDefault="00752376" w14:paraId="07F19981" w14:textId="77777777">
            <w:pPr>
              <w:rPr>
                <w:szCs w:val="18"/>
              </w:rPr>
            </w:pPr>
          </w:p>
        </w:tc>
      </w:tr>
      <w:tr w:rsidRPr="00DA3BFA" w:rsidR="00752376" w:rsidTr="00F41CCC" w14:paraId="3B5CB7C7" w14:textId="77777777">
        <w:tc>
          <w:tcPr>
            <w:tcW w:w="3765" w:type="dxa"/>
          </w:tcPr>
          <w:p w:rsidRPr="00DA3BFA" w:rsidR="00752376" w:rsidP="00F41CCC" w:rsidRDefault="00752376" w14:paraId="77C3ED96" w14:textId="489BDED0">
            <w:pPr>
              <w:rPr>
                <w:szCs w:val="18"/>
              </w:rPr>
            </w:pPr>
            <w:r w:rsidRPr="00DA3BFA">
              <w:rPr>
                <w:b/>
                <w:bCs/>
                <w:szCs w:val="18"/>
              </w:rPr>
              <w:t>C</w:t>
            </w:r>
            <w:r w:rsidRPr="00680139" w:rsidR="00142701">
              <w:rPr>
                <w:b/>
                <w:bCs/>
              </w:rPr>
              <w:t>:</w:t>
            </w:r>
            <w:r w:rsidR="00142701">
              <w:t xml:space="preserve"> Asielaanvragen van personen uit landen waarbij een individuele toets in de praktijk vaak leidt tot afwijzing (</w:t>
            </w:r>
            <w:r w:rsidR="00044C3C">
              <w:t>8</w:t>
            </w:r>
            <w:r w:rsidR="00142701">
              <w:t>%)</w:t>
            </w:r>
          </w:p>
        </w:tc>
        <w:tc>
          <w:tcPr>
            <w:tcW w:w="3766" w:type="dxa"/>
          </w:tcPr>
          <w:p w:rsidRPr="00DA3BFA" w:rsidR="00752376" w:rsidP="00F41CCC" w:rsidRDefault="00752376" w14:paraId="327E890E" w14:textId="2CC3193A">
            <w:pPr>
              <w:rPr>
                <w:szCs w:val="18"/>
              </w:rPr>
            </w:pPr>
            <w:r w:rsidRPr="00DA3BFA">
              <w:rPr>
                <w:b/>
                <w:bCs/>
                <w:szCs w:val="18"/>
              </w:rPr>
              <w:t>D:</w:t>
            </w:r>
            <w:r w:rsidRPr="00DA3BFA">
              <w:rPr>
                <w:szCs w:val="18"/>
              </w:rPr>
              <w:t xml:space="preserve"> </w:t>
            </w:r>
            <w:r w:rsidRPr="00FA32BD" w:rsidR="00FA32BD">
              <w:t xml:space="preserve">Asielaanvragen van personen uit landen waarbij een individuele toets in de praktijk niet eenduidig kansarm of kansrijk is </w:t>
            </w:r>
            <w:r w:rsidR="00142701">
              <w:t>(</w:t>
            </w:r>
            <w:r w:rsidR="00044C3C">
              <w:t>28</w:t>
            </w:r>
            <w:r w:rsidR="00142701">
              <w:t>%)</w:t>
            </w:r>
          </w:p>
        </w:tc>
      </w:tr>
    </w:tbl>
    <w:p w:rsidR="00752376" w:rsidP="00752376" w:rsidRDefault="00752376" w14:paraId="63B11B2C" w14:textId="1C19AFE3">
      <w:pPr>
        <w:rPr>
          <w:szCs w:val="18"/>
        </w:rPr>
        <w:sectPr w:rsidR="00752376" w:rsidSect="00CE2D7C">
          <w:footerReference w:type="default" r:id="rId8"/>
          <w:headerReference w:type="first" r:id="rId9"/>
          <w:pgSz w:w="11906" w:h="16838"/>
          <w:pgMar w:top="1417" w:right="1417" w:bottom="1417" w:left="1417" w:header="708" w:footer="708" w:gutter="0"/>
          <w:cols w:space="708"/>
          <w:titlePg/>
          <w:docGrid w:linePitch="360"/>
        </w:sectPr>
      </w:pPr>
    </w:p>
    <w:p w:rsidR="00752376" w:rsidP="007A277F" w:rsidRDefault="007A277F" w14:paraId="1C6C5AE7" w14:textId="27A9D0B0">
      <w:pPr>
        <w:rPr>
          <w:b/>
          <w:bCs/>
          <w:szCs w:val="18"/>
        </w:rPr>
        <w:sectPr w:rsidR="00752376" w:rsidSect="00752376">
          <w:pgSz w:w="16838" w:h="11906" w:orient="landscape"/>
          <w:pgMar w:top="720" w:right="720" w:bottom="720" w:left="720" w:header="708" w:footer="708" w:gutter="0"/>
          <w:cols w:space="708"/>
          <w:docGrid w:linePitch="360"/>
        </w:sectPr>
      </w:pPr>
      <w:r w:rsidRPr="007A277F">
        <w:rPr>
          <w:noProof/>
        </w:rPr>
        <w:lastRenderedPageBreak/>
        <w:drawing>
          <wp:inline distT="0" distB="0" distL="0" distR="0" wp14:anchorId="40C9BAC2" wp14:editId="496C23F6">
            <wp:extent cx="9777730" cy="6181725"/>
            <wp:effectExtent l="0" t="0" r="0" b="9525"/>
            <wp:docPr id="121037548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7730" cy="6181725"/>
                    </a:xfrm>
                    <a:prstGeom prst="rect">
                      <a:avLst/>
                    </a:prstGeom>
                    <a:noFill/>
                    <a:ln>
                      <a:noFill/>
                    </a:ln>
                  </pic:spPr>
                </pic:pic>
              </a:graphicData>
            </a:graphic>
          </wp:inline>
        </w:drawing>
      </w:r>
    </w:p>
    <w:p w:rsidRPr="00C34248" w:rsidR="00752376" w:rsidP="00752376" w:rsidRDefault="00752376" w14:paraId="03E80353" w14:textId="6361FCBC">
      <w:pPr>
        <w:rPr>
          <w:color w:val="4F81BD" w:themeColor="accent1"/>
          <w:sz w:val="32"/>
          <w:szCs w:val="32"/>
        </w:rPr>
      </w:pPr>
      <w:r w:rsidRPr="00C34248">
        <w:rPr>
          <w:b/>
          <w:bCs/>
          <w:color w:val="4F81BD" w:themeColor="accent1"/>
          <w:sz w:val="32"/>
          <w:szCs w:val="32"/>
        </w:rPr>
        <w:lastRenderedPageBreak/>
        <w:t xml:space="preserve">Aanpak en de keten </w:t>
      </w:r>
    </w:p>
    <w:p w:rsidRPr="004A6D68" w:rsidR="00752376" w:rsidP="00752376" w:rsidRDefault="00752376" w14:paraId="76D42B7D" w14:textId="38D94B4C">
      <w:pPr>
        <w:rPr>
          <w:i/>
          <w:iCs/>
          <w:szCs w:val="18"/>
        </w:rPr>
      </w:pPr>
      <w:r w:rsidRPr="004A6D68">
        <w:rPr>
          <w:i/>
          <w:iCs/>
          <w:szCs w:val="18"/>
        </w:rPr>
        <w:t>Aanpak in fases</w:t>
      </w:r>
      <w:r>
        <w:rPr>
          <w:i/>
          <w:iCs/>
          <w:szCs w:val="18"/>
        </w:rPr>
        <w:br/>
      </w:r>
      <w:r w:rsidRPr="004A6D68">
        <w:rPr>
          <w:szCs w:val="18"/>
        </w:rPr>
        <w:t>De</w:t>
      </w:r>
      <w:r w:rsidR="00E40E10">
        <w:rPr>
          <w:szCs w:val="18"/>
        </w:rPr>
        <w:t>ze nieuwe</w:t>
      </w:r>
      <w:r w:rsidRPr="004A6D68">
        <w:rPr>
          <w:szCs w:val="18"/>
        </w:rPr>
        <w:t xml:space="preserve"> aanpak heeft veel impact op zowel de IND intern, het vergt</w:t>
      </w:r>
      <w:r w:rsidR="00CF21BD">
        <w:rPr>
          <w:szCs w:val="18"/>
        </w:rPr>
        <w:t xml:space="preserve"> namelijk</w:t>
      </w:r>
      <w:r w:rsidRPr="004A6D68">
        <w:rPr>
          <w:szCs w:val="18"/>
        </w:rPr>
        <w:t xml:space="preserve"> iets van elke directie, als op de </w:t>
      </w:r>
      <w:r w:rsidR="00E40E10">
        <w:rPr>
          <w:szCs w:val="18"/>
        </w:rPr>
        <w:t>migratie</w:t>
      </w:r>
      <w:r w:rsidRPr="004A6D68">
        <w:rPr>
          <w:szCs w:val="18"/>
        </w:rPr>
        <w:t xml:space="preserve">keten. </w:t>
      </w:r>
      <w:r w:rsidR="00E40E10">
        <w:rPr>
          <w:szCs w:val="18"/>
        </w:rPr>
        <w:t>Er</w:t>
      </w:r>
      <w:r w:rsidRPr="004A6D68">
        <w:rPr>
          <w:szCs w:val="18"/>
        </w:rPr>
        <w:t xml:space="preserve"> </w:t>
      </w:r>
      <w:r w:rsidRPr="004A6D68" w:rsidR="00C806DF">
        <w:rPr>
          <w:szCs w:val="18"/>
        </w:rPr>
        <w:t>zal veel</w:t>
      </w:r>
      <w:r w:rsidR="00CF21BD">
        <w:rPr>
          <w:szCs w:val="18"/>
        </w:rPr>
        <w:t xml:space="preserve"> voorbereid moeten </w:t>
      </w:r>
      <w:r w:rsidR="00C806DF">
        <w:rPr>
          <w:szCs w:val="18"/>
        </w:rPr>
        <w:t xml:space="preserve">worden, </w:t>
      </w:r>
      <w:r w:rsidRPr="004A6D68" w:rsidR="00C806DF">
        <w:rPr>
          <w:szCs w:val="18"/>
        </w:rPr>
        <w:t>het</w:t>
      </w:r>
      <w:r w:rsidR="00E40E10">
        <w:rPr>
          <w:szCs w:val="18"/>
        </w:rPr>
        <w:t xml:space="preserve"> </w:t>
      </w:r>
      <w:r w:rsidRPr="004A6D68" w:rsidR="00C806DF">
        <w:rPr>
          <w:szCs w:val="18"/>
        </w:rPr>
        <w:t xml:space="preserve">vraagt </w:t>
      </w:r>
      <w:r w:rsidR="00C806DF">
        <w:rPr>
          <w:szCs w:val="18"/>
        </w:rPr>
        <w:t>om</w:t>
      </w:r>
      <w:r w:rsidRPr="004A6D68">
        <w:rPr>
          <w:szCs w:val="18"/>
        </w:rPr>
        <w:t xml:space="preserve"> werken in tijdcohorten </w:t>
      </w:r>
      <w:r w:rsidR="00E40E10">
        <w:rPr>
          <w:szCs w:val="18"/>
        </w:rPr>
        <w:t xml:space="preserve">én </w:t>
      </w:r>
      <w:r w:rsidRPr="004A6D68">
        <w:rPr>
          <w:szCs w:val="18"/>
        </w:rPr>
        <w:t>om</w:t>
      </w:r>
      <w:r w:rsidR="00CF21BD">
        <w:rPr>
          <w:szCs w:val="18"/>
        </w:rPr>
        <w:t xml:space="preserve"> een nauwkeurige plancyclus en zorgvuldige </w:t>
      </w:r>
      <w:r w:rsidR="00C806DF">
        <w:rPr>
          <w:szCs w:val="18"/>
        </w:rPr>
        <w:t>afstemming (</w:t>
      </w:r>
      <w:r w:rsidRPr="004A6D68">
        <w:rPr>
          <w:szCs w:val="18"/>
        </w:rPr>
        <w:t xml:space="preserve">intern </w:t>
      </w:r>
      <w:r w:rsidR="00CF21BD">
        <w:rPr>
          <w:szCs w:val="18"/>
        </w:rPr>
        <w:t xml:space="preserve">IND </w:t>
      </w:r>
      <w:r w:rsidRPr="004A6D68">
        <w:rPr>
          <w:szCs w:val="18"/>
        </w:rPr>
        <w:t>en extern</w:t>
      </w:r>
      <w:r w:rsidR="00CF21BD">
        <w:rPr>
          <w:szCs w:val="18"/>
        </w:rPr>
        <w:t xml:space="preserve"> met de keten</w:t>
      </w:r>
      <w:r w:rsidRPr="004A6D68">
        <w:rPr>
          <w:szCs w:val="18"/>
        </w:rPr>
        <w:t xml:space="preserve">). </w:t>
      </w:r>
      <w:bookmarkStart w:name="_Hlk231467444" w:id="4"/>
      <w:r w:rsidRPr="004A6D68">
        <w:rPr>
          <w:szCs w:val="18"/>
        </w:rPr>
        <w:t xml:space="preserve">Mede door </w:t>
      </w:r>
      <w:r w:rsidR="00CF21BD">
        <w:rPr>
          <w:szCs w:val="18"/>
        </w:rPr>
        <w:t xml:space="preserve">de voorbereidingen die getroffen dienen te worden, ook met partijen uit de </w:t>
      </w:r>
      <w:r w:rsidR="00C806DF">
        <w:rPr>
          <w:szCs w:val="18"/>
        </w:rPr>
        <w:t>migratieketen, verwacht</w:t>
      </w:r>
      <w:r w:rsidRPr="004A6D68">
        <w:rPr>
          <w:szCs w:val="18"/>
        </w:rPr>
        <w:t xml:space="preserve"> de IND </w:t>
      </w:r>
      <w:r w:rsidR="00DE5E52">
        <w:rPr>
          <w:szCs w:val="18"/>
        </w:rPr>
        <w:t>ná omsteltijd op 1 oktober 2026 van start te gaan</w:t>
      </w:r>
      <w:r w:rsidRPr="004A6D68">
        <w:rPr>
          <w:szCs w:val="18"/>
        </w:rPr>
        <w:t>. D</w:t>
      </w:r>
      <w:r w:rsidR="00E40E10">
        <w:rPr>
          <w:szCs w:val="18"/>
        </w:rPr>
        <w:t>a</w:t>
      </w:r>
      <w:r w:rsidRPr="004A6D68">
        <w:rPr>
          <w:szCs w:val="18"/>
        </w:rPr>
        <w:t xml:space="preserve">t </w:t>
      </w:r>
      <w:r w:rsidRPr="004A6D68" w:rsidR="00C806DF">
        <w:rPr>
          <w:szCs w:val="18"/>
        </w:rPr>
        <w:t>betekent niet</w:t>
      </w:r>
      <w:r w:rsidRPr="004A6D68">
        <w:rPr>
          <w:szCs w:val="18"/>
        </w:rPr>
        <w:t xml:space="preserve"> dat er geen zaken worden </w:t>
      </w:r>
      <w:r w:rsidR="003F6F79">
        <w:rPr>
          <w:szCs w:val="18"/>
        </w:rPr>
        <w:t>behandeld in deze periode</w:t>
      </w:r>
      <w:r w:rsidR="00682659">
        <w:rPr>
          <w:szCs w:val="18"/>
        </w:rPr>
        <w:t xml:space="preserve"> de</w:t>
      </w:r>
      <w:r w:rsidR="007779B7">
        <w:rPr>
          <w:szCs w:val="18"/>
        </w:rPr>
        <w:t>ze worden</w:t>
      </w:r>
      <w:r w:rsidR="00682659">
        <w:rPr>
          <w:szCs w:val="18"/>
        </w:rPr>
        <w:t xml:space="preserve"> volgens het reguliere proces met inachtneming van de vereenvoudigde asielprocedure onder het Pact afgedaan.</w:t>
      </w:r>
    </w:p>
    <w:bookmarkEnd w:id="4"/>
    <w:p w:rsidRPr="00F6374A" w:rsidR="00F6374A" w:rsidP="00752376" w:rsidRDefault="00F6374A" w14:paraId="49936ED5" w14:textId="77777777">
      <w:pPr>
        <w:rPr>
          <w:szCs w:val="18"/>
        </w:rPr>
      </w:pPr>
    </w:p>
    <w:p w:rsidRPr="004A6D68" w:rsidR="00752376" w:rsidP="00752376" w:rsidRDefault="00752376" w14:paraId="3A9BDFC9" w14:textId="6FAAC0B5">
      <w:pPr>
        <w:rPr>
          <w:i/>
          <w:iCs/>
          <w:szCs w:val="18"/>
        </w:rPr>
      </w:pPr>
      <w:r w:rsidRPr="004A6D68">
        <w:rPr>
          <w:i/>
          <w:iCs/>
          <w:szCs w:val="18"/>
        </w:rPr>
        <w:t>Plancyclus</w:t>
      </w:r>
      <w:r>
        <w:rPr>
          <w:i/>
          <w:iCs/>
          <w:szCs w:val="18"/>
        </w:rPr>
        <w:br/>
      </w:r>
      <w:r w:rsidRPr="004A6D68">
        <w:rPr>
          <w:szCs w:val="18"/>
        </w:rPr>
        <w:t xml:space="preserve">De IND zal de </w:t>
      </w:r>
      <w:r w:rsidR="00E40E10">
        <w:rPr>
          <w:szCs w:val="18"/>
        </w:rPr>
        <w:t>categorieën</w:t>
      </w:r>
      <w:r w:rsidRPr="004A6D68">
        <w:rPr>
          <w:szCs w:val="18"/>
        </w:rPr>
        <w:t xml:space="preserve"> in tijdscohorten oppakken. Dit houdt in dat de IND met een plancyclus gaat werken van circa 3 maanden</w:t>
      </w:r>
      <w:r w:rsidR="00130226">
        <w:rPr>
          <w:szCs w:val="18"/>
        </w:rPr>
        <w:t>.</w:t>
      </w:r>
      <w:r w:rsidRPr="004A6D68">
        <w:rPr>
          <w:szCs w:val="18"/>
        </w:rPr>
        <w:t xml:space="preserve"> </w:t>
      </w:r>
      <w:r w:rsidR="00130226">
        <w:rPr>
          <w:szCs w:val="18"/>
        </w:rPr>
        <w:t>O</w:t>
      </w:r>
      <w:r w:rsidRPr="004A6D68">
        <w:rPr>
          <w:szCs w:val="18"/>
        </w:rPr>
        <w:t xml:space="preserve">p grond van inwilligingspercentages en wachttijd </w:t>
      </w:r>
      <w:r w:rsidR="00130226">
        <w:rPr>
          <w:szCs w:val="18"/>
        </w:rPr>
        <w:t xml:space="preserve">zal </w:t>
      </w:r>
      <w:r w:rsidRPr="004A6D68">
        <w:rPr>
          <w:szCs w:val="18"/>
        </w:rPr>
        <w:t xml:space="preserve">een keuze </w:t>
      </w:r>
      <w:r w:rsidR="00130226">
        <w:rPr>
          <w:szCs w:val="18"/>
        </w:rPr>
        <w:t>worden gemaakt</w:t>
      </w:r>
      <w:r w:rsidRPr="004A6D68">
        <w:rPr>
          <w:szCs w:val="18"/>
        </w:rPr>
        <w:t xml:space="preserve"> om een</w:t>
      </w:r>
      <w:r w:rsidR="003F291B">
        <w:rPr>
          <w:szCs w:val="18"/>
        </w:rPr>
        <w:t xml:space="preserve"> combinatie van</w:t>
      </w:r>
      <w:r w:rsidRPr="004A6D68">
        <w:rPr>
          <w:szCs w:val="18"/>
        </w:rPr>
        <w:t xml:space="preserve"> </w:t>
      </w:r>
      <w:r w:rsidR="003F291B">
        <w:rPr>
          <w:szCs w:val="18"/>
        </w:rPr>
        <w:t>categorieën</w:t>
      </w:r>
      <w:r w:rsidRPr="004A6D68">
        <w:rPr>
          <w:szCs w:val="18"/>
        </w:rPr>
        <w:t xml:space="preserve"> op te pakke</w:t>
      </w:r>
      <w:r w:rsidR="003F291B">
        <w:rPr>
          <w:szCs w:val="18"/>
        </w:rPr>
        <w:t xml:space="preserve">n. </w:t>
      </w:r>
      <w:r w:rsidRPr="004A6D68">
        <w:rPr>
          <w:szCs w:val="18"/>
        </w:rPr>
        <w:t xml:space="preserve">Van belang is – ook vanwege de effecten bij het COA en de Rechtspraak – om een juiste verdeling te maken tussen de mogelijk in te willigen en af te wijzen zaken zodat het inwilligingspercentage </w:t>
      </w:r>
      <w:r w:rsidR="00C806DF">
        <w:rPr>
          <w:szCs w:val="18"/>
        </w:rPr>
        <w:t xml:space="preserve">overwegend </w:t>
      </w:r>
      <w:r w:rsidRPr="004A6D68" w:rsidR="00C806DF">
        <w:rPr>
          <w:szCs w:val="18"/>
        </w:rPr>
        <w:t>stabiel</w:t>
      </w:r>
      <w:r w:rsidRPr="004A6D68">
        <w:rPr>
          <w:szCs w:val="18"/>
        </w:rPr>
        <w:t xml:space="preserve"> blijft. </w:t>
      </w:r>
      <w:r w:rsidR="00130226">
        <w:rPr>
          <w:szCs w:val="18"/>
        </w:rPr>
        <w:t xml:space="preserve">Dit is van belang om de ketenbalans te bewaken. </w:t>
      </w:r>
    </w:p>
    <w:p w:rsidRPr="004A6D68" w:rsidR="00752376" w:rsidP="00752376" w:rsidRDefault="00DC465F" w14:paraId="08E5029B" w14:textId="5B592E0B">
      <w:pPr>
        <w:rPr>
          <w:szCs w:val="18"/>
        </w:rPr>
      </w:pPr>
      <w:r>
        <w:rPr>
          <w:szCs w:val="18"/>
        </w:rPr>
        <w:br/>
      </w:r>
      <w:r w:rsidRPr="004A6D68" w:rsidR="00752376">
        <w:rPr>
          <w:szCs w:val="18"/>
        </w:rPr>
        <w:t>In de plancyclu</w:t>
      </w:r>
      <w:r w:rsidR="003F6F79">
        <w:rPr>
          <w:szCs w:val="18"/>
        </w:rPr>
        <w:t xml:space="preserve">s kan rekening gehouden worden met de omsteltijd door te starten met groepen die voornamelijk binnen categorie </w:t>
      </w:r>
      <w:r w:rsidR="00112F18">
        <w:rPr>
          <w:szCs w:val="18"/>
        </w:rPr>
        <w:t>A en C</w:t>
      </w:r>
      <w:r w:rsidR="00E430F2">
        <w:rPr>
          <w:szCs w:val="18"/>
        </w:rPr>
        <w:t xml:space="preserve"> </w:t>
      </w:r>
      <w:r w:rsidR="003F6F79">
        <w:rPr>
          <w:szCs w:val="18"/>
        </w:rPr>
        <w:t xml:space="preserve">vallen. </w:t>
      </w:r>
      <w:r w:rsidR="00112F18">
        <w:rPr>
          <w:szCs w:val="18"/>
        </w:rPr>
        <w:t xml:space="preserve">Dit loopt gelijktijdig met de hierboven genoemde prioriteiten. </w:t>
      </w:r>
      <w:r w:rsidR="003F6F79">
        <w:rPr>
          <w:szCs w:val="18"/>
        </w:rPr>
        <w:t xml:space="preserve">Op het moment dat de locatie is ingericht en de </w:t>
      </w:r>
      <w:r w:rsidR="00C806DF">
        <w:rPr>
          <w:szCs w:val="18"/>
        </w:rPr>
        <w:t>voorfase volledig</w:t>
      </w:r>
      <w:r w:rsidR="003F6F79">
        <w:rPr>
          <w:szCs w:val="18"/>
        </w:rPr>
        <w:t xml:space="preserve"> operationeel is kan ook categorie </w:t>
      </w:r>
      <w:r w:rsidR="00112F18">
        <w:rPr>
          <w:szCs w:val="18"/>
        </w:rPr>
        <w:t>B</w:t>
      </w:r>
      <w:r w:rsidR="003F6F79">
        <w:rPr>
          <w:szCs w:val="18"/>
        </w:rPr>
        <w:t xml:space="preserve"> worden toegevoegd aan de cyclus</w:t>
      </w:r>
      <w:r w:rsidR="007779B7">
        <w:rPr>
          <w:szCs w:val="18"/>
        </w:rPr>
        <w:t>, d</w:t>
      </w:r>
      <w:r w:rsidR="003F6F79">
        <w:rPr>
          <w:szCs w:val="18"/>
        </w:rPr>
        <w:t xml:space="preserve">aar waar bij deze categorie geen standaardisering mogelijk is zonder de voorfase. </w:t>
      </w:r>
      <w:r w:rsidR="00FD49C6">
        <w:t xml:space="preserve">Zo is de verwachting dat na het volledig operationaliseren van de voorfase in hogere mate </w:t>
      </w:r>
      <w:proofErr w:type="spellStart"/>
      <w:r w:rsidR="00FD49C6">
        <w:t>risicogestuurd</w:t>
      </w:r>
      <w:proofErr w:type="spellEnd"/>
      <w:r w:rsidR="00FD49C6">
        <w:t xml:space="preserve"> gewerkt kan worden in categorie </w:t>
      </w:r>
      <w:r w:rsidR="000A06FC">
        <w:t>B</w:t>
      </w:r>
      <w:r w:rsidR="00FD49C6">
        <w:t xml:space="preserve"> en D met de nationaliteiten waar veelal op a-grond wordt ingewilligd.</w:t>
      </w:r>
    </w:p>
    <w:p w:rsidRPr="004A6D68" w:rsidR="00752376" w:rsidP="00752376" w:rsidRDefault="00BC4DBE" w14:paraId="54A1ACF4" w14:textId="61AD3607">
      <w:pPr>
        <w:rPr>
          <w:i/>
          <w:iCs/>
          <w:szCs w:val="18"/>
        </w:rPr>
      </w:pPr>
      <w:r>
        <w:rPr>
          <w:i/>
          <w:iCs/>
          <w:szCs w:val="18"/>
        </w:rPr>
        <w:br/>
      </w:r>
      <w:r w:rsidR="00752376">
        <w:rPr>
          <w:i/>
          <w:iCs/>
          <w:szCs w:val="18"/>
        </w:rPr>
        <w:t>Effecten op de</w:t>
      </w:r>
      <w:r w:rsidRPr="004A6D68" w:rsidR="00752376">
        <w:rPr>
          <w:i/>
          <w:iCs/>
          <w:szCs w:val="18"/>
        </w:rPr>
        <w:t xml:space="preserve"> keten</w:t>
      </w:r>
      <w:r w:rsidR="00752376">
        <w:rPr>
          <w:i/>
          <w:iCs/>
          <w:szCs w:val="18"/>
        </w:rPr>
        <w:br/>
      </w:r>
      <w:r w:rsidRPr="004A6D68" w:rsidR="00752376">
        <w:rPr>
          <w:szCs w:val="18"/>
        </w:rPr>
        <w:t>De</w:t>
      </w:r>
      <w:r w:rsidR="0071347C">
        <w:rPr>
          <w:szCs w:val="18"/>
        </w:rPr>
        <w:t xml:space="preserve"> aanpak rondom de</w:t>
      </w:r>
      <w:r w:rsidR="005017CC">
        <w:rPr>
          <w:szCs w:val="18"/>
        </w:rPr>
        <w:t xml:space="preserve"> openstaande asielaanvragen bij de IND </w:t>
      </w:r>
      <w:r w:rsidR="0071347C">
        <w:rPr>
          <w:szCs w:val="18"/>
        </w:rPr>
        <w:t>is</w:t>
      </w:r>
      <w:r w:rsidRPr="004A6D68" w:rsidR="0071347C">
        <w:rPr>
          <w:szCs w:val="18"/>
        </w:rPr>
        <w:t xml:space="preserve"> </w:t>
      </w:r>
      <w:r w:rsidRPr="004A6D68" w:rsidR="00752376">
        <w:rPr>
          <w:szCs w:val="18"/>
        </w:rPr>
        <w:t>niet alleen een uitdaging voor de IND</w:t>
      </w:r>
      <w:r w:rsidR="0071347C">
        <w:rPr>
          <w:szCs w:val="18"/>
        </w:rPr>
        <w:t>,</w:t>
      </w:r>
      <w:r w:rsidRPr="004A6D68" w:rsidR="00752376">
        <w:rPr>
          <w:szCs w:val="18"/>
        </w:rPr>
        <w:t xml:space="preserve"> maar</w:t>
      </w:r>
      <w:r w:rsidR="00517D72">
        <w:rPr>
          <w:szCs w:val="18"/>
        </w:rPr>
        <w:t xml:space="preserve"> </w:t>
      </w:r>
      <w:r w:rsidR="0071347C">
        <w:rPr>
          <w:szCs w:val="18"/>
        </w:rPr>
        <w:t>heeft</w:t>
      </w:r>
      <w:r w:rsidR="00517D72">
        <w:rPr>
          <w:szCs w:val="18"/>
        </w:rPr>
        <w:t xml:space="preserve"> </w:t>
      </w:r>
      <w:r w:rsidRPr="004A6D68" w:rsidR="00752376">
        <w:rPr>
          <w:szCs w:val="18"/>
        </w:rPr>
        <w:t xml:space="preserve">ook </w:t>
      </w:r>
      <w:r w:rsidR="00517D72">
        <w:rPr>
          <w:szCs w:val="18"/>
        </w:rPr>
        <w:t xml:space="preserve">gevolgen </w:t>
      </w:r>
      <w:r w:rsidRPr="004A6D68" w:rsidR="00752376">
        <w:rPr>
          <w:szCs w:val="18"/>
        </w:rPr>
        <w:t>voor de</w:t>
      </w:r>
      <w:r w:rsidR="005017CC">
        <w:rPr>
          <w:szCs w:val="18"/>
        </w:rPr>
        <w:t xml:space="preserve"> gehele</w:t>
      </w:r>
      <w:r w:rsidRPr="004A6D68" w:rsidR="00752376">
        <w:rPr>
          <w:szCs w:val="18"/>
        </w:rPr>
        <w:t xml:space="preserve"> </w:t>
      </w:r>
      <w:r w:rsidR="00E40E10">
        <w:rPr>
          <w:szCs w:val="18"/>
        </w:rPr>
        <w:t>migratie</w:t>
      </w:r>
      <w:r w:rsidRPr="004A6D68" w:rsidR="00752376">
        <w:rPr>
          <w:szCs w:val="18"/>
        </w:rPr>
        <w:t>keten.</w:t>
      </w:r>
      <w:r w:rsidR="00E430F2">
        <w:rPr>
          <w:szCs w:val="18"/>
        </w:rPr>
        <w:t xml:space="preserve"> </w:t>
      </w:r>
      <w:r w:rsidRPr="000313AA" w:rsidR="003A4B90">
        <w:rPr>
          <w:szCs w:val="18"/>
        </w:rPr>
        <w:t xml:space="preserve">Het vraagstuk rond de afhandeling van </w:t>
      </w:r>
      <w:r w:rsidR="003A4B90">
        <w:rPr>
          <w:szCs w:val="18"/>
        </w:rPr>
        <w:t xml:space="preserve">de </w:t>
      </w:r>
      <w:r w:rsidRPr="000313AA" w:rsidR="003A4B90">
        <w:rPr>
          <w:szCs w:val="18"/>
        </w:rPr>
        <w:t xml:space="preserve">asielaanvragen bij de IND </w:t>
      </w:r>
      <w:r w:rsidR="003A4B90">
        <w:rPr>
          <w:szCs w:val="18"/>
        </w:rPr>
        <w:t xml:space="preserve">is daarmee ook geen op zichzelf staande opgave. </w:t>
      </w:r>
      <w:r w:rsidRPr="005421DD" w:rsidR="003A4B90">
        <w:rPr>
          <w:szCs w:val="18"/>
        </w:rPr>
        <w:t xml:space="preserve">Door de problematiek van asielaanvragen als een </w:t>
      </w:r>
      <w:proofErr w:type="spellStart"/>
      <w:r w:rsidRPr="005421DD" w:rsidR="003A4B90">
        <w:rPr>
          <w:szCs w:val="18"/>
        </w:rPr>
        <w:t>ketenbreed</w:t>
      </w:r>
      <w:proofErr w:type="spellEnd"/>
      <w:r w:rsidRPr="005421DD" w:rsidR="003A4B90">
        <w:rPr>
          <w:szCs w:val="18"/>
        </w:rPr>
        <w:t xml:space="preserve"> vraagstuk te benaderen, kan</w:t>
      </w:r>
      <w:r w:rsidR="003A4B90">
        <w:rPr>
          <w:szCs w:val="18"/>
        </w:rPr>
        <w:t xml:space="preserve"> in de gezamenlijke implementatie van dit</w:t>
      </w:r>
      <w:r w:rsidRPr="005421DD" w:rsidR="003A4B90">
        <w:rPr>
          <w:szCs w:val="18"/>
        </w:rPr>
        <w:t xml:space="preserve"> plan van aanpak</w:t>
      </w:r>
      <w:r w:rsidR="003A4B90">
        <w:rPr>
          <w:szCs w:val="18"/>
        </w:rPr>
        <w:t xml:space="preserve"> </w:t>
      </w:r>
      <w:r w:rsidRPr="005421DD" w:rsidR="003A4B90">
        <w:rPr>
          <w:szCs w:val="18"/>
        </w:rPr>
        <w:t>tegelijkertijd de processen en partners in de gehele asielketen ondersteunen.</w:t>
      </w:r>
      <w:r w:rsidR="00B60E49">
        <w:rPr>
          <w:szCs w:val="18"/>
        </w:rPr>
        <w:t xml:space="preserve"> De plancyclus en operationele afstemming is daarbij van groot belang. Met name gericht op de ketenpartners die onderdeel zijn van het proces. </w:t>
      </w:r>
    </w:p>
    <w:p w:rsidRPr="003C28F3" w:rsidR="00752376" w:rsidP="00752376" w:rsidRDefault="00DC465F" w14:paraId="5974F2C4" w14:textId="38DFA97B">
      <w:pPr>
        <w:rPr>
          <w:szCs w:val="18"/>
        </w:rPr>
      </w:pPr>
      <w:r>
        <w:rPr>
          <w:szCs w:val="18"/>
        </w:rPr>
        <w:br/>
      </w:r>
      <w:r w:rsidRPr="004A6D68" w:rsidR="00752376">
        <w:rPr>
          <w:szCs w:val="18"/>
        </w:rPr>
        <w:t xml:space="preserve">De aanpak bestaat uit een werkwijze met daarin een set </w:t>
      </w:r>
      <w:r w:rsidR="00E40E10">
        <w:rPr>
          <w:szCs w:val="18"/>
        </w:rPr>
        <w:t>aan</w:t>
      </w:r>
      <w:r w:rsidRPr="004A6D68" w:rsidR="00752376">
        <w:rPr>
          <w:szCs w:val="18"/>
        </w:rPr>
        <w:t xml:space="preserve"> maatregelen zodat de IND gerichter kan horen </w:t>
      </w:r>
      <w:r w:rsidRPr="004A6D68" w:rsidR="00C806DF">
        <w:rPr>
          <w:szCs w:val="18"/>
        </w:rPr>
        <w:t>en met</w:t>
      </w:r>
      <w:r w:rsidRPr="004A6D68" w:rsidR="00752376">
        <w:rPr>
          <w:szCs w:val="18"/>
        </w:rPr>
        <w:t xml:space="preserve"> een systematische aanpak het voorwerk kan doen voor een </w:t>
      </w:r>
      <w:r w:rsidR="00E40E10">
        <w:rPr>
          <w:szCs w:val="18"/>
        </w:rPr>
        <w:t>aanvraag</w:t>
      </w:r>
      <w:r w:rsidRPr="004A6D68" w:rsidR="00752376">
        <w:rPr>
          <w:szCs w:val="18"/>
        </w:rPr>
        <w:t xml:space="preserve">. De maatregelen zien voor een groot deel op het procés maar ook op de </w:t>
      </w:r>
      <w:r w:rsidRPr="004A6D68" w:rsidR="00752376">
        <w:rPr>
          <w:i/>
          <w:iCs/>
          <w:szCs w:val="18"/>
        </w:rPr>
        <w:t>workflow</w:t>
      </w:r>
      <w:r w:rsidRPr="004A6D68" w:rsidR="00752376">
        <w:rPr>
          <w:szCs w:val="18"/>
        </w:rPr>
        <w:t xml:space="preserve"> bij de IND intern én</w:t>
      </w:r>
      <w:r w:rsidR="0071347C">
        <w:rPr>
          <w:szCs w:val="18"/>
        </w:rPr>
        <w:t xml:space="preserve"> hebben ook betrekking op</w:t>
      </w:r>
      <w:r w:rsidRPr="004A6D68" w:rsidR="00752376">
        <w:rPr>
          <w:szCs w:val="18"/>
        </w:rPr>
        <w:t xml:space="preserve"> een aantal partners uit te </w:t>
      </w:r>
      <w:r w:rsidR="00E40E10">
        <w:rPr>
          <w:szCs w:val="18"/>
        </w:rPr>
        <w:t>migratie</w:t>
      </w:r>
      <w:r w:rsidRPr="004A6D68" w:rsidR="00752376">
        <w:rPr>
          <w:szCs w:val="18"/>
        </w:rPr>
        <w:t>keten.</w:t>
      </w:r>
      <w:r w:rsidR="0071347C">
        <w:rPr>
          <w:szCs w:val="18"/>
        </w:rPr>
        <w:t xml:space="preserve"> </w:t>
      </w:r>
      <w:r w:rsidRPr="00F4431D" w:rsidR="0071347C">
        <w:rPr>
          <w:szCs w:val="18"/>
        </w:rPr>
        <w:t xml:space="preserve">Zo is het </w:t>
      </w:r>
      <w:r w:rsidR="0071347C">
        <w:rPr>
          <w:szCs w:val="18"/>
        </w:rPr>
        <w:t xml:space="preserve">bijvoorbeeld </w:t>
      </w:r>
      <w:r w:rsidRPr="00F4431D" w:rsidR="0071347C">
        <w:rPr>
          <w:szCs w:val="18"/>
        </w:rPr>
        <w:t>denkbaar dat inzet van de asieladvocatuur en bereidheid tot fysieke aanwezigheid ten bate van simultane vertegenwoordiging van meerdere cliënten van categorie tot categorie wisselt</w:t>
      </w:r>
      <w:r w:rsidR="0071347C">
        <w:rPr>
          <w:szCs w:val="18"/>
        </w:rPr>
        <w:t>, wat van invloed zou zijn op het te doorlopen proces</w:t>
      </w:r>
      <w:r w:rsidRPr="00F4431D" w:rsidR="0071347C">
        <w:rPr>
          <w:szCs w:val="18"/>
        </w:rPr>
        <w:t>.</w:t>
      </w:r>
      <w:r w:rsidRPr="004A6D68" w:rsidR="00752376">
        <w:rPr>
          <w:szCs w:val="18"/>
        </w:rPr>
        <w:t xml:space="preserve"> </w:t>
      </w:r>
      <w:r w:rsidRPr="00322E50" w:rsidR="00752376">
        <w:rPr>
          <w:szCs w:val="18"/>
        </w:rPr>
        <w:t xml:space="preserve">Meer specifiek kan, ondanks inzet om de stabiliteit van het inwilligingspercentage te bewaken, dit momenten kennen van stijgingen of dalingen, waarmee het mogelijk is dat dit tot een tijdelijke piek in het aantal nareisaanvragen leidt of tot procedures ten bate van een </w:t>
      </w:r>
      <w:r w:rsidR="00B60E49">
        <w:rPr>
          <w:szCs w:val="18"/>
        </w:rPr>
        <w:t xml:space="preserve">hoge </w:t>
      </w:r>
      <w:r w:rsidRPr="00322E50" w:rsidR="00752376">
        <w:rPr>
          <w:szCs w:val="18"/>
        </w:rPr>
        <w:t xml:space="preserve">inwilliging. Andersom kan een tijdelijke daling in het inwilligingspercentage juist leiden tot een piek in het aantal </w:t>
      </w:r>
      <w:proofErr w:type="spellStart"/>
      <w:r w:rsidRPr="00322E50" w:rsidR="00752376">
        <w:rPr>
          <w:szCs w:val="18"/>
        </w:rPr>
        <w:t>terugkeerplichtigen</w:t>
      </w:r>
      <w:proofErr w:type="spellEnd"/>
      <w:r w:rsidRPr="00322E50" w:rsidR="00752376">
        <w:rPr>
          <w:szCs w:val="18"/>
        </w:rPr>
        <w:t xml:space="preserve"> of tot een piek in het aantal procedures dat bij de rechtbank wordt ingediend. Daarnaast wordt rekening gehouden met mogelijke onrust onder de aanvragers, naarmate de wachttermijnen verder zijn opgelopen, zeker in verhouding tot de doelgroep </w:t>
      </w:r>
      <w:r w:rsidRPr="00322E50" w:rsidR="00C806DF">
        <w:rPr>
          <w:szCs w:val="18"/>
        </w:rPr>
        <w:t>die tijdig</w:t>
      </w:r>
      <w:r w:rsidRPr="00322E50" w:rsidR="00752376">
        <w:rPr>
          <w:szCs w:val="18"/>
        </w:rPr>
        <w:t xml:space="preserve"> </w:t>
      </w:r>
      <w:r w:rsidR="00E40E10">
        <w:rPr>
          <w:szCs w:val="18"/>
        </w:rPr>
        <w:t xml:space="preserve">een </w:t>
      </w:r>
      <w:r w:rsidRPr="00322E50" w:rsidR="00C806DF">
        <w:rPr>
          <w:szCs w:val="18"/>
        </w:rPr>
        <w:t>besluit ontvangen</w:t>
      </w:r>
      <w:r w:rsidRPr="00322E50" w:rsidR="00752376">
        <w:rPr>
          <w:szCs w:val="18"/>
        </w:rPr>
        <w:t xml:space="preserve">. Om een zo goed mogelijke balans te bewaken tussen deze effecten en het belang van de gekaderde aanpak, is een duidelijke plancyclus en communicatie daarover aan relevante ketenpartners </w:t>
      </w:r>
      <w:r w:rsidR="00E40E10">
        <w:rPr>
          <w:szCs w:val="18"/>
        </w:rPr>
        <w:t xml:space="preserve">(en asielaanvragers) </w:t>
      </w:r>
      <w:r w:rsidRPr="00322E50" w:rsidR="00752376">
        <w:rPr>
          <w:szCs w:val="18"/>
        </w:rPr>
        <w:t>belangrijk.</w:t>
      </w:r>
    </w:p>
    <w:p w:rsidRPr="008404B8" w:rsidR="00752376" w:rsidP="00FD49C6" w:rsidRDefault="00752376" w14:paraId="50D2A941" w14:textId="5D9B3AB6">
      <w:bookmarkStart w:name="_Hlk230029518" w:id="5"/>
    </w:p>
    <w:p w:rsidRPr="00EC2F26" w:rsidR="00574165" w:rsidP="00574165" w:rsidRDefault="00574165" w14:paraId="69FBE9FB" w14:textId="77777777">
      <w:pPr>
        <w:rPr>
          <w:b/>
          <w:bCs/>
          <w:szCs w:val="18"/>
        </w:rPr>
      </w:pPr>
      <w:bookmarkStart w:name="_Hlk229572755" w:id="6"/>
      <w:bookmarkEnd w:id="5"/>
      <w:r w:rsidRPr="00EC2F26">
        <w:rPr>
          <w:b/>
          <w:bCs/>
          <w:szCs w:val="18"/>
        </w:rPr>
        <w:lastRenderedPageBreak/>
        <w:t xml:space="preserve">Triage Aanpak, Monitoring en Herijking </w:t>
      </w:r>
    </w:p>
    <w:p w:rsidRPr="00EC2F26" w:rsidR="00574165" w:rsidP="00574165" w:rsidRDefault="00574165" w14:paraId="004C29AA" w14:textId="4CFEA25A">
      <w:pPr>
        <w:rPr>
          <w:b/>
          <w:bCs/>
          <w:szCs w:val="18"/>
        </w:rPr>
      </w:pPr>
      <w:r w:rsidRPr="00EC2F26">
        <w:rPr>
          <w:i/>
          <w:iCs/>
          <w:szCs w:val="18"/>
        </w:rPr>
        <w:t>Triage aanpak</w:t>
      </w:r>
      <w:r w:rsidRPr="00EC2F26">
        <w:rPr>
          <w:szCs w:val="18"/>
        </w:rPr>
        <w:t xml:space="preserve"> </w:t>
      </w:r>
      <w:r w:rsidRPr="00EC2F26">
        <w:rPr>
          <w:szCs w:val="18"/>
        </w:rPr>
        <w:br/>
        <w:t xml:space="preserve">Door de gerichte aanpak en de uitvoering onder de wet- en regelgeving Pact is de tijd die de IND naar schatting nodig heeft voor het behandelen van een aanvraag bijna gehalveerd. Mede door de gestandaardiseerde inzet in de voorfase is voor alle zaken minder onderzoek nodig en kan gericht het vervolgproces worden doorlopen. Daarnaast is voor de IND het landenbeleid leidend en kan de IND vervolgens </w:t>
      </w:r>
      <w:proofErr w:type="spellStart"/>
      <w:r w:rsidRPr="00EC2F26">
        <w:rPr>
          <w:szCs w:val="18"/>
        </w:rPr>
        <w:t>risicogestuurd</w:t>
      </w:r>
      <w:proofErr w:type="spellEnd"/>
      <w:r w:rsidRPr="00EC2F26">
        <w:rPr>
          <w:szCs w:val="18"/>
        </w:rPr>
        <w:t xml:space="preserve"> te werk gaan. Dit leidt tot een betere procesflow. </w:t>
      </w:r>
      <w:r w:rsidR="00974D45">
        <w:rPr>
          <w:szCs w:val="18"/>
        </w:rPr>
        <w:t>E</w:t>
      </w:r>
      <w:r w:rsidRPr="003C28F3" w:rsidR="00974D45">
        <w:rPr>
          <w:szCs w:val="18"/>
        </w:rPr>
        <w:t>r wordt niet ingeleverd op de tijd die</w:t>
      </w:r>
      <w:r w:rsidR="00974D45">
        <w:rPr>
          <w:szCs w:val="18"/>
        </w:rPr>
        <w:t xml:space="preserve"> een medewerker</w:t>
      </w:r>
      <w:r w:rsidRPr="003C28F3" w:rsidR="00974D45">
        <w:rPr>
          <w:szCs w:val="18"/>
        </w:rPr>
        <w:t xml:space="preserve"> nodig </w:t>
      </w:r>
      <w:r w:rsidR="00974D45">
        <w:rPr>
          <w:szCs w:val="18"/>
        </w:rPr>
        <w:t>heeft</w:t>
      </w:r>
      <w:r w:rsidRPr="003C28F3" w:rsidR="00974D45">
        <w:rPr>
          <w:szCs w:val="18"/>
        </w:rPr>
        <w:t xml:space="preserve"> om </w:t>
      </w:r>
      <w:r w:rsidR="00974D45">
        <w:rPr>
          <w:szCs w:val="18"/>
        </w:rPr>
        <w:t xml:space="preserve">tot </w:t>
      </w:r>
      <w:r w:rsidRPr="003C28F3" w:rsidR="00974D45">
        <w:rPr>
          <w:szCs w:val="18"/>
        </w:rPr>
        <w:t>een</w:t>
      </w:r>
      <w:r w:rsidR="00974D45">
        <w:rPr>
          <w:szCs w:val="18"/>
        </w:rPr>
        <w:t xml:space="preserve"> zorgvuldig</w:t>
      </w:r>
      <w:r w:rsidRPr="003C28F3" w:rsidR="00974D45">
        <w:rPr>
          <w:szCs w:val="18"/>
        </w:rPr>
        <w:t xml:space="preserve"> besluit te</w:t>
      </w:r>
      <w:r w:rsidR="00974D45">
        <w:rPr>
          <w:szCs w:val="18"/>
        </w:rPr>
        <w:t xml:space="preserve"> komen.</w:t>
      </w:r>
      <w:r w:rsidRPr="00EC2F26">
        <w:rPr>
          <w:szCs w:val="18"/>
        </w:rPr>
        <w:t xml:space="preserve"> Op die manier wordt de besliskwaliteit geborgd. </w:t>
      </w:r>
    </w:p>
    <w:p w:rsidRPr="00926993" w:rsidR="00CE0212" w:rsidP="008141DC" w:rsidRDefault="00574165" w14:paraId="49ACEEC9" w14:textId="1ACF0B47">
      <w:r w:rsidRPr="00EC2F26">
        <w:br/>
        <w:t>De IND gaat vanaf 12 juni 2026 prioriteit geven aan de nieuwe instroom en om zo de nieuwe beslistermijnen van het Pact bij te houden</w:t>
      </w:r>
      <w:r w:rsidRPr="00E430F2">
        <w:rPr>
          <w:rStyle w:val="Voetnootmarkering"/>
          <w:vertAlign w:val="superscript"/>
        </w:rPr>
        <w:footnoteReference w:id="4"/>
      </w:r>
      <w:r w:rsidRPr="00EC2F26">
        <w:t xml:space="preserve">. De overige besliscapaciteit zet de IND in op het wegwerken de openstaande aanvragen van vóór 12 juni 2026. Is de instroom lager dan verwacht, dan blijft automatisch meer capaciteit over voor de openstaande aanvragen. Dit kan door het jaar fluctueren mede door de </w:t>
      </w:r>
      <w:proofErr w:type="spellStart"/>
      <w:r w:rsidRPr="00EC2F26">
        <w:t>seizoen</w:t>
      </w:r>
      <w:r w:rsidR="007779B7">
        <w:t>s</w:t>
      </w:r>
      <w:r w:rsidRPr="00EC2F26">
        <w:t>patronen</w:t>
      </w:r>
      <w:proofErr w:type="spellEnd"/>
      <w:r w:rsidRPr="00EC2F26">
        <w:t xml:space="preserve"> en daarbij komende pieken in de instroom. Daarnaast zal de IND werken met een triage op het moment dat de instroom structureel hoger is dan 25.000 eerste asielaanvragen. Bij een langdurige hoge instroom moet opnieuw bepaald worden hoe de capaciteit wordt ingezet. </w:t>
      </w:r>
      <w:r w:rsidRPr="00EC2F26">
        <w:br/>
      </w:r>
      <w:r w:rsidRPr="00EC2F26">
        <w:br/>
      </w:r>
      <w:r w:rsidRPr="00EC2F26">
        <w:rPr>
          <w:i/>
          <w:iCs/>
        </w:rPr>
        <w:t>Monitoring</w:t>
      </w:r>
      <w:r w:rsidRPr="00EC2F26">
        <w:br/>
      </w:r>
      <w:bookmarkStart w:name="_Hlk230941245" w:id="7"/>
      <w:r w:rsidRPr="00926993" w:rsidR="008141DC">
        <w:t xml:space="preserve">De inzet is om met deze werkwijze op alle aanvragen van voor 12 juni 2026 binnen drie jaar een beslissing te nemen. Omdat de effecten van de maatregelen in de toekomst liggen is het lastig om hier een precieze doorrekening van te maken. </w:t>
      </w:r>
      <w:bookmarkEnd w:id="7"/>
      <w:r w:rsidRPr="00926993" w:rsidR="008141DC">
        <w:t xml:space="preserve">Daarbij geldt ook dat wisselende omstandigheden of beleidsmatige aanpassingen in de toekomst hierop van invloed kunnen zijn. </w:t>
      </w:r>
      <w:bookmarkStart w:name="_Hlk230941234" w:id="8"/>
      <w:r w:rsidRPr="00926993" w:rsidR="008141DC">
        <w:t>Daarom monitor ik de voortgang hiervan</w:t>
      </w:r>
      <w:r w:rsidRPr="00926993" w:rsidR="00B62544">
        <w:t xml:space="preserve"> doorlopend</w:t>
      </w:r>
      <w:r w:rsidRPr="00926993" w:rsidR="008141DC">
        <w:t xml:space="preserve"> en zal ik ook uw Kamers over de voortgang informeren. Op basis van deze monitoring wordt periodiek bezien of bijsturing op de gegeven opdracht noodzakelijk is en of aanvullende maatregelen nodig zijn. </w:t>
      </w:r>
      <w:bookmarkEnd w:id="8"/>
      <w:r w:rsidRPr="00926993" w:rsidR="008141DC">
        <w:t>De motie van het lid Diederik van Dijk</w:t>
      </w:r>
      <w:r w:rsidRPr="00926993" w:rsidR="008141DC">
        <w:rPr>
          <w:rStyle w:val="Voetnootmarkering"/>
          <w:vertAlign w:val="superscript"/>
        </w:rPr>
        <w:footnoteReference w:id="5"/>
      </w:r>
      <w:r w:rsidRPr="00926993" w:rsidR="008141DC">
        <w:t xml:space="preserve"> verzoekt de regering per kwartaal de Tweede Kamer hierover te infomeren. Ik vind het heel belangrijk om open en transparant te zijn over de voortgang van deze opgave. </w:t>
      </w:r>
      <w:bookmarkStart w:name="_Hlk230941297" w:id="9"/>
      <w:r w:rsidRPr="00926993" w:rsidR="00926993">
        <w:t>D</w:t>
      </w:r>
      <w:r w:rsidRPr="00926993" w:rsidR="008141DC">
        <w:t>e IND zal maandelijks de voortgang van de behandeling van openstaande aanvragen,</w:t>
      </w:r>
      <w:r w:rsidRPr="00926993" w:rsidDel="00F20922" w:rsidR="008141DC">
        <w:t xml:space="preserve"> </w:t>
      </w:r>
      <w:r w:rsidRPr="00926993" w:rsidR="008141DC">
        <w:t xml:space="preserve">én het bijhouden van de nieuwe beslistermijnen op een </w:t>
      </w:r>
      <w:r w:rsidRPr="00926993" w:rsidR="005D0C16">
        <w:t>inzichtelijke</w:t>
      </w:r>
      <w:r w:rsidRPr="00926993" w:rsidR="00CE0212">
        <w:t xml:space="preserve"> en vernieuwende</w:t>
      </w:r>
      <w:r w:rsidRPr="00926993" w:rsidR="008141DC">
        <w:t xml:space="preserve"> wijze publiceren op haar website. </w:t>
      </w:r>
      <w:r w:rsidRPr="00926993" w:rsidR="00CE0212">
        <w:t xml:space="preserve">Hiermee wordt de </w:t>
      </w:r>
      <w:r w:rsidRPr="00926993" w:rsidR="00FF6840">
        <w:t>Tweede Kamer in gelegenheid gesteld de ontwikkelingen zo actueel mogelijk te</w:t>
      </w:r>
      <w:r w:rsidRPr="00926993" w:rsidR="00CE0212">
        <w:t xml:space="preserve"> volgen. </w:t>
      </w:r>
    </w:p>
    <w:p w:rsidRPr="00926993" w:rsidR="00CE0212" w:rsidP="008141DC" w:rsidRDefault="00CE0212" w14:paraId="3C724F5F" w14:textId="77777777"/>
    <w:p w:rsidRPr="00215E3C" w:rsidR="008141DC" w:rsidP="008141DC" w:rsidRDefault="008141DC" w14:paraId="4E3CE580" w14:textId="173DE476">
      <w:r w:rsidRPr="00926993">
        <w:t xml:space="preserve">Daarnaast zal ik uw Kamers tweemaal per jaar uitgebreid infomeren, te weten bij de vaststelling van de </w:t>
      </w:r>
      <w:proofErr w:type="spellStart"/>
      <w:r w:rsidRPr="00926993">
        <w:t>Meerjaren</w:t>
      </w:r>
      <w:proofErr w:type="spellEnd"/>
      <w:r w:rsidRPr="00926993">
        <w:t xml:space="preserve"> Productie Prognose (MPP) in het najaar van 2026 en bij de vaststelling van de kernprognose in het voorjaar. Ik zal de Kamer aanvullend informeren in de periodieke voortgangsbrief over de implementatie van het pact.</w:t>
      </w:r>
    </w:p>
    <w:bookmarkEnd w:id="9"/>
    <w:p w:rsidR="008141DC" w:rsidP="007779B7" w:rsidRDefault="008141DC" w14:paraId="7E7E5DBD" w14:textId="113D4E8C"/>
    <w:p w:rsidRPr="00926993" w:rsidR="00574165" w:rsidP="007779B7" w:rsidRDefault="00574165" w14:paraId="04E70C51" w14:textId="7D92CF86">
      <w:r w:rsidRPr="00926993">
        <w:t xml:space="preserve">In deze brief wordt over de voortgang gerapporteerd, waarbij in ieder geval ingegaan wordt op: </w:t>
      </w:r>
    </w:p>
    <w:p w:rsidRPr="00926993" w:rsidR="00574165" w:rsidP="00574165" w:rsidRDefault="00574165" w14:paraId="2ED043B0" w14:textId="77777777">
      <w:pPr>
        <w:pStyle w:val="broodtekst"/>
        <w:numPr>
          <w:ilvl w:val="0"/>
          <w:numId w:val="8"/>
        </w:numPr>
      </w:pPr>
      <w:r w:rsidRPr="00926993">
        <w:t>Het percentage nieuwe aanvragen waarin binnen de wettelijke beslistermijnen wordt beslist.</w:t>
      </w:r>
    </w:p>
    <w:p w:rsidRPr="00926993" w:rsidR="00574165" w:rsidP="00574165" w:rsidRDefault="00574165" w14:paraId="06C18AFF" w14:textId="77777777">
      <w:pPr>
        <w:pStyle w:val="broodtekst"/>
        <w:numPr>
          <w:ilvl w:val="0"/>
          <w:numId w:val="8"/>
        </w:numPr>
      </w:pPr>
      <w:r w:rsidRPr="00926993">
        <w:t>De productie en voortgang van de openstaande aanvragen, inclusief de voortgang van AMV-zaken.</w:t>
      </w:r>
    </w:p>
    <w:p w:rsidRPr="00926993" w:rsidR="008362AC" w:rsidP="00574165" w:rsidRDefault="008362AC" w14:paraId="03A73065" w14:textId="4ECED649">
      <w:pPr>
        <w:pStyle w:val="broodtekst"/>
        <w:numPr>
          <w:ilvl w:val="0"/>
          <w:numId w:val="8"/>
        </w:numPr>
      </w:pPr>
      <w:r w:rsidRPr="00926993">
        <w:t>Het inwilligingspercentage</w:t>
      </w:r>
    </w:p>
    <w:p w:rsidRPr="00EC2F26" w:rsidR="000A06FC" w:rsidP="00574165" w:rsidRDefault="000A06FC" w14:paraId="69EA66F4" w14:textId="77777777">
      <w:pPr>
        <w:pStyle w:val="broodtekst"/>
      </w:pPr>
    </w:p>
    <w:p w:rsidR="003F291B" w:rsidP="003F291B" w:rsidRDefault="00574165" w14:paraId="4605B98B" w14:textId="4C1C6DA7">
      <w:r w:rsidRPr="00EC2F26">
        <w:rPr>
          <w:i/>
          <w:iCs/>
          <w:szCs w:val="18"/>
        </w:rPr>
        <w:t>Herijking</w:t>
      </w:r>
      <w:r w:rsidRPr="00EC2F26">
        <w:rPr>
          <w:szCs w:val="18"/>
        </w:rPr>
        <w:t xml:space="preserve"> </w:t>
      </w:r>
      <w:r w:rsidRPr="00EC2F26">
        <w:rPr>
          <w:szCs w:val="18"/>
        </w:rPr>
        <w:br/>
        <w:t xml:space="preserve">Periodiek wordt op basis van monitoring beoordeeld of aanvullende maatregelen nodig zijn. De IND werkt met een plancyclus van circa drie maanden, waarin steeds wordt bekeken welke planning nodig is om de voortgang te waarborgen. De aanpak is adaptief, zodat snel kan worden gereageerd op gewijzigde omstandigheden of als eerdere maatregelen minder effectief blijken. </w:t>
      </w:r>
    </w:p>
    <w:p w:rsidRPr="00EC2F26" w:rsidR="00574165" w:rsidP="00574165" w:rsidRDefault="00574165" w14:paraId="1B9EB242" w14:textId="30A9EF9D">
      <w:pPr>
        <w:rPr>
          <w:szCs w:val="18"/>
        </w:rPr>
      </w:pPr>
    </w:p>
    <w:p w:rsidR="00926993" w:rsidRDefault="00926993" w14:paraId="1893BA52" w14:textId="77777777">
      <w:pPr>
        <w:spacing w:line="240" w:lineRule="auto"/>
        <w:rPr>
          <w:b/>
          <w:bCs/>
          <w:szCs w:val="18"/>
        </w:rPr>
      </w:pPr>
      <w:r>
        <w:rPr>
          <w:b/>
          <w:bCs/>
          <w:szCs w:val="18"/>
        </w:rPr>
        <w:br w:type="page"/>
      </w:r>
    </w:p>
    <w:p w:rsidRPr="00F4431D" w:rsidR="00752376" w:rsidP="005D0C16" w:rsidRDefault="00752376" w14:paraId="3CB3F988" w14:textId="15FCA6B2">
      <w:pPr>
        <w:spacing w:line="240" w:lineRule="auto"/>
        <w:rPr>
          <w:b/>
          <w:bCs/>
          <w:szCs w:val="18"/>
        </w:rPr>
      </w:pPr>
      <w:r w:rsidRPr="00F4431D">
        <w:rPr>
          <w:b/>
          <w:bCs/>
          <w:szCs w:val="18"/>
        </w:rPr>
        <w:lastRenderedPageBreak/>
        <w:t>Risico’s ten aanzien van te behalen effecten</w:t>
      </w:r>
    </w:p>
    <w:p w:rsidRPr="00F4431D" w:rsidR="00752376" w:rsidP="003701C4" w:rsidRDefault="00752376" w14:paraId="35CBBE84" w14:textId="45879AFE">
      <w:pPr>
        <w:rPr>
          <w:szCs w:val="18"/>
        </w:rPr>
      </w:pPr>
      <w:r w:rsidRPr="00F4431D">
        <w:rPr>
          <w:szCs w:val="18"/>
        </w:rPr>
        <w:t xml:space="preserve">Met de inwerkingtreding van het Migratiepact </w:t>
      </w:r>
      <w:r w:rsidRPr="00F4431D" w:rsidR="00C806DF">
        <w:rPr>
          <w:szCs w:val="18"/>
        </w:rPr>
        <w:t>komen veel</w:t>
      </w:r>
      <w:r w:rsidRPr="00F4431D">
        <w:rPr>
          <w:szCs w:val="18"/>
        </w:rPr>
        <w:t xml:space="preserve"> ingrijpende wijzigingen op de IND af. Voor het welslagen van dit plan van aanpak, waarbij de doorlooptijden van de </w:t>
      </w:r>
      <w:r w:rsidR="005B1C26">
        <w:rPr>
          <w:szCs w:val="18"/>
        </w:rPr>
        <w:t>openstaande</w:t>
      </w:r>
      <w:r w:rsidRPr="00F4431D">
        <w:rPr>
          <w:szCs w:val="18"/>
        </w:rPr>
        <w:t xml:space="preserve"> asielaanvragen </w:t>
      </w:r>
      <w:r w:rsidRPr="00F4431D" w:rsidR="00C806DF">
        <w:rPr>
          <w:szCs w:val="18"/>
        </w:rPr>
        <w:t xml:space="preserve">niet </w:t>
      </w:r>
      <w:r w:rsidR="00C806DF">
        <w:rPr>
          <w:szCs w:val="18"/>
        </w:rPr>
        <w:t>buitenproportioneel</w:t>
      </w:r>
      <w:r w:rsidRPr="00F4431D" w:rsidR="00AE2128">
        <w:rPr>
          <w:szCs w:val="18"/>
        </w:rPr>
        <w:t xml:space="preserve"> </w:t>
      </w:r>
      <w:r w:rsidRPr="00F4431D">
        <w:rPr>
          <w:szCs w:val="18"/>
        </w:rPr>
        <w:t>lang worden, is het van belang dat de interne en externe factoren waarmee nu rekening is gehouden, zoveel mogelijk gelijk blijven</w:t>
      </w:r>
      <w:r w:rsidR="0046527F">
        <w:rPr>
          <w:szCs w:val="18"/>
        </w:rPr>
        <w:t>.</w:t>
      </w:r>
      <w:r w:rsidRPr="00F4431D">
        <w:rPr>
          <w:szCs w:val="18"/>
        </w:rPr>
        <w:t xml:space="preserve"> </w:t>
      </w:r>
      <w:r w:rsidR="0046527F">
        <w:rPr>
          <w:szCs w:val="18"/>
        </w:rPr>
        <w:t>E</w:t>
      </w:r>
      <w:r w:rsidRPr="00F4431D">
        <w:rPr>
          <w:szCs w:val="18"/>
        </w:rPr>
        <w:t xml:space="preserve">venals geopolitieke omstandigheden die op dit moment niet zijn te voorspellen, maar die wel degelijk effect kunnen hebben op de prioriteiten in de keten. Ook van andere partijen </w:t>
      </w:r>
      <w:r w:rsidRPr="00F4431D" w:rsidR="00C806DF">
        <w:rPr>
          <w:szCs w:val="18"/>
        </w:rPr>
        <w:t>is een</w:t>
      </w:r>
      <w:r w:rsidRPr="00F4431D">
        <w:rPr>
          <w:szCs w:val="18"/>
        </w:rPr>
        <w:t xml:space="preserve"> afhankelijkheid om hieraan tegemoet te komen. De gekaderde aanpak </w:t>
      </w:r>
      <w:r w:rsidRPr="00F4431D" w:rsidR="00C806DF">
        <w:rPr>
          <w:szCs w:val="18"/>
        </w:rPr>
        <w:t>kan vaker</w:t>
      </w:r>
      <w:r w:rsidRPr="00F4431D">
        <w:rPr>
          <w:szCs w:val="18"/>
        </w:rPr>
        <w:t xml:space="preserve"> aanleiding zijn voor de rechtbank om te oordelen dat een besluit niet zorgvuldig genoeg tot stand is gekomen. </w:t>
      </w:r>
      <w:bookmarkEnd w:id="6"/>
    </w:p>
    <w:p w:rsidR="00926993" w:rsidP="00752376" w:rsidRDefault="00DC465F" w14:paraId="49E7125F" w14:textId="77777777">
      <w:pPr>
        <w:rPr>
          <w:b/>
          <w:bCs/>
          <w:szCs w:val="18"/>
          <w:u w:val="single"/>
        </w:rPr>
      </w:pP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r>
        <w:rPr>
          <w:b/>
          <w:bCs/>
          <w:szCs w:val="18"/>
          <w:u w:val="single"/>
        </w:rPr>
        <w:br/>
      </w:r>
    </w:p>
    <w:p w:rsidR="00926993" w:rsidRDefault="00926993" w14:paraId="07901B7D" w14:textId="77777777">
      <w:pPr>
        <w:spacing w:line="240" w:lineRule="auto"/>
        <w:rPr>
          <w:b/>
          <w:bCs/>
          <w:szCs w:val="18"/>
          <w:u w:val="single"/>
        </w:rPr>
      </w:pPr>
      <w:r>
        <w:rPr>
          <w:b/>
          <w:bCs/>
          <w:szCs w:val="18"/>
          <w:u w:val="single"/>
        </w:rPr>
        <w:br w:type="page"/>
      </w:r>
    </w:p>
    <w:p w:rsidRPr="00080EBA" w:rsidR="00752376" w:rsidP="00752376" w:rsidRDefault="00752376" w14:paraId="345B7443" w14:textId="40B8AB4A">
      <w:pPr>
        <w:rPr>
          <w:b/>
          <w:bCs/>
          <w:szCs w:val="18"/>
          <w:u w:val="single"/>
        </w:rPr>
      </w:pPr>
      <w:r w:rsidRPr="00080EBA">
        <w:rPr>
          <w:b/>
          <w:bCs/>
          <w:szCs w:val="18"/>
          <w:u w:val="single"/>
        </w:rPr>
        <w:lastRenderedPageBreak/>
        <w:t>Bijlage 1)</w:t>
      </w:r>
      <w:r w:rsidR="00DC465F">
        <w:rPr>
          <w:b/>
          <w:bCs/>
          <w:szCs w:val="18"/>
          <w:u w:val="single"/>
        </w:rPr>
        <w:br/>
      </w:r>
    </w:p>
    <w:tbl>
      <w:tblPr>
        <w:tblStyle w:val="Tabelraster"/>
        <w:tblW w:w="0" w:type="auto"/>
        <w:tblLook w:val="04A0" w:firstRow="1" w:lastRow="0" w:firstColumn="1" w:lastColumn="0" w:noHBand="0" w:noVBand="1"/>
      </w:tblPr>
      <w:tblGrid>
        <w:gridCol w:w="8550"/>
      </w:tblGrid>
      <w:tr w:rsidR="00752376" w:rsidTr="001B0322" w14:paraId="0141E5D5" w14:textId="77777777">
        <w:tc>
          <w:tcPr>
            <w:tcW w:w="8550" w:type="dxa"/>
            <w:shd w:val="clear" w:color="auto" w:fill="548DD4" w:themeFill="text2" w:themeFillTint="99"/>
          </w:tcPr>
          <w:p w:rsidRPr="00737B66" w:rsidR="00752376" w:rsidP="00F41CCC" w:rsidRDefault="00752376" w14:paraId="3387F154" w14:textId="2BFC22CE">
            <w:pPr>
              <w:pStyle w:val="Standaardbrieftekst"/>
              <w:rPr>
                <w:b/>
                <w:szCs w:val="18"/>
              </w:rPr>
            </w:pPr>
            <w:r w:rsidRPr="00737B66">
              <w:rPr>
                <w:b/>
                <w:szCs w:val="18"/>
              </w:rPr>
              <w:t xml:space="preserve">Belangrijke </w:t>
            </w:r>
            <w:r>
              <w:rPr>
                <w:b/>
                <w:szCs w:val="18"/>
              </w:rPr>
              <w:t>IJ</w:t>
            </w:r>
            <w:r w:rsidRPr="00737B66">
              <w:rPr>
                <w:b/>
                <w:szCs w:val="18"/>
              </w:rPr>
              <w:t xml:space="preserve">kmomenten in de ontwikkeling </w:t>
            </w:r>
            <w:r>
              <w:rPr>
                <w:b/>
                <w:szCs w:val="18"/>
              </w:rPr>
              <w:t xml:space="preserve">van de </w:t>
            </w:r>
            <w:r w:rsidR="004A4AFF">
              <w:rPr>
                <w:b/>
                <w:szCs w:val="18"/>
              </w:rPr>
              <w:t xml:space="preserve">oplopende </w:t>
            </w:r>
            <w:r>
              <w:rPr>
                <w:b/>
                <w:szCs w:val="18"/>
              </w:rPr>
              <w:t>asielaanvragen</w:t>
            </w:r>
            <w:r w:rsidR="004A4AFF">
              <w:rPr>
                <w:b/>
                <w:szCs w:val="18"/>
              </w:rPr>
              <w:t xml:space="preserve"> en wachttijden bij de IND </w:t>
            </w:r>
            <w:r>
              <w:rPr>
                <w:b/>
                <w:szCs w:val="18"/>
              </w:rPr>
              <w:br/>
            </w:r>
          </w:p>
        </w:tc>
      </w:tr>
      <w:tr w:rsidR="00752376" w:rsidTr="001B0322" w14:paraId="1637C6A9" w14:textId="77777777">
        <w:tc>
          <w:tcPr>
            <w:tcW w:w="8550" w:type="dxa"/>
            <w:shd w:val="clear" w:color="auto" w:fill="DBE5F1" w:themeFill="accent1" w:themeFillTint="33"/>
          </w:tcPr>
          <w:p w:rsidRPr="00737B66" w:rsidR="00752376" w:rsidP="00F41CCC" w:rsidRDefault="00752376" w14:paraId="581AC656" w14:textId="77777777">
            <w:pPr>
              <w:pStyle w:val="Standaardbrieftekst"/>
              <w:rPr>
                <w:b/>
                <w:szCs w:val="18"/>
              </w:rPr>
            </w:pPr>
            <w:r w:rsidRPr="00737B66">
              <w:rPr>
                <w:b/>
                <w:szCs w:val="18"/>
              </w:rPr>
              <w:t>2015</w:t>
            </w:r>
          </w:p>
        </w:tc>
      </w:tr>
      <w:tr w:rsidR="00752376" w:rsidTr="001B0322" w14:paraId="75736556" w14:textId="77777777">
        <w:tc>
          <w:tcPr>
            <w:tcW w:w="8550" w:type="dxa"/>
          </w:tcPr>
          <w:p w:rsidR="00752376" w:rsidP="00F41CCC" w:rsidRDefault="00752376" w14:paraId="74CCF22C" w14:textId="77777777">
            <w:pPr>
              <w:pStyle w:val="Standaardbrieftekst"/>
              <w:rPr>
                <w:bCs/>
                <w:szCs w:val="18"/>
              </w:rPr>
            </w:pPr>
            <w:r w:rsidRPr="00A64788">
              <w:rPr>
                <w:bCs/>
                <w:szCs w:val="18"/>
              </w:rPr>
              <w:t xml:space="preserve">Als </w:t>
            </w:r>
            <w:r w:rsidRPr="00A64788">
              <w:rPr>
                <w:szCs w:val="18"/>
              </w:rPr>
              <w:t>gevolg van de burgeroorlog in Syrië komt er een grote vluchtelingenstroom op gang. Aanvankelijk zoeken de meeste vluchtelingen bescherming in de verschillende buurlanden, maar naarmate de oorlog voortduurt reizen velen door naar West-Europa. Ook naar Nederland. In 2015 doen 18.677 Syrische vluchtelingen in Nederland een asielaanvraag, het hoogste aantal tot dan</w:t>
            </w:r>
            <w:r>
              <w:rPr>
                <w:szCs w:val="18"/>
              </w:rPr>
              <w:t>.</w:t>
            </w:r>
            <w:r>
              <w:rPr>
                <w:szCs w:val="18"/>
              </w:rPr>
              <w:br/>
            </w:r>
          </w:p>
        </w:tc>
      </w:tr>
      <w:tr w:rsidR="00752376" w:rsidTr="001B0322" w14:paraId="0E93B47A" w14:textId="77777777">
        <w:tc>
          <w:tcPr>
            <w:tcW w:w="8550" w:type="dxa"/>
            <w:shd w:val="clear" w:color="auto" w:fill="DBE5F1" w:themeFill="accent1" w:themeFillTint="33"/>
          </w:tcPr>
          <w:p w:rsidR="00752376" w:rsidP="00F41CCC" w:rsidRDefault="00752376" w14:paraId="67038F0C" w14:textId="77777777">
            <w:pPr>
              <w:pStyle w:val="Standaardbrieftekst"/>
              <w:rPr>
                <w:bCs/>
                <w:szCs w:val="18"/>
              </w:rPr>
            </w:pPr>
            <w:r w:rsidRPr="00A64788">
              <w:rPr>
                <w:b/>
                <w:bCs/>
                <w:szCs w:val="18"/>
              </w:rPr>
              <w:t>2017</w:t>
            </w:r>
          </w:p>
        </w:tc>
      </w:tr>
      <w:tr w:rsidR="00752376" w:rsidTr="001B0322" w14:paraId="484A1B67" w14:textId="77777777">
        <w:tc>
          <w:tcPr>
            <w:tcW w:w="8550" w:type="dxa"/>
          </w:tcPr>
          <w:p w:rsidRPr="005E6815" w:rsidR="00752376" w:rsidP="00F41CCC" w:rsidRDefault="00752376" w14:paraId="537F5C20" w14:textId="0080CA05">
            <w:pPr>
              <w:pStyle w:val="Standaardbrieftekst"/>
              <w:rPr>
                <w:szCs w:val="18"/>
              </w:rPr>
            </w:pPr>
            <w:r w:rsidRPr="005E6815">
              <w:rPr>
                <w:szCs w:val="18"/>
              </w:rPr>
              <w:t xml:space="preserve">In het najaar van 2017 was het grootste deel van de tot dan toe ingediende aanvragen verwerkt. Op basis van de lagere instroomprognoses van de </w:t>
            </w:r>
            <w:proofErr w:type="spellStart"/>
            <w:r w:rsidRPr="005E6815">
              <w:rPr>
                <w:szCs w:val="18"/>
              </w:rPr>
              <w:t>Meerjaren</w:t>
            </w:r>
            <w:proofErr w:type="spellEnd"/>
            <w:r w:rsidRPr="005E6815">
              <w:rPr>
                <w:szCs w:val="18"/>
              </w:rPr>
              <w:t xml:space="preserve"> Productie Prognose (MPP) en het daarmee samenhangende lagere financieel kader voor het begrotingsjaar 2018, wordt besloten om binnen de IND af te schalen bij de directie Asiel en Bescherming. Hierdoor verlaten zo’n 300 fte ervaren hoor- en beslismedewerkers de organisatie terwijl met name op de werksoort nareis nog veel zaken ‘op de plank liggen’. Mede door het vertrek van deze medewerkers in combinatie met een hogere asielinstroom dan eerder werd geprognosticeerd lopen </w:t>
            </w:r>
            <w:r w:rsidR="004A4AFF">
              <w:rPr>
                <w:szCs w:val="18"/>
              </w:rPr>
              <w:t>wachttijden</w:t>
            </w:r>
            <w:r w:rsidRPr="005E6815">
              <w:rPr>
                <w:szCs w:val="18"/>
              </w:rPr>
              <w:t xml:space="preserve"> en de doorlooptijden toch weer op.</w:t>
            </w:r>
          </w:p>
          <w:p w:rsidRPr="00A64788" w:rsidR="00752376" w:rsidP="00F41CCC" w:rsidRDefault="00752376" w14:paraId="57FE0D1E" w14:textId="77777777">
            <w:pPr>
              <w:pStyle w:val="Standaardbrieftekst"/>
              <w:rPr>
                <w:b/>
                <w:bCs/>
                <w:szCs w:val="18"/>
              </w:rPr>
            </w:pPr>
          </w:p>
        </w:tc>
      </w:tr>
      <w:tr w:rsidR="00752376" w:rsidTr="001B0322" w14:paraId="45935F2A" w14:textId="77777777">
        <w:tc>
          <w:tcPr>
            <w:tcW w:w="8550" w:type="dxa"/>
            <w:shd w:val="clear" w:color="auto" w:fill="DBE5F1" w:themeFill="accent1" w:themeFillTint="33"/>
          </w:tcPr>
          <w:p w:rsidRPr="00A64788" w:rsidR="00752376" w:rsidP="00F41CCC" w:rsidRDefault="00752376" w14:paraId="5E0A20A6" w14:textId="77777777">
            <w:pPr>
              <w:pStyle w:val="Standaardbrieftekst"/>
              <w:rPr>
                <w:szCs w:val="18"/>
              </w:rPr>
            </w:pPr>
            <w:r w:rsidRPr="00A64788">
              <w:rPr>
                <w:b/>
                <w:bCs/>
                <w:szCs w:val="18"/>
              </w:rPr>
              <w:t>2019</w:t>
            </w:r>
          </w:p>
        </w:tc>
      </w:tr>
      <w:tr w:rsidR="00752376" w:rsidTr="001B0322" w14:paraId="171C5B9A" w14:textId="77777777">
        <w:tc>
          <w:tcPr>
            <w:tcW w:w="8550" w:type="dxa"/>
          </w:tcPr>
          <w:p w:rsidRPr="00A64788" w:rsidR="00752376" w:rsidP="00F41CCC" w:rsidRDefault="00752376" w14:paraId="41B6A673" w14:textId="77777777">
            <w:pPr>
              <w:pStyle w:val="Standaardbrieftekst"/>
              <w:rPr>
                <w:szCs w:val="18"/>
              </w:rPr>
            </w:pPr>
            <w:r w:rsidRPr="00A64788">
              <w:rPr>
                <w:szCs w:val="18"/>
              </w:rPr>
              <w:t xml:space="preserve">In juni 2019 wordt het eindrapport gepresenteerd door </w:t>
            </w:r>
            <w:r>
              <w:rPr>
                <w:szCs w:val="18"/>
              </w:rPr>
              <w:t xml:space="preserve">commissie van Zwol, </w:t>
            </w:r>
            <w:r w:rsidRPr="00A64788">
              <w:rPr>
                <w:szCs w:val="18"/>
              </w:rPr>
              <w:t>Langdurig verblijvende vreemdelingen zonder bestendig verblijfsrecht</w:t>
            </w:r>
            <w:r w:rsidRPr="00596D0B">
              <w:rPr>
                <w:rStyle w:val="Voetnootmarkering"/>
                <w:szCs w:val="18"/>
                <w:vertAlign w:val="superscript"/>
              </w:rPr>
              <w:footnoteReference w:id="6"/>
            </w:r>
            <w:r w:rsidRPr="00A64788">
              <w:rPr>
                <w:szCs w:val="18"/>
              </w:rPr>
              <w:t xml:space="preserve"> </w:t>
            </w:r>
            <w:r>
              <w:rPr>
                <w:szCs w:val="18"/>
              </w:rPr>
              <w:t xml:space="preserve">. </w:t>
            </w:r>
            <w:r w:rsidRPr="00A64788">
              <w:rPr>
                <w:szCs w:val="18"/>
              </w:rPr>
              <w:t xml:space="preserve">De commissie stelt dat met betrekking tot de doorlooptijden van de IND, de sleutel onder andere ligt bij de uitvoering en dat er tastbaar gestuurd moet worden op snelheid en tijdigheid van norm-, wacht- en doorlooptijden. Naar aanleiding van het rapport neemt de Staatssecretaris </w:t>
            </w:r>
            <w:proofErr w:type="spellStart"/>
            <w:r w:rsidRPr="00A64788">
              <w:rPr>
                <w:szCs w:val="18"/>
              </w:rPr>
              <w:t>JenV</w:t>
            </w:r>
            <w:proofErr w:type="spellEnd"/>
            <w:r w:rsidRPr="00A64788">
              <w:rPr>
                <w:szCs w:val="18"/>
              </w:rPr>
              <w:t xml:space="preserve"> (</w:t>
            </w:r>
            <w:proofErr w:type="spellStart"/>
            <w:r w:rsidRPr="00A64788">
              <w:rPr>
                <w:szCs w:val="18"/>
              </w:rPr>
              <w:t>SJenV</w:t>
            </w:r>
            <w:proofErr w:type="spellEnd"/>
            <w:r w:rsidRPr="00A64788">
              <w:rPr>
                <w:szCs w:val="18"/>
              </w:rPr>
              <w:t>) een aantal maatregelen.</w:t>
            </w:r>
            <w:r>
              <w:rPr>
                <w:szCs w:val="18"/>
              </w:rPr>
              <w:t xml:space="preserve"> Effecten van de maatregelen blijven uit waardoor een onderzoek naar de uitvoering van de IND wordt aangekondigd met als doel </w:t>
            </w:r>
            <w:r w:rsidRPr="00A64788">
              <w:rPr>
                <w:szCs w:val="18"/>
              </w:rPr>
              <w:t>om op korte termijn met voorstellen te komen die moeten leiden tot verdere verbeteringen van de uitvoering van de asielprocedure.</w:t>
            </w:r>
            <w:r w:rsidRPr="00596D0B">
              <w:rPr>
                <w:rStyle w:val="Voetnootmarkering"/>
                <w:szCs w:val="18"/>
                <w:vertAlign w:val="superscript"/>
              </w:rPr>
              <w:footnoteReference w:id="7"/>
            </w:r>
            <w:r w:rsidRPr="00596D0B">
              <w:rPr>
                <w:szCs w:val="18"/>
                <w:vertAlign w:val="superscript"/>
              </w:rPr>
              <w:t xml:space="preserve"> </w:t>
            </w:r>
            <w:r w:rsidRPr="00A64788">
              <w:rPr>
                <w:szCs w:val="18"/>
              </w:rPr>
              <w:t>Dit onderzoek wordt uitgevoerd door onderzoeksbureau Significant.</w:t>
            </w:r>
            <w:r w:rsidRPr="00596D0B">
              <w:rPr>
                <w:rStyle w:val="Voetnootmarkering"/>
                <w:szCs w:val="18"/>
                <w:vertAlign w:val="superscript"/>
              </w:rPr>
              <w:footnoteReference w:id="8"/>
            </w:r>
            <w:r w:rsidRPr="00596D0B">
              <w:rPr>
                <w:szCs w:val="18"/>
                <w:vertAlign w:val="superscript"/>
              </w:rPr>
              <w:t xml:space="preserve"> </w:t>
            </w:r>
            <w:r w:rsidRPr="00A64788">
              <w:rPr>
                <w:szCs w:val="18"/>
              </w:rPr>
              <w:t>De aanbevelingen worden, al dan niet gebundeld met aanbevelingen van opeenvolgende onderzoeksrapporten (zie ook 2020 e.v.) geprioriteerd en afgehandeld</w:t>
            </w:r>
            <w:r>
              <w:rPr>
                <w:szCs w:val="18"/>
              </w:rPr>
              <w:t>.</w:t>
            </w:r>
            <w:r>
              <w:rPr>
                <w:szCs w:val="18"/>
              </w:rPr>
              <w:br/>
            </w:r>
          </w:p>
        </w:tc>
      </w:tr>
      <w:tr w:rsidR="00752376" w:rsidTr="001B0322" w14:paraId="421E27A1" w14:textId="77777777">
        <w:tc>
          <w:tcPr>
            <w:tcW w:w="8550" w:type="dxa"/>
            <w:shd w:val="clear" w:color="auto" w:fill="DBE5F1" w:themeFill="accent1" w:themeFillTint="33"/>
          </w:tcPr>
          <w:p w:rsidRPr="00A64788" w:rsidR="00752376" w:rsidP="00F41CCC" w:rsidRDefault="00752376" w14:paraId="35F2E3E9" w14:textId="77777777">
            <w:pPr>
              <w:pStyle w:val="Standaardbrieftekst"/>
              <w:rPr>
                <w:szCs w:val="18"/>
              </w:rPr>
            </w:pPr>
            <w:r w:rsidRPr="00A64788">
              <w:rPr>
                <w:b/>
                <w:bCs/>
                <w:szCs w:val="18"/>
              </w:rPr>
              <w:t>2020</w:t>
            </w:r>
          </w:p>
        </w:tc>
      </w:tr>
      <w:tr w:rsidR="00752376" w:rsidTr="001B0322" w14:paraId="2C723F4A" w14:textId="77777777">
        <w:tc>
          <w:tcPr>
            <w:tcW w:w="8550" w:type="dxa"/>
          </w:tcPr>
          <w:p w:rsidRPr="00A64788" w:rsidR="00752376" w:rsidP="00F41CCC" w:rsidRDefault="00752376" w14:paraId="19E317FE" w14:textId="0BC4900A">
            <w:pPr>
              <w:pStyle w:val="Standaardbrieftekst"/>
              <w:rPr>
                <w:szCs w:val="18"/>
              </w:rPr>
            </w:pPr>
            <w:r w:rsidRPr="00A64788">
              <w:rPr>
                <w:szCs w:val="18"/>
              </w:rPr>
              <w:t xml:space="preserve">De IND </w:t>
            </w:r>
            <w:r w:rsidR="004A4AFF">
              <w:rPr>
                <w:szCs w:val="18"/>
              </w:rPr>
              <w:t xml:space="preserve">de openstaande asielaanvragen en daaropvolgende dwangsommen lopen op.  </w:t>
            </w:r>
            <w:r w:rsidRPr="00A64788">
              <w:rPr>
                <w:szCs w:val="18"/>
              </w:rPr>
              <w:t xml:space="preserve">In de memorie van toelichting bij de Wet herziening regels niet tijdig beslissen in vreemdelingenzaken, wordt door de </w:t>
            </w:r>
            <w:proofErr w:type="spellStart"/>
            <w:r w:rsidRPr="00A64788">
              <w:rPr>
                <w:szCs w:val="18"/>
              </w:rPr>
              <w:t>SJenV</w:t>
            </w:r>
            <w:proofErr w:type="spellEnd"/>
            <w:r w:rsidRPr="00A64788">
              <w:rPr>
                <w:szCs w:val="18"/>
              </w:rPr>
              <w:t xml:space="preserve"> een aantal belangrijke oorzaken voor het oplopen van de dwangsommen aangewezen. Namelijk: een vroegtijdige </w:t>
            </w:r>
            <w:proofErr w:type="spellStart"/>
            <w:r w:rsidRPr="00A64788">
              <w:rPr>
                <w:szCs w:val="18"/>
              </w:rPr>
              <w:t>afschaling</w:t>
            </w:r>
            <w:proofErr w:type="spellEnd"/>
            <w:r w:rsidRPr="00A64788">
              <w:rPr>
                <w:szCs w:val="18"/>
              </w:rPr>
              <w:t xml:space="preserve"> van personeel in 2017 in combinatie met een licht verhoogde asielinstroom en een financieringssystematiek die niet verder reikt dan de korte termijn, waarbij onvoldoende rekening werd gehouden met de bestaande </w:t>
            </w:r>
            <w:r w:rsidR="004A4AFF">
              <w:rPr>
                <w:szCs w:val="18"/>
              </w:rPr>
              <w:t>openstaande asielaanvragen.</w:t>
            </w:r>
            <w:r w:rsidRPr="00596D0B">
              <w:rPr>
                <w:rStyle w:val="Voetnootmarkering"/>
                <w:szCs w:val="18"/>
                <w:vertAlign w:val="superscript"/>
              </w:rPr>
              <w:footnoteReference w:id="9"/>
            </w:r>
            <w:r w:rsidRPr="00A64788">
              <w:rPr>
                <w:szCs w:val="18"/>
              </w:rPr>
              <w:t xml:space="preserve"> </w:t>
            </w:r>
            <w:r>
              <w:rPr>
                <w:szCs w:val="18"/>
              </w:rPr>
              <w:t xml:space="preserve">Er wordt een taskforce dwangsommen ingesteld. </w:t>
            </w:r>
            <w:r w:rsidRPr="00A64788">
              <w:rPr>
                <w:szCs w:val="18"/>
              </w:rPr>
              <w:t>Deze tijdelijke, ingestelde Taskforce had als doel de oude voorraden weg te werken en zo de financiële gevolgen van dwangsommen te beperken.</w:t>
            </w:r>
            <w:r w:rsidR="00D0052E">
              <w:rPr>
                <w:szCs w:val="18"/>
              </w:rPr>
              <w:t xml:space="preserve"> </w:t>
            </w:r>
            <w:r w:rsidRPr="00A64788">
              <w:rPr>
                <w:szCs w:val="18"/>
              </w:rPr>
              <w:t>Het resultaat van de Tasforce was dat het overgrote deel van de openstaande aanvragen bij de IND, ingediend voor april 2020 werden afgehandeld.</w:t>
            </w:r>
            <w:r>
              <w:rPr>
                <w:szCs w:val="18"/>
              </w:rPr>
              <w:t xml:space="preserve"> </w:t>
            </w:r>
            <w:r w:rsidRPr="00A64788">
              <w:rPr>
                <w:szCs w:val="18"/>
              </w:rPr>
              <w:t xml:space="preserve">Naast het instellen van een Taskforce, kondigt </w:t>
            </w:r>
            <w:proofErr w:type="spellStart"/>
            <w:r w:rsidRPr="00A64788">
              <w:rPr>
                <w:szCs w:val="18"/>
              </w:rPr>
              <w:t>SJenV</w:t>
            </w:r>
            <w:proofErr w:type="spellEnd"/>
            <w:r w:rsidRPr="00A64788">
              <w:rPr>
                <w:szCs w:val="18"/>
              </w:rPr>
              <w:t xml:space="preserve"> in november 2020 een externe, onafhankelijke doorlichting van de IND en de gehele asielketen aan, die wordt uitgevoerd door Ernst &amp; Young (EY).</w:t>
            </w:r>
            <w:r w:rsidRPr="00596D0B">
              <w:rPr>
                <w:rStyle w:val="Voetnootmarkering"/>
                <w:szCs w:val="18"/>
                <w:vertAlign w:val="superscript"/>
              </w:rPr>
              <w:footnoteReference w:id="10"/>
            </w:r>
          </w:p>
          <w:p w:rsidRPr="00A64788" w:rsidR="00752376" w:rsidP="00F41CCC" w:rsidRDefault="00752376" w14:paraId="381C3035" w14:textId="77777777">
            <w:pPr>
              <w:pStyle w:val="Standaardbrieftekst"/>
              <w:rPr>
                <w:szCs w:val="18"/>
              </w:rPr>
            </w:pPr>
          </w:p>
        </w:tc>
      </w:tr>
      <w:tr w:rsidR="00752376" w:rsidTr="001B0322" w14:paraId="3F74D498" w14:textId="77777777">
        <w:tc>
          <w:tcPr>
            <w:tcW w:w="8550" w:type="dxa"/>
            <w:shd w:val="clear" w:color="auto" w:fill="DBE5F1" w:themeFill="accent1" w:themeFillTint="33"/>
          </w:tcPr>
          <w:p w:rsidRPr="00A64788" w:rsidR="00752376" w:rsidP="00F41CCC" w:rsidRDefault="00752376" w14:paraId="35F2D226" w14:textId="77777777">
            <w:pPr>
              <w:pStyle w:val="Standaardbrieftekst"/>
              <w:rPr>
                <w:szCs w:val="18"/>
              </w:rPr>
            </w:pPr>
            <w:r w:rsidRPr="00A64788">
              <w:rPr>
                <w:b/>
                <w:bCs/>
                <w:szCs w:val="18"/>
              </w:rPr>
              <w:lastRenderedPageBreak/>
              <w:t>2021</w:t>
            </w:r>
          </w:p>
        </w:tc>
      </w:tr>
      <w:tr w:rsidR="00752376" w:rsidTr="001B0322" w14:paraId="018C51F6" w14:textId="77777777">
        <w:tc>
          <w:tcPr>
            <w:tcW w:w="8550" w:type="dxa"/>
          </w:tcPr>
          <w:p w:rsidR="001B0322" w:rsidP="00F41CCC" w:rsidRDefault="00752376" w14:paraId="74928C79" w14:textId="77777777">
            <w:pPr>
              <w:pStyle w:val="Standaardbrieftekst"/>
              <w:rPr>
                <w:szCs w:val="18"/>
              </w:rPr>
            </w:pPr>
            <w:r w:rsidRPr="00A64788">
              <w:rPr>
                <w:szCs w:val="18"/>
              </w:rPr>
              <w:t>In de daaropvolgende jaren vinden onderzoeken plaats naar de oplopende voorraden</w:t>
            </w:r>
            <w:r w:rsidR="002A31D6">
              <w:rPr>
                <w:szCs w:val="18"/>
              </w:rPr>
              <w:t>.</w:t>
            </w:r>
            <w:r w:rsidRPr="00A64788">
              <w:rPr>
                <w:szCs w:val="18"/>
              </w:rPr>
              <w:t xml:space="preserve"> Het sluitstuk hiervan is de doorlichting door EY van de gehele asielketen. Daarmee wordt ook zichtbaar dat de oplopende</w:t>
            </w:r>
            <w:r w:rsidR="004A4AFF">
              <w:rPr>
                <w:szCs w:val="18"/>
              </w:rPr>
              <w:t xml:space="preserve"> wachttijden </w:t>
            </w:r>
            <w:r w:rsidRPr="00A64788">
              <w:rPr>
                <w:szCs w:val="18"/>
              </w:rPr>
              <w:t xml:space="preserve">niet enkel voor de </w:t>
            </w:r>
            <w:r w:rsidRPr="00A64788" w:rsidR="00C806DF">
              <w:rPr>
                <w:szCs w:val="18"/>
              </w:rPr>
              <w:t>IND</w:t>
            </w:r>
            <w:r w:rsidR="004A4AFF">
              <w:rPr>
                <w:szCs w:val="18"/>
              </w:rPr>
              <w:t xml:space="preserve"> </w:t>
            </w:r>
            <w:r w:rsidRPr="00A64788" w:rsidR="00C806DF">
              <w:rPr>
                <w:szCs w:val="18"/>
              </w:rPr>
              <w:t>consequenties</w:t>
            </w:r>
            <w:r w:rsidRPr="00A64788">
              <w:rPr>
                <w:szCs w:val="18"/>
              </w:rPr>
              <w:t xml:space="preserve"> heeft, maar ook voor knelpunten zorgt binnen de </w:t>
            </w:r>
            <w:r>
              <w:rPr>
                <w:szCs w:val="18"/>
              </w:rPr>
              <w:t>ge</w:t>
            </w:r>
            <w:r w:rsidRPr="00A64788">
              <w:rPr>
                <w:szCs w:val="18"/>
              </w:rPr>
              <w:t xml:space="preserve">hele migratieketen. Hiermee wordt de noodzaak voor de IND om een plan te ontwikkelen op het structureel terugdringen van de voorraden steeds urgenter, en wordt duidelijk dat het vraagstuk om andere oplossingen vraagt dan eerder geformuleerd. De IND is in de jaren na 2020 fors gegroeid, </w:t>
            </w:r>
            <w:r>
              <w:rPr>
                <w:szCs w:val="18"/>
              </w:rPr>
              <w:t>dit heeft impact gehad op het absorptievermogen en beheersbaarheid van de organisatie.</w:t>
            </w:r>
            <w:r w:rsidR="006F7C92">
              <w:rPr>
                <w:szCs w:val="18"/>
              </w:rPr>
              <w:t xml:space="preserve"> </w:t>
            </w:r>
          </w:p>
          <w:p w:rsidR="001B0322" w:rsidP="00F41CCC" w:rsidRDefault="001B0322" w14:paraId="02E52A62" w14:textId="77777777">
            <w:pPr>
              <w:pStyle w:val="Standaardbrieftekst"/>
              <w:rPr>
                <w:szCs w:val="18"/>
              </w:rPr>
            </w:pPr>
          </w:p>
          <w:p w:rsidRPr="001B0322" w:rsidR="001B0322" w:rsidP="00F41CCC" w:rsidRDefault="001B0322" w14:paraId="41C0324C" w14:textId="77777777">
            <w:pPr>
              <w:pStyle w:val="Standaardbrieftekst"/>
              <w:rPr>
                <w:szCs w:val="18"/>
              </w:rPr>
            </w:pPr>
          </w:p>
          <w:tbl>
            <w:tblPr>
              <w:tblpPr w:leftFromText="141" w:rightFromText="141" w:vertAnchor="text" w:horzAnchor="margin" w:tblpY="-149"/>
              <w:tblOverlap w:val="never"/>
              <w:tblW w:w="8349" w:type="dxa"/>
              <w:tblCellMar>
                <w:left w:w="70" w:type="dxa"/>
                <w:right w:w="70" w:type="dxa"/>
              </w:tblCellMar>
              <w:tblLook w:val="04A0" w:firstRow="1" w:lastRow="0" w:firstColumn="1" w:lastColumn="0" w:noHBand="0" w:noVBand="1"/>
            </w:tblPr>
            <w:tblGrid>
              <w:gridCol w:w="1543"/>
              <w:gridCol w:w="853"/>
              <w:gridCol w:w="849"/>
              <w:gridCol w:w="849"/>
              <w:gridCol w:w="848"/>
              <w:gridCol w:w="848"/>
              <w:gridCol w:w="848"/>
              <w:gridCol w:w="848"/>
              <w:gridCol w:w="848"/>
            </w:tblGrid>
            <w:tr w:rsidRPr="001B0322" w:rsidR="001B0322" w:rsidTr="001B0322" w14:paraId="52BD7028" w14:textId="77777777">
              <w:trPr>
                <w:trHeight w:val="221"/>
              </w:trPr>
              <w:tc>
                <w:tcPr>
                  <w:tcW w:w="1545" w:type="dxa"/>
                  <w:tcBorders>
                    <w:top w:val="nil"/>
                    <w:left w:val="nil"/>
                    <w:bottom w:val="nil"/>
                    <w:right w:val="nil"/>
                  </w:tcBorders>
                  <w:shd w:val="clear" w:color="000000" w:fill="DAE9F8"/>
                  <w:noWrap/>
                  <w:vAlign w:val="bottom"/>
                  <w:hideMark/>
                </w:tcPr>
                <w:p w:rsidRPr="001B0322" w:rsidR="001B0322" w:rsidP="001B0322" w:rsidRDefault="001B0322" w14:paraId="32BB1F27" w14:textId="2E00B567">
                  <w:pPr>
                    <w:spacing w:line="240" w:lineRule="auto"/>
                    <w:rPr>
                      <w:rFonts w:cs="Arial"/>
                      <w:i/>
                      <w:iCs/>
                      <w:color w:val="000000"/>
                      <w:szCs w:val="18"/>
                    </w:rPr>
                  </w:pPr>
                  <w:r>
                    <w:rPr>
                      <w:rFonts w:cs="Arial"/>
                      <w:b/>
                      <w:bCs/>
                      <w:color w:val="000000"/>
                      <w:szCs w:val="18"/>
                    </w:rPr>
                    <w:t xml:space="preserve">FTE </w:t>
                  </w:r>
                  <w:r w:rsidRPr="001B0322">
                    <w:rPr>
                      <w:rFonts w:cs="Arial"/>
                      <w:b/>
                      <w:bCs/>
                      <w:color w:val="000000"/>
                      <w:szCs w:val="18"/>
                    </w:rPr>
                    <w:t>bezetting</w:t>
                  </w:r>
                  <w:r w:rsidRPr="001B0322">
                    <w:rPr>
                      <w:rFonts w:cs="Arial"/>
                      <w:i/>
                      <w:iCs/>
                      <w:color w:val="000000"/>
                      <w:szCs w:val="18"/>
                    </w:rPr>
                    <w:t xml:space="preserve"> </w:t>
                  </w:r>
                  <w:r w:rsidRPr="001B0322">
                    <w:rPr>
                      <w:rFonts w:cs="Arial"/>
                      <w:b/>
                      <w:bCs/>
                      <w:color w:val="000000"/>
                      <w:szCs w:val="18"/>
                    </w:rPr>
                    <w:t>eind</w:t>
                  </w:r>
                </w:p>
              </w:tc>
              <w:tc>
                <w:tcPr>
                  <w:tcW w:w="854" w:type="dxa"/>
                  <w:tcBorders>
                    <w:top w:val="nil"/>
                    <w:left w:val="nil"/>
                    <w:bottom w:val="nil"/>
                    <w:right w:val="nil"/>
                  </w:tcBorders>
                  <w:shd w:val="clear" w:color="000000" w:fill="DAE9F8"/>
                  <w:noWrap/>
                  <w:vAlign w:val="bottom"/>
                  <w:hideMark/>
                </w:tcPr>
                <w:p w:rsidRPr="001B0322" w:rsidR="001B0322" w:rsidP="001B0322" w:rsidRDefault="001B0322" w14:paraId="4FA6EB91" w14:textId="77777777">
                  <w:pPr>
                    <w:spacing w:line="240" w:lineRule="auto"/>
                    <w:jc w:val="right"/>
                    <w:rPr>
                      <w:rFonts w:cs="Arial"/>
                      <w:b/>
                      <w:bCs/>
                      <w:color w:val="000000"/>
                      <w:szCs w:val="18"/>
                    </w:rPr>
                  </w:pPr>
                  <w:r w:rsidRPr="001B0322">
                    <w:rPr>
                      <w:rFonts w:cs="Arial"/>
                      <w:b/>
                      <w:bCs/>
                      <w:color w:val="000000"/>
                      <w:szCs w:val="18"/>
                    </w:rPr>
                    <w:t>2018</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51A7EFB1" w14:textId="77777777">
                  <w:pPr>
                    <w:spacing w:line="240" w:lineRule="auto"/>
                    <w:jc w:val="right"/>
                    <w:rPr>
                      <w:rFonts w:cs="Arial"/>
                      <w:b/>
                      <w:bCs/>
                      <w:color w:val="000000"/>
                      <w:szCs w:val="18"/>
                    </w:rPr>
                  </w:pPr>
                  <w:r w:rsidRPr="001B0322">
                    <w:rPr>
                      <w:rFonts w:cs="Arial"/>
                      <w:b/>
                      <w:bCs/>
                      <w:color w:val="000000"/>
                      <w:szCs w:val="18"/>
                    </w:rPr>
                    <w:t>2019</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32A34739" w14:textId="77777777">
                  <w:pPr>
                    <w:spacing w:line="240" w:lineRule="auto"/>
                    <w:jc w:val="right"/>
                    <w:rPr>
                      <w:rFonts w:cs="Arial"/>
                      <w:b/>
                      <w:bCs/>
                      <w:color w:val="000000"/>
                      <w:szCs w:val="18"/>
                    </w:rPr>
                  </w:pPr>
                  <w:r w:rsidRPr="001B0322">
                    <w:rPr>
                      <w:rFonts w:cs="Arial"/>
                      <w:b/>
                      <w:bCs/>
                      <w:color w:val="000000"/>
                      <w:szCs w:val="18"/>
                    </w:rPr>
                    <w:t>2020</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3CF01B17" w14:textId="77777777">
                  <w:pPr>
                    <w:spacing w:line="240" w:lineRule="auto"/>
                    <w:jc w:val="right"/>
                    <w:rPr>
                      <w:rFonts w:cs="Arial"/>
                      <w:b/>
                      <w:bCs/>
                      <w:color w:val="000000"/>
                      <w:szCs w:val="18"/>
                    </w:rPr>
                  </w:pPr>
                  <w:r w:rsidRPr="001B0322">
                    <w:rPr>
                      <w:rFonts w:cs="Arial"/>
                      <w:b/>
                      <w:bCs/>
                      <w:color w:val="000000"/>
                      <w:szCs w:val="18"/>
                    </w:rPr>
                    <w:t>2021</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24C22D6" w14:textId="77777777">
                  <w:pPr>
                    <w:spacing w:line="240" w:lineRule="auto"/>
                    <w:jc w:val="right"/>
                    <w:rPr>
                      <w:rFonts w:cs="Arial"/>
                      <w:b/>
                      <w:bCs/>
                      <w:color w:val="000000"/>
                      <w:szCs w:val="18"/>
                    </w:rPr>
                  </w:pPr>
                  <w:r w:rsidRPr="001B0322">
                    <w:rPr>
                      <w:rFonts w:cs="Arial"/>
                      <w:b/>
                      <w:bCs/>
                      <w:color w:val="000000"/>
                      <w:szCs w:val="18"/>
                    </w:rPr>
                    <w:t>2022</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1DE151A6" w14:textId="77777777">
                  <w:pPr>
                    <w:spacing w:line="240" w:lineRule="auto"/>
                    <w:jc w:val="right"/>
                    <w:rPr>
                      <w:rFonts w:cs="Arial"/>
                      <w:b/>
                      <w:bCs/>
                      <w:color w:val="000000"/>
                      <w:szCs w:val="18"/>
                    </w:rPr>
                  </w:pPr>
                  <w:r w:rsidRPr="001B0322">
                    <w:rPr>
                      <w:rFonts w:cs="Arial"/>
                      <w:b/>
                      <w:bCs/>
                      <w:color w:val="000000"/>
                      <w:szCs w:val="18"/>
                    </w:rPr>
                    <w:t>2023</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80601FA" w14:textId="77777777">
                  <w:pPr>
                    <w:spacing w:line="240" w:lineRule="auto"/>
                    <w:jc w:val="right"/>
                    <w:rPr>
                      <w:rFonts w:cs="Arial"/>
                      <w:b/>
                      <w:bCs/>
                      <w:color w:val="000000"/>
                      <w:szCs w:val="18"/>
                    </w:rPr>
                  </w:pPr>
                  <w:r w:rsidRPr="001B0322">
                    <w:rPr>
                      <w:rFonts w:cs="Arial"/>
                      <w:b/>
                      <w:bCs/>
                      <w:color w:val="000000"/>
                      <w:szCs w:val="18"/>
                    </w:rPr>
                    <w:t>2024</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4986C842" w14:textId="77777777">
                  <w:pPr>
                    <w:spacing w:line="240" w:lineRule="auto"/>
                    <w:jc w:val="right"/>
                    <w:rPr>
                      <w:rFonts w:cs="Arial"/>
                      <w:b/>
                      <w:bCs/>
                      <w:color w:val="000000"/>
                      <w:szCs w:val="18"/>
                    </w:rPr>
                  </w:pPr>
                  <w:r w:rsidRPr="001B0322">
                    <w:rPr>
                      <w:rFonts w:cs="Arial"/>
                      <w:b/>
                      <w:bCs/>
                      <w:color w:val="000000"/>
                      <w:szCs w:val="18"/>
                    </w:rPr>
                    <w:t>2025</w:t>
                  </w:r>
                </w:p>
              </w:tc>
            </w:tr>
            <w:tr w:rsidRPr="001B0322" w:rsidR="001B0322" w:rsidTr="001B0322" w14:paraId="6D4D1F0E" w14:textId="77777777">
              <w:trPr>
                <w:trHeight w:val="221"/>
              </w:trPr>
              <w:tc>
                <w:tcPr>
                  <w:tcW w:w="1545" w:type="dxa"/>
                  <w:tcBorders>
                    <w:top w:val="nil"/>
                    <w:left w:val="nil"/>
                    <w:bottom w:val="nil"/>
                    <w:right w:val="nil"/>
                  </w:tcBorders>
                  <w:shd w:val="clear" w:color="000000" w:fill="DAE9F8"/>
                  <w:noWrap/>
                  <w:vAlign w:val="bottom"/>
                  <w:hideMark/>
                </w:tcPr>
                <w:p w:rsidRPr="001B0322" w:rsidR="001B0322" w:rsidP="001B0322" w:rsidRDefault="001B0322" w14:paraId="488482C0" w14:textId="77777777">
                  <w:pPr>
                    <w:spacing w:line="240" w:lineRule="auto"/>
                    <w:rPr>
                      <w:rFonts w:cs="Arial"/>
                      <w:color w:val="000000"/>
                      <w:szCs w:val="18"/>
                    </w:rPr>
                  </w:pPr>
                  <w:r w:rsidRPr="001B0322">
                    <w:rPr>
                      <w:rFonts w:cs="Arial"/>
                      <w:color w:val="000000"/>
                      <w:szCs w:val="18"/>
                    </w:rPr>
                    <w:t>intern personeel</w:t>
                  </w:r>
                </w:p>
              </w:tc>
              <w:tc>
                <w:tcPr>
                  <w:tcW w:w="854" w:type="dxa"/>
                  <w:tcBorders>
                    <w:top w:val="nil"/>
                    <w:left w:val="nil"/>
                    <w:bottom w:val="nil"/>
                    <w:right w:val="nil"/>
                  </w:tcBorders>
                  <w:shd w:val="clear" w:color="000000" w:fill="DAE9F8"/>
                  <w:noWrap/>
                  <w:vAlign w:val="bottom"/>
                  <w:hideMark/>
                </w:tcPr>
                <w:p w:rsidRPr="001B0322" w:rsidR="001B0322" w:rsidP="001B0322" w:rsidRDefault="001B0322" w14:paraId="1E98DFE3" w14:textId="77777777">
                  <w:pPr>
                    <w:spacing w:line="240" w:lineRule="auto"/>
                    <w:jc w:val="right"/>
                    <w:rPr>
                      <w:rFonts w:cs="Arial"/>
                      <w:color w:val="000000"/>
                      <w:szCs w:val="18"/>
                    </w:rPr>
                  </w:pPr>
                  <w:r w:rsidRPr="001B0322">
                    <w:rPr>
                      <w:rFonts w:cs="Arial"/>
                      <w:color w:val="000000"/>
                      <w:szCs w:val="18"/>
                    </w:rPr>
                    <w:t>2.911</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9D1BCA9" w14:textId="77777777">
                  <w:pPr>
                    <w:spacing w:line="240" w:lineRule="auto"/>
                    <w:jc w:val="right"/>
                    <w:rPr>
                      <w:rFonts w:cs="Arial"/>
                      <w:color w:val="000000"/>
                      <w:szCs w:val="18"/>
                    </w:rPr>
                  </w:pPr>
                  <w:r w:rsidRPr="001B0322">
                    <w:rPr>
                      <w:rFonts w:cs="Arial"/>
                      <w:color w:val="000000"/>
                      <w:szCs w:val="18"/>
                    </w:rPr>
                    <w:t>3.701</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2E3F9E40" w14:textId="77777777">
                  <w:pPr>
                    <w:spacing w:line="240" w:lineRule="auto"/>
                    <w:jc w:val="right"/>
                    <w:rPr>
                      <w:rFonts w:cs="Arial"/>
                      <w:color w:val="000000"/>
                      <w:szCs w:val="18"/>
                    </w:rPr>
                  </w:pPr>
                  <w:r w:rsidRPr="001B0322">
                    <w:rPr>
                      <w:rFonts w:cs="Arial"/>
                      <w:color w:val="000000"/>
                      <w:szCs w:val="18"/>
                    </w:rPr>
                    <w:t>3.939</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59A6C495" w14:textId="77777777">
                  <w:pPr>
                    <w:spacing w:line="240" w:lineRule="auto"/>
                    <w:jc w:val="right"/>
                    <w:rPr>
                      <w:rFonts w:cs="Arial"/>
                      <w:color w:val="000000"/>
                      <w:szCs w:val="18"/>
                    </w:rPr>
                  </w:pPr>
                  <w:r w:rsidRPr="001B0322">
                    <w:rPr>
                      <w:rFonts w:cs="Arial"/>
                      <w:color w:val="000000"/>
                      <w:szCs w:val="18"/>
                    </w:rPr>
                    <w:t>3.997</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DD05EF8" w14:textId="77777777">
                  <w:pPr>
                    <w:spacing w:line="240" w:lineRule="auto"/>
                    <w:jc w:val="right"/>
                    <w:rPr>
                      <w:rFonts w:cs="Arial"/>
                      <w:color w:val="000000"/>
                      <w:szCs w:val="18"/>
                    </w:rPr>
                  </w:pPr>
                  <w:r w:rsidRPr="001B0322">
                    <w:rPr>
                      <w:rFonts w:cs="Arial"/>
                      <w:color w:val="000000"/>
                      <w:szCs w:val="18"/>
                    </w:rPr>
                    <w:t>4.538</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DD83DF0" w14:textId="77777777">
                  <w:pPr>
                    <w:spacing w:line="240" w:lineRule="auto"/>
                    <w:jc w:val="right"/>
                    <w:rPr>
                      <w:rFonts w:cs="Arial"/>
                      <w:color w:val="000000"/>
                      <w:szCs w:val="18"/>
                    </w:rPr>
                  </w:pPr>
                  <w:r w:rsidRPr="001B0322">
                    <w:rPr>
                      <w:rFonts w:cs="Arial"/>
                      <w:color w:val="000000"/>
                      <w:szCs w:val="18"/>
                    </w:rPr>
                    <w:t>5.067</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1BCD051E" w14:textId="77777777">
                  <w:pPr>
                    <w:spacing w:line="240" w:lineRule="auto"/>
                    <w:jc w:val="right"/>
                    <w:rPr>
                      <w:rFonts w:cs="Arial"/>
                      <w:color w:val="000000"/>
                      <w:szCs w:val="18"/>
                    </w:rPr>
                  </w:pPr>
                  <w:r w:rsidRPr="001B0322">
                    <w:rPr>
                      <w:rFonts w:cs="Arial"/>
                      <w:color w:val="000000"/>
                      <w:szCs w:val="18"/>
                    </w:rPr>
                    <w:t>5.416</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234A1D27" w14:textId="77777777">
                  <w:pPr>
                    <w:spacing w:line="240" w:lineRule="auto"/>
                    <w:jc w:val="right"/>
                    <w:rPr>
                      <w:rFonts w:cs="Arial"/>
                      <w:color w:val="000000"/>
                      <w:szCs w:val="18"/>
                    </w:rPr>
                  </w:pPr>
                  <w:r w:rsidRPr="001B0322">
                    <w:rPr>
                      <w:rFonts w:cs="Arial"/>
                      <w:color w:val="000000"/>
                      <w:szCs w:val="18"/>
                    </w:rPr>
                    <w:t>5.703</w:t>
                  </w:r>
                </w:p>
              </w:tc>
            </w:tr>
            <w:tr w:rsidRPr="001B0322" w:rsidR="001B0322" w:rsidTr="001B0322" w14:paraId="720F9B29" w14:textId="77777777">
              <w:trPr>
                <w:trHeight w:val="221"/>
              </w:trPr>
              <w:tc>
                <w:tcPr>
                  <w:tcW w:w="1545" w:type="dxa"/>
                  <w:tcBorders>
                    <w:top w:val="nil"/>
                    <w:left w:val="nil"/>
                    <w:bottom w:val="nil"/>
                    <w:right w:val="nil"/>
                  </w:tcBorders>
                  <w:shd w:val="clear" w:color="000000" w:fill="DAE9F8"/>
                  <w:noWrap/>
                  <w:vAlign w:val="bottom"/>
                  <w:hideMark/>
                </w:tcPr>
                <w:p w:rsidRPr="001B0322" w:rsidR="001B0322" w:rsidP="001B0322" w:rsidRDefault="001B0322" w14:paraId="42AD5DA3" w14:textId="77777777">
                  <w:pPr>
                    <w:spacing w:line="240" w:lineRule="auto"/>
                    <w:rPr>
                      <w:rFonts w:cs="Arial"/>
                      <w:color w:val="000000"/>
                      <w:szCs w:val="18"/>
                    </w:rPr>
                  </w:pPr>
                  <w:r w:rsidRPr="001B0322">
                    <w:rPr>
                      <w:rFonts w:cs="Arial"/>
                      <w:color w:val="000000"/>
                      <w:szCs w:val="18"/>
                    </w:rPr>
                    <w:t>extern personeel</w:t>
                  </w:r>
                </w:p>
              </w:tc>
              <w:tc>
                <w:tcPr>
                  <w:tcW w:w="854" w:type="dxa"/>
                  <w:tcBorders>
                    <w:top w:val="nil"/>
                    <w:left w:val="nil"/>
                    <w:bottom w:val="nil"/>
                    <w:right w:val="nil"/>
                  </w:tcBorders>
                  <w:shd w:val="clear" w:color="000000" w:fill="DAE9F8"/>
                  <w:noWrap/>
                  <w:vAlign w:val="bottom"/>
                  <w:hideMark/>
                </w:tcPr>
                <w:p w:rsidRPr="001B0322" w:rsidR="001B0322" w:rsidP="001B0322" w:rsidRDefault="001B0322" w14:paraId="0FEE124E" w14:textId="77777777">
                  <w:pPr>
                    <w:spacing w:line="240" w:lineRule="auto"/>
                    <w:jc w:val="right"/>
                    <w:rPr>
                      <w:rFonts w:cs="Arial"/>
                      <w:color w:val="000000"/>
                      <w:szCs w:val="18"/>
                    </w:rPr>
                  </w:pPr>
                  <w:r w:rsidRPr="001B0322">
                    <w:rPr>
                      <w:rFonts w:cs="Arial"/>
                      <w:color w:val="000000"/>
                      <w:szCs w:val="18"/>
                    </w:rPr>
                    <w:t>856</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3B40F6E1" w14:textId="77777777">
                  <w:pPr>
                    <w:spacing w:line="240" w:lineRule="auto"/>
                    <w:jc w:val="right"/>
                    <w:rPr>
                      <w:rFonts w:cs="Arial"/>
                      <w:color w:val="000000"/>
                      <w:szCs w:val="18"/>
                    </w:rPr>
                  </w:pPr>
                  <w:r w:rsidRPr="001B0322">
                    <w:rPr>
                      <w:rFonts w:cs="Arial"/>
                      <w:color w:val="000000"/>
                      <w:szCs w:val="18"/>
                    </w:rPr>
                    <w:t>600</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464BE696" w14:textId="77777777">
                  <w:pPr>
                    <w:spacing w:line="240" w:lineRule="auto"/>
                    <w:jc w:val="right"/>
                    <w:rPr>
                      <w:rFonts w:cs="Arial"/>
                      <w:color w:val="000000"/>
                      <w:szCs w:val="18"/>
                    </w:rPr>
                  </w:pPr>
                  <w:r w:rsidRPr="001B0322">
                    <w:rPr>
                      <w:rFonts w:cs="Arial"/>
                      <w:color w:val="000000"/>
                      <w:szCs w:val="18"/>
                    </w:rPr>
                    <w:t>625</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8D9E1F4" w14:textId="77777777">
                  <w:pPr>
                    <w:spacing w:line="240" w:lineRule="auto"/>
                    <w:jc w:val="right"/>
                    <w:rPr>
                      <w:rFonts w:cs="Arial"/>
                      <w:color w:val="000000"/>
                      <w:szCs w:val="18"/>
                    </w:rPr>
                  </w:pPr>
                  <w:r w:rsidRPr="001B0322">
                    <w:rPr>
                      <w:rFonts w:cs="Arial"/>
                      <w:color w:val="000000"/>
                      <w:szCs w:val="18"/>
                    </w:rPr>
                    <w:t>849</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09BE4933" w14:textId="77777777">
                  <w:pPr>
                    <w:spacing w:line="240" w:lineRule="auto"/>
                    <w:jc w:val="right"/>
                    <w:rPr>
                      <w:rFonts w:cs="Arial"/>
                      <w:color w:val="000000"/>
                      <w:szCs w:val="18"/>
                    </w:rPr>
                  </w:pPr>
                  <w:r w:rsidRPr="001B0322">
                    <w:rPr>
                      <w:rFonts w:cs="Arial"/>
                      <w:color w:val="000000"/>
                      <w:szCs w:val="18"/>
                    </w:rPr>
                    <w:t>892</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640AF128" w14:textId="77777777">
                  <w:pPr>
                    <w:spacing w:line="240" w:lineRule="auto"/>
                    <w:jc w:val="right"/>
                    <w:rPr>
                      <w:rFonts w:cs="Arial"/>
                      <w:color w:val="000000"/>
                      <w:szCs w:val="18"/>
                    </w:rPr>
                  </w:pPr>
                  <w:r w:rsidRPr="001B0322">
                    <w:rPr>
                      <w:rFonts w:cs="Arial"/>
                      <w:color w:val="000000"/>
                      <w:szCs w:val="18"/>
                    </w:rPr>
                    <w:t>972</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12D27E40" w14:textId="77777777">
                  <w:pPr>
                    <w:spacing w:line="240" w:lineRule="auto"/>
                    <w:jc w:val="right"/>
                    <w:rPr>
                      <w:rFonts w:cs="Arial"/>
                      <w:color w:val="000000"/>
                      <w:szCs w:val="18"/>
                    </w:rPr>
                  </w:pPr>
                  <w:r w:rsidRPr="001B0322">
                    <w:rPr>
                      <w:rFonts w:cs="Arial"/>
                      <w:color w:val="000000"/>
                      <w:szCs w:val="18"/>
                    </w:rPr>
                    <w:t>1.023</w:t>
                  </w:r>
                </w:p>
              </w:tc>
              <w:tc>
                <w:tcPr>
                  <w:tcW w:w="850" w:type="dxa"/>
                  <w:tcBorders>
                    <w:top w:val="nil"/>
                    <w:left w:val="nil"/>
                    <w:bottom w:val="nil"/>
                    <w:right w:val="nil"/>
                  </w:tcBorders>
                  <w:shd w:val="clear" w:color="000000" w:fill="DAE9F8"/>
                  <w:noWrap/>
                  <w:vAlign w:val="bottom"/>
                  <w:hideMark/>
                </w:tcPr>
                <w:p w:rsidRPr="001B0322" w:rsidR="001B0322" w:rsidP="001B0322" w:rsidRDefault="001B0322" w14:paraId="30421440" w14:textId="77777777">
                  <w:pPr>
                    <w:spacing w:line="240" w:lineRule="auto"/>
                    <w:jc w:val="right"/>
                    <w:rPr>
                      <w:rFonts w:cs="Arial"/>
                      <w:color w:val="000000"/>
                      <w:szCs w:val="18"/>
                    </w:rPr>
                  </w:pPr>
                  <w:r w:rsidRPr="001B0322">
                    <w:rPr>
                      <w:rFonts w:cs="Arial"/>
                      <w:color w:val="000000"/>
                      <w:szCs w:val="18"/>
                    </w:rPr>
                    <w:t>774</w:t>
                  </w:r>
                </w:p>
              </w:tc>
            </w:tr>
            <w:tr w:rsidRPr="001B0322" w:rsidR="001B0322" w:rsidTr="001B0322" w14:paraId="54F9EE33" w14:textId="77777777">
              <w:trPr>
                <w:trHeight w:val="221"/>
              </w:trPr>
              <w:tc>
                <w:tcPr>
                  <w:tcW w:w="1545" w:type="dxa"/>
                  <w:tcBorders>
                    <w:top w:val="nil"/>
                    <w:left w:val="nil"/>
                    <w:bottom w:val="nil"/>
                    <w:right w:val="nil"/>
                  </w:tcBorders>
                  <w:shd w:val="clear" w:color="000000" w:fill="A6C9EC"/>
                  <w:noWrap/>
                  <w:vAlign w:val="bottom"/>
                  <w:hideMark/>
                </w:tcPr>
                <w:p w:rsidRPr="001B0322" w:rsidR="001B0322" w:rsidP="001B0322" w:rsidRDefault="001B0322" w14:paraId="5BC071C6" w14:textId="77777777">
                  <w:pPr>
                    <w:spacing w:line="240" w:lineRule="auto"/>
                    <w:rPr>
                      <w:rFonts w:cs="Arial"/>
                      <w:b/>
                      <w:bCs/>
                      <w:color w:val="000000"/>
                      <w:szCs w:val="18"/>
                    </w:rPr>
                  </w:pPr>
                  <w:r w:rsidRPr="001B0322">
                    <w:rPr>
                      <w:rFonts w:cs="Arial"/>
                      <w:b/>
                      <w:bCs/>
                      <w:color w:val="000000"/>
                      <w:szCs w:val="18"/>
                    </w:rPr>
                    <w:t>totaal</w:t>
                  </w:r>
                </w:p>
              </w:tc>
              <w:tc>
                <w:tcPr>
                  <w:tcW w:w="854" w:type="dxa"/>
                  <w:tcBorders>
                    <w:top w:val="nil"/>
                    <w:left w:val="nil"/>
                    <w:bottom w:val="nil"/>
                    <w:right w:val="nil"/>
                  </w:tcBorders>
                  <w:shd w:val="clear" w:color="000000" w:fill="A6C9EC"/>
                  <w:noWrap/>
                  <w:vAlign w:val="bottom"/>
                  <w:hideMark/>
                </w:tcPr>
                <w:p w:rsidRPr="001B0322" w:rsidR="001B0322" w:rsidP="001B0322" w:rsidRDefault="001B0322" w14:paraId="00D998C4" w14:textId="77777777">
                  <w:pPr>
                    <w:spacing w:line="240" w:lineRule="auto"/>
                    <w:jc w:val="right"/>
                    <w:rPr>
                      <w:rFonts w:cs="Arial"/>
                      <w:b/>
                      <w:bCs/>
                      <w:color w:val="000000"/>
                      <w:szCs w:val="18"/>
                    </w:rPr>
                  </w:pPr>
                  <w:r w:rsidRPr="001B0322">
                    <w:rPr>
                      <w:rFonts w:cs="Arial"/>
                      <w:b/>
                      <w:bCs/>
                      <w:color w:val="000000"/>
                      <w:szCs w:val="18"/>
                    </w:rPr>
                    <w:t>3.767</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36C656E5" w14:textId="77777777">
                  <w:pPr>
                    <w:spacing w:line="240" w:lineRule="auto"/>
                    <w:jc w:val="right"/>
                    <w:rPr>
                      <w:rFonts w:cs="Arial"/>
                      <w:b/>
                      <w:bCs/>
                      <w:color w:val="000000"/>
                      <w:szCs w:val="18"/>
                    </w:rPr>
                  </w:pPr>
                  <w:r w:rsidRPr="001B0322">
                    <w:rPr>
                      <w:rFonts w:cs="Arial"/>
                      <w:b/>
                      <w:bCs/>
                      <w:color w:val="000000"/>
                      <w:szCs w:val="18"/>
                    </w:rPr>
                    <w:t>4.301</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720051CD" w14:textId="77777777">
                  <w:pPr>
                    <w:spacing w:line="240" w:lineRule="auto"/>
                    <w:jc w:val="right"/>
                    <w:rPr>
                      <w:rFonts w:cs="Arial"/>
                      <w:b/>
                      <w:bCs/>
                      <w:color w:val="000000"/>
                      <w:szCs w:val="18"/>
                    </w:rPr>
                  </w:pPr>
                  <w:r w:rsidRPr="001B0322">
                    <w:rPr>
                      <w:rFonts w:cs="Arial"/>
                      <w:b/>
                      <w:bCs/>
                      <w:color w:val="000000"/>
                      <w:szCs w:val="18"/>
                    </w:rPr>
                    <w:t>4.564</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114F1D23" w14:textId="77777777">
                  <w:pPr>
                    <w:spacing w:line="240" w:lineRule="auto"/>
                    <w:jc w:val="right"/>
                    <w:rPr>
                      <w:rFonts w:cs="Arial"/>
                      <w:b/>
                      <w:bCs/>
                      <w:color w:val="000000"/>
                      <w:szCs w:val="18"/>
                    </w:rPr>
                  </w:pPr>
                  <w:r w:rsidRPr="001B0322">
                    <w:rPr>
                      <w:rFonts w:cs="Arial"/>
                      <w:b/>
                      <w:bCs/>
                      <w:color w:val="000000"/>
                      <w:szCs w:val="18"/>
                    </w:rPr>
                    <w:t>4.846</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231D7E57" w14:textId="77777777">
                  <w:pPr>
                    <w:spacing w:line="240" w:lineRule="auto"/>
                    <w:jc w:val="right"/>
                    <w:rPr>
                      <w:rFonts w:cs="Arial"/>
                      <w:b/>
                      <w:bCs/>
                      <w:color w:val="000000"/>
                      <w:szCs w:val="18"/>
                    </w:rPr>
                  </w:pPr>
                  <w:r w:rsidRPr="001B0322">
                    <w:rPr>
                      <w:rFonts w:cs="Arial"/>
                      <w:b/>
                      <w:bCs/>
                      <w:color w:val="000000"/>
                      <w:szCs w:val="18"/>
                    </w:rPr>
                    <w:t>5.430</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3D84930B" w14:textId="77777777">
                  <w:pPr>
                    <w:spacing w:line="240" w:lineRule="auto"/>
                    <w:jc w:val="right"/>
                    <w:rPr>
                      <w:rFonts w:cs="Arial"/>
                      <w:b/>
                      <w:bCs/>
                      <w:color w:val="000000"/>
                      <w:szCs w:val="18"/>
                    </w:rPr>
                  </w:pPr>
                  <w:r w:rsidRPr="001B0322">
                    <w:rPr>
                      <w:rFonts w:cs="Arial"/>
                      <w:b/>
                      <w:bCs/>
                      <w:color w:val="000000"/>
                      <w:szCs w:val="18"/>
                    </w:rPr>
                    <w:t>6.039</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2209D2C2" w14:textId="77777777">
                  <w:pPr>
                    <w:spacing w:line="240" w:lineRule="auto"/>
                    <w:jc w:val="right"/>
                    <w:rPr>
                      <w:rFonts w:cs="Arial"/>
                      <w:b/>
                      <w:bCs/>
                      <w:color w:val="000000"/>
                      <w:szCs w:val="18"/>
                    </w:rPr>
                  </w:pPr>
                  <w:r w:rsidRPr="001B0322">
                    <w:rPr>
                      <w:rFonts w:cs="Arial"/>
                      <w:b/>
                      <w:bCs/>
                      <w:color w:val="000000"/>
                      <w:szCs w:val="18"/>
                    </w:rPr>
                    <w:t>6.439</w:t>
                  </w:r>
                </w:p>
              </w:tc>
              <w:tc>
                <w:tcPr>
                  <w:tcW w:w="850" w:type="dxa"/>
                  <w:tcBorders>
                    <w:top w:val="nil"/>
                    <w:left w:val="nil"/>
                    <w:bottom w:val="nil"/>
                    <w:right w:val="nil"/>
                  </w:tcBorders>
                  <w:shd w:val="clear" w:color="000000" w:fill="A6C9EC"/>
                  <w:noWrap/>
                  <w:vAlign w:val="bottom"/>
                  <w:hideMark/>
                </w:tcPr>
                <w:p w:rsidRPr="001B0322" w:rsidR="001B0322" w:rsidP="001B0322" w:rsidRDefault="001B0322" w14:paraId="6DE71412" w14:textId="77777777">
                  <w:pPr>
                    <w:spacing w:line="240" w:lineRule="auto"/>
                    <w:jc w:val="right"/>
                    <w:rPr>
                      <w:rFonts w:cs="Arial"/>
                      <w:b/>
                      <w:bCs/>
                      <w:color w:val="000000"/>
                      <w:szCs w:val="18"/>
                    </w:rPr>
                  </w:pPr>
                  <w:r w:rsidRPr="001B0322">
                    <w:rPr>
                      <w:rFonts w:cs="Arial"/>
                      <w:b/>
                      <w:bCs/>
                      <w:color w:val="000000"/>
                      <w:szCs w:val="18"/>
                    </w:rPr>
                    <w:t>6.477</w:t>
                  </w:r>
                </w:p>
              </w:tc>
            </w:tr>
          </w:tbl>
          <w:p w:rsidR="001B0322" w:rsidP="00F41CCC" w:rsidRDefault="001B0322" w14:paraId="5C5BB483" w14:textId="3D5B7BB1">
            <w:pPr>
              <w:pStyle w:val="Standaardbrieftekst"/>
              <w:rPr>
                <w:szCs w:val="18"/>
              </w:rPr>
            </w:pPr>
            <w:r>
              <w:rPr>
                <w:szCs w:val="18"/>
              </w:rPr>
              <w:t xml:space="preserve">Bron: IND </w:t>
            </w:r>
          </w:p>
          <w:p w:rsidRPr="00A64788" w:rsidR="00752376" w:rsidP="00F41CCC" w:rsidRDefault="00752376" w14:paraId="000CAE6E" w14:textId="79A50924">
            <w:pPr>
              <w:pStyle w:val="Standaardbrieftekst"/>
              <w:rPr>
                <w:szCs w:val="18"/>
              </w:rPr>
            </w:pPr>
          </w:p>
        </w:tc>
      </w:tr>
      <w:tr w:rsidR="00752376" w:rsidTr="001B0322" w14:paraId="130063E6" w14:textId="77777777">
        <w:tc>
          <w:tcPr>
            <w:tcW w:w="8550" w:type="dxa"/>
            <w:shd w:val="clear" w:color="auto" w:fill="DBE5F1" w:themeFill="accent1" w:themeFillTint="33"/>
          </w:tcPr>
          <w:p w:rsidRPr="00A64788" w:rsidR="00752376" w:rsidP="00F41CCC" w:rsidRDefault="00752376" w14:paraId="7F30ECFB" w14:textId="77777777">
            <w:pPr>
              <w:pStyle w:val="Standaardbrieftekst"/>
              <w:rPr>
                <w:szCs w:val="18"/>
              </w:rPr>
            </w:pPr>
            <w:r w:rsidRPr="00A64788">
              <w:rPr>
                <w:b/>
                <w:bCs/>
                <w:szCs w:val="18"/>
              </w:rPr>
              <w:t>2022-2023</w:t>
            </w:r>
          </w:p>
        </w:tc>
      </w:tr>
      <w:tr w:rsidR="00752376" w:rsidTr="001B0322" w14:paraId="0B53B177" w14:textId="77777777">
        <w:tc>
          <w:tcPr>
            <w:tcW w:w="8550" w:type="dxa"/>
          </w:tcPr>
          <w:p w:rsidR="009704C7" w:rsidP="00F41CCC" w:rsidRDefault="00752376" w14:paraId="6E1D7D84" w14:textId="350C04C5">
            <w:pPr>
              <w:pStyle w:val="Standaardbrieftekst"/>
              <w:rPr>
                <w:bCs/>
                <w:szCs w:val="18"/>
              </w:rPr>
            </w:pPr>
            <w:r w:rsidRPr="00A64788">
              <w:rPr>
                <w:bCs/>
                <w:szCs w:val="18"/>
              </w:rPr>
              <w:t xml:space="preserve">Naast het </w:t>
            </w:r>
            <w:r w:rsidRPr="00A64788" w:rsidR="00C806DF">
              <w:rPr>
                <w:bCs/>
                <w:szCs w:val="18"/>
              </w:rPr>
              <w:t>EY-rapport</w:t>
            </w:r>
            <w:r w:rsidRPr="00A64788">
              <w:rPr>
                <w:bCs/>
                <w:szCs w:val="18"/>
              </w:rPr>
              <w:t xml:space="preserve"> lag er ook een rapport van Significant dat heeft geleid tot uitvoering geven aan het programma ‘Vernieuwen Asiel’ waarmee de organisatie is aangepast op verdere professionalisering van de sturing, scenario-ontwikkeling en inzicht in de structurele ‘gap’ tussen opgave en uitvoeringscapaciteit</w:t>
            </w:r>
            <w:r>
              <w:rPr>
                <w:bCs/>
                <w:szCs w:val="18"/>
              </w:rPr>
              <w:t>.</w:t>
            </w:r>
          </w:p>
          <w:p w:rsidR="009704C7" w:rsidP="009704C7" w:rsidRDefault="001C6FC6" w14:paraId="2E100920" w14:textId="2CB36B25">
            <w:r>
              <w:br/>
            </w:r>
            <w:r w:rsidRPr="001C6FC6" w:rsidR="009704C7">
              <w:t xml:space="preserve">De IND </w:t>
            </w:r>
            <w:r>
              <w:t xml:space="preserve">heeft te maken met een hogere instroom dan de organisatie voor is ingericht. </w:t>
            </w:r>
            <w:r w:rsidRPr="001C6FC6" w:rsidR="009704C7">
              <w:t>In november 2022 wordt EY door wnd. directeur-generaal Migratie (DGM) opnieuw voor een opdracht gecontracteerd. De opdracht van EY wordt het inzichtelijk maken van ‘de gap’: het gat tussen de opgave (tijdig beslissen op de aanvragen die worden ingediend) en de opdracht (de productie die de IND op dat moment kan leveren).</w:t>
            </w:r>
          </w:p>
          <w:p w:rsidR="00226572" w:rsidP="009704C7" w:rsidRDefault="00226572" w14:paraId="4AE56ED6" w14:textId="77777777"/>
          <w:p w:rsidR="00226572" w:rsidP="009704C7" w:rsidRDefault="00226572" w14:paraId="34C61441" w14:textId="77777777"/>
          <w:p w:rsidRPr="00931630" w:rsidR="00931630" w:rsidP="00931630" w:rsidRDefault="002A31D6" w14:paraId="4D0C5739" w14:textId="52738B56">
            <w:r>
              <w:rPr>
                <w:noProof/>
              </w:rPr>
              <w:drawing>
                <wp:inline distT="0" distB="0" distL="0" distR="0" wp14:anchorId="7F9363F8" wp14:editId="1C56897A">
                  <wp:extent cx="5114925" cy="3000375"/>
                  <wp:effectExtent l="0" t="0" r="9525" b="9525"/>
                  <wp:docPr id="1729974172" name="Grafiek 1">
                    <a:extLst xmlns:a="http://schemas.openxmlformats.org/drawingml/2006/main">
                      <a:ext uri="{FF2B5EF4-FFF2-40B4-BE49-F238E27FC236}">
                        <a16:creationId xmlns:a16="http://schemas.microsoft.com/office/drawing/2014/main" id="{7E4282E8-57E8-E895-0B20-5BC58A20C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931630" w:rsidR="00931630" w:rsidP="00931630" w:rsidRDefault="00931630" w14:paraId="6D7B0803" w14:textId="206688B0">
            <w:r w:rsidRPr="00931630">
              <w:t>De afgelopen jaren ontstane ‘gap’ is groter dan de gemiddelde jaarproductie</w:t>
            </w:r>
            <w:r w:rsidR="003701C4">
              <w:t>.</w:t>
            </w:r>
            <w:r w:rsidR="00DE1B21">
              <w:t xml:space="preserve">  </w:t>
            </w:r>
          </w:p>
          <w:p w:rsidRPr="00A64788" w:rsidR="00752376" w:rsidP="00F41CCC" w:rsidRDefault="00752376" w14:paraId="11051718" w14:textId="7A2234C4">
            <w:pPr>
              <w:pStyle w:val="Standaardbrieftekst"/>
              <w:rPr>
                <w:szCs w:val="18"/>
              </w:rPr>
            </w:pPr>
          </w:p>
        </w:tc>
      </w:tr>
    </w:tbl>
    <w:p w:rsidR="00926993" w:rsidRDefault="00926993" w14:paraId="51CF05D0" w14:textId="77777777">
      <w:r>
        <w:br w:type="page"/>
      </w:r>
    </w:p>
    <w:tbl>
      <w:tblPr>
        <w:tblStyle w:val="Tabelraster"/>
        <w:tblW w:w="0" w:type="auto"/>
        <w:tblLook w:val="04A0" w:firstRow="1" w:lastRow="0" w:firstColumn="1" w:lastColumn="0" w:noHBand="0" w:noVBand="1"/>
      </w:tblPr>
      <w:tblGrid>
        <w:gridCol w:w="8550"/>
      </w:tblGrid>
      <w:tr w:rsidR="00752376" w:rsidTr="001B0322" w14:paraId="38EF6827" w14:textId="77777777">
        <w:tc>
          <w:tcPr>
            <w:tcW w:w="8550" w:type="dxa"/>
            <w:shd w:val="clear" w:color="auto" w:fill="DBE5F1" w:themeFill="accent1" w:themeFillTint="33"/>
          </w:tcPr>
          <w:p w:rsidRPr="00A64788" w:rsidR="00752376" w:rsidP="00F41CCC" w:rsidRDefault="00752376" w14:paraId="24CBC91F" w14:textId="2A712617">
            <w:pPr>
              <w:pStyle w:val="Standaardbrieftekst"/>
              <w:rPr>
                <w:szCs w:val="18"/>
              </w:rPr>
            </w:pPr>
            <w:r w:rsidRPr="00A64788">
              <w:rPr>
                <w:b/>
                <w:bCs/>
                <w:szCs w:val="18"/>
              </w:rPr>
              <w:lastRenderedPageBreak/>
              <w:t>2024</w:t>
            </w:r>
          </w:p>
        </w:tc>
      </w:tr>
      <w:tr w:rsidR="00752376" w:rsidTr="001B0322" w14:paraId="43382E12" w14:textId="77777777">
        <w:tc>
          <w:tcPr>
            <w:tcW w:w="8550" w:type="dxa"/>
          </w:tcPr>
          <w:p w:rsidRPr="00A64788" w:rsidR="00752376" w:rsidP="00F41CCC" w:rsidRDefault="00752376" w14:paraId="537B7B5B" w14:textId="77777777">
            <w:pPr>
              <w:pStyle w:val="Standaardbrieftekst"/>
              <w:rPr>
                <w:b/>
                <w:bCs/>
                <w:szCs w:val="18"/>
              </w:rPr>
            </w:pPr>
            <w:r w:rsidRPr="006E023A">
              <w:rPr>
                <w:noProof/>
                <w:szCs w:val="18"/>
              </w:rPr>
              <w:drawing>
                <wp:anchor distT="0" distB="0" distL="114300" distR="114300" simplePos="0" relativeHeight="251661312" behindDoc="1" locked="0" layoutInCell="1" allowOverlap="1" wp14:editId="48831539" wp14:anchorId="5AD2152C">
                  <wp:simplePos x="0" y="0"/>
                  <wp:positionH relativeFrom="column">
                    <wp:posOffset>867454</wp:posOffset>
                  </wp:positionH>
                  <wp:positionV relativeFrom="paragraph">
                    <wp:posOffset>845879</wp:posOffset>
                  </wp:positionV>
                  <wp:extent cx="3707130" cy="2221865"/>
                  <wp:effectExtent l="19050" t="19050" r="26670" b="26035"/>
                  <wp:wrapSquare wrapText="bothSides"/>
                  <wp:docPr id="333590055"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7130" cy="2221865"/>
                          </a:xfrm>
                          <a:prstGeom prst="rect">
                            <a:avLst/>
                          </a:prstGeom>
                          <a:noFill/>
                          <a:ln>
                            <a:solidFill>
                              <a:schemeClr val="tx1">
                                <a:lumMod val="50000"/>
                                <a:lumOff val="50000"/>
                              </a:schemeClr>
                            </a:solidFill>
                          </a:ln>
                        </pic:spPr>
                      </pic:pic>
                    </a:graphicData>
                  </a:graphic>
                </wp:anchor>
              </w:drawing>
            </w:r>
            <w:r w:rsidRPr="00A64788">
              <w:rPr>
                <w:szCs w:val="18"/>
              </w:rPr>
              <w:t xml:space="preserve">De IND formuleert n.a.v. het onderzoek van EY in 2023-2024 zelf een plan om </w:t>
            </w:r>
            <w:r w:rsidRPr="005A6E6A">
              <w:rPr>
                <w:i/>
                <w:iCs/>
                <w:szCs w:val="18"/>
              </w:rPr>
              <w:t>de gap</w:t>
            </w:r>
            <w:r w:rsidRPr="00A64788">
              <w:rPr>
                <w:szCs w:val="18"/>
              </w:rPr>
              <w:t xml:space="preserve"> tussen de opgave en de opdracht te dichten. Met als hoofdpunten: maatregelen die toezien op drie grote thema’s: slimmer werken, vereenvoudiging van wet- en regelgeving en (beperkt) meer mensen. Tot slot is ook een belangrijke inzet om tot een stabiele financiering te komen</w:t>
            </w:r>
            <w:r>
              <w:rPr>
                <w:szCs w:val="18"/>
              </w:rPr>
              <w:t>.</w:t>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r>
              <w:rPr>
                <w:szCs w:val="18"/>
              </w:rPr>
              <w:br/>
            </w:r>
          </w:p>
        </w:tc>
      </w:tr>
    </w:tbl>
    <w:p w:rsidRPr="003C28F3" w:rsidR="00752376" w:rsidP="00752376" w:rsidRDefault="00752376" w14:paraId="5D4C447A" w14:textId="77777777">
      <w:pPr>
        <w:rPr>
          <w:szCs w:val="18"/>
        </w:rPr>
      </w:pPr>
    </w:p>
    <w:p w:rsidR="005836BF" w:rsidRDefault="005836BF" w14:paraId="5DEC66BF" w14:textId="77777777">
      <w:pPr>
        <w:jc w:val="both"/>
      </w:pPr>
    </w:p>
    <w:p w:rsidR="005836BF" w:rsidRDefault="002B5ABE" w14:paraId="512E8E7E" w14:textId="77777777">
      <w:pPr>
        <w:jc w:val="both"/>
      </w:pPr>
      <w:r>
        <w:rPr>
          <w:sz w:val="20"/>
          <w:szCs w:val="20"/>
        </w:rPr>
        <w:pict w14:anchorId="29A89102">
          <v:shapetype id="_x0000_t202" coordsize="21600,21600" o:spt="202" path="m,l,21600r21600,l21600,xe">
            <v:stroke joinstyle="miter"/>
            <v:path gradientshapeok="t" o:connecttype="rect"/>
          </v:shapetype>
          <v:shape id="Tekstvak 2" style="position:absolute;left:0;text-align:left;margin-left:0;margin-top:288.45pt;width:595.3pt;height:69.2pt;z-index:251659264;visibility:visible;mso-wrap-style:square;mso-width-percent:0;mso-height-percent:0;mso-wrap-distance-left:9pt;mso-wrap-distance-top:0;mso-wrap-distance-right:9pt;mso-wrap-distance-bottom:0;mso-position-horizontal:left;mso-position-horizontal-relative:page;mso-position-vertical:absolute;mso-width-percent:0;mso-height-percent:0;mso-width-relative:margin;mso-height-relative:margin;v-text-anchor:bottom" o:spid="_x0000_s2051" fillcolor="#365f91 [2404]" stroked="f" type="#_x0000_t202">
            <v:textbox inset="0,0,0,0">
              <w:txbxContent>
                <w:p w:rsidR="00F23CB1" w:rsidRDefault="00F23CB1" w14:paraId="6CB57C61" w14:textId="77777777">
                  <w:pPr>
                    <w:jc w:val="center"/>
                    <w:rPr>
                      <w:color w:val="FFFFFF" w:themeColor="background1"/>
                    </w:rPr>
                  </w:pPr>
                  <w:r>
                    <w:rPr>
                      <w:color w:val="FFFFFF"/>
                      <w:szCs w:val="18"/>
                    </w:rPr>
                    <w:t xml:space="preserve">Dit is een uitgave van de </w:t>
                  </w:r>
                  <w:r>
                    <w:rPr>
                      <w:color w:val="FFFFFF"/>
                      <w:szCs w:val="18"/>
                    </w:rPr>
                    <w:br/>
                    <w:t>Immigratie- en Naturalisatiedienst</w:t>
                  </w:r>
                </w:p>
                <w:p w:rsidR="00F23CB1" w:rsidRDefault="00F23CB1" w14:paraId="09718E2D" w14:textId="77777777">
                  <w:pPr>
                    <w:jc w:val="center"/>
                    <w:rPr>
                      <w:color w:val="FFFFFF" w:themeColor="background1"/>
                    </w:rPr>
                  </w:pPr>
                  <w:r>
                    <w:rPr>
                      <w:color w:val="FFFFFF"/>
                      <w:szCs w:val="18"/>
                    </w:rPr>
                    <w:t>www.ind.nl</w:t>
                  </w:r>
                </w:p>
                <w:p w:rsidR="00F23CB1" w:rsidRDefault="00F23CB1" w14:paraId="64680E6A" w14:textId="77777777">
                  <w:pPr>
                    <w:jc w:val="center"/>
                    <w:rPr>
                      <w:color w:val="FFFFFF" w:themeColor="background1"/>
                    </w:rPr>
                  </w:pPr>
                </w:p>
                <w:p w:rsidR="00F23CB1" w:rsidRDefault="003701C4" w14:paraId="06FDEFF3" w14:textId="6648BC33">
                  <w:pPr>
                    <w:jc w:val="center"/>
                    <w:rPr>
                      <w:color w:val="FFFFFF" w:themeColor="background1"/>
                    </w:rPr>
                  </w:pPr>
                  <w:r>
                    <w:rPr>
                      <w:color w:val="FFFFFF"/>
                      <w:szCs w:val="18"/>
                    </w:rPr>
                    <w:t>Mei</w:t>
                  </w:r>
                  <w:r w:rsidR="00F23CB1">
                    <w:rPr>
                      <w:color w:val="FFFFFF"/>
                      <w:szCs w:val="18"/>
                    </w:rPr>
                    <w:t xml:space="preserve"> 202</w:t>
                  </w:r>
                  <w:r>
                    <w:rPr>
                      <w:color w:val="FFFFFF"/>
                      <w:szCs w:val="18"/>
                    </w:rPr>
                    <w:t>6</w:t>
                  </w:r>
                </w:p>
              </w:txbxContent>
            </v:textbox>
            <w10:wrap anchorx="page"/>
            <w10:anchorlock/>
          </v:shape>
        </w:pict>
      </w:r>
    </w:p>
    <w:p w:rsidR="005836BF" w:rsidRDefault="005836BF" w14:paraId="021D6134" w14:textId="77777777">
      <w:pPr>
        <w:jc w:val="both"/>
      </w:pPr>
    </w:p>
    <w:p w:rsidR="005836BF" w:rsidRDefault="005836BF" w14:paraId="3C26AACF" w14:textId="77777777">
      <w:pPr>
        <w:jc w:val="both"/>
      </w:pPr>
    </w:p>
    <w:p w:rsidR="005836BF" w:rsidRDefault="005836BF" w14:paraId="32739368" w14:textId="77777777">
      <w:pPr>
        <w:jc w:val="both"/>
      </w:pPr>
    </w:p>
    <w:sectPr w:rsidR="005836BF" w:rsidSect="00BF472B">
      <w:headerReference w:type="even" r:id="rId13"/>
      <w:headerReference w:type="default" r:id="rId14"/>
      <w:footerReference w:type="default" r:id="rId15"/>
      <w:headerReference w:type="first" r:id="rId16"/>
      <w:footerReference w:type="first" r:id="rId17"/>
      <w:pgSz w:w="11906" w:h="16838"/>
      <w:pgMar w:top="1418" w:right="1418" w:bottom="1418" w:left="1928" w:header="57" w:footer="658"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C649" w14:textId="77777777" w:rsidR="002564A3" w:rsidRDefault="002564A3">
      <w:r>
        <w:rPr>
          <w:szCs w:val="18"/>
        </w:rPr>
        <w:separator/>
      </w:r>
    </w:p>
    <w:p w14:paraId="1DABC04E" w14:textId="77777777" w:rsidR="002564A3" w:rsidRDefault="002564A3"/>
    <w:p w14:paraId="60FD2562" w14:textId="77777777" w:rsidR="002564A3" w:rsidRDefault="002564A3"/>
  </w:endnote>
  <w:endnote w:type="continuationSeparator" w:id="0">
    <w:p w14:paraId="33FCEAE4" w14:textId="77777777" w:rsidR="002564A3" w:rsidRDefault="002564A3">
      <w:r>
        <w:rPr>
          <w:szCs w:val="18"/>
        </w:rPr>
        <w:continuationSeparator/>
      </w:r>
    </w:p>
    <w:p w14:paraId="08CC02ED" w14:textId="77777777" w:rsidR="002564A3" w:rsidRDefault="002564A3"/>
    <w:p w14:paraId="1598E643" w14:textId="77777777" w:rsidR="002564A3" w:rsidRDefault="0025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41288"/>
      <w:docPartObj>
        <w:docPartGallery w:val="Page Numbers (Bottom of Page)"/>
        <w:docPartUnique/>
      </w:docPartObj>
    </w:sdtPr>
    <w:sdtEndPr/>
    <w:sdtContent>
      <w:p w14:paraId="49403024" w14:textId="77777777" w:rsidR="00752376" w:rsidRDefault="00752376">
        <w:pPr>
          <w:pStyle w:val="Voettekst"/>
          <w:jc w:val="right"/>
        </w:pPr>
        <w:r>
          <w:fldChar w:fldCharType="begin"/>
        </w:r>
        <w:r>
          <w:instrText>PAGE   \* MERGEFORMAT</w:instrText>
        </w:r>
        <w:r>
          <w:fldChar w:fldCharType="separate"/>
        </w:r>
        <w:r>
          <w:t>2</w:t>
        </w:r>
        <w:r>
          <w:fldChar w:fldCharType="end"/>
        </w:r>
      </w:p>
    </w:sdtContent>
  </w:sdt>
  <w:p w14:paraId="3E83BF40" w14:textId="77777777" w:rsidR="00752376" w:rsidRDefault="007523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88050"/>
      <w:docPartObj>
        <w:docPartGallery w:val="Page Numbers (Bottom of Page)"/>
        <w:docPartUnique/>
      </w:docPartObj>
    </w:sdtPr>
    <w:sdtEndPr/>
    <w:sdtContent>
      <w:p w14:paraId="16CD87CD" w14:textId="4672C3AC" w:rsidR="003701C4" w:rsidRDefault="003701C4">
        <w:pPr>
          <w:pStyle w:val="Voettekst"/>
          <w:jc w:val="right"/>
        </w:pPr>
        <w:r>
          <w:fldChar w:fldCharType="begin"/>
        </w:r>
        <w:r>
          <w:instrText>PAGE   \* MERGEFORMAT</w:instrText>
        </w:r>
        <w:r>
          <w:fldChar w:fldCharType="separate"/>
        </w:r>
        <w:r>
          <w:t>2</w:t>
        </w:r>
        <w:r>
          <w:fldChar w:fldCharType="end"/>
        </w:r>
      </w:p>
    </w:sdtContent>
  </w:sdt>
  <w:p w14:paraId="752D3B49" w14:textId="77777777" w:rsidR="00F23CB1" w:rsidRDefault="00F23C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437027"/>
      <w:docPartObj>
        <w:docPartGallery w:val="Page Numbers (Bottom of Page)"/>
        <w:docPartUnique/>
      </w:docPartObj>
    </w:sdtPr>
    <w:sdtEndPr/>
    <w:sdtContent>
      <w:p w14:paraId="40E0ACD4" w14:textId="3FD80894" w:rsidR="003701C4" w:rsidRDefault="003701C4">
        <w:pPr>
          <w:pStyle w:val="Voettekst"/>
          <w:jc w:val="right"/>
        </w:pPr>
        <w:r>
          <w:fldChar w:fldCharType="begin"/>
        </w:r>
        <w:r>
          <w:instrText>PAGE   \* MERGEFORMAT</w:instrText>
        </w:r>
        <w:r>
          <w:fldChar w:fldCharType="separate"/>
        </w:r>
        <w:r>
          <w:t>2</w:t>
        </w:r>
        <w:r>
          <w:fldChar w:fldCharType="end"/>
        </w:r>
      </w:p>
    </w:sdtContent>
  </w:sdt>
  <w:p w14:paraId="70D75398" w14:textId="77777777" w:rsidR="00F23CB1" w:rsidRDefault="00F23CB1">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77C9" w14:textId="77777777" w:rsidR="002564A3" w:rsidRDefault="002564A3">
      <w:pPr>
        <w:pStyle w:val="Voettekst"/>
      </w:pPr>
    </w:p>
  </w:footnote>
  <w:footnote w:type="continuationSeparator" w:id="0">
    <w:p w14:paraId="0BB63AB3" w14:textId="77777777" w:rsidR="002564A3" w:rsidRDefault="002564A3">
      <w:r>
        <w:rPr>
          <w:szCs w:val="18"/>
        </w:rPr>
        <w:continuationSeparator/>
      </w:r>
    </w:p>
    <w:p w14:paraId="68F6AD42" w14:textId="77777777" w:rsidR="002564A3" w:rsidRDefault="002564A3"/>
    <w:p w14:paraId="5A619AB6" w14:textId="77777777" w:rsidR="002564A3" w:rsidRDefault="002564A3"/>
  </w:footnote>
  <w:footnote w:id="1">
    <w:p w14:paraId="57202822" w14:textId="1713DC1F" w:rsidR="00936940" w:rsidRPr="005D0C16" w:rsidRDefault="00936940">
      <w:pPr>
        <w:pStyle w:val="Voetnoottekst"/>
        <w:rPr>
          <w:szCs w:val="13"/>
        </w:rPr>
      </w:pPr>
      <w:r w:rsidRPr="005D0C16">
        <w:rPr>
          <w:rStyle w:val="Voetnootmarkering"/>
          <w:szCs w:val="13"/>
        </w:rPr>
        <w:footnoteRef/>
      </w:r>
      <w:r w:rsidRPr="005D0C16">
        <w:rPr>
          <w:szCs w:val="13"/>
        </w:rPr>
        <w:t xml:space="preserve"> </w:t>
      </w:r>
      <w:r w:rsidR="0006546C" w:rsidRPr="005D0C16">
        <w:rPr>
          <w:szCs w:val="13"/>
        </w:rPr>
        <w:t>M</w:t>
      </w:r>
      <w:r w:rsidRPr="005D0C16">
        <w:rPr>
          <w:szCs w:val="13"/>
        </w:rPr>
        <w:t>aximaal</w:t>
      </w:r>
      <w:r w:rsidR="0006546C" w:rsidRPr="005D0C16">
        <w:rPr>
          <w:szCs w:val="13"/>
        </w:rPr>
        <w:t xml:space="preserve"> jaarlijks</w:t>
      </w:r>
      <w:r w:rsidRPr="005D0C16">
        <w:rPr>
          <w:szCs w:val="13"/>
        </w:rPr>
        <w:t xml:space="preserve"> 25.000 eerste asielaanvragen</w:t>
      </w:r>
      <w:r w:rsidR="00091FED" w:rsidRPr="005D0C16">
        <w:rPr>
          <w:szCs w:val="13"/>
        </w:rPr>
        <w:t xml:space="preserve"> gebaseerd op vastgesteld medio instroomscenario uit de Kernprognose en actuele situatie asielketen 2025</w:t>
      </w:r>
    </w:p>
  </w:footnote>
  <w:footnote w:id="2">
    <w:p w14:paraId="4AD18F9D" w14:textId="6FF053B8" w:rsidR="003A0C82" w:rsidRPr="005D0C16" w:rsidRDefault="003A0C82">
      <w:pPr>
        <w:pStyle w:val="Voetnoottekst"/>
        <w:rPr>
          <w:szCs w:val="13"/>
        </w:rPr>
      </w:pPr>
      <w:r w:rsidRPr="005D0C16">
        <w:rPr>
          <w:rStyle w:val="Voetnootmarkering"/>
          <w:szCs w:val="13"/>
        </w:rPr>
        <w:footnoteRef/>
      </w:r>
      <w:r w:rsidRPr="005D0C16">
        <w:rPr>
          <w:szCs w:val="13"/>
        </w:rPr>
        <w:t xml:space="preserve"> Zie bijlage 1: ontwikkeling</w:t>
      </w:r>
      <w:r w:rsidR="004A4AFF" w:rsidRPr="005D0C16">
        <w:rPr>
          <w:szCs w:val="13"/>
        </w:rPr>
        <w:t xml:space="preserve"> wachttijden en </w:t>
      </w:r>
      <w:proofErr w:type="spellStart"/>
      <w:r w:rsidR="004A4AFF" w:rsidRPr="005D0C16">
        <w:rPr>
          <w:szCs w:val="13"/>
        </w:rPr>
        <w:t>doorlooptijden</w:t>
      </w:r>
      <w:r w:rsidRPr="005D0C16">
        <w:rPr>
          <w:szCs w:val="13"/>
        </w:rPr>
        <w:t>IND</w:t>
      </w:r>
      <w:proofErr w:type="spellEnd"/>
      <w:r w:rsidRPr="005D0C16">
        <w:rPr>
          <w:szCs w:val="13"/>
        </w:rPr>
        <w:t xml:space="preserve"> 2015-2026</w:t>
      </w:r>
    </w:p>
  </w:footnote>
  <w:footnote w:id="3">
    <w:p w14:paraId="52ADA8C8" w14:textId="10064006" w:rsidR="007D7247" w:rsidRPr="005D0C16" w:rsidRDefault="007D7247" w:rsidP="007D7247">
      <w:pPr>
        <w:pStyle w:val="Voetnoottekst"/>
        <w:rPr>
          <w:szCs w:val="13"/>
        </w:rPr>
      </w:pPr>
      <w:r w:rsidRPr="005D0C16">
        <w:rPr>
          <w:rStyle w:val="Voetnootmarkering"/>
          <w:szCs w:val="13"/>
        </w:rPr>
        <w:footnoteRef/>
      </w:r>
      <w:r w:rsidRPr="005D0C16">
        <w:rPr>
          <w:szCs w:val="13"/>
        </w:rPr>
        <w:t xml:space="preserve"> Maximaal 25.000 eerste aanvragen </w:t>
      </w:r>
      <w:r w:rsidR="00E035A9" w:rsidRPr="005D0C16">
        <w:rPr>
          <w:szCs w:val="13"/>
        </w:rPr>
        <w:t>gebaseerd op vastgesteld medio instroomscenario uit de Kernprognose en actuele situatie asielketen 2025</w:t>
      </w:r>
    </w:p>
  </w:footnote>
  <w:footnote w:id="4">
    <w:p w14:paraId="32294D4B" w14:textId="59EA2334" w:rsidR="00574165" w:rsidRPr="005D0C16" w:rsidRDefault="00574165" w:rsidP="00574165">
      <w:pPr>
        <w:pStyle w:val="Voetnoottekst"/>
        <w:rPr>
          <w:szCs w:val="13"/>
        </w:rPr>
      </w:pPr>
      <w:r w:rsidRPr="005D0C16">
        <w:rPr>
          <w:rStyle w:val="Voetnootmarkering"/>
          <w:szCs w:val="13"/>
        </w:rPr>
        <w:footnoteRef/>
      </w:r>
      <w:r w:rsidRPr="005D0C16">
        <w:rPr>
          <w:szCs w:val="13"/>
        </w:rPr>
        <w:t xml:space="preserve"> Maximaal jaarlijks 25.000 eerste asielaanvragen</w:t>
      </w:r>
      <w:r w:rsidR="00FF336A" w:rsidRPr="005D0C16">
        <w:rPr>
          <w:szCs w:val="13"/>
        </w:rPr>
        <w:t>.</w:t>
      </w:r>
      <w:r w:rsidR="00E035A9" w:rsidRPr="005D0C16">
        <w:rPr>
          <w:szCs w:val="13"/>
        </w:rPr>
        <w:t xml:space="preserve"> Gebaseerd op vastgesteld medio instroomscenario uit</w:t>
      </w:r>
      <w:r w:rsidR="007951D3" w:rsidRPr="005D0C16">
        <w:rPr>
          <w:szCs w:val="13"/>
        </w:rPr>
        <w:t xml:space="preserve"> </w:t>
      </w:r>
      <w:r w:rsidR="00E035A9" w:rsidRPr="005D0C16">
        <w:rPr>
          <w:szCs w:val="13"/>
        </w:rPr>
        <w:t>de Kernprognose en actuele situatie asielketen 2025</w:t>
      </w:r>
    </w:p>
  </w:footnote>
  <w:footnote w:id="5">
    <w:p w14:paraId="77FB0BAD" w14:textId="77777777" w:rsidR="008141DC" w:rsidRPr="005D0C16" w:rsidRDefault="008141DC" w:rsidP="008141DC">
      <w:pPr>
        <w:pStyle w:val="Voetnoottekst"/>
        <w:rPr>
          <w:szCs w:val="13"/>
        </w:rPr>
      </w:pPr>
      <w:r w:rsidRPr="005D0C16">
        <w:rPr>
          <w:rStyle w:val="Voetnootmarkering"/>
          <w:szCs w:val="13"/>
        </w:rPr>
        <w:footnoteRef/>
      </w:r>
      <w:r w:rsidRPr="005D0C16">
        <w:rPr>
          <w:szCs w:val="13"/>
        </w:rPr>
        <w:t xml:space="preserve"> Tweede Kamer, vergaderjaar 2025–2026, 19 637 nr. 3514</w:t>
      </w:r>
    </w:p>
  </w:footnote>
  <w:footnote w:id="6">
    <w:p w14:paraId="5703847D" w14:textId="77777777" w:rsidR="00752376" w:rsidRPr="00E035A9" w:rsidRDefault="00752376" w:rsidP="00752376">
      <w:pPr>
        <w:pStyle w:val="Voetnoottekst"/>
        <w:rPr>
          <w:sz w:val="16"/>
          <w:szCs w:val="16"/>
        </w:rPr>
      </w:pPr>
      <w:r w:rsidRPr="00E035A9">
        <w:rPr>
          <w:rStyle w:val="Voetnootmarkering"/>
          <w:sz w:val="16"/>
          <w:szCs w:val="16"/>
        </w:rPr>
        <w:footnoteRef/>
      </w:r>
      <w:r w:rsidRPr="00E035A9">
        <w:rPr>
          <w:sz w:val="16"/>
          <w:szCs w:val="16"/>
        </w:rPr>
        <w:t xml:space="preserve"> Aanleiding voor de instelling van Commissie Van Zwol vormde de gebeurtenissen rond de geplande uitzetting van twee Armeense kinderen. </w:t>
      </w:r>
      <w:hyperlink r:id="rId1" w:history="1">
        <w:r w:rsidRPr="00E035A9">
          <w:rPr>
            <w:rStyle w:val="Hyperlink"/>
            <w:sz w:val="16"/>
            <w:szCs w:val="16"/>
            <w:u w:val="none"/>
          </w:rPr>
          <w:t>Commissierapport Van Zwol</w:t>
        </w:r>
      </w:hyperlink>
      <w:r w:rsidRPr="00E035A9">
        <w:rPr>
          <w:sz w:val="16"/>
          <w:szCs w:val="16"/>
        </w:rPr>
        <w:t>.</w:t>
      </w:r>
    </w:p>
  </w:footnote>
  <w:footnote w:id="7">
    <w:p w14:paraId="3CFE86DA" w14:textId="77777777" w:rsidR="00752376" w:rsidRPr="00E035A9" w:rsidRDefault="00752376" w:rsidP="00752376">
      <w:pPr>
        <w:pStyle w:val="Voetnoottekst"/>
        <w:rPr>
          <w:sz w:val="16"/>
          <w:szCs w:val="16"/>
        </w:rPr>
      </w:pPr>
      <w:r w:rsidRPr="00E035A9">
        <w:rPr>
          <w:rStyle w:val="Voetnootmarkering"/>
          <w:sz w:val="16"/>
          <w:szCs w:val="16"/>
        </w:rPr>
        <w:footnoteRef/>
      </w:r>
      <w:r w:rsidRPr="00E035A9">
        <w:rPr>
          <w:sz w:val="16"/>
          <w:szCs w:val="16"/>
        </w:rPr>
        <w:t xml:space="preserve"> </w:t>
      </w:r>
      <w:hyperlink r:id="rId2" w:history="1">
        <w:r w:rsidRPr="00E035A9">
          <w:rPr>
            <w:rStyle w:val="Hyperlink"/>
            <w:sz w:val="16"/>
            <w:szCs w:val="16"/>
            <w:u w:val="none"/>
          </w:rPr>
          <w:t>Brief van de staatssecretaris van J&amp;V van 18 november 2019 aan de Tweede Kamer over het terugbrengen van doorlooptijden asielaanvragen en stand van zaken dwangsommen</w:t>
        </w:r>
      </w:hyperlink>
      <w:r w:rsidRPr="00E035A9">
        <w:rPr>
          <w:sz w:val="16"/>
          <w:szCs w:val="16"/>
        </w:rPr>
        <w:t>.</w:t>
      </w:r>
    </w:p>
  </w:footnote>
  <w:footnote w:id="8">
    <w:p w14:paraId="0B883210" w14:textId="77777777" w:rsidR="00752376" w:rsidRPr="00E035A9" w:rsidRDefault="00752376" w:rsidP="00752376">
      <w:pPr>
        <w:pStyle w:val="Voetnoottekst"/>
        <w:rPr>
          <w:sz w:val="16"/>
          <w:szCs w:val="16"/>
        </w:rPr>
      </w:pPr>
      <w:r w:rsidRPr="00E035A9">
        <w:rPr>
          <w:rStyle w:val="Voetnootmarkering"/>
          <w:sz w:val="16"/>
          <w:szCs w:val="16"/>
        </w:rPr>
        <w:footnoteRef/>
      </w:r>
      <w:r w:rsidRPr="00E035A9">
        <w:rPr>
          <w:sz w:val="16"/>
          <w:szCs w:val="16"/>
        </w:rPr>
        <w:t xml:space="preserve"> </w:t>
      </w:r>
      <w:hyperlink r:id="rId3" w:history="1">
        <w:r w:rsidRPr="00E035A9">
          <w:rPr>
            <w:rStyle w:val="Hyperlink"/>
            <w:sz w:val="16"/>
            <w:szCs w:val="16"/>
            <w:u w:val="none"/>
          </w:rPr>
          <w:t>Rapport Significant</w:t>
        </w:r>
      </w:hyperlink>
      <w:r w:rsidRPr="00E035A9">
        <w:rPr>
          <w:sz w:val="16"/>
          <w:szCs w:val="16"/>
        </w:rPr>
        <w:t>.</w:t>
      </w:r>
    </w:p>
  </w:footnote>
  <w:footnote w:id="9">
    <w:p w14:paraId="02F553A0" w14:textId="77777777" w:rsidR="00752376" w:rsidRPr="00BA2F65" w:rsidRDefault="00752376" w:rsidP="00752376">
      <w:pPr>
        <w:pStyle w:val="Voetnoottekst"/>
        <w:rPr>
          <w:sz w:val="16"/>
          <w:szCs w:val="16"/>
        </w:rPr>
      </w:pPr>
      <w:r w:rsidRPr="00E035A9">
        <w:rPr>
          <w:rStyle w:val="Voetnootmarkering"/>
          <w:sz w:val="16"/>
          <w:szCs w:val="16"/>
        </w:rPr>
        <w:footnoteRef/>
      </w:r>
      <w:r w:rsidRPr="00E035A9">
        <w:rPr>
          <w:sz w:val="16"/>
          <w:szCs w:val="16"/>
        </w:rPr>
        <w:t xml:space="preserve"> </w:t>
      </w:r>
      <w:hyperlink r:id="rId4" w:anchor="extrainformatie" w:history="1">
        <w:r w:rsidRPr="00E035A9">
          <w:rPr>
            <w:rStyle w:val="Hyperlink"/>
            <w:sz w:val="16"/>
            <w:szCs w:val="16"/>
            <w:u w:val="none"/>
          </w:rPr>
          <w:t>Kamerstuk 35749, nr. 3</w:t>
        </w:r>
      </w:hyperlink>
      <w:r w:rsidRPr="00E035A9">
        <w:rPr>
          <w:sz w:val="16"/>
          <w:szCs w:val="16"/>
        </w:rPr>
        <w:t>.</w:t>
      </w:r>
      <w:r w:rsidRPr="007951D3">
        <w:rPr>
          <w:sz w:val="14"/>
          <w:szCs w:val="14"/>
        </w:rPr>
        <w:t xml:space="preserve"> </w:t>
      </w:r>
    </w:p>
  </w:footnote>
  <w:footnote w:id="10">
    <w:p w14:paraId="1895E35D" w14:textId="77777777" w:rsidR="00752376" w:rsidRPr="00E035A9" w:rsidRDefault="00752376" w:rsidP="00752376">
      <w:pPr>
        <w:rPr>
          <w:sz w:val="16"/>
          <w:szCs w:val="16"/>
        </w:rPr>
      </w:pPr>
      <w:r w:rsidRPr="00E035A9">
        <w:rPr>
          <w:rStyle w:val="Voetnootmarkering"/>
          <w:sz w:val="16"/>
          <w:szCs w:val="16"/>
        </w:rPr>
        <w:footnoteRef/>
      </w:r>
      <w:r w:rsidRPr="00E035A9">
        <w:rPr>
          <w:sz w:val="16"/>
          <w:szCs w:val="16"/>
        </w:rPr>
        <w:t xml:space="preserve"> Dit gebeurde tijdens de begrotingsbehandeling op 26 november 2020 (Handelingen II 2020/21, nr. 30, items 5 en 7). Het onderzoek wordt uitgevoerd door Ernst &amp; Young (EY).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81B1" w14:textId="526685B0" w:rsidR="00CE2D7C" w:rsidRDefault="00CE2D7C">
    <w:pPr>
      <w:pStyle w:val="Koptekst"/>
    </w:pPr>
    <w:r>
      <w:rPr>
        <w:noProof/>
        <w:szCs w:val="18"/>
      </w:rPr>
      <w:drawing>
        <wp:anchor distT="0" distB="0" distL="114300" distR="114300" simplePos="0" relativeHeight="251666432" behindDoc="0" locked="0" layoutInCell="1" allowOverlap="1" wp14:anchorId="2385C7E9" wp14:editId="1ED5E789">
          <wp:simplePos x="0" y="0"/>
          <wp:positionH relativeFrom="column">
            <wp:posOffset>2992120</wp:posOffset>
          </wp:positionH>
          <wp:positionV relativeFrom="paragraph">
            <wp:posOffset>-438785</wp:posOffset>
          </wp:positionV>
          <wp:extent cx="2338071" cy="1587503"/>
          <wp:effectExtent l="0" t="0" r="5080" b="0"/>
          <wp:wrapThrough wrapText="bothSides">
            <wp:wrapPolygon edited="0">
              <wp:start x="0" y="0"/>
              <wp:lineTo x="0" y="21254"/>
              <wp:lineTo x="21471" y="21254"/>
              <wp:lineTo x="21471" y="0"/>
              <wp:lineTo x="0" y="0"/>
            </wp:wrapPolygon>
          </wp:wrapThrough>
          <wp:docPr id="109741537" name="Afbeelding 10974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sktop\JV_IND_Logo_druk_corr_pos_n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8071" cy="1587503"/>
                  </a:xfrm>
                  <a:prstGeom prst="rect">
                    <a:avLst/>
                  </a:prstGeom>
                  <a:noFill/>
                  <a:ln>
                    <a:noFill/>
                  </a:ln>
                </pic:spPr>
              </pic:pic>
            </a:graphicData>
          </a:graphic>
        </wp:anchor>
      </w:drawing>
    </w:r>
    <w:r>
      <w:rPr>
        <w:noProof/>
        <w:szCs w:val="18"/>
      </w:rPr>
      <w:drawing>
        <wp:anchor distT="0" distB="0" distL="114300" distR="114300" simplePos="0" relativeHeight="251664384" behindDoc="0" locked="0" layoutInCell="1" allowOverlap="1" wp14:anchorId="056A93B9" wp14:editId="376AB31A">
          <wp:simplePos x="0" y="0"/>
          <wp:positionH relativeFrom="margin">
            <wp:posOffset>2524125</wp:posOffset>
          </wp:positionH>
          <wp:positionV relativeFrom="paragraph">
            <wp:posOffset>-438785</wp:posOffset>
          </wp:positionV>
          <wp:extent cx="467999" cy="1402714"/>
          <wp:effectExtent l="0" t="0" r="8255" b="7620"/>
          <wp:wrapThrough wrapText="bothSides">
            <wp:wrapPolygon edited="0">
              <wp:start x="0" y="0"/>
              <wp:lineTo x="0" y="21424"/>
              <wp:lineTo x="21102" y="21424"/>
              <wp:lineTo x="21102" y="0"/>
              <wp:lineTo x="0" y="0"/>
            </wp:wrapPolygon>
          </wp:wrapThrough>
          <wp:docPr id="1972447433" name="Afbeelding 19724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T2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9" cy="14027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794B" w14:textId="6BE296D4" w:rsidR="00565D73" w:rsidRDefault="00565D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7AFE" w14:textId="6EC14636" w:rsidR="00F23CB1" w:rsidRDefault="00F23CB1">
    <w:pPr>
      <w:pStyle w:val="Koptekst"/>
      <w:rPr>
        <w:rFonts w:cs="Verdana-Bold"/>
        <w:b/>
        <w:bCs/>
        <w:smallCaps/>
        <w:color w:val="000000" w:themeColor="text1"/>
        <w:szCs w:val="18"/>
      </w:rPr>
    </w:pPr>
  </w:p>
  <w:p w14:paraId="76580DAD" w14:textId="77777777" w:rsidR="00F23CB1" w:rsidRDefault="00F23CB1">
    <w:pPr>
      <w:pStyle w:val="Koptekst"/>
      <w:rPr>
        <w:color w:val="000000" w:themeColor="text1"/>
      </w:rPr>
    </w:pPr>
  </w:p>
  <w:p w14:paraId="2B11927F" w14:textId="77777777" w:rsidR="00F23CB1" w:rsidRDefault="00F23CB1"/>
  <w:p w14:paraId="5C2DD44C" w14:textId="77777777" w:rsidR="00F23CB1" w:rsidRDefault="00F23C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0168" w14:textId="4D5C602E" w:rsidR="00F23CB1" w:rsidRDefault="00F23C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15:restartNumberingAfterBreak="0">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2" w15:restartNumberingAfterBreak="0">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15:restartNumberingAfterBreak="0">
    <w:nsid w:val="09D434AC"/>
    <w:multiLevelType w:val="multilevel"/>
    <w:tmpl w:val="4048738A"/>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E4675"/>
    <w:multiLevelType w:val="hybridMultilevel"/>
    <w:tmpl w:val="71F086EE"/>
    <w:lvl w:ilvl="0" w:tplc="E2A2238A">
      <w:start w:val="1"/>
      <w:numFmt w:val="bullet"/>
      <w:lvlText w:val=""/>
      <w:lvlJc w:val="left"/>
      <w:pPr>
        <w:ind w:left="1020" w:hanging="360"/>
      </w:pPr>
      <w:rPr>
        <w:rFonts w:ascii="Symbol" w:hAnsi="Symbol"/>
      </w:rPr>
    </w:lvl>
    <w:lvl w:ilvl="1" w:tplc="AF8AB068">
      <w:start w:val="1"/>
      <w:numFmt w:val="bullet"/>
      <w:lvlText w:val=""/>
      <w:lvlJc w:val="left"/>
      <w:pPr>
        <w:ind w:left="1020" w:hanging="360"/>
      </w:pPr>
      <w:rPr>
        <w:rFonts w:ascii="Symbol" w:hAnsi="Symbol"/>
      </w:rPr>
    </w:lvl>
    <w:lvl w:ilvl="2" w:tplc="2C42594A">
      <w:start w:val="1"/>
      <w:numFmt w:val="bullet"/>
      <w:lvlText w:val=""/>
      <w:lvlJc w:val="left"/>
      <w:pPr>
        <w:ind w:left="1020" w:hanging="360"/>
      </w:pPr>
      <w:rPr>
        <w:rFonts w:ascii="Symbol" w:hAnsi="Symbol"/>
      </w:rPr>
    </w:lvl>
    <w:lvl w:ilvl="3" w:tplc="F8FEC18C">
      <w:start w:val="1"/>
      <w:numFmt w:val="bullet"/>
      <w:lvlText w:val=""/>
      <w:lvlJc w:val="left"/>
      <w:pPr>
        <w:ind w:left="1020" w:hanging="360"/>
      </w:pPr>
      <w:rPr>
        <w:rFonts w:ascii="Symbol" w:hAnsi="Symbol"/>
      </w:rPr>
    </w:lvl>
    <w:lvl w:ilvl="4" w:tplc="BEE286A6">
      <w:start w:val="1"/>
      <w:numFmt w:val="bullet"/>
      <w:lvlText w:val=""/>
      <w:lvlJc w:val="left"/>
      <w:pPr>
        <w:ind w:left="1020" w:hanging="360"/>
      </w:pPr>
      <w:rPr>
        <w:rFonts w:ascii="Symbol" w:hAnsi="Symbol"/>
      </w:rPr>
    </w:lvl>
    <w:lvl w:ilvl="5" w:tplc="F544E25E">
      <w:start w:val="1"/>
      <w:numFmt w:val="bullet"/>
      <w:lvlText w:val=""/>
      <w:lvlJc w:val="left"/>
      <w:pPr>
        <w:ind w:left="1020" w:hanging="360"/>
      </w:pPr>
      <w:rPr>
        <w:rFonts w:ascii="Symbol" w:hAnsi="Symbol"/>
      </w:rPr>
    </w:lvl>
    <w:lvl w:ilvl="6" w:tplc="C4AEEC78">
      <w:start w:val="1"/>
      <w:numFmt w:val="bullet"/>
      <w:lvlText w:val=""/>
      <w:lvlJc w:val="left"/>
      <w:pPr>
        <w:ind w:left="1020" w:hanging="360"/>
      </w:pPr>
      <w:rPr>
        <w:rFonts w:ascii="Symbol" w:hAnsi="Symbol"/>
      </w:rPr>
    </w:lvl>
    <w:lvl w:ilvl="7" w:tplc="6152E71C">
      <w:start w:val="1"/>
      <w:numFmt w:val="bullet"/>
      <w:lvlText w:val=""/>
      <w:lvlJc w:val="left"/>
      <w:pPr>
        <w:ind w:left="1020" w:hanging="360"/>
      </w:pPr>
      <w:rPr>
        <w:rFonts w:ascii="Symbol" w:hAnsi="Symbol"/>
      </w:rPr>
    </w:lvl>
    <w:lvl w:ilvl="8" w:tplc="CACA355E">
      <w:start w:val="1"/>
      <w:numFmt w:val="bullet"/>
      <w:lvlText w:val=""/>
      <w:lvlJc w:val="left"/>
      <w:pPr>
        <w:ind w:left="1020" w:hanging="360"/>
      </w:pPr>
      <w:rPr>
        <w:rFonts w:ascii="Symbol" w:hAnsi="Symbol"/>
      </w:rPr>
    </w:lvl>
  </w:abstractNum>
  <w:abstractNum w:abstractNumId="6" w15:restartNumberingAfterBreak="0">
    <w:nsid w:val="3041581C"/>
    <w:multiLevelType w:val="hybridMultilevel"/>
    <w:tmpl w:val="9FECD22A"/>
    <w:lvl w:ilvl="0" w:tplc="4B708454">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4721D83"/>
    <w:multiLevelType w:val="hybridMultilevel"/>
    <w:tmpl w:val="C9706336"/>
    <w:lvl w:ilvl="0" w:tplc="70A4A540">
      <w:start w:val="1"/>
      <w:numFmt w:val="bullet"/>
      <w:lvlText w:val=""/>
      <w:lvlJc w:val="left"/>
      <w:pPr>
        <w:ind w:left="1020" w:hanging="360"/>
      </w:pPr>
      <w:rPr>
        <w:rFonts w:ascii="Symbol" w:hAnsi="Symbol"/>
      </w:rPr>
    </w:lvl>
    <w:lvl w:ilvl="1" w:tplc="08282284">
      <w:start w:val="1"/>
      <w:numFmt w:val="bullet"/>
      <w:lvlText w:val=""/>
      <w:lvlJc w:val="left"/>
      <w:pPr>
        <w:ind w:left="1020" w:hanging="360"/>
      </w:pPr>
      <w:rPr>
        <w:rFonts w:ascii="Symbol" w:hAnsi="Symbol"/>
      </w:rPr>
    </w:lvl>
    <w:lvl w:ilvl="2" w:tplc="8836E422">
      <w:start w:val="1"/>
      <w:numFmt w:val="bullet"/>
      <w:lvlText w:val=""/>
      <w:lvlJc w:val="left"/>
      <w:pPr>
        <w:ind w:left="1020" w:hanging="360"/>
      </w:pPr>
      <w:rPr>
        <w:rFonts w:ascii="Symbol" w:hAnsi="Symbol"/>
      </w:rPr>
    </w:lvl>
    <w:lvl w:ilvl="3" w:tplc="68261BD4">
      <w:start w:val="1"/>
      <w:numFmt w:val="bullet"/>
      <w:lvlText w:val=""/>
      <w:lvlJc w:val="left"/>
      <w:pPr>
        <w:ind w:left="1020" w:hanging="360"/>
      </w:pPr>
      <w:rPr>
        <w:rFonts w:ascii="Symbol" w:hAnsi="Symbol"/>
      </w:rPr>
    </w:lvl>
    <w:lvl w:ilvl="4" w:tplc="00505916">
      <w:start w:val="1"/>
      <w:numFmt w:val="bullet"/>
      <w:lvlText w:val=""/>
      <w:lvlJc w:val="left"/>
      <w:pPr>
        <w:ind w:left="1020" w:hanging="360"/>
      </w:pPr>
      <w:rPr>
        <w:rFonts w:ascii="Symbol" w:hAnsi="Symbol"/>
      </w:rPr>
    </w:lvl>
    <w:lvl w:ilvl="5" w:tplc="2FB8F9B2">
      <w:start w:val="1"/>
      <w:numFmt w:val="bullet"/>
      <w:lvlText w:val=""/>
      <w:lvlJc w:val="left"/>
      <w:pPr>
        <w:ind w:left="1020" w:hanging="360"/>
      </w:pPr>
      <w:rPr>
        <w:rFonts w:ascii="Symbol" w:hAnsi="Symbol"/>
      </w:rPr>
    </w:lvl>
    <w:lvl w:ilvl="6" w:tplc="D8F02154">
      <w:start w:val="1"/>
      <w:numFmt w:val="bullet"/>
      <w:lvlText w:val=""/>
      <w:lvlJc w:val="left"/>
      <w:pPr>
        <w:ind w:left="1020" w:hanging="360"/>
      </w:pPr>
      <w:rPr>
        <w:rFonts w:ascii="Symbol" w:hAnsi="Symbol"/>
      </w:rPr>
    </w:lvl>
    <w:lvl w:ilvl="7" w:tplc="E3D043C6">
      <w:start w:val="1"/>
      <w:numFmt w:val="bullet"/>
      <w:lvlText w:val=""/>
      <w:lvlJc w:val="left"/>
      <w:pPr>
        <w:ind w:left="1020" w:hanging="360"/>
      </w:pPr>
      <w:rPr>
        <w:rFonts w:ascii="Symbol" w:hAnsi="Symbol"/>
      </w:rPr>
    </w:lvl>
    <w:lvl w:ilvl="8" w:tplc="5ADE595A">
      <w:start w:val="1"/>
      <w:numFmt w:val="bullet"/>
      <w:lvlText w:val=""/>
      <w:lvlJc w:val="left"/>
      <w:pPr>
        <w:ind w:left="1020" w:hanging="360"/>
      </w:pPr>
      <w:rPr>
        <w:rFonts w:ascii="Symbol" w:hAnsi="Symbol"/>
      </w:rPr>
    </w:lvl>
  </w:abstractNum>
  <w:abstractNum w:abstractNumId="8"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9" w15:restartNumberingAfterBreak="0">
    <w:nsid w:val="645A1AF0"/>
    <w:multiLevelType w:val="hybridMultilevel"/>
    <w:tmpl w:val="ADB2F6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67C122C2"/>
    <w:multiLevelType w:val="multilevel"/>
    <w:tmpl w:val="558C60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AAC0518"/>
    <w:multiLevelType w:val="hybridMultilevel"/>
    <w:tmpl w:val="7FF2C8E6"/>
    <w:lvl w:ilvl="0" w:tplc="70865626">
      <w:start w:val="19"/>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303891"/>
    <w:multiLevelType w:val="hybridMultilevel"/>
    <w:tmpl w:val="893E9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9073058">
    <w:abstractNumId w:val="4"/>
  </w:num>
  <w:num w:numId="2" w16cid:durableId="1642035668">
    <w:abstractNumId w:val="1"/>
  </w:num>
  <w:num w:numId="3" w16cid:durableId="1471360663">
    <w:abstractNumId w:val="2"/>
  </w:num>
  <w:num w:numId="4" w16cid:durableId="736125429">
    <w:abstractNumId w:val="0"/>
  </w:num>
  <w:num w:numId="5" w16cid:durableId="591208069">
    <w:abstractNumId w:val="3"/>
  </w:num>
  <w:num w:numId="6" w16cid:durableId="625812287">
    <w:abstractNumId w:val="8"/>
  </w:num>
  <w:num w:numId="7" w16cid:durableId="983701584">
    <w:abstractNumId w:val="9"/>
  </w:num>
  <w:num w:numId="8" w16cid:durableId="1827941679">
    <w:abstractNumId w:val="10"/>
  </w:num>
  <w:num w:numId="9" w16cid:durableId="1297879645">
    <w:abstractNumId w:val="6"/>
  </w:num>
  <w:num w:numId="10" w16cid:durableId="587888544">
    <w:abstractNumId w:val="12"/>
  </w:num>
  <w:num w:numId="11" w16cid:durableId="917253974">
    <w:abstractNumId w:val="7"/>
  </w:num>
  <w:num w:numId="12" w16cid:durableId="1497067501">
    <w:abstractNumId w:val="5"/>
  </w:num>
  <w:num w:numId="13" w16cid:durableId="526069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96630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D1"/>
    <w:rsid w:val="00001173"/>
    <w:rsid w:val="00002D7C"/>
    <w:rsid w:val="00002D9E"/>
    <w:rsid w:val="0000392E"/>
    <w:rsid w:val="00004487"/>
    <w:rsid w:val="0000491D"/>
    <w:rsid w:val="00004BCA"/>
    <w:rsid w:val="00004FAE"/>
    <w:rsid w:val="00005F24"/>
    <w:rsid w:val="00010766"/>
    <w:rsid w:val="00010F12"/>
    <w:rsid w:val="00011A0F"/>
    <w:rsid w:val="00011C80"/>
    <w:rsid w:val="00011E40"/>
    <w:rsid w:val="00013694"/>
    <w:rsid w:val="00013916"/>
    <w:rsid w:val="0001394F"/>
    <w:rsid w:val="000158B4"/>
    <w:rsid w:val="00016437"/>
    <w:rsid w:val="0001651E"/>
    <w:rsid w:val="0001772A"/>
    <w:rsid w:val="00017C80"/>
    <w:rsid w:val="00017D76"/>
    <w:rsid w:val="00020189"/>
    <w:rsid w:val="0002025A"/>
    <w:rsid w:val="00020848"/>
    <w:rsid w:val="00020C06"/>
    <w:rsid w:val="00020EE4"/>
    <w:rsid w:val="00022229"/>
    <w:rsid w:val="000233DB"/>
    <w:rsid w:val="00023995"/>
    <w:rsid w:val="00024231"/>
    <w:rsid w:val="00024794"/>
    <w:rsid w:val="000258C0"/>
    <w:rsid w:val="00025B71"/>
    <w:rsid w:val="000263D3"/>
    <w:rsid w:val="00026447"/>
    <w:rsid w:val="00026AC9"/>
    <w:rsid w:val="00027E94"/>
    <w:rsid w:val="00027FC0"/>
    <w:rsid w:val="000311D0"/>
    <w:rsid w:val="000312D0"/>
    <w:rsid w:val="000320A3"/>
    <w:rsid w:val="00033426"/>
    <w:rsid w:val="00033EC6"/>
    <w:rsid w:val="000341FA"/>
    <w:rsid w:val="00034A84"/>
    <w:rsid w:val="00035C4B"/>
    <w:rsid w:val="00035E67"/>
    <w:rsid w:val="0004100C"/>
    <w:rsid w:val="000426C9"/>
    <w:rsid w:val="0004273E"/>
    <w:rsid w:val="00042E4B"/>
    <w:rsid w:val="00043908"/>
    <w:rsid w:val="00044809"/>
    <w:rsid w:val="00044C3C"/>
    <w:rsid w:val="000451BE"/>
    <w:rsid w:val="00047DF9"/>
    <w:rsid w:val="000509FB"/>
    <w:rsid w:val="00050BF5"/>
    <w:rsid w:val="00051968"/>
    <w:rsid w:val="00053D2D"/>
    <w:rsid w:val="00054537"/>
    <w:rsid w:val="00054A44"/>
    <w:rsid w:val="000574D3"/>
    <w:rsid w:val="00057B03"/>
    <w:rsid w:val="0006027D"/>
    <w:rsid w:val="00060541"/>
    <w:rsid w:val="00062235"/>
    <w:rsid w:val="00062C1D"/>
    <w:rsid w:val="000636B3"/>
    <w:rsid w:val="0006378B"/>
    <w:rsid w:val="00064CCB"/>
    <w:rsid w:val="00064EA8"/>
    <w:rsid w:val="0006546C"/>
    <w:rsid w:val="00065F6F"/>
    <w:rsid w:val="0006622D"/>
    <w:rsid w:val="000668CC"/>
    <w:rsid w:val="00067519"/>
    <w:rsid w:val="0006777D"/>
    <w:rsid w:val="00070527"/>
    <w:rsid w:val="00071091"/>
    <w:rsid w:val="000714BF"/>
    <w:rsid w:val="00071AC3"/>
    <w:rsid w:val="00071F28"/>
    <w:rsid w:val="00072E71"/>
    <w:rsid w:val="00073626"/>
    <w:rsid w:val="0007444C"/>
    <w:rsid w:val="000748DD"/>
    <w:rsid w:val="00074B6A"/>
    <w:rsid w:val="00075989"/>
    <w:rsid w:val="00075C14"/>
    <w:rsid w:val="00075DAF"/>
    <w:rsid w:val="000760DA"/>
    <w:rsid w:val="00076845"/>
    <w:rsid w:val="00076D31"/>
    <w:rsid w:val="00076EFA"/>
    <w:rsid w:val="000770F9"/>
    <w:rsid w:val="0007786F"/>
    <w:rsid w:val="00077A41"/>
    <w:rsid w:val="00077F6C"/>
    <w:rsid w:val="00081781"/>
    <w:rsid w:val="00081825"/>
    <w:rsid w:val="00081A90"/>
    <w:rsid w:val="00082BB1"/>
    <w:rsid w:val="000844FA"/>
    <w:rsid w:val="00084FFD"/>
    <w:rsid w:val="000854D0"/>
    <w:rsid w:val="00085A2F"/>
    <w:rsid w:val="0008690F"/>
    <w:rsid w:val="000875CB"/>
    <w:rsid w:val="0009037A"/>
    <w:rsid w:val="00090737"/>
    <w:rsid w:val="00091482"/>
    <w:rsid w:val="000919D8"/>
    <w:rsid w:val="00091FED"/>
    <w:rsid w:val="00092049"/>
    <w:rsid w:val="00092D79"/>
    <w:rsid w:val="00093708"/>
    <w:rsid w:val="0009425A"/>
    <w:rsid w:val="00094B45"/>
    <w:rsid w:val="00094B74"/>
    <w:rsid w:val="00094E00"/>
    <w:rsid w:val="00095FF2"/>
    <w:rsid w:val="000961F2"/>
    <w:rsid w:val="0009627D"/>
    <w:rsid w:val="000965BC"/>
    <w:rsid w:val="00096680"/>
    <w:rsid w:val="00096699"/>
    <w:rsid w:val="000A00E3"/>
    <w:rsid w:val="000A01F6"/>
    <w:rsid w:val="000A06FC"/>
    <w:rsid w:val="000A1435"/>
    <w:rsid w:val="000A1737"/>
    <w:rsid w:val="000A1BC7"/>
    <w:rsid w:val="000A21BA"/>
    <w:rsid w:val="000A2330"/>
    <w:rsid w:val="000A23EA"/>
    <w:rsid w:val="000A4850"/>
    <w:rsid w:val="000A71B1"/>
    <w:rsid w:val="000B2A0F"/>
    <w:rsid w:val="000B3111"/>
    <w:rsid w:val="000B4456"/>
    <w:rsid w:val="000B55C0"/>
    <w:rsid w:val="000B69CB"/>
    <w:rsid w:val="000B7281"/>
    <w:rsid w:val="000B7544"/>
    <w:rsid w:val="000B7787"/>
    <w:rsid w:val="000B7EFD"/>
    <w:rsid w:val="000C01DD"/>
    <w:rsid w:val="000C0B26"/>
    <w:rsid w:val="000C0D7E"/>
    <w:rsid w:val="000C20A3"/>
    <w:rsid w:val="000C3D2B"/>
    <w:rsid w:val="000C3D56"/>
    <w:rsid w:val="000C3E17"/>
    <w:rsid w:val="000C3F40"/>
    <w:rsid w:val="000C43A2"/>
    <w:rsid w:val="000C4999"/>
    <w:rsid w:val="000C4CED"/>
    <w:rsid w:val="000C5F80"/>
    <w:rsid w:val="000C6E72"/>
    <w:rsid w:val="000C71ED"/>
    <w:rsid w:val="000C7E4D"/>
    <w:rsid w:val="000D0162"/>
    <w:rsid w:val="000D0A9F"/>
    <w:rsid w:val="000D1764"/>
    <w:rsid w:val="000D3731"/>
    <w:rsid w:val="000D3BE2"/>
    <w:rsid w:val="000D3F02"/>
    <w:rsid w:val="000D53C8"/>
    <w:rsid w:val="000D5779"/>
    <w:rsid w:val="000D5B91"/>
    <w:rsid w:val="000D7417"/>
    <w:rsid w:val="000D7BB7"/>
    <w:rsid w:val="000E1CCC"/>
    <w:rsid w:val="000E2780"/>
    <w:rsid w:val="000E28D7"/>
    <w:rsid w:val="000E3480"/>
    <w:rsid w:val="000E4183"/>
    <w:rsid w:val="000E4A06"/>
    <w:rsid w:val="000F02A1"/>
    <w:rsid w:val="000F0CC0"/>
    <w:rsid w:val="000F11A1"/>
    <w:rsid w:val="000F1A72"/>
    <w:rsid w:val="000F2632"/>
    <w:rsid w:val="000F27A4"/>
    <w:rsid w:val="000F32B4"/>
    <w:rsid w:val="000F47BF"/>
    <w:rsid w:val="000F4B5D"/>
    <w:rsid w:val="000F51E4"/>
    <w:rsid w:val="000F62B3"/>
    <w:rsid w:val="000F6C46"/>
    <w:rsid w:val="000F7181"/>
    <w:rsid w:val="000F7437"/>
    <w:rsid w:val="001017FD"/>
    <w:rsid w:val="00101844"/>
    <w:rsid w:val="0010215F"/>
    <w:rsid w:val="00102AEC"/>
    <w:rsid w:val="00102DAD"/>
    <w:rsid w:val="00103AC1"/>
    <w:rsid w:val="001046E3"/>
    <w:rsid w:val="00106DCC"/>
    <w:rsid w:val="00107C6C"/>
    <w:rsid w:val="00110B0B"/>
    <w:rsid w:val="00112F18"/>
    <w:rsid w:val="00113D05"/>
    <w:rsid w:val="001145BA"/>
    <w:rsid w:val="001147F8"/>
    <w:rsid w:val="00115237"/>
    <w:rsid w:val="00115883"/>
    <w:rsid w:val="001158C2"/>
    <w:rsid w:val="00115910"/>
    <w:rsid w:val="00115CB8"/>
    <w:rsid w:val="0011628A"/>
    <w:rsid w:val="00117653"/>
    <w:rsid w:val="00117AD9"/>
    <w:rsid w:val="00121008"/>
    <w:rsid w:val="00122AD3"/>
    <w:rsid w:val="00123082"/>
    <w:rsid w:val="00123704"/>
    <w:rsid w:val="00123975"/>
    <w:rsid w:val="00126623"/>
    <w:rsid w:val="001270C7"/>
    <w:rsid w:val="00130024"/>
    <w:rsid w:val="00130226"/>
    <w:rsid w:val="0013049E"/>
    <w:rsid w:val="001309F7"/>
    <w:rsid w:val="00130C1C"/>
    <w:rsid w:val="00130C75"/>
    <w:rsid w:val="00130F04"/>
    <w:rsid w:val="001315AF"/>
    <w:rsid w:val="00131A00"/>
    <w:rsid w:val="0013305E"/>
    <w:rsid w:val="00133920"/>
    <w:rsid w:val="00133CE7"/>
    <w:rsid w:val="00134408"/>
    <w:rsid w:val="00134A3C"/>
    <w:rsid w:val="00136FD0"/>
    <w:rsid w:val="00137A9E"/>
    <w:rsid w:val="00137FBE"/>
    <w:rsid w:val="001423B7"/>
    <w:rsid w:val="00142701"/>
    <w:rsid w:val="001428D9"/>
    <w:rsid w:val="001429A1"/>
    <w:rsid w:val="00142BCD"/>
    <w:rsid w:val="001434CF"/>
    <w:rsid w:val="001434F2"/>
    <w:rsid w:val="00143913"/>
    <w:rsid w:val="00144211"/>
    <w:rsid w:val="00145E37"/>
    <w:rsid w:val="0014786A"/>
    <w:rsid w:val="00147DCC"/>
    <w:rsid w:val="00150CF8"/>
    <w:rsid w:val="001516A4"/>
    <w:rsid w:val="001543B6"/>
    <w:rsid w:val="001554AA"/>
    <w:rsid w:val="00161376"/>
    <w:rsid w:val="0016184F"/>
    <w:rsid w:val="0016336F"/>
    <w:rsid w:val="001640C4"/>
    <w:rsid w:val="001643F7"/>
    <w:rsid w:val="001652C2"/>
    <w:rsid w:val="00165718"/>
    <w:rsid w:val="001662BF"/>
    <w:rsid w:val="001676C7"/>
    <w:rsid w:val="0017170F"/>
    <w:rsid w:val="001718C5"/>
    <w:rsid w:val="00172DC6"/>
    <w:rsid w:val="00173102"/>
    <w:rsid w:val="0017649B"/>
    <w:rsid w:val="00176A9D"/>
    <w:rsid w:val="00176CDF"/>
    <w:rsid w:val="00177348"/>
    <w:rsid w:val="00177951"/>
    <w:rsid w:val="001802CA"/>
    <w:rsid w:val="00180DEA"/>
    <w:rsid w:val="001810E4"/>
    <w:rsid w:val="00181D0B"/>
    <w:rsid w:val="0018228D"/>
    <w:rsid w:val="001826DA"/>
    <w:rsid w:val="0018389D"/>
    <w:rsid w:val="001838F8"/>
    <w:rsid w:val="0018392E"/>
    <w:rsid w:val="00183FB3"/>
    <w:rsid w:val="0018487D"/>
    <w:rsid w:val="00185576"/>
    <w:rsid w:val="00185951"/>
    <w:rsid w:val="00186DE1"/>
    <w:rsid w:val="001935E6"/>
    <w:rsid w:val="00194F29"/>
    <w:rsid w:val="00196D69"/>
    <w:rsid w:val="00197793"/>
    <w:rsid w:val="001A071B"/>
    <w:rsid w:val="001A0B38"/>
    <w:rsid w:val="001A1B6D"/>
    <w:rsid w:val="001A1F6D"/>
    <w:rsid w:val="001A2505"/>
    <w:rsid w:val="001A3511"/>
    <w:rsid w:val="001A4808"/>
    <w:rsid w:val="001A532A"/>
    <w:rsid w:val="001A54A8"/>
    <w:rsid w:val="001A5D0C"/>
    <w:rsid w:val="001A6651"/>
    <w:rsid w:val="001A6819"/>
    <w:rsid w:val="001A70D0"/>
    <w:rsid w:val="001A7E68"/>
    <w:rsid w:val="001B0322"/>
    <w:rsid w:val="001B0BD5"/>
    <w:rsid w:val="001B244D"/>
    <w:rsid w:val="001B32CA"/>
    <w:rsid w:val="001B415E"/>
    <w:rsid w:val="001B436A"/>
    <w:rsid w:val="001B6818"/>
    <w:rsid w:val="001B7258"/>
    <w:rsid w:val="001B74C7"/>
    <w:rsid w:val="001B7D7E"/>
    <w:rsid w:val="001C046F"/>
    <w:rsid w:val="001C1165"/>
    <w:rsid w:val="001C32D7"/>
    <w:rsid w:val="001C40E2"/>
    <w:rsid w:val="001C47F8"/>
    <w:rsid w:val="001C4F40"/>
    <w:rsid w:val="001C562A"/>
    <w:rsid w:val="001C5770"/>
    <w:rsid w:val="001C5DC4"/>
    <w:rsid w:val="001C6FC6"/>
    <w:rsid w:val="001C793E"/>
    <w:rsid w:val="001D07D7"/>
    <w:rsid w:val="001D1CE8"/>
    <w:rsid w:val="001D2280"/>
    <w:rsid w:val="001D267E"/>
    <w:rsid w:val="001D29C5"/>
    <w:rsid w:val="001D38F5"/>
    <w:rsid w:val="001D3A69"/>
    <w:rsid w:val="001D3E25"/>
    <w:rsid w:val="001D3FC8"/>
    <w:rsid w:val="001D5048"/>
    <w:rsid w:val="001D5178"/>
    <w:rsid w:val="001D51E3"/>
    <w:rsid w:val="001D5C4A"/>
    <w:rsid w:val="001D7477"/>
    <w:rsid w:val="001D76B3"/>
    <w:rsid w:val="001E067E"/>
    <w:rsid w:val="001E0788"/>
    <w:rsid w:val="001E0B8D"/>
    <w:rsid w:val="001E1CEC"/>
    <w:rsid w:val="001E2BEA"/>
    <w:rsid w:val="001E34C6"/>
    <w:rsid w:val="001E3EFB"/>
    <w:rsid w:val="001E49BD"/>
    <w:rsid w:val="001E4DC0"/>
    <w:rsid w:val="001E5005"/>
    <w:rsid w:val="001E5581"/>
    <w:rsid w:val="001E5A48"/>
    <w:rsid w:val="001E5A87"/>
    <w:rsid w:val="001E607F"/>
    <w:rsid w:val="001E6BAC"/>
    <w:rsid w:val="001F1BC8"/>
    <w:rsid w:val="001F2105"/>
    <w:rsid w:val="001F3CE9"/>
    <w:rsid w:val="001F4516"/>
    <w:rsid w:val="001F4D61"/>
    <w:rsid w:val="001F56C9"/>
    <w:rsid w:val="001F5C50"/>
    <w:rsid w:val="001F6CE8"/>
    <w:rsid w:val="00200267"/>
    <w:rsid w:val="002003FB"/>
    <w:rsid w:val="002016FD"/>
    <w:rsid w:val="00203296"/>
    <w:rsid w:val="00203826"/>
    <w:rsid w:val="002039AB"/>
    <w:rsid w:val="00203D34"/>
    <w:rsid w:val="00204ED3"/>
    <w:rsid w:val="002054A4"/>
    <w:rsid w:val="00205C3B"/>
    <w:rsid w:val="00206058"/>
    <w:rsid w:val="00207C30"/>
    <w:rsid w:val="00210B9B"/>
    <w:rsid w:val="002111D1"/>
    <w:rsid w:val="00211C4E"/>
    <w:rsid w:val="00212574"/>
    <w:rsid w:val="00213126"/>
    <w:rsid w:val="00213A0B"/>
    <w:rsid w:val="00213B7B"/>
    <w:rsid w:val="00213CF5"/>
    <w:rsid w:val="00213D8C"/>
    <w:rsid w:val="002147AA"/>
    <w:rsid w:val="00215826"/>
    <w:rsid w:val="00215CDC"/>
    <w:rsid w:val="00215D97"/>
    <w:rsid w:val="00215E08"/>
    <w:rsid w:val="00216894"/>
    <w:rsid w:val="00216ADD"/>
    <w:rsid w:val="00216BA5"/>
    <w:rsid w:val="0021750E"/>
    <w:rsid w:val="00220322"/>
    <w:rsid w:val="00221A1E"/>
    <w:rsid w:val="00221F92"/>
    <w:rsid w:val="00223FDB"/>
    <w:rsid w:val="0022421F"/>
    <w:rsid w:val="00226572"/>
    <w:rsid w:val="002267A4"/>
    <w:rsid w:val="00226C8C"/>
    <w:rsid w:val="0022726F"/>
    <w:rsid w:val="00227FC2"/>
    <w:rsid w:val="00230A75"/>
    <w:rsid w:val="00230D12"/>
    <w:rsid w:val="00231466"/>
    <w:rsid w:val="0023179D"/>
    <w:rsid w:val="00231E94"/>
    <w:rsid w:val="00232903"/>
    <w:rsid w:val="00232A72"/>
    <w:rsid w:val="00232AF1"/>
    <w:rsid w:val="0023327A"/>
    <w:rsid w:val="00233FAD"/>
    <w:rsid w:val="00234068"/>
    <w:rsid w:val="00236C32"/>
    <w:rsid w:val="0023706B"/>
    <w:rsid w:val="002373F1"/>
    <w:rsid w:val="00240322"/>
    <w:rsid w:val="002406B7"/>
    <w:rsid w:val="00240722"/>
    <w:rsid w:val="00240FD8"/>
    <w:rsid w:val="002426C7"/>
    <w:rsid w:val="002428E3"/>
    <w:rsid w:val="00242AF0"/>
    <w:rsid w:val="00243092"/>
    <w:rsid w:val="00244278"/>
    <w:rsid w:val="0024492A"/>
    <w:rsid w:val="00245B4D"/>
    <w:rsid w:val="00246B3B"/>
    <w:rsid w:val="00246B96"/>
    <w:rsid w:val="00250359"/>
    <w:rsid w:val="00250FFA"/>
    <w:rsid w:val="00251225"/>
    <w:rsid w:val="0025284C"/>
    <w:rsid w:val="00252BE6"/>
    <w:rsid w:val="0025373E"/>
    <w:rsid w:val="0025391C"/>
    <w:rsid w:val="002539EB"/>
    <w:rsid w:val="00253F9A"/>
    <w:rsid w:val="00255476"/>
    <w:rsid w:val="002564A3"/>
    <w:rsid w:val="00260AA0"/>
    <w:rsid w:val="00260BAF"/>
    <w:rsid w:val="00260D67"/>
    <w:rsid w:val="0026179F"/>
    <w:rsid w:val="0026193B"/>
    <w:rsid w:val="00261961"/>
    <w:rsid w:val="002650DE"/>
    <w:rsid w:val="002650F7"/>
    <w:rsid w:val="002652CE"/>
    <w:rsid w:val="00267D51"/>
    <w:rsid w:val="0027000D"/>
    <w:rsid w:val="00270322"/>
    <w:rsid w:val="00270D97"/>
    <w:rsid w:val="00271047"/>
    <w:rsid w:val="00271FDB"/>
    <w:rsid w:val="00272C40"/>
    <w:rsid w:val="002743C0"/>
    <w:rsid w:val="00274506"/>
    <w:rsid w:val="00275224"/>
    <w:rsid w:val="002754D0"/>
    <w:rsid w:val="0027568C"/>
    <w:rsid w:val="00275F7E"/>
    <w:rsid w:val="00275FB1"/>
    <w:rsid w:val="00275FE6"/>
    <w:rsid w:val="00276474"/>
    <w:rsid w:val="00276D9A"/>
    <w:rsid w:val="00280F74"/>
    <w:rsid w:val="002811C0"/>
    <w:rsid w:val="00281661"/>
    <w:rsid w:val="0028223A"/>
    <w:rsid w:val="00282AEC"/>
    <w:rsid w:val="00282EB7"/>
    <w:rsid w:val="0028309C"/>
    <w:rsid w:val="00283B80"/>
    <w:rsid w:val="002845E4"/>
    <w:rsid w:val="00284BC0"/>
    <w:rsid w:val="00285686"/>
    <w:rsid w:val="002861E9"/>
    <w:rsid w:val="00286998"/>
    <w:rsid w:val="0029030C"/>
    <w:rsid w:val="00290F4E"/>
    <w:rsid w:val="002926B5"/>
    <w:rsid w:val="00292BF5"/>
    <w:rsid w:val="00293131"/>
    <w:rsid w:val="002931A0"/>
    <w:rsid w:val="00294313"/>
    <w:rsid w:val="00294371"/>
    <w:rsid w:val="00295313"/>
    <w:rsid w:val="00295C94"/>
    <w:rsid w:val="00296459"/>
    <w:rsid w:val="002967F9"/>
    <w:rsid w:val="002A039B"/>
    <w:rsid w:val="002A0AAD"/>
    <w:rsid w:val="002A1E00"/>
    <w:rsid w:val="002A2052"/>
    <w:rsid w:val="002A31D6"/>
    <w:rsid w:val="002A3595"/>
    <w:rsid w:val="002A43E8"/>
    <w:rsid w:val="002A4D75"/>
    <w:rsid w:val="002A54B5"/>
    <w:rsid w:val="002A573F"/>
    <w:rsid w:val="002A5A06"/>
    <w:rsid w:val="002A7A37"/>
    <w:rsid w:val="002B03FB"/>
    <w:rsid w:val="002B07D1"/>
    <w:rsid w:val="002B0F33"/>
    <w:rsid w:val="002B153C"/>
    <w:rsid w:val="002B20D9"/>
    <w:rsid w:val="002B2199"/>
    <w:rsid w:val="002B2A8B"/>
    <w:rsid w:val="002B2AB6"/>
    <w:rsid w:val="002B2CC8"/>
    <w:rsid w:val="002B2F5A"/>
    <w:rsid w:val="002B3295"/>
    <w:rsid w:val="002B3DC9"/>
    <w:rsid w:val="002B43C6"/>
    <w:rsid w:val="002B59B4"/>
    <w:rsid w:val="002B5ABE"/>
    <w:rsid w:val="002B5DE4"/>
    <w:rsid w:val="002B5EEF"/>
    <w:rsid w:val="002B6377"/>
    <w:rsid w:val="002B664F"/>
    <w:rsid w:val="002B67BF"/>
    <w:rsid w:val="002C07B6"/>
    <w:rsid w:val="002C0FBA"/>
    <w:rsid w:val="002C66C8"/>
    <w:rsid w:val="002C6903"/>
    <w:rsid w:val="002D101A"/>
    <w:rsid w:val="002D284F"/>
    <w:rsid w:val="002D2860"/>
    <w:rsid w:val="002D2D7A"/>
    <w:rsid w:val="002D317B"/>
    <w:rsid w:val="002D3363"/>
    <w:rsid w:val="002D412D"/>
    <w:rsid w:val="002D41E1"/>
    <w:rsid w:val="002D4C79"/>
    <w:rsid w:val="002D58C6"/>
    <w:rsid w:val="002D6959"/>
    <w:rsid w:val="002D7086"/>
    <w:rsid w:val="002E0F69"/>
    <w:rsid w:val="002E14E1"/>
    <w:rsid w:val="002E19BD"/>
    <w:rsid w:val="002E2B01"/>
    <w:rsid w:val="002E3762"/>
    <w:rsid w:val="002E3B4C"/>
    <w:rsid w:val="002E4554"/>
    <w:rsid w:val="002E51D1"/>
    <w:rsid w:val="002E5A02"/>
    <w:rsid w:val="002E5BFE"/>
    <w:rsid w:val="002E6782"/>
    <w:rsid w:val="002E6F59"/>
    <w:rsid w:val="002E7F2E"/>
    <w:rsid w:val="002F0C24"/>
    <w:rsid w:val="002F1A8A"/>
    <w:rsid w:val="002F2A7A"/>
    <w:rsid w:val="002F35DC"/>
    <w:rsid w:val="002F37B2"/>
    <w:rsid w:val="002F49D6"/>
    <w:rsid w:val="002F4ECD"/>
    <w:rsid w:val="002F5569"/>
    <w:rsid w:val="002F6EBE"/>
    <w:rsid w:val="002F74AD"/>
    <w:rsid w:val="002F7822"/>
    <w:rsid w:val="002F7BDD"/>
    <w:rsid w:val="00302138"/>
    <w:rsid w:val="00302F1F"/>
    <w:rsid w:val="003039CB"/>
    <w:rsid w:val="003042FA"/>
    <w:rsid w:val="003049DB"/>
    <w:rsid w:val="0030544B"/>
    <w:rsid w:val="003069DA"/>
    <w:rsid w:val="00306B0B"/>
    <w:rsid w:val="0030718E"/>
    <w:rsid w:val="003100C5"/>
    <w:rsid w:val="003110C7"/>
    <w:rsid w:val="0031194F"/>
    <w:rsid w:val="00312597"/>
    <w:rsid w:val="00312E47"/>
    <w:rsid w:val="003131D8"/>
    <w:rsid w:val="00313C32"/>
    <w:rsid w:val="003143B6"/>
    <w:rsid w:val="003152BA"/>
    <w:rsid w:val="00315901"/>
    <w:rsid w:val="00315DC6"/>
    <w:rsid w:val="003168CE"/>
    <w:rsid w:val="00317706"/>
    <w:rsid w:val="003177DD"/>
    <w:rsid w:val="00321D47"/>
    <w:rsid w:val="00321E67"/>
    <w:rsid w:val="003232F1"/>
    <w:rsid w:val="00323B50"/>
    <w:rsid w:val="003249D8"/>
    <w:rsid w:val="00325124"/>
    <w:rsid w:val="00327A7E"/>
    <w:rsid w:val="00327B1C"/>
    <w:rsid w:val="003303E1"/>
    <w:rsid w:val="00331653"/>
    <w:rsid w:val="00333163"/>
    <w:rsid w:val="00333648"/>
    <w:rsid w:val="00334807"/>
    <w:rsid w:val="00334F5E"/>
    <w:rsid w:val="00336768"/>
    <w:rsid w:val="00336EF1"/>
    <w:rsid w:val="00337714"/>
    <w:rsid w:val="00337822"/>
    <w:rsid w:val="00337BDC"/>
    <w:rsid w:val="003400EC"/>
    <w:rsid w:val="00341F14"/>
    <w:rsid w:val="00342938"/>
    <w:rsid w:val="00343540"/>
    <w:rsid w:val="003440EC"/>
    <w:rsid w:val="00344192"/>
    <w:rsid w:val="00347153"/>
    <w:rsid w:val="003500A1"/>
    <w:rsid w:val="00351A62"/>
    <w:rsid w:val="00353708"/>
    <w:rsid w:val="00353D56"/>
    <w:rsid w:val="00354199"/>
    <w:rsid w:val="00354AA9"/>
    <w:rsid w:val="0035523A"/>
    <w:rsid w:val="00356432"/>
    <w:rsid w:val="00357BBC"/>
    <w:rsid w:val="003603C1"/>
    <w:rsid w:val="00360B36"/>
    <w:rsid w:val="00361403"/>
    <w:rsid w:val="00361D40"/>
    <w:rsid w:val="0036217C"/>
    <w:rsid w:val="0036223B"/>
    <w:rsid w:val="0036252A"/>
    <w:rsid w:val="00362846"/>
    <w:rsid w:val="003644B7"/>
    <w:rsid w:val="003644BE"/>
    <w:rsid w:val="00364D12"/>
    <w:rsid w:val="00364D9D"/>
    <w:rsid w:val="00365E52"/>
    <w:rsid w:val="00367011"/>
    <w:rsid w:val="003701C4"/>
    <w:rsid w:val="00373072"/>
    <w:rsid w:val="003737A8"/>
    <w:rsid w:val="00373C77"/>
    <w:rsid w:val="0037400E"/>
    <w:rsid w:val="00374213"/>
    <w:rsid w:val="00374430"/>
    <w:rsid w:val="0037461E"/>
    <w:rsid w:val="00374748"/>
    <w:rsid w:val="003756EB"/>
    <w:rsid w:val="003769CA"/>
    <w:rsid w:val="00377141"/>
    <w:rsid w:val="003774A3"/>
    <w:rsid w:val="0038000C"/>
    <w:rsid w:val="00381EBA"/>
    <w:rsid w:val="00382205"/>
    <w:rsid w:val="00382CFB"/>
    <w:rsid w:val="0038363C"/>
    <w:rsid w:val="00383906"/>
    <w:rsid w:val="00383DA1"/>
    <w:rsid w:val="00384117"/>
    <w:rsid w:val="003851DA"/>
    <w:rsid w:val="00386180"/>
    <w:rsid w:val="00386309"/>
    <w:rsid w:val="003865E1"/>
    <w:rsid w:val="003910A9"/>
    <w:rsid w:val="00391523"/>
    <w:rsid w:val="003924D9"/>
    <w:rsid w:val="003927B6"/>
    <w:rsid w:val="0039504C"/>
    <w:rsid w:val="0039735F"/>
    <w:rsid w:val="0039744C"/>
    <w:rsid w:val="00397B34"/>
    <w:rsid w:val="003A06C8"/>
    <w:rsid w:val="003A0C82"/>
    <w:rsid w:val="003A0D7C"/>
    <w:rsid w:val="003A1F74"/>
    <w:rsid w:val="003A2209"/>
    <w:rsid w:val="003A2E23"/>
    <w:rsid w:val="003A3103"/>
    <w:rsid w:val="003A333C"/>
    <w:rsid w:val="003A40B4"/>
    <w:rsid w:val="003A45FA"/>
    <w:rsid w:val="003A4B90"/>
    <w:rsid w:val="003A59A6"/>
    <w:rsid w:val="003A74F5"/>
    <w:rsid w:val="003A7AC7"/>
    <w:rsid w:val="003B013C"/>
    <w:rsid w:val="003B11A0"/>
    <w:rsid w:val="003B32E2"/>
    <w:rsid w:val="003B40A1"/>
    <w:rsid w:val="003B5650"/>
    <w:rsid w:val="003B58E3"/>
    <w:rsid w:val="003B5AA2"/>
    <w:rsid w:val="003B5FC0"/>
    <w:rsid w:val="003B6519"/>
    <w:rsid w:val="003B6EDE"/>
    <w:rsid w:val="003B72F6"/>
    <w:rsid w:val="003B7612"/>
    <w:rsid w:val="003B7EE7"/>
    <w:rsid w:val="003B7F31"/>
    <w:rsid w:val="003C1777"/>
    <w:rsid w:val="003C18C0"/>
    <w:rsid w:val="003C1B07"/>
    <w:rsid w:val="003C3A93"/>
    <w:rsid w:val="003C3D61"/>
    <w:rsid w:val="003C4951"/>
    <w:rsid w:val="003C4F19"/>
    <w:rsid w:val="003C6C1C"/>
    <w:rsid w:val="003C755F"/>
    <w:rsid w:val="003D128D"/>
    <w:rsid w:val="003D1796"/>
    <w:rsid w:val="003D2835"/>
    <w:rsid w:val="003D39EC"/>
    <w:rsid w:val="003D4C7C"/>
    <w:rsid w:val="003D5F5F"/>
    <w:rsid w:val="003E28CE"/>
    <w:rsid w:val="003E2DC9"/>
    <w:rsid w:val="003E2E4A"/>
    <w:rsid w:val="003E2FAA"/>
    <w:rsid w:val="003E30C3"/>
    <w:rsid w:val="003E3B61"/>
    <w:rsid w:val="003E3DD5"/>
    <w:rsid w:val="003E4706"/>
    <w:rsid w:val="003E576D"/>
    <w:rsid w:val="003E5CAF"/>
    <w:rsid w:val="003E6BFF"/>
    <w:rsid w:val="003E6EB6"/>
    <w:rsid w:val="003E6F91"/>
    <w:rsid w:val="003E7741"/>
    <w:rsid w:val="003E7B24"/>
    <w:rsid w:val="003E7E69"/>
    <w:rsid w:val="003F0221"/>
    <w:rsid w:val="003F291B"/>
    <w:rsid w:val="003F2CCB"/>
    <w:rsid w:val="003F2E5D"/>
    <w:rsid w:val="003F44B7"/>
    <w:rsid w:val="003F4582"/>
    <w:rsid w:val="003F4CE0"/>
    <w:rsid w:val="003F4E36"/>
    <w:rsid w:val="003F5396"/>
    <w:rsid w:val="003F5451"/>
    <w:rsid w:val="003F59BC"/>
    <w:rsid w:val="003F5A4A"/>
    <w:rsid w:val="003F5B3A"/>
    <w:rsid w:val="003F6ECF"/>
    <w:rsid w:val="003F6F79"/>
    <w:rsid w:val="003F73DF"/>
    <w:rsid w:val="003F7FCF"/>
    <w:rsid w:val="0040067A"/>
    <w:rsid w:val="00405428"/>
    <w:rsid w:val="00405FAE"/>
    <w:rsid w:val="0040734D"/>
    <w:rsid w:val="0040739C"/>
    <w:rsid w:val="00407433"/>
    <w:rsid w:val="00407C60"/>
    <w:rsid w:val="00407E58"/>
    <w:rsid w:val="00411912"/>
    <w:rsid w:val="0041355D"/>
    <w:rsid w:val="00413CDE"/>
    <w:rsid w:val="00413D48"/>
    <w:rsid w:val="00414E1D"/>
    <w:rsid w:val="00416890"/>
    <w:rsid w:val="00420385"/>
    <w:rsid w:val="004213B0"/>
    <w:rsid w:val="00422FEE"/>
    <w:rsid w:val="00423098"/>
    <w:rsid w:val="00423CD1"/>
    <w:rsid w:val="00424DFD"/>
    <w:rsid w:val="004251D1"/>
    <w:rsid w:val="00430975"/>
    <w:rsid w:val="00431501"/>
    <w:rsid w:val="00431ACD"/>
    <w:rsid w:val="00431CFF"/>
    <w:rsid w:val="00431D43"/>
    <w:rsid w:val="00432610"/>
    <w:rsid w:val="0043280E"/>
    <w:rsid w:val="00434BDF"/>
    <w:rsid w:val="00435C38"/>
    <w:rsid w:val="00436799"/>
    <w:rsid w:val="004368EE"/>
    <w:rsid w:val="00436ADB"/>
    <w:rsid w:val="0043723A"/>
    <w:rsid w:val="00437CD4"/>
    <w:rsid w:val="00441AC2"/>
    <w:rsid w:val="00442166"/>
    <w:rsid w:val="00444592"/>
    <w:rsid w:val="00444B94"/>
    <w:rsid w:val="004454EE"/>
    <w:rsid w:val="00445CD7"/>
    <w:rsid w:val="00446D88"/>
    <w:rsid w:val="00447D5E"/>
    <w:rsid w:val="00450106"/>
    <w:rsid w:val="004501FC"/>
    <w:rsid w:val="00450991"/>
    <w:rsid w:val="00450D3A"/>
    <w:rsid w:val="00450F34"/>
    <w:rsid w:val="004513F2"/>
    <w:rsid w:val="00451BF4"/>
    <w:rsid w:val="00451F13"/>
    <w:rsid w:val="004520E4"/>
    <w:rsid w:val="0045241A"/>
    <w:rsid w:val="00452733"/>
    <w:rsid w:val="00452BCD"/>
    <w:rsid w:val="00453C91"/>
    <w:rsid w:val="00453F1E"/>
    <w:rsid w:val="004557B8"/>
    <w:rsid w:val="00455BB6"/>
    <w:rsid w:val="00456684"/>
    <w:rsid w:val="00456751"/>
    <w:rsid w:val="00456B63"/>
    <w:rsid w:val="00457749"/>
    <w:rsid w:val="0046142D"/>
    <w:rsid w:val="00462786"/>
    <w:rsid w:val="0046520F"/>
    <w:rsid w:val="0046527F"/>
    <w:rsid w:val="004662C1"/>
    <w:rsid w:val="004663B1"/>
    <w:rsid w:val="00470B0C"/>
    <w:rsid w:val="00470D35"/>
    <w:rsid w:val="004716BA"/>
    <w:rsid w:val="00471F01"/>
    <w:rsid w:val="004729D0"/>
    <w:rsid w:val="004730A4"/>
    <w:rsid w:val="00473A75"/>
    <w:rsid w:val="00474266"/>
    <w:rsid w:val="0047490F"/>
    <w:rsid w:val="004757B4"/>
    <w:rsid w:val="00476618"/>
    <w:rsid w:val="00477FF4"/>
    <w:rsid w:val="00480D85"/>
    <w:rsid w:val="00480F76"/>
    <w:rsid w:val="00483EF4"/>
    <w:rsid w:val="00483F0B"/>
    <w:rsid w:val="00484C22"/>
    <w:rsid w:val="00484D2E"/>
    <w:rsid w:val="00486F4F"/>
    <w:rsid w:val="0048797E"/>
    <w:rsid w:val="00490155"/>
    <w:rsid w:val="0049065F"/>
    <w:rsid w:val="0049253D"/>
    <w:rsid w:val="0049267A"/>
    <w:rsid w:val="00492A5E"/>
    <w:rsid w:val="00493097"/>
    <w:rsid w:val="00494932"/>
    <w:rsid w:val="00494B2B"/>
    <w:rsid w:val="00495661"/>
    <w:rsid w:val="00495E7F"/>
    <w:rsid w:val="00496374"/>
    <w:rsid w:val="004965EA"/>
    <w:rsid w:val="00496B7A"/>
    <w:rsid w:val="004A0D4C"/>
    <w:rsid w:val="004A0FF3"/>
    <w:rsid w:val="004A12C5"/>
    <w:rsid w:val="004A1387"/>
    <w:rsid w:val="004A1770"/>
    <w:rsid w:val="004A1FF2"/>
    <w:rsid w:val="004A2AB8"/>
    <w:rsid w:val="004A30AB"/>
    <w:rsid w:val="004A33EE"/>
    <w:rsid w:val="004A445D"/>
    <w:rsid w:val="004A4A66"/>
    <w:rsid w:val="004A4AFF"/>
    <w:rsid w:val="004A4E49"/>
    <w:rsid w:val="004A4EE4"/>
    <w:rsid w:val="004A500B"/>
    <w:rsid w:val="004A56D5"/>
    <w:rsid w:val="004A5BE3"/>
    <w:rsid w:val="004A6EF3"/>
    <w:rsid w:val="004B02EC"/>
    <w:rsid w:val="004B12D4"/>
    <w:rsid w:val="004B1B3E"/>
    <w:rsid w:val="004B3103"/>
    <w:rsid w:val="004B4AC6"/>
    <w:rsid w:val="004B5465"/>
    <w:rsid w:val="004B5493"/>
    <w:rsid w:val="004B6E6E"/>
    <w:rsid w:val="004C1A35"/>
    <w:rsid w:val="004C24CF"/>
    <w:rsid w:val="004C3270"/>
    <w:rsid w:val="004C3780"/>
    <w:rsid w:val="004C4076"/>
    <w:rsid w:val="004C6764"/>
    <w:rsid w:val="004C7153"/>
    <w:rsid w:val="004C7ABD"/>
    <w:rsid w:val="004D0AB1"/>
    <w:rsid w:val="004D1245"/>
    <w:rsid w:val="004D1AE1"/>
    <w:rsid w:val="004D4DD7"/>
    <w:rsid w:val="004D4E59"/>
    <w:rsid w:val="004D5033"/>
    <w:rsid w:val="004D79E3"/>
    <w:rsid w:val="004E13BE"/>
    <w:rsid w:val="004E32F0"/>
    <w:rsid w:val="004E3E9E"/>
    <w:rsid w:val="004E57C1"/>
    <w:rsid w:val="004E6762"/>
    <w:rsid w:val="004F002D"/>
    <w:rsid w:val="004F11E9"/>
    <w:rsid w:val="004F17EF"/>
    <w:rsid w:val="004F1DFA"/>
    <w:rsid w:val="004F2046"/>
    <w:rsid w:val="004F2DC8"/>
    <w:rsid w:val="004F4174"/>
    <w:rsid w:val="004F4A86"/>
    <w:rsid w:val="004F518F"/>
    <w:rsid w:val="004F6550"/>
    <w:rsid w:val="004F6E74"/>
    <w:rsid w:val="005006D9"/>
    <w:rsid w:val="005017CC"/>
    <w:rsid w:val="00501A62"/>
    <w:rsid w:val="00502F9E"/>
    <w:rsid w:val="00503A12"/>
    <w:rsid w:val="005049E1"/>
    <w:rsid w:val="00507242"/>
    <w:rsid w:val="00507D3F"/>
    <w:rsid w:val="00510886"/>
    <w:rsid w:val="00511A87"/>
    <w:rsid w:val="00512F40"/>
    <w:rsid w:val="00512F4F"/>
    <w:rsid w:val="005138F4"/>
    <w:rsid w:val="00513B55"/>
    <w:rsid w:val="00515853"/>
    <w:rsid w:val="00516022"/>
    <w:rsid w:val="00516035"/>
    <w:rsid w:val="00516AAE"/>
    <w:rsid w:val="00517D72"/>
    <w:rsid w:val="00521B86"/>
    <w:rsid w:val="00521CEE"/>
    <w:rsid w:val="00522249"/>
    <w:rsid w:val="00523A40"/>
    <w:rsid w:val="00524183"/>
    <w:rsid w:val="005254F0"/>
    <w:rsid w:val="0052625F"/>
    <w:rsid w:val="0052628C"/>
    <w:rsid w:val="00527C5A"/>
    <w:rsid w:val="00527D53"/>
    <w:rsid w:val="00531206"/>
    <w:rsid w:val="0053136F"/>
    <w:rsid w:val="005336C3"/>
    <w:rsid w:val="00533C02"/>
    <w:rsid w:val="00534201"/>
    <w:rsid w:val="00534880"/>
    <w:rsid w:val="005358FA"/>
    <w:rsid w:val="005364F2"/>
    <w:rsid w:val="00537038"/>
    <w:rsid w:val="00537321"/>
    <w:rsid w:val="00537E0E"/>
    <w:rsid w:val="00540581"/>
    <w:rsid w:val="00543B39"/>
    <w:rsid w:val="00544DA1"/>
    <w:rsid w:val="00544FED"/>
    <w:rsid w:val="00545841"/>
    <w:rsid w:val="00545B18"/>
    <w:rsid w:val="00546EC5"/>
    <w:rsid w:val="00547ECD"/>
    <w:rsid w:val="005501ED"/>
    <w:rsid w:val="00550DCC"/>
    <w:rsid w:val="005511E4"/>
    <w:rsid w:val="005515FB"/>
    <w:rsid w:val="005523AF"/>
    <w:rsid w:val="00552550"/>
    <w:rsid w:val="0055297C"/>
    <w:rsid w:val="0055419F"/>
    <w:rsid w:val="0055587E"/>
    <w:rsid w:val="005560C6"/>
    <w:rsid w:val="0055613B"/>
    <w:rsid w:val="005561F5"/>
    <w:rsid w:val="005563F8"/>
    <w:rsid w:val="005565C9"/>
    <w:rsid w:val="005569DE"/>
    <w:rsid w:val="00556A65"/>
    <w:rsid w:val="005575D2"/>
    <w:rsid w:val="00560032"/>
    <w:rsid w:val="005608FA"/>
    <w:rsid w:val="00560C95"/>
    <w:rsid w:val="00561130"/>
    <w:rsid w:val="005630C9"/>
    <w:rsid w:val="005638C1"/>
    <w:rsid w:val="00563CD9"/>
    <w:rsid w:val="0056454C"/>
    <w:rsid w:val="00564BBF"/>
    <w:rsid w:val="00565D73"/>
    <w:rsid w:val="00566361"/>
    <w:rsid w:val="005666ED"/>
    <w:rsid w:val="005710B2"/>
    <w:rsid w:val="005715D3"/>
    <w:rsid w:val="00571E16"/>
    <w:rsid w:val="0057274F"/>
    <w:rsid w:val="00573015"/>
    <w:rsid w:val="00573041"/>
    <w:rsid w:val="00573368"/>
    <w:rsid w:val="00573C0C"/>
    <w:rsid w:val="00574165"/>
    <w:rsid w:val="005743E0"/>
    <w:rsid w:val="005749E0"/>
    <w:rsid w:val="005754F4"/>
    <w:rsid w:val="00575DDD"/>
    <w:rsid w:val="00575E24"/>
    <w:rsid w:val="00575E2A"/>
    <w:rsid w:val="00577449"/>
    <w:rsid w:val="00580BF4"/>
    <w:rsid w:val="00581454"/>
    <w:rsid w:val="00581F0C"/>
    <w:rsid w:val="00581F2E"/>
    <w:rsid w:val="005836BF"/>
    <w:rsid w:val="00583804"/>
    <w:rsid w:val="005839AD"/>
    <w:rsid w:val="00585908"/>
    <w:rsid w:val="00585C1B"/>
    <w:rsid w:val="00585EF7"/>
    <w:rsid w:val="0058686A"/>
    <w:rsid w:val="005900B6"/>
    <w:rsid w:val="005902F5"/>
    <w:rsid w:val="005903FB"/>
    <w:rsid w:val="00591B34"/>
    <w:rsid w:val="00591B83"/>
    <w:rsid w:val="00591E39"/>
    <w:rsid w:val="00592DC7"/>
    <w:rsid w:val="005955DE"/>
    <w:rsid w:val="00596676"/>
    <w:rsid w:val="00596D0B"/>
    <w:rsid w:val="0059755B"/>
    <w:rsid w:val="005979C2"/>
    <w:rsid w:val="005979D9"/>
    <w:rsid w:val="00597EBE"/>
    <w:rsid w:val="005A010F"/>
    <w:rsid w:val="005A03A3"/>
    <w:rsid w:val="005A089B"/>
    <w:rsid w:val="005A0AAE"/>
    <w:rsid w:val="005A16C9"/>
    <w:rsid w:val="005A1A66"/>
    <w:rsid w:val="005A1F8B"/>
    <w:rsid w:val="005A2CF9"/>
    <w:rsid w:val="005A5744"/>
    <w:rsid w:val="005A575C"/>
    <w:rsid w:val="005A6458"/>
    <w:rsid w:val="005A65F1"/>
    <w:rsid w:val="005A7AE4"/>
    <w:rsid w:val="005A7FBC"/>
    <w:rsid w:val="005B102E"/>
    <w:rsid w:val="005B1236"/>
    <w:rsid w:val="005B1C26"/>
    <w:rsid w:val="005B2DF8"/>
    <w:rsid w:val="005B317D"/>
    <w:rsid w:val="005B3F16"/>
    <w:rsid w:val="005B3F76"/>
    <w:rsid w:val="005B4A25"/>
    <w:rsid w:val="005B4CAD"/>
    <w:rsid w:val="005B4F97"/>
    <w:rsid w:val="005B53F8"/>
    <w:rsid w:val="005B54A3"/>
    <w:rsid w:val="005B56E9"/>
    <w:rsid w:val="005B5B9D"/>
    <w:rsid w:val="005B6682"/>
    <w:rsid w:val="005B77E3"/>
    <w:rsid w:val="005C152B"/>
    <w:rsid w:val="005C164B"/>
    <w:rsid w:val="005C1A3A"/>
    <w:rsid w:val="005C1EFC"/>
    <w:rsid w:val="005C1F42"/>
    <w:rsid w:val="005C27AC"/>
    <w:rsid w:val="005C3827"/>
    <w:rsid w:val="005C3DA9"/>
    <w:rsid w:val="005C3FE0"/>
    <w:rsid w:val="005C50FF"/>
    <w:rsid w:val="005C51BF"/>
    <w:rsid w:val="005C67B5"/>
    <w:rsid w:val="005C740C"/>
    <w:rsid w:val="005C7B0C"/>
    <w:rsid w:val="005C7BF5"/>
    <w:rsid w:val="005D0300"/>
    <w:rsid w:val="005D0C16"/>
    <w:rsid w:val="005D2019"/>
    <w:rsid w:val="005D2338"/>
    <w:rsid w:val="005D451B"/>
    <w:rsid w:val="005D4869"/>
    <w:rsid w:val="005D4DE3"/>
    <w:rsid w:val="005E0161"/>
    <w:rsid w:val="005E01BC"/>
    <w:rsid w:val="005E0339"/>
    <w:rsid w:val="005E249D"/>
    <w:rsid w:val="005E3CA7"/>
    <w:rsid w:val="005E4AC4"/>
    <w:rsid w:val="005E5018"/>
    <w:rsid w:val="005E5288"/>
    <w:rsid w:val="005E580C"/>
    <w:rsid w:val="005E5AAB"/>
    <w:rsid w:val="005E5D2D"/>
    <w:rsid w:val="005E65A0"/>
    <w:rsid w:val="005E6A9F"/>
    <w:rsid w:val="005E6D42"/>
    <w:rsid w:val="005E7087"/>
    <w:rsid w:val="005E75A2"/>
    <w:rsid w:val="005E7B58"/>
    <w:rsid w:val="005F004D"/>
    <w:rsid w:val="005F0E31"/>
    <w:rsid w:val="005F223E"/>
    <w:rsid w:val="005F2F08"/>
    <w:rsid w:val="005F2FA4"/>
    <w:rsid w:val="005F3E11"/>
    <w:rsid w:val="005F5481"/>
    <w:rsid w:val="005F55B9"/>
    <w:rsid w:val="005F5BCD"/>
    <w:rsid w:val="005F65CC"/>
    <w:rsid w:val="005F7B27"/>
    <w:rsid w:val="00601270"/>
    <w:rsid w:val="006014E6"/>
    <w:rsid w:val="00601F1E"/>
    <w:rsid w:val="0060226A"/>
    <w:rsid w:val="00602573"/>
    <w:rsid w:val="00603449"/>
    <w:rsid w:val="006034CC"/>
    <w:rsid w:val="006036F8"/>
    <w:rsid w:val="00604859"/>
    <w:rsid w:val="006048F4"/>
    <w:rsid w:val="00605A56"/>
    <w:rsid w:val="0060660A"/>
    <w:rsid w:val="00611BF3"/>
    <w:rsid w:val="00612294"/>
    <w:rsid w:val="00614B2B"/>
    <w:rsid w:val="00614B32"/>
    <w:rsid w:val="00614CB9"/>
    <w:rsid w:val="006156B0"/>
    <w:rsid w:val="00616525"/>
    <w:rsid w:val="00617643"/>
    <w:rsid w:val="00617A44"/>
    <w:rsid w:val="0062320F"/>
    <w:rsid w:val="006237E7"/>
    <w:rsid w:val="00624206"/>
    <w:rsid w:val="00625CD0"/>
    <w:rsid w:val="00627E8F"/>
    <w:rsid w:val="00630B2B"/>
    <w:rsid w:val="0063254A"/>
    <w:rsid w:val="0063320C"/>
    <w:rsid w:val="00633ED8"/>
    <w:rsid w:val="006352A5"/>
    <w:rsid w:val="00635D92"/>
    <w:rsid w:val="00635DE3"/>
    <w:rsid w:val="0063682A"/>
    <w:rsid w:val="0064075D"/>
    <w:rsid w:val="00641328"/>
    <w:rsid w:val="00641A9F"/>
    <w:rsid w:val="00641E2A"/>
    <w:rsid w:val="006438DF"/>
    <w:rsid w:val="00645483"/>
    <w:rsid w:val="00645EC4"/>
    <w:rsid w:val="006469F6"/>
    <w:rsid w:val="00646DF6"/>
    <w:rsid w:val="006500E1"/>
    <w:rsid w:val="006508F9"/>
    <w:rsid w:val="00650E56"/>
    <w:rsid w:val="00651BC4"/>
    <w:rsid w:val="00652574"/>
    <w:rsid w:val="00652652"/>
    <w:rsid w:val="00652A65"/>
    <w:rsid w:val="0065437F"/>
    <w:rsid w:val="006550A7"/>
    <w:rsid w:val="0065529F"/>
    <w:rsid w:val="0065691F"/>
    <w:rsid w:val="00656E88"/>
    <w:rsid w:val="00660678"/>
    <w:rsid w:val="00660778"/>
    <w:rsid w:val="006614C4"/>
    <w:rsid w:val="00661591"/>
    <w:rsid w:val="006616CB"/>
    <w:rsid w:val="00661C26"/>
    <w:rsid w:val="00662135"/>
    <w:rsid w:val="006623FB"/>
    <w:rsid w:val="00662F36"/>
    <w:rsid w:val="00663AC7"/>
    <w:rsid w:val="00663CD8"/>
    <w:rsid w:val="006646C0"/>
    <w:rsid w:val="0066555F"/>
    <w:rsid w:val="0066561B"/>
    <w:rsid w:val="006656A4"/>
    <w:rsid w:val="0066632F"/>
    <w:rsid w:val="006665E1"/>
    <w:rsid w:val="0066660A"/>
    <w:rsid w:val="00666D27"/>
    <w:rsid w:val="00667BAB"/>
    <w:rsid w:val="006701BA"/>
    <w:rsid w:val="00670A43"/>
    <w:rsid w:val="00671B8A"/>
    <w:rsid w:val="00671D3A"/>
    <w:rsid w:val="00672164"/>
    <w:rsid w:val="00672403"/>
    <w:rsid w:val="0067385E"/>
    <w:rsid w:val="00673D2A"/>
    <w:rsid w:val="0067409D"/>
    <w:rsid w:val="00674408"/>
    <w:rsid w:val="00674650"/>
    <w:rsid w:val="00676267"/>
    <w:rsid w:val="00677485"/>
    <w:rsid w:val="0068115B"/>
    <w:rsid w:val="00681A55"/>
    <w:rsid w:val="00682403"/>
    <w:rsid w:val="00682659"/>
    <w:rsid w:val="00683626"/>
    <w:rsid w:val="00683D6F"/>
    <w:rsid w:val="00683FA6"/>
    <w:rsid w:val="006843A0"/>
    <w:rsid w:val="0068446E"/>
    <w:rsid w:val="006849A0"/>
    <w:rsid w:val="00684AC6"/>
    <w:rsid w:val="00686147"/>
    <w:rsid w:val="00686368"/>
    <w:rsid w:val="00686981"/>
    <w:rsid w:val="006874C2"/>
    <w:rsid w:val="00687F66"/>
    <w:rsid w:val="00690583"/>
    <w:rsid w:val="00690C91"/>
    <w:rsid w:val="00691996"/>
    <w:rsid w:val="0069308D"/>
    <w:rsid w:val="00694579"/>
    <w:rsid w:val="00694C3B"/>
    <w:rsid w:val="00695CB3"/>
    <w:rsid w:val="00696607"/>
    <w:rsid w:val="0069760D"/>
    <w:rsid w:val="0069777B"/>
    <w:rsid w:val="00697B7D"/>
    <w:rsid w:val="00697C9E"/>
    <w:rsid w:val="006A032E"/>
    <w:rsid w:val="006A0804"/>
    <w:rsid w:val="006A1C26"/>
    <w:rsid w:val="006A1CF7"/>
    <w:rsid w:val="006A318C"/>
    <w:rsid w:val="006A3BBA"/>
    <w:rsid w:val="006A3BD9"/>
    <w:rsid w:val="006A4FF4"/>
    <w:rsid w:val="006A55B4"/>
    <w:rsid w:val="006A5CAB"/>
    <w:rsid w:val="006A6B25"/>
    <w:rsid w:val="006A6DCE"/>
    <w:rsid w:val="006A749A"/>
    <w:rsid w:val="006A7564"/>
    <w:rsid w:val="006B03AF"/>
    <w:rsid w:val="006B0830"/>
    <w:rsid w:val="006B1EBA"/>
    <w:rsid w:val="006B2626"/>
    <w:rsid w:val="006B2670"/>
    <w:rsid w:val="006B27D0"/>
    <w:rsid w:val="006B2CD4"/>
    <w:rsid w:val="006B3996"/>
    <w:rsid w:val="006B3A6C"/>
    <w:rsid w:val="006B3E0F"/>
    <w:rsid w:val="006B41F8"/>
    <w:rsid w:val="006B52FD"/>
    <w:rsid w:val="006B57B0"/>
    <w:rsid w:val="006B695C"/>
    <w:rsid w:val="006B7BFB"/>
    <w:rsid w:val="006B7EBF"/>
    <w:rsid w:val="006B7FD4"/>
    <w:rsid w:val="006C0555"/>
    <w:rsid w:val="006C0AE0"/>
    <w:rsid w:val="006C2535"/>
    <w:rsid w:val="006C28B4"/>
    <w:rsid w:val="006C2C48"/>
    <w:rsid w:val="006C4D0E"/>
    <w:rsid w:val="006C5756"/>
    <w:rsid w:val="006C5795"/>
    <w:rsid w:val="006C653D"/>
    <w:rsid w:val="006C717D"/>
    <w:rsid w:val="006C76E4"/>
    <w:rsid w:val="006C79D4"/>
    <w:rsid w:val="006D3C4E"/>
    <w:rsid w:val="006D4B0D"/>
    <w:rsid w:val="006D50F0"/>
    <w:rsid w:val="006D5AFC"/>
    <w:rsid w:val="006D60B4"/>
    <w:rsid w:val="006D6FBE"/>
    <w:rsid w:val="006D757C"/>
    <w:rsid w:val="006D75E1"/>
    <w:rsid w:val="006E075A"/>
    <w:rsid w:val="006E0805"/>
    <w:rsid w:val="006E10B9"/>
    <w:rsid w:val="006E263E"/>
    <w:rsid w:val="006E3546"/>
    <w:rsid w:val="006E56AE"/>
    <w:rsid w:val="006E6527"/>
    <w:rsid w:val="006E6BCF"/>
    <w:rsid w:val="006E7216"/>
    <w:rsid w:val="006E7352"/>
    <w:rsid w:val="006E762C"/>
    <w:rsid w:val="006E7789"/>
    <w:rsid w:val="006F0774"/>
    <w:rsid w:val="006F0F93"/>
    <w:rsid w:val="006F1240"/>
    <w:rsid w:val="006F1A2A"/>
    <w:rsid w:val="006F1C70"/>
    <w:rsid w:val="006F2718"/>
    <w:rsid w:val="006F2CEB"/>
    <w:rsid w:val="006F35FA"/>
    <w:rsid w:val="006F390A"/>
    <w:rsid w:val="006F3AA6"/>
    <w:rsid w:val="006F447F"/>
    <w:rsid w:val="006F5399"/>
    <w:rsid w:val="006F65A6"/>
    <w:rsid w:val="006F6E31"/>
    <w:rsid w:val="006F7069"/>
    <w:rsid w:val="006F7C92"/>
    <w:rsid w:val="00700952"/>
    <w:rsid w:val="007028E9"/>
    <w:rsid w:val="007033A4"/>
    <w:rsid w:val="0070340F"/>
    <w:rsid w:val="00703AEF"/>
    <w:rsid w:val="007042CC"/>
    <w:rsid w:val="007059C6"/>
    <w:rsid w:val="00705B6F"/>
    <w:rsid w:val="007061E4"/>
    <w:rsid w:val="00707B86"/>
    <w:rsid w:val="00713019"/>
    <w:rsid w:val="0071347C"/>
    <w:rsid w:val="00713A2B"/>
    <w:rsid w:val="00713EA0"/>
    <w:rsid w:val="00715237"/>
    <w:rsid w:val="00715CA8"/>
    <w:rsid w:val="00715F39"/>
    <w:rsid w:val="007170B4"/>
    <w:rsid w:val="0071730A"/>
    <w:rsid w:val="00717955"/>
    <w:rsid w:val="00721C73"/>
    <w:rsid w:val="007224F7"/>
    <w:rsid w:val="00722830"/>
    <w:rsid w:val="00722E0A"/>
    <w:rsid w:val="0072301B"/>
    <w:rsid w:val="00723D47"/>
    <w:rsid w:val="007254A5"/>
    <w:rsid w:val="0072567A"/>
    <w:rsid w:val="00725748"/>
    <w:rsid w:val="00726A25"/>
    <w:rsid w:val="00726BD2"/>
    <w:rsid w:val="0073049E"/>
    <w:rsid w:val="00730F6C"/>
    <w:rsid w:val="00731039"/>
    <w:rsid w:val="00733977"/>
    <w:rsid w:val="00733E86"/>
    <w:rsid w:val="00734CCD"/>
    <w:rsid w:val="00735652"/>
    <w:rsid w:val="00735E7F"/>
    <w:rsid w:val="0073685B"/>
    <w:rsid w:val="00736CC5"/>
    <w:rsid w:val="0073720D"/>
    <w:rsid w:val="0073736F"/>
    <w:rsid w:val="00737E15"/>
    <w:rsid w:val="007402E0"/>
    <w:rsid w:val="00740445"/>
    <w:rsid w:val="0074057A"/>
    <w:rsid w:val="0074195B"/>
    <w:rsid w:val="00742AB9"/>
    <w:rsid w:val="00743073"/>
    <w:rsid w:val="0074340A"/>
    <w:rsid w:val="00744635"/>
    <w:rsid w:val="00744C15"/>
    <w:rsid w:val="007457B6"/>
    <w:rsid w:val="00746208"/>
    <w:rsid w:val="00746544"/>
    <w:rsid w:val="0074664A"/>
    <w:rsid w:val="00746B5B"/>
    <w:rsid w:val="00747BB6"/>
    <w:rsid w:val="00750094"/>
    <w:rsid w:val="007518DF"/>
    <w:rsid w:val="00752376"/>
    <w:rsid w:val="0075329E"/>
    <w:rsid w:val="00754FBF"/>
    <w:rsid w:val="007553B1"/>
    <w:rsid w:val="00755DBD"/>
    <w:rsid w:val="00755EEF"/>
    <w:rsid w:val="0075607A"/>
    <w:rsid w:val="0075631E"/>
    <w:rsid w:val="00757C89"/>
    <w:rsid w:val="0076016D"/>
    <w:rsid w:val="007613A3"/>
    <w:rsid w:val="00762007"/>
    <w:rsid w:val="00762905"/>
    <w:rsid w:val="00763160"/>
    <w:rsid w:val="0076393A"/>
    <w:rsid w:val="007648A4"/>
    <w:rsid w:val="007653C8"/>
    <w:rsid w:val="00765EB6"/>
    <w:rsid w:val="0076676B"/>
    <w:rsid w:val="00766F6B"/>
    <w:rsid w:val="0076755B"/>
    <w:rsid w:val="00767898"/>
    <w:rsid w:val="00767BB0"/>
    <w:rsid w:val="007722E7"/>
    <w:rsid w:val="0077231D"/>
    <w:rsid w:val="007738A7"/>
    <w:rsid w:val="0077447B"/>
    <w:rsid w:val="00774E5B"/>
    <w:rsid w:val="00775344"/>
    <w:rsid w:val="00776FC3"/>
    <w:rsid w:val="007777DF"/>
    <w:rsid w:val="007779B7"/>
    <w:rsid w:val="00777A6D"/>
    <w:rsid w:val="00780019"/>
    <w:rsid w:val="007803D8"/>
    <w:rsid w:val="007828DB"/>
    <w:rsid w:val="00782AFE"/>
    <w:rsid w:val="00782FBF"/>
    <w:rsid w:val="00783559"/>
    <w:rsid w:val="00783DF1"/>
    <w:rsid w:val="0078646E"/>
    <w:rsid w:val="00787382"/>
    <w:rsid w:val="0078780D"/>
    <w:rsid w:val="007910E0"/>
    <w:rsid w:val="00791DF1"/>
    <w:rsid w:val="00792E0A"/>
    <w:rsid w:val="00794DAC"/>
    <w:rsid w:val="007951D3"/>
    <w:rsid w:val="00796E0E"/>
    <w:rsid w:val="00797AC7"/>
    <w:rsid w:val="007A0885"/>
    <w:rsid w:val="007A0B53"/>
    <w:rsid w:val="007A10BA"/>
    <w:rsid w:val="007A2062"/>
    <w:rsid w:val="007A277F"/>
    <w:rsid w:val="007A2841"/>
    <w:rsid w:val="007A2E5C"/>
    <w:rsid w:val="007A4105"/>
    <w:rsid w:val="007A44D0"/>
    <w:rsid w:val="007A474C"/>
    <w:rsid w:val="007A49B9"/>
    <w:rsid w:val="007A53D3"/>
    <w:rsid w:val="007A675B"/>
    <w:rsid w:val="007B0280"/>
    <w:rsid w:val="007B1A60"/>
    <w:rsid w:val="007B1F0C"/>
    <w:rsid w:val="007B2B88"/>
    <w:rsid w:val="007B382F"/>
    <w:rsid w:val="007B4788"/>
    <w:rsid w:val="007B55B4"/>
    <w:rsid w:val="007B6229"/>
    <w:rsid w:val="007B65F3"/>
    <w:rsid w:val="007B69F2"/>
    <w:rsid w:val="007C35C9"/>
    <w:rsid w:val="007C399E"/>
    <w:rsid w:val="007C3A4D"/>
    <w:rsid w:val="007C406E"/>
    <w:rsid w:val="007C433B"/>
    <w:rsid w:val="007C5AD4"/>
    <w:rsid w:val="007C6650"/>
    <w:rsid w:val="007C67DE"/>
    <w:rsid w:val="007D0850"/>
    <w:rsid w:val="007D2C39"/>
    <w:rsid w:val="007D39DB"/>
    <w:rsid w:val="007D3B44"/>
    <w:rsid w:val="007D7247"/>
    <w:rsid w:val="007E0371"/>
    <w:rsid w:val="007E1755"/>
    <w:rsid w:val="007E1EB4"/>
    <w:rsid w:val="007E274C"/>
    <w:rsid w:val="007E2F09"/>
    <w:rsid w:val="007E3084"/>
    <w:rsid w:val="007E3F91"/>
    <w:rsid w:val="007E4F91"/>
    <w:rsid w:val="007E5227"/>
    <w:rsid w:val="007E5A00"/>
    <w:rsid w:val="007E7530"/>
    <w:rsid w:val="007F00DA"/>
    <w:rsid w:val="007F261A"/>
    <w:rsid w:val="007F2747"/>
    <w:rsid w:val="007F428E"/>
    <w:rsid w:val="007F61BB"/>
    <w:rsid w:val="007F6CCA"/>
    <w:rsid w:val="007F75AC"/>
    <w:rsid w:val="007F7FAD"/>
    <w:rsid w:val="008003AC"/>
    <w:rsid w:val="00801100"/>
    <w:rsid w:val="00802159"/>
    <w:rsid w:val="00802F4F"/>
    <w:rsid w:val="008049A4"/>
    <w:rsid w:val="00806C9B"/>
    <w:rsid w:val="008074D9"/>
    <w:rsid w:val="00807873"/>
    <w:rsid w:val="00811485"/>
    <w:rsid w:val="008115E7"/>
    <w:rsid w:val="00812028"/>
    <w:rsid w:val="008127CD"/>
    <w:rsid w:val="00813CBA"/>
    <w:rsid w:val="008141DC"/>
    <w:rsid w:val="00814528"/>
    <w:rsid w:val="00814D03"/>
    <w:rsid w:val="00815470"/>
    <w:rsid w:val="00815B81"/>
    <w:rsid w:val="00815E84"/>
    <w:rsid w:val="00816074"/>
    <w:rsid w:val="00816101"/>
    <w:rsid w:val="00816F81"/>
    <w:rsid w:val="00817385"/>
    <w:rsid w:val="00820435"/>
    <w:rsid w:val="00820CEC"/>
    <w:rsid w:val="008227D8"/>
    <w:rsid w:val="008235DB"/>
    <w:rsid w:val="008263F0"/>
    <w:rsid w:val="00826675"/>
    <w:rsid w:val="00826F5E"/>
    <w:rsid w:val="00831510"/>
    <w:rsid w:val="0083178B"/>
    <w:rsid w:val="00831EA6"/>
    <w:rsid w:val="00832F42"/>
    <w:rsid w:val="00833695"/>
    <w:rsid w:val="00833832"/>
    <w:rsid w:val="00833D5E"/>
    <w:rsid w:val="008362AC"/>
    <w:rsid w:val="008370DD"/>
    <w:rsid w:val="008377CE"/>
    <w:rsid w:val="00837EF2"/>
    <w:rsid w:val="00842B14"/>
    <w:rsid w:val="00842CD8"/>
    <w:rsid w:val="00844C90"/>
    <w:rsid w:val="00844DCA"/>
    <w:rsid w:val="00845340"/>
    <w:rsid w:val="0084650C"/>
    <w:rsid w:val="0085070B"/>
    <w:rsid w:val="0085107C"/>
    <w:rsid w:val="0085227B"/>
    <w:rsid w:val="00852B95"/>
    <w:rsid w:val="008530D8"/>
    <w:rsid w:val="008544C6"/>
    <w:rsid w:val="00854A06"/>
    <w:rsid w:val="008553C7"/>
    <w:rsid w:val="008554DD"/>
    <w:rsid w:val="00855AB1"/>
    <w:rsid w:val="00857FEB"/>
    <w:rsid w:val="00860268"/>
    <w:rsid w:val="00860B95"/>
    <w:rsid w:val="00860C64"/>
    <w:rsid w:val="008616E0"/>
    <w:rsid w:val="00861ACD"/>
    <w:rsid w:val="00862050"/>
    <w:rsid w:val="0086253B"/>
    <w:rsid w:val="0086297D"/>
    <w:rsid w:val="00863305"/>
    <w:rsid w:val="00863316"/>
    <w:rsid w:val="008646B0"/>
    <w:rsid w:val="008666D2"/>
    <w:rsid w:val="00866913"/>
    <w:rsid w:val="00866EF5"/>
    <w:rsid w:val="008677B8"/>
    <w:rsid w:val="00867D95"/>
    <w:rsid w:val="008705DC"/>
    <w:rsid w:val="00871311"/>
    <w:rsid w:val="00871BF5"/>
    <w:rsid w:val="008726AB"/>
    <w:rsid w:val="00873B93"/>
    <w:rsid w:val="008745A1"/>
    <w:rsid w:val="00880625"/>
    <w:rsid w:val="00882A71"/>
    <w:rsid w:val="00883949"/>
    <w:rsid w:val="008842FC"/>
    <w:rsid w:val="00884A9F"/>
    <w:rsid w:val="00884E2F"/>
    <w:rsid w:val="00885219"/>
    <w:rsid w:val="00887DC2"/>
    <w:rsid w:val="00890911"/>
    <w:rsid w:val="0089091F"/>
    <w:rsid w:val="00891692"/>
    <w:rsid w:val="0089243D"/>
    <w:rsid w:val="00892743"/>
    <w:rsid w:val="008935AB"/>
    <w:rsid w:val="00894A14"/>
    <w:rsid w:val="00895500"/>
    <w:rsid w:val="00896065"/>
    <w:rsid w:val="008961DC"/>
    <w:rsid w:val="00896210"/>
    <w:rsid w:val="00897AAA"/>
    <w:rsid w:val="008A01C0"/>
    <w:rsid w:val="008A0551"/>
    <w:rsid w:val="008A07E3"/>
    <w:rsid w:val="008A1CE3"/>
    <w:rsid w:val="008A2252"/>
    <w:rsid w:val="008A2A3C"/>
    <w:rsid w:val="008A2BD2"/>
    <w:rsid w:val="008A69E4"/>
    <w:rsid w:val="008A6BEA"/>
    <w:rsid w:val="008A73F1"/>
    <w:rsid w:val="008B16CA"/>
    <w:rsid w:val="008B2B78"/>
    <w:rsid w:val="008B3929"/>
    <w:rsid w:val="008B3B4B"/>
    <w:rsid w:val="008B3C2F"/>
    <w:rsid w:val="008B4228"/>
    <w:rsid w:val="008B4770"/>
    <w:rsid w:val="008B4CB3"/>
    <w:rsid w:val="008B54B2"/>
    <w:rsid w:val="008B595B"/>
    <w:rsid w:val="008B62A4"/>
    <w:rsid w:val="008B746B"/>
    <w:rsid w:val="008B74AB"/>
    <w:rsid w:val="008C0243"/>
    <w:rsid w:val="008C1267"/>
    <w:rsid w:val="008C2DE7"/>
    <w:rsid w:val="008C3A7C"/>
    <w:rsid w:val="008C46FD"/>
    <w:rsid w:val="008C5DE0"/>
    <w:rsid w:val="008C62CB"/>
    <w:rsid w:val="008C67AF"/>
    <w:rsid w:val="008C67C5"/>
    <w:rsid w:val="008C7C76"/>
    <w:rsid w:val="008D0609"/>
    <w:rsid w:val="008D1C43"/>
    <w:rsid w:val="008D25A3"/>
    <w:rsid w:val="008D2FF4"/>
    <w:rsid w:val="008D3F80"/>
    <w:rsid w:val="008D4B9B"/>
    <w:rsid w:val="008D4EDF"/>
    <w:rsid w:val="008D4F77"/>
    <w:rsid w:val="008D5988"/>
    <w:rsid w:val="008D71BE"/>
    <w:rsid w:val="008D7298"/>
    <w:rsid w:val="008D743A"/>
    <w:rsid w:val="008D75C6"/>
    <w:rsid w:val="008D7BA8"/>
    <w:rsid w:val="008E05E3"/>
    <w:rsid w:val="008E07EB"/>
    <w:rsid w:val="008E148A"/>
    <w:rsid w:val="008E1ACC"/>
    <w:rsid w:val="008E1B47"/>
    <w:rsid w:val="008E1F6C"/>
    <w:rsid w:val="008E20C6"/>
    <w:rsid w:val="008E28EF"/>
    <w:rsid w:val="008E2D3F"/>
    <w:rsid w:val="008E3D62"/>
    <w:rsid w:val="008E3E8E"/>
    <w:rsid w:val="008E41AB"/>
    <w:rsid w:val="008E4571"/>
    <w:rsid w:val="008E46A6"/>
    <w:rsid w:val="008E46EB"/>
    <w:rsid w:val="008E52A4"/>
    <w:rsid w:val="008E52B8"/>
    <w:rsid w:val="008E545A"/>
    <w:rsid w:val="008E5CBE"/>
    <w:rsid w:val="008E5EB3"/>
    <w:rsid w:val="008E5F72"/>
    <w:rsid w:val="008E633E"/>
    <w:rsid w:val="008E680A"/>
    <w:rsid w:val="008E68CE"/>
    <w:rsid w:val="008E6F7C"/>
    <w:rsid w:val="008F0C84"/>
    <w:rsid w:val="008F2143"/>
    <w:rsid w:val="008F4EE5"/>
    <w:rsid w:val="008F567F"/>
    <w:rsid w:val="008F5DB5"/>
    <w:rsid w:val="008F719E"/>
    <w:rsid w:val="008F79E8"/>
    <w:rsid w:val="00901CD5"/>
    <w:rsid w:val="00903F2B"/>
    <w:rsid w:val="00904660"/>
    <w:rsid w:val="00904703"/>
    <w:rsid w:val="00907A3F"/>
    <w:rsid w:val="00907C4E"/>
    <w:rsid w:val="009101C3"/>
    <w:rsid w:val="009105F7"/>
    <w:rsid w:val="00910642"/>
    <w:rsid w:val="00911432"/>
    <w:rsid w:val="009119A5"/>
    <w:rsid w:val="009134A1"/>
    <w:rsid w:val="009136F6"/>
    <w:rsid w:val="009163C9"/>
    <w:rsid w:val="00917821"/>
    <w:rsid w:val="00917AE3"/>
    <w:rsid w:val="00917C17"/>
    <w:rsid w:val="00920142"/>
    <w:rsid w:val="00923936"/>
    <w:rsid w:val="00923D7F"/>
    <w:rsid w:val="00924DBF"/>
    <w:rsid w:val="00926354"/>
    <w:rsid w:val="00926510"/>
    <w:rsid w:val="00926993"/>
    <w:rsid w:val="00926F39"/>
    <w:rsid w:val="009271F0"/>
    <w:rsid w:val="0093109E"/>
    <w:rsid w:val="009311C8"/>
    <w:rsid w:val="00931630"/>
    <w:rsid w:val="00932AAA"/>
    <w:rsid w:val="00933376"/>
    <w:rsid w:val="009336FC"/>
    <w:rsid w:val="00934586"/>
    <w:rsid w:val="0093568D"/>
    <w:rsid w:val="00936773"/>
    <w:rsid w:val="00936842"/>
    <w:rsid w:val="00936940"/>
    <w:rsid w:val="00937EB1"/>
    <w:rsid w:val="00941A9D"/>
    <w:rsid w:val="00942355"/>
    <w:rsid w:val="0094254A"/>
    <w:rsid w:val="00942AC3"/>
    <w:rsid w:val="00942B83"/>
    <w:rsid w:val="0094307C"/>
    <w:rsid w:val="00943218"/>
    <w:rsid w:val="009436C7"/>
    <w:rsid w:val="00943E1B"/>
    <w:rsid w:val="0094493E"/>
    <w:rsid w:val="009455B1"/>
    <w:rsid w:val="00947600"/>
    <w:rsid w:val="00951C33"/>
    <w:rsid w:val="0095217B"/>
    <w:rsid w:val="0095227C"/>
    <w:rsid w:val="009524D5"/>
    <w:rsid w:val="00952EE0"/>
    <w:rsid w:val="00953C2C"/>
    <w:rsid w:val="0095436A"/>
    <w:rsid w:val="0095473C"/>
    <w:rsid w:val="00954C2D"/>
    <w:rsid w:val="00956155"/>
    <w:rsid w:val="00956ACB"/>
    <w:rsid w:val="00956DE5"/>
    <w:rsid w:val="00956F8E"/>
    <w:rsid w:val="0095748C"/>
    <w:rsid w:val="009605A5"/>
    <w:rsid w:val="00960DB9"/>
    <w:rsid w:val="00961A14"/>
    <w:rsid w:val="00961B6F"/>
    <w:rsid w:val="00961FA7"/>
    <w:rsid w:val="009622CD"/>
    <w:rsid w:val="0096263E"/>
    <w:rsid w:val="009628E8"/>
    <w:rsid w:val="00963A0A"/>
    <w:rsid w:val="00964DBB"/>
    <w:rsid w:val="009668DE"/>
    <w:rsid w:val="00967428"/>
    <w:rsid w:val="00967E6A"/>
    <w:rsid w:val="009701E4"/>
    <w:rsid w:val="009704C7"/>
    <w:rsid w:val="0097084B"/>
    <w:rsid w:val="009710F8"/>
    <w:rsid w:val="00971871"/>
    <w:rsid w:val="009718F9"/>
    <w:rsid w:val="0097244E"/>
    <w:rsid w:val="00972FE1"/>
    <w:rsid w:val="00973916"/>
    <w:rsid w:val="00973A07"/>
    <w:rsid w:val="00974206"/>
    <w:rsid w:val="009743DC"/>
    <w:rsid w:val="00974D45"/>
    <w:rsid w:val="00975112"/>
    <w:rsid w:val="00975202"/>
    <w:rsid w:val="009753D7"/>
    <w:rsid w:val="00975D39"/>
    <w:rsid w:val="00976265"/>
    <w:rsid w:val="00976939"/>
    <w:rsid w:val="00976CA7"/>
    <w:rsid w:val="0097729D"/>
    <w:rsid w:val="00980A30"/>
    <w:rsid w:val="00981557"/>
    <w:rsid w:val="009819C3"/>
    <w:rsid w:val="00982052"/>
    <w:rsid w:val="00983333"/>
    <w:rsid w:val="009839DB"/>
    <w:rsid w:val="00985AA1"/>
    <w:rsid w:val="00985FD4"/>
    <w:rsid w:val="009867E7"/>
    <w:rsid w:val="00986965"/>
    <w:rsid w:val="00986E89"/>
    <w:rsid w:val="00987504"/>
    <w:rsid w:val="00990BAA"/>
    <w:rsid w:val="00991A9F"/>
    <w:rsid w:val="00991B5F"/>
    <w:rsid w:val="00991BC5"/>
    <w:rsid w:val="0099222E"/>
    <w:rsid w:val="00994644"/>
    <w:rsid w:val="00997983"/>
    <w:rsid w:val="009A0986"/>
    <w:rsid w:val="009A0BCB"/>
    <w:rsid w:val="009A15FF"/>
    <w:rsid w:val="009A185C"/>
    <w:rsid w:val="009A1D4A"/>
    <w:rsid w:val="009A237B"/>
    <w:rsid w:val="009A295B"/>
    <w:rsid w:val="009A2B81"/>
    <w:rsid w:val="009A3B71"/>
    <w:rsid w:val="009A3CA0"/>
    <w:rsid w:val="009A5EF1"/>
    <w:rsid w:val="009A61BC"/>
    <w:rsid w:val="009A676D"/>
    <w:rsid w:val="009A794C"/>
    <w:rsid w:val="009A7B3B"/>
    <w:rsid w:val="009A7F81"/>
    <w:rsid w:val="009B0180"/>
    <w:rsid w:val="009B0AED"/>
    <w:rsid w:val="009B2EBE"/>
    <w:rsid w:val="009B3E91"/>
    <w:rsid w:val="009B424D"/>
    <w:rsid w:val="009B5431"/>
    <w:rsid w:val="009B5572"/>
    <w:rsid w:val="009B5B79"/>
    <w:rsid w:val="009B6A5A"/>
    <w:rsid w:val="009B7527"/>
    <w:rsid w:val="009C0880"/>
    <w:rsid w:val="009C1AC6"/>
    <w:rsid w:val="009C2771"/>
    <w:rsid w:val="009C33A0"/>
    <w:rsid w:val="009C477D"/>
    <w:rsid w:val="009C4F04"/>
    <w:rsid w:val="009C5000"/>
    <w:rsid w:val="009C5E37"/>
    <w:rsid w:val="009C6ABE"/>
    <w:rsid w:val="009C7794"/>
    <w:rsid w:val="009C7F8A"/>
    <w:rsid w:val="009D05A1"/>
    <w:rsid w:val="009D1045"/>
    <w:rsid w:val="009D13B3"/>
    <w:rsid w:val="009D2371"/>
    <w:rsid w:val="009D3316"/>
    <w:rsid w:val="009D3BCC"/>
    <w:rsid w:val="009D3F15"/>
    <w:rsid w:val="009D4A21"/>
    <w:rsid w:val="009D4ABC"/>
    <w:rsid w:val="009D52D5"/>
    <w:rsid w:val="009D7A90"/>
    <w:rsid w:val="009E042D"/>
    <w:rsid w:val="009E0B69"/>
    <w:rsid w:val="009E0E04"/>
    <w:rsid w:val="009E4DBF"/>
    <w:rsid w:val="009E5209"/>
    <w:rsid w:val="009E59A1"/>
    <w:rsid w:val="009E6427"/>
    <w:rsid w:val="009E709B"/>
    <w:rsid w:val="009F0A09"/>
    <w:rsid w:val="009F0BEE"/>
    <w:rsid w:val="009F0E60"/>
    <w:rsid w:val="009F17C0"/>
    <w:rsid w:val="009F1F22"/>
    <w:rsid w:val="009F27A2"/>
    <w:rsid w:val="009F2C0C"/>
    <w:rsid w:val="009F2FBD"/>
    <w:rsid w:val="009F343D"/>
    <w:rsid w:val="009F3851"/>
    <w:rsid w:val="009F4044"/>
    <w:rsid w:val="009F49CC"/>
    <w:rsid w:val="009F4B1D"/>
    <w:rsid w:val="009F5991"/>
    <w:rsid w:val="009F62AF"/>
    <w:rsid w:val="009F6C54"/>
    <w:rsid w:val="00A004D8"/>
    <w:rsid w:val="00A018B0"/>
    <w:rsid w:val="00A01D70"/>
    <w:rsid w:val="00A021DB"/>
    <w:rsid w:val="00A03E82"/>
    <w:rsid w:val="00A053C7"/>
    <w:rsid w:val="00A05707"/>
    <w:rsid w:val="00A05C8D"/>
    <w:rsid w:val="00A05E60"/>
    <w:rsid w:val="00A06205"/>
    <w:rsid w:val="00A06EFB"/>
    <w:rsid w:val="00A07A81"/>
    <w:rsid w:val="00A10833"/>
    <w:rsid w:val="00A10F00"/>
    <w:rsid w:val="00A12068"/>
    <w:rsid w:val="00A12178"/>
    <w:rsid w:val="00A12184"/>
    <w:rsid w:val="00A12458"/>
    <w:rsid w:val="00A13FD7"/>
    <w:rsid w:val="00A142CE"/>
    <w:rsid w:val="00A14F1F"/>
    <w:rsid w:val="00A15925"/>
    <w:rsid w:val="00A16B01"/>
    <w:rsid w:val="00A16C21"/>
    <w:rsid w:val="00A173EA"/>
    <w:rsid w:val="00A17904"/>
    <w:rsid w:val="00A227F9"/>
    <w:rsid w:val="00A23051"/>
    <w:rsid w:val="00A245B5"/>
    <w:rsid w:val="00A25302"/>
    <w:rsid w:val="00A2646B"/>
    <w:rsid w:val="00A26F52"/>
    <w:rsid w:val="00A27328"/>
    <w:rsid w:val="00A27A6E"/>
    <w:rsid w:val="00A30C09"/>
    <w:rsid w:val="00A30E68"/>
    <w:rsid w:val="00A3104E"/>
    <w:rsid w:val="00A329C7"/>
    <w:rsid w:val="00A3339A"/>
    <w:rsid w:val="00A347B9"/>
    <w:rsid w:val="00A34AA0"/>
    <w:rsid w:val="00A34E10"/>
    <w:rsid w:val="00A34E47"/>
    <w:rsid w:val="00A3642A"/>
    <w:rsid w:val="00A372E7"/>
    <w:rsid w:val="00A40C19"/>
    <w:rsid w:val="00A40CC6"/>
    <w:rsid w:val="00A414DA"/>
    <w:rsid w:val="00A4180B"/>
    <w:rsid w:val="00A41C79"/>
    <w:rsid w:val="00A41EFC"/>
    <w:rsid w:val="00A43029"/>
    <w:rsid w:val="00A44427"/>
    <w:rsid w:val="00A4523B"/>
    <w:rsid w:val="00A46C81"/>
    <w:rsid w:val="00A4729F"/>
    <w:rsid w:val="00A476D1"/>
    <w:rsid w:val="00A507F6"/>
    <w:rsid w:val="00A50ABC"/>
    <w:rsid w:val="00A5194D"/>
    <w:rsid w:val="00A51A29"/>
    <w:rsid w:val="00A53089"/>
    <w:rsid w:val="00A533E3"/>
    <w:rsid w:val="00A5350C"/>
    <w:rsid w:val="00A53F0F"/>
    <w:rsid w:val="00A565AF"/>
    <w:rsid w:val="00A5680C"/>
    <w:rsid w:val="00A56946"/>
    <w:rsid w:val="00A56C23"/>
    <w:rsid w:val="00A578D8"/>
    <w:rsid w:val="00A608EE"/>
    <w:rsid w:val="00A61759"/>
    <w:rsid w:val="00A61874"/>
    <w:rsid w:val="00A6416C"/>
    <w:rsid w:val="00A65949"/>
    <w:rsid w:val="00A65FF9"/>
    <w:rsid w:val="00A6610D"/>
    <w:rsid w:val="00A665D9"/>
    <w:rsid w:val="00A66641"/>
    <w:rsid w:val="00A66CC8"/>
    <w:rsid w:val="00A67F3D"/>
    <w:rsid w:val="00A7139E"/>
    <w:rsid w:val="00A74185"/>
    <w:rsid w:val="00A742D5"/>
    <w:rsid w:val="00A74B74"/>
    <w:rsid w:val="00A75DD8"/>
    <w:rsid w:val="00A769D4"/>
    <w:rsid w:val="00A771B9"/>
    <w:rsid w:val="00A8056A"/>
    <w:rsid w:val="00A8096B"/>
    <w:rsid w:val="00A8281D"/>
    <w:rsid w:val="00A829CF"/>
    <w:rsid w:val="00A832E1"/>
    <w:rsid w:val="00A84B58"/>
    <w:rsid w:val="00A85490"/>
    <w:rsid w:val="00A861DB"/>
    <w:rsid w:val="00A86577"/>
    <w:rsid w:val="00A86ABF"/>
    <w:rsid w:val="00A87305"/>
    <w:rsid w:val="00A87594"/>
    <w:rsid w:val="00A87C1B"/>
    <w:rsid w:val="00A90194"/>
    <w:rsid w:val="00A91128"/>
    <w:rsid w:val="00A91A60"/>
    <w:rsid w:val="00A93427"/>
    <w:rsid w:val="00A936B4"/>
    <w:rsid w:val="00A94126"/>
    <w:rsid w:val="00A94357"/>
    <w:rsid w:val="00A943BE"/>
    <w:rsid w:val="00A943CD"/>
    <w:rsid w:val="00A94697"/>
    <w:rsid w:val="00A94A09"/>
    <w:rsid w:val="00A94D1F"/>
    <w:rsid w:val="00A94DD7"/>
    <w:rsid w:val="00A95663"/>
    <w:rsid w:val="00A970BC"/>
    <w:rsid w:val="00AA0C8E"/>
    <w:rsid w:val="00AA0E1A"/>
    <w:rsid w:val="00AA17E7"/>
    <w:rsid w:val="00AA220C"/>
    <w:rsid w:val="00AA2318"/>
    <w:rsid w:val="00AA2FC3"/>
    <w:rsid w:val="00AA4440"/>
    <w:rsid w:val="00AA79D3"/>
    <w:rsid w:val="00AB01A5"/>
    <w:rsid w:val="00AB0829"/>
    <w:rsid w:val="00AB0D5D"/>
    <w:rsid w:val="00AB0F65"/>
    <w:rsid w:val="00AB16F6"/>
    <w:rsid w:val="00AB3305"/>
    <w:rsid w:val="00AB3333"/>
    <w:rsid w:val="00AB349D"/>
    <w:rsid w:val="00AB439D"/>
    <w:rsid w:val="00AB498E"/>
    <w:rsid w:val="00AB4D28"/>
    <w:rsid w:val="00AB762B"/>
    <w:rsid w:val="00AB78E0"/>
    <w:rsid w:val="00AB7D88"/>
    <w:rsid w:val="00AB7DEB"/>
    <w:rsid w:val="00AC0810"/>
    <w:rsid w:val="00AC0D0D"/>
    <w:rsid w:val="00AC1AFC"/>
    <w:rsid w:val="00AC2030"/>
    <w:rsid w:val="00AC299D"/>
    <w:rsid w:val="00AC3108"/>
    <w:rsid w:val="00AC49D8"/>
    <w:rsid w:val="00AC51E1"/>
    <w:rsid w:val="00AC523C"/>
    <w:rsid w:val="00AC5C8A"/>
    <w:rsid w:val="00AC5D89"/>
    <w:rsid w:val="00AC6009"/>
    <w:rsid w:val="00AC6E23"/>
    <w:rsid w:val="00AC732C"/>
    <w:rsid w:val="00AC7876"/>
    <w:rsid w:val="00AC7A05"/>
    <w:rsid w:val="00AD0087"/>
    <w:rsid w:val="00AD10F8"/>
    <w:rsid w:val="00AD220D"/>
    <w:rsid w:val="00AD3A3C"/>
    <w:rsid w:val="00AD3AE5"/>
    <w:rsid w:val="00AD5474"/>
    <w:rsid w:val="00AD6AB9"/>
    <w:rsid w:val="00AD6D1C"/>
    <w:rsid w:val="00AD7228"/>
    <w:rsid w:val="00AD7239"/>
    <w:rsid w:val="00AD7398"/>
    <w:rsid w:val="00AD7771"/>
    <w:rsid w:val="00AD7AC8"/>
    <w:rsid w:val="00AD7EB4"/>
    <w:rsid w:val="00AE071B"/>
    <w:rsid w:val="00AE0966"/>
    <w:rsid w:val="00AE0CA5"/>
    <w:rsid w:val="00AE0DCB"/>
    <w:rsid w:val="00AE11B7"/>
    <w:rsid w:val="00AE2128"/>
    <w:rsid w:val="00AE244C"/>
    <w:rsid w:val="00AE2595"/>
    <w:rsid w:val="00AE4480"/>
    <w:rsid w:val="00AE44E5"/>
    <w:rsid w:val="00AE5AA9"/>
    <w:rsid w:val="00AE6D07"/>
    <w:rsid w:val="00AE7518"/>
    <w:rsid w:val="00AF0612"/>
    <w:rsid w:val="00AF1264"/>
    <w:rsid w:val="00AF2210"/>
    <w:rsid w:val="00AF3653"/>
    <w:rsid w:val="00AF49FE"/>
    <w:rsid w:val="00AF5508"/>
    <w:rsid w:val="00AF5D98"/>
    <w:rsid w:val="00AF6FB1"/>
    <w:rsid w:val="00AF77C2"/>
    <w:rsid w:val="00AF7D66"/>
    <w:rsid w:val="00B00180"/>
    <w:rsid w:val="00B00AA1"/>
    <w:rsid w:val="00B01144"/>
    <w:rsid w:val="00B018D6"/>
    <w:rsid w:val="00B02DE4"/>
    <w:rsid w:val="00B05089"/>
    <w:rsid w:val="00B053CB"/>
    <w:rsid w:val="00B055B3"/>
    <w:rsid w:val="00B06C4D"/>
    <w:rsid w:val="00B0745B"/>
    <w:rsid w:val="00B07A50"/>
    <w:rsid w:val="00B07E72"/>
    <w:rsid w:val="00B100C9"/>
    <w:rsid w:val="00B10A72"/>
    <w:rsid w:val="00B10B84"/>
    <w:rsid w:val="00B10FDE"/>
    <w:rsid w:val="00B11567"/>
    <w:rsid w:val="00B1164E"/>
    <w:rsid w:val="00B124C8"/>
    <w:rsid w:val="00B14236"/>
    <w:rsid w:val="00B144E5"/>
    <w:rsid w:val="00B148F2"/>
    <w:rsid w:val="00B159B8"/>
    <w:rsid w:val="00B15D18"/>
    <w:rsid w:val="00B16514"/>
    <w:rsid w:val="00B16B43"/>
    <w:rsid w:val="00B16D79"/>
    <w:rsid w:val="00B207B2"/>
    <w:rsid w:val="00B21493"/>
    <w:rsid w:val="00B21D2B"/>
    <w:rsid w:val="00B22009"/>
    <w:rsid w:val="00B22570"/>
    <w:rsid w:val="00B22631"/>
    <w:rsid w:val="00B238B1"/>
    <w:rsid w:val="00B240D2"/>
    <w:rsid w:val="00B24525"/>
    <w:rsid w:val="00B26682"/>
    <w:rsid w:val="00B2694A"/>
    <w:rsid w:val="00B26CCF"/>
    <w:rsid w:val="00B278D7"/>
    <w:rsid w:val="00B27D52"/>
    <w:rsid w:val="00B316B9"/>
    <w:rsid w:val="00B32A5A"/>
    <w:rsid w:val="00B34824"/>
    <w:rsid w:val="00B348E1"/>
    <w:rsid w:val="00B35331"/>
    <w:rsid w:val="00B36042"/>
    <w:rsid w:val="00B363A6"/>
    <w:rsid w:val="00B36A50"/>
    <w:rsid w:val="00B36BC4"/>
    <w:rsid w:val="00B371E0"/>
    <w:rsid w:val="00B373D3"/>
    <w:rsid w:val="00B40114"/>
    <w:rsid w:val="00B4044B"/>
    <w:rsid w:val="00B4112B"/>
    <w:rsid w:val="00B42820"/>
    <w:rsid w:val="00B43209"/>
    <w:rsid w:val="00B43808"/>
    <w:rsid w:val="00B43BE9"/>
    <w:rsid w:val="00B4419B"/>
    <w:rsid w:val="00B441F6"/>
    <w:rsid w:val="00B44D0A"/>
    <w:rsid w:val="00B450AA"/>
    <w:rsid w:val="00B45583"/>
    <w:rsid w:val="00B47E68"/>
    <w:rsid w:val="00B51544"/>
    <w:rsid w:val="00B51546"/>
    <w:rsid w:val="00B51AAA"/>
    <w:rsid w:val="00B52CA0"/>
    <w:rsid w:val="00B531DD"/>
    <w:rsid w:val="00B53AB2"/>
    <w:rsid w:val="00B54250"/>
    <w:rsid w:val="00B54A44"/>
    <w:rsid w:val="00B5587F"/>
    <w:rsid w:val="00B56530"/>
    <w:rsid w:val="00B56952"/>
    <w:rsid w:val="00B56DCC"/>
    <w:rsid w:val="00B574F9"/>
    <w:rsid w:val="00B57B57"/>
    <w:rsid w:val="00B60860"/>
    <w:rsid w:val="00B60E49"/>
    <w:rsid w:val="00B60F63"/>
    <w:rsid w:val="00B6148B"/>
    <w:rsid w:val="00B61F2C"/>
    <w:rsid w:val="00B61F3D"/>
    <w:rsid w:val="00B62544"/>
    <w:rsid w:val="00B62B61"/>
    <w:rsid w:val="00B644C8"/>
    <w:rsid w:val="00B64525"/>
    <w:rsid w:val="00B652AC"/>
    <w:rsid w:val="00B6676F"/>
    <w:rsid w:val="00B66779"/>
    <w:rsid w:val="00B66D0A"/>
    <w:rsid w:val="00B67C6B"/>
    <w:rsid w:val="00B700F7"/>
    <w:rsid w:val="00B71AD1"/>
    <w:rsid w:val="00B71DC2"/>
    <w:rsid w:val="00B73546"/>
    <w:rsid w:val="00B7360C"/>
    <w:rsid w:val="00B73881"/>
    <w:rsid w:val="00B73DBC"/>
    <w:rsid w:val="00B74DD5"/>
    <w:rsid w:val="00B74F88"/>
    <w:rsid w:val="00B751F6"/>
    <w:rsid w:val="00B76A6E"/>
    <w:rsid w:val="00B77990"/>
    <w:rsid w:val="00B77D4C"/>
    <w:rsid w:val="00B80D93"/>
    <w:rsid w:val="00B8120D"/>
    <w:rsid w:val="00B82542"/>
    <w:rsid w:val="00B83137"/>
    <w:rsid w:val="00B835D3"/>
    <w:rsid w:val="00B835E4"/>
    <w:rsid w:val="00B85EE9"/>
    <w:rsid w:val="00B86597"/>
    <w:rsid w:val="00B86DA5"/>
    <w:rsid w:val="00B87120"/>
    <w:rsid w:val="00B875E2"/>
    <w:rsid w:val="00B900F1"/>
    <w:rsid w:val="00B908EA"/>
    <w:rsid w:val="00B9131E"/>
    <w:rsid w:val="00B9231C"/>
    <w:rsid w:val="00B93778"/>
    <w:rsid w:val="00B93893"/>
    <w:rsid w:val="00B93E3D"/>
    <w:rsid w:val="00B941AA"/>
    <w:rsid w:val="00B942BF"/>
    <w:rsid w:val="00B944B1"/>
    <w:rsid w:val="00B945E8"/>
    <w:rsid w:val="00B97B62"/>
    <w:rsid w:val="00B97F7F"/>
    <w:rsid w:val="00BA1921"/>
    <w:rsid w:val="00BA2F65"/>
    <w:rsid w:val="00BA3A89"/>
    <w:rsid w:val="00BA4B00"/>
    <w:rsid w:val="00BA4D1B"/>
    <w:rsid w:val="00BA612C"/>
    <w:rsid w:val="00BA63F4"/>
    <w:rsid w:val="00BA7F75"/>
    <w:rsid w:val="00BB1670"/>
    <w:rsid w:val="00BB2662"/>
    <w:rsid w:val="00BB2AD3"/>
    <w:rsid w:val="00BB2F59"/>
    <w:rsid w:val="00BB55F5"/>
    <w:rsid w:val="00BB6DF9"/>
    <w:rsid w:val="00BC07C0"/>
    <w:rsid w:val="00BC0CA5"/>
    <w:rsid w:val="00BC105F"/>
    <w:rsid w:val="00BC12A3"/>
    <w:rsid w:val="00BC2938"/>
    <w:rsid w:val="00BC3422"/>
    <w:rsid w:val="00BC3600"/>
    <w:rsid w:val="00BC3B53"/>
    <w:rsid w:val="00BC4DBE"/>
    <w:rsid w:val="00BC512D"/>
    <w:rsid w:val="00BC5651"/>
    <w:rsid w:val="00BC56F5"/>
    <w:rsid w:val="00BC615B"/>
    <w:rsid w:val="00BC7021"/>
    <w:rsid w:val="00BD06AC"/>
    <w:rsid w:val="00BD5129"/>
    <w:rsid w:val="00BD531A"/>
    <w:rsid w:val="00BD6EB2"/>
    <w:rsid w:val="00BD7D43"/>
    <w:rsid w:val="00BE0468"/>
    <w:rsid w:val="00BE18FC"/>
    <w:rsid w:val="00BE24CF"/>
    <w:rsid w:val="00BE288F"/>
    <w:rsid w:val="00BE2AFC"/>
    <w:rsid w:val="00BE477A"/>
    <w:rsid w:val="00BE4F0E"/>
    <w:rsid w:val="00BE5317"/>
    <w:rsid w:val="00BE6110"/>
    <w:rsid w:val="00BE7106"/>
    <w:rsid w:val="00BE712D"/>
    <w:rsid w:val="00BE7362"/>
    <w:rsid w:val="00BF2EEB"/>
    <w:rsid w:val="00BF364C"/>
    <w:rsid w:val="00BF37A3"/>
    <w:rsid w:val="00BF448F"/>
    <w:rsid w:val="00BF472B"/>
    <w:rsid w:val="00BF4D0B"/>
    <w:rsid w:val="00BF4F11"/>
    <w:rsid w:val="00BF5153"/>
    <w:rsid w:val="00BF52B8"/>
    <w:rsid w:val="00BF68BD"/>
    <w:rsid w:val="00BF752D"/>
    <w:rsid w:val="00C00473"/>
    <w:rsid w:val="00C0498B"/>
    <w:rsid w:val="00C05999"/>
    <w:rsid w:val="00C06AEB"/>
    <w:rsid w:val="00C0701F"/>
    <w:rsid w:val="00C07674"/>
    <w:rsid w:val="00C1174B"/>
    <w:rsid w:val="00C12B4C"/>
    <w:rsid w:val="00C12E90"/>
    <w:rsid w:val="00C1401A"/>
    <w:rsid w:val="00C145BE"/>
    <w:rsid w:val="00C14A28"/>
    <w:rsid w:val="00C150F3"/>
    <w:rsid w:val="00C15A99"/>
    <w:rsid w:val="00C1614C"/>
    <w:rsid w:val="00C1644E"/>
    <w:rsid w:val="00C1680B"/>
    <w:rsid w:val="00C16E15"/>
    <w:rsid w:val="00C16E5C"/>
    <w:rsid w:val="00C202FF"/>
    <w:rsid w:val="00C206F1"/>
    <w:rsid w:val="00C20746"/>
    <w:rsid w:val="00C20A5C"/>
    <w:rsid w:val="00C20AF2"/>
    <w:rsid w:val="00C212CE"/>
    <w:rsid w:val="00C220F7"/>
    <w:rsid w:val="00C235CE"/>
    <w:rsid w:val="00C237C2"/>
    <w:rsid w:val="00C2394A"/>
    <w:rsid w:val="00C23FE2"/>
    <w:rsid w:val="00C240F4"/>
    <w:rsid w:val="00C25256"/>
    <w:rsid w:val="00C25770"/>
    <w:rsid w:val="00C257D8"/>
    <w:rsid w:val="00C25CDE"/>
    <w:rsid w:val="00C26079"/>
    <w:rsid w:val="00C329F8"/>
    <w:rsid w:val="00C34248"/>
    <w:rsid w:val="00C35A91"/>
    <w:rsid w:val="00C36F82"/>
    <w:rsid w:val="00C4057D"/>
    <w:rsid w:val="00C40C60"/>
    <w:rsid w:val="00C41530"/>
    <w:rsid w:val="00C41B9F"/>
    <w:rsid w:val="00C42053"/>
    <w:rsid w:val="00C422D3"/>
    <w:rsid w:val="00C42371"/>
    <w:rsid w:val="00C4267C"/>
    <w:rsid w:val="00C42F97"/>
    <w:rsid w:val="00C43CE4"/>
    <w:rsid w:val="00C443BB"/>
    <w:rsid w:val="00C4464D"/>
    <w:rsid w:val="00C44B22"/>
    <w:rsid w:val="00C46496"/>
    <w:rsid w:val="00C47518"/>
    <w:rsid w:val="00C4767D"/>
    <w:rsid w:val="00C5046A"/>
    <w:rsid w:val="00C51119"/>
    <w:rsid w:val="00C52057"/>
    <w:rsid w:val="00C526CC"/>
    <w:rsid w:val="00C52939"/>
    <w:rsid w:val="00C52A11"/>
    <w:rsid w:val="00C53426"/>
    <w:rsid w:val="00C53499"/>
    <w:rsid w:val="00C53CA0"/>
    <w:rsid w:val="00C55682"/>
    <w:rsid w:val="00C55E47"/>
    <w:rsid w:val="00C56FFA"/>
    <w:rsid w:val="00C57409"/>
    <w:rsid w:val="00C57651"/>
    <w:rsid w:val="00C61262"/>
    <w:rsid w:val="00C61F3B"/>
    <w:rsid w:val="00C6209D"/>
    <w:rsid w:val="00C63108"/>
    <w:rsid w:val="00C63CB5"/>
    <w:rsid w:val="00C64AEB"/>
    <w:rsid w:val="00C64B6B"/>
    <w:rsid w:val="00C6537C"/>
    <w:rsid w:val="00C663CF"/>
    <w:rsid w:val="00C66D2A"/>
    <w:rsid w:val="00C66D52"/>
    <w:rsid w:val="00C714C7"/>
    <w:rsid w:val="00C71743"/>
    <w:rsid w:val="00C72620"/>
    <w:rsid w:val="00C7470B"/>
    <w:rsid w:val="00C76266"/>
    <w:rsid w:val="00C765F3"/>
    <w:rsid w:val="00C770E9"/>
    <w:rsid w:val="00C7755B"/>
    <w:rsid w:val="00C775CC"/>
    <w:rsid w:val="00C806DF"/>
    <w:rsid w:val="00C812F4"/>
    <w:rsid w:val="00C817F5"/>
    <w:rsid w:val="00C82018"/>
    <w:rsid w:val="00C83618"/>
    <w:rsid w:val="00C84B58"/>
    <w:rsid w:val="00C8561B"/>
    <w:rsid w:val="00C8627D"/>
    <w:rsid w:val="00C864AE"/>
    <w:rsid w:val="00C86978"/>
    <w:rsid w:val="00C86C25"/>
    <w:rsid w:val="00C8724D"/>
    <w:rsid w:val="00C876B7"/>
    <w:rsid w:val="00C8798D"/>
    <w:rsid w:val="00C90846"/>
    <w:rsid w:val="00C90ACB"/>
    <w:rsid w:val="00C91EBA"/>
    <w:rsid w:val="00C92571"/>
    <w:rsid w:val="00C92770"/>
    <w:rsid w:val="00C92849"/>
    <w:rsid w:val="00C93492"/>
    <w:rsid w:val="00C93873"/>
    <w:rsid w:val="00C94229"/>
    <w:rsid w:val="00C9470C"/>
    <w:rsid w:val="00C952BE"/>
    <w:rsid w:val="00C954B2"/>
    <w:rsid w:val="00C967A7"/>
    <w:rsid w:val="00C969AB"/>
    <w:rsid w:val="00CA01C9"/>
    <w:rsid w:val="00CA0A69"/>
    <w:rsid w:val="00CA0E76"/>
    <w:rsid w:val="00CA19E0"/>
    <w:rsid w:val="00CA1A0E"/>
    <w:rsid w:val="00CA1AC3"/>
    <w:rsid w:val="00CA29C7"/>
    <w:rsid w:val="00CA47D3"/>
    <w:rsid w:val="00CA49EF"/>
    <w:rsid w:val="00CA4C62"/>
    <w:rsid w:val="00CA579F"/>
    <w:rsid w:val="00CA617F"/>
    <w:rsid w:val="00CA64DB"/>
    <w:rsid w:val="00CA6A66"/>
    <w:rsid w:val="00CA6E3C"/>
    <w:rsid w:val="00CA7543"/>
    <w:rsid w:val="00CB152A"/>
    <w:rsid w:val="00CB22B3"/>
    <w:rsid w:val="00CB23A4"/>
    <w:rsid w:val="00CB2BA3"/>
    <w:rsid w:val="00CB3ADB"/>
    <w:rsid w:val="00CB3D52"/>
    <w:rsid w:val="00CB4F65"/>
    <w:rsid w:val="00CB5A73"/>
    <w:rsid w:val="00CB5EC8"/>
    <w:rsid w:val="00CB7127"/>
    <w:rsid w:val="00CC012D"/>
    <w:rsid w:val="00CC1348"/>
    <w:rsid w:val="00CC1D3E"/>
    <w:rsid w:val="00CC1D45"/>
    <w:rsid w:val="00CC1FCC"/>
    <w:rsid w:val="00CC2373"/>
    <w:rsid w:val="00CC30A8"/>
    <w:rsid w:val="00CC7514"/>
    <w:rsid w:val="00CC7C44"/>
    <w:rsid w:val="00CD0178"/>
    <w:rsid w:val="00CD26F7"/>
    <w:rsid w:val="00CD2DFD"/>
    <w:rsid w:val="00CD514D"/>
    <w:rsid w:val="00CD604A"/>
    <w:rsid w:val="00CD63EE"/>
    <w:rsid w:val="00CD6791"/>
    <w:rsid w:val="00CD6AA1"/>
    <w:rsid w:val="00CD6AC4"/>
    <w:rsid w:val="00CD7237"/>
    <w:rsid w:val="00CE0212"/>
    <w:rsid w:val="00CE1540"/>
    <w:rsid w:val="00CE189F"/>
    <w:rsid w:val="00CE1B67"/>
    <w:rsid w:val="00CE25CF"/>
    <w:rsid w:val="00CE2970"/>
    <w:rsid w:val="00CE2D7C"/>
    <w:rsid w:val="00CE2EA9"/>
    <w:rsid w:val="00CE74D9"/>
    <w:rsid w:val="00CE75CC"/>
    <w:rsid w:val="00CF053F"/>
    <w:rsid w:val="00CF081B"/>
    <w:rsid w:val="00CF09DB"/>
    <w:rsid w:val="00CF1708"/>
    <w:rsid w:val="00CF1AE5"/>
    <w:rsid w:val="00CF1B0D"/>
    <w:rsid w:val="00CF21BD"/>
    <w:rsid w:val="00CF2419"/>
    <w:rsid w:val="00CF3402"/>
    <w:rsid w:val="00CF4855"/>
    <w:rsid w:val="00CF4874"/>
    <w:rsid w:val="00CF5184"/>
    <w:rsid w:val="00CF590B"/>
    <w:rsid w:val="00CF6992"/>
    <w:rsid w:val="00CF7782"/>
    <w:rsid w:val="00CF7C8B"/>
    <w:rsid w:val="00D00252"/>
    <w:rsid w:val="00D0052E"/>
    <w:rsid w:val="00D0068F"/>
    <w:rsid w:val="00D00792"/>
    <w:rsid w:val="00D00CA0"/>
    <w:rsid w:val="00D015DB"/>
    <w:rsid w:val="00D01748"/>
    <w:rsid w:val="00D01B4C"/>
    <w:rsid w:val="00D022D2"/>
    <w:rsid w:val="00D03138"/>
    <w:rsid w:val="00D045FF"/>
    <w:rsid w:val="00D050F2"/>
    <w:rsid w:val="00D0657F"/>
    <w:rsid w:val="00D078E1"/>
    <w:rsid w:val="00D07B37"/>
    <w:rsid w:val="00D07D87"/>
    <w:rsid w:val="00D07EEE"/>
    <w:rsid w:val="00D10FFA"/>
    <w:rsid w:val="00D116D4"/>
    <w:rsid w:val="00D11C40"/>
    <w:rsid w:val="00D11EC0"/>
    <w:rsid w:val="00D12718"/>
    <w:rsid w:val="00D12A7F"/>
    <w:rsid w:val="00D14B1D"/>
    <w:rsid w:val="00D167C8"/>
    <w:rsid w:val="00D226FC"/>
    <w:rsid w:val="00D22BAC"/>
    <w:rsid w:val="00D23522"/>
    <w:rsid w:val="00D23688"/>
    <w:rsid w:val="00D23EC7"/>
    <w:rsid w:val="00D242E8"/>
    <w:rsid w:val="00D24A2F"/>
    <w:rsid w:val="00D24F5A"/>
    <w:rsid w:val="00D25439"/>
    <w:rsid w:val="00D25803"/>
    <w:rsid w:val="00D25B11"/>
    <w:rsid w:val="00D25B42"/>
    <w:rsid w:val="00D26E12"/>
    <w:rsid w:val="00D27468"/>
    <w:rsid w:val="00D279AE"/>
    <w:rsid w:val="00D30971"/>
    <w:rsid w:val="00D313AB"/>
    <w:rsid w:val="00D3173B"/>
    <w:rsid w:val="00D332A7"/>
    <w:rsid w:val="00D33BC1"/>
    <w:rsid w:val="00D33F51"/>
    <w:rsid w:val="00D343E1"/>
    <w:rsid w:val="00D35FFD"/>
    <w:rsid w:val="00D405AB"/>
    <w:rsid w:val="00D408DB"/>
    <w:rsid w:val="00D40B9C"/>
    <w:rsid w:val="00D40F1C"/>
    <w:rsid w:val="00D4621E"/>
    <w:rsid w:val="00D4677A"/>
    <w:rsid w:val="00D47DF8"/>
    <w:rsid w:val="00D47EC7"/>
    <w:rsid w:val="00D47F56"/>
    <w:rsid w:val="00D50409"/>
    <w:rsid w:val="00D518CD"/>
    <w:rsid w:val="00D51DB1"/>
    <w:rsid w:val="00D51F9E"/>
    <w:rsid w:val="00D51FFB"/>
    <w:rsid w:val="00D5243B"/>
    <w:rsid w:val="00D53321"/>
    <w:rsid w:val="00D5372D"/>
    <w:rsid w:val="00D5423B"/>
    <w:rsid w:val="00D54B81"/>
    <w:rsid w:val="00D54F4E"/>
    <w:rsid w:val="00D557FE"/>
    <w:rsid w:val="00D55865"/>
    <w:rsid w:val="00D56274"/>
    <w:rsid w:val="00D562C4"/>
    <w:rsid w:val="00D56719"/>
    <w:rsid w:val="00D568E3"/>
    <w:rsid w:val="00D56D05"/>
    <w:rsid w:val="00D57EFA"/>
    <w:rsid w:val="00D60931"/>
    <w:rsid w:val="00D60BA4"/>
    <w:rsid w:val="00D61137"/>
    <w:rsid w:val="00D61921"/>
    <w:rsid w:val="00D61D15"/>
    <w:rsid w:val="00D627AC"/>
    <w:rsid w:val="00D635E1"/>
    <w:rsid w:val="00D6378B"/>
    <w:rsid w:val="00D64413"/>
    <w:rsid w:val="00D70110"/>
    <w:rsid w:val="00D71F75"/>
    <w:rsid w:val="00D72421"/>
    <w:rsid w:val="00D7376B"/>
    <w:rsid w:val="00D73773"/>
    <w:rsid w:val="00D73F97"/>
    <w:rsid w:val="00D75567"/>
    <w:rsid w:val="00D75B82"/>
    <w:rsid w:val="00D760C0"/>
    <w:rsid w:val="00D76547"/>
    <w:rsid w:val="00D76E84"/>
    <w:rsid w:val="00D7762B"/>
    <w:rsid w:val="00D77713"/>
    <w:rsid w:val="00D77E65"/>
    <w:rsid w:val="00D80109"/>
    <w:rsid w:val="00D809B9"/>
    <w:rsid w:val="00D80CCE"/>
    <w:rsid w:val="00D81DBF"/>
    <w:rsid w:val="00D838F4"/>
    <w:rsid w:val="00D839DE"/>
    <w:rsid w:val="00D8420F"/>
    <w:rsid w:val="00D842E0"/>
    <w:rsid w:val="00D85938"/>
    <w:rsid w:val="00D85A8E"/>
    <w:rsid w:val="00D86E2E"/>
    <w:rsid w:val="00D87125"/>
    <w:rsid w:val="00D87236"/>
    <w:rsid w:val="00D8798D"/>
    <w:rsid w:val="00D87C2B"/>
    <w:rsid w:val="00D9083C"/>
    <w:rsid w:val="00D9314B"/>
    <w:rsid w:val="00D932D9"/>
    <w:rsid w:val="00D9564F"/>
    <w:rsid w:val="00D9647E"/>
    <w:rsid w:val="00D9740F"/>
    <w:rsid w:val="00DA091B"/>
    <w:rsid w:val="00DA0EF5"/>
    <w:rsid w:val="00DA0F86"/>
    <w:rsid w:val="00DA1018"/>
    <w:rsid w:val="00DA24E8"/>
    <w:rsid w:val="00DA3D1B"/>
    <w:rsid w:val="00DA46DB"/>
    <w:rsid w:val="00DA496E"/>
    <w:rsid w:val="00DA4B46"/>
    <w:rsid w:val="00DA59FB"/>
    <w:rsid w:val="00DA5CBA"/>
    <w:rsid w:val="00DA76CC"/>
    <w:rsid w:val="00DB1244"/>
    <w:rsid w:val="00DB29CC"/>
    <w:rsid w:val="00DB2A93"/>
    <w:rsid w:val="00DB3516"/>
    <w:rsid w:val="00DB3B9B"/>
    <w:rsid w:val="00DB3ECC"/>
    <w:rsid w:val="00DB4822"/>
    <w:rsid w:val="00DB4AD8"/>
    <w:rsid w:val="00DB543B"/>
    <w:rsid w:val="00DB55C5"/>
    <w:rsid w:val="00DB5A95"/>
    <w:rsid w:val="00DB62A1"/>
    <w:rsid w:val="00DB6884"/>
    <w:rsid w:val="00DB6BEE"/>
    <w:rsid w:val="00DB6E18"/>
    <w:rsid w:val="00DB6ED3"/>
    <w:rsid w:val="00DC033D"/>
    <w:rsid w:val="00DC10F3"/>
    <w:rsid w:val="00DC18A8"/>
    <w:rsid w:val="00DC2792"/>
    <w:rsid w:val="00DC2F30"/>
    <w:rsid w:val="00DC368A"/>
    <w:rsid w:val="00DC3FC6"/>
    <w:rsid w:val="00DC465F"/>
    <w:rsid w:val="00DC4B60"/>
    <w:rsid w:val="00DC4D85"/>
    <w:rsid w:val="00DC4F71"/>
    <w:rsid w:val="00DC5E43"/>
    <w:rsid w:val="00DC6D6B"/>
    <w:rsid w:val="00DC6E5A"/>
    <w:rsid w:val="00DD02C0"/>
    <w:rsid w:val="00DD07B5"/>
    <w:rsid w:val="00DD08AA"/>
    <w:rsid w:val="00DD0FE2"/>
    <w:rsid w:val="00DD1321"/>
    <w:rsid w:val="00DD2FC6"/>
    <w:rsid w:val="00DD344E"/>
    <w:rsid w:val="00DD36D9"/>
    <w:rsid w:val="00DD50DF"/>
    <w:rsid w:val="00DD5B17"/>
    <w:rsid w:val="00DD6115"/>
    <w:rsid w:val="00DD6343"/>
    <w:rsid w:val="00DD651D"/>
    <w:rsid w:val="00DD7EF6"/>
    <w:rsid w:val="00DE13D9"/>
    <w:rsid w:val="00DE16F2"/>
    <w:rsid w:val="00DE1B21"/>
    <w:rsid w:val="00DE2EB7"/>
    <w:rsid w:val="00DE2F65"/>
    <w:rsid w:val="00DE34B8"/>
    <w:rsid w:val="00DE3AFB"/>
    <w:rsid w:val="00DE3EAA"/>
    <w:rsid w:val="00DE4457"/>
    <w:rsid w:val="00DE46C4"/>
    <w:rsid w:val="00DE4FA0"/>
    <w:rsid w:val="00DE5743"/>
    <w:rsid w:val="00DE578A"/>
    <w:rsid w:val="00DE5D72"/>
    <w:rsid w:val="00DE5E52"/>
    <w:rsid w:val="00DF0025"/>
    <w:rsid w:val="00DF027E"/>
    <w:rsid w:val="00DF1BC9"/>
    <w:rsid w:val="00DF1D1E"/>
    <w:rsid w:val="00DF205B"/>
    <w:rsid w:val="00DF2095"/>
    <w:rsid w:val="00DF2583"/>
    <w:rsid w:val="00DF26CE"/>
    <w:rsid w:val="00DF2C3A"/>
    <w:rsid w:val="00DF30E1"/>
    <w:rsid w:val="00DF4412"/>
    <w:rsid w:val="00DF49A3"/>
    <w:rsid w:val="00DF54D9"/>
    <w:rsid w:val="00DF6C85"/>
    <w:rsid w:val="00DF7838"/>
    <w:rsid w:val="00DF7FF0"/>
    <w:rsid w:val="00E0111A"/>
    <w:rsid w:val="00E02948"/>
    <w:rsid w:val="00E035A9"/>
    <w:rsid w:val="00E03D32"/>
    <w:rsid w:val="00E04D81"/>
    <w:rsid w:val="00E056CE"/>
    <w:rsid w:val="00E0784E"/>
    <w:rsid w:val="00E10214"/>
    <w:rsid w:val="00E10C78"/>
    <w:rsid w:val="00E10DC6"/>
    <w:rsid w:val="00E10E1B"/>
    <w:rsid w:val="00E11CDB"/>
    <w:rsid w:val="00E11F8E"/>
    <w:rsid w:val="00E12135"/>
    <w:rsid w:val="00E13790"/>
    <w:rsid w:val="00E13816"/>
    <w:rsid w:val="00E145EA"/>
    <w:rsid w:val="00E14B2B"/>
    <w:rsid w:val="00E156F3"/>
    <w:rsid w:val="00E15BA1"/>
    <w:rsid w:val="00E165EF"/>
    <w:rsid w:val="00E1741B"/>
    <w:rsid w:val="00E17884"/>
    <w:rsid w:val="00E24046"/>
    <w:rsid w:val="00E24373"/>
    <w:rsid w:val="00E2451E"/>
    <w:rsid w:val="00E26711"/>
    <w:rsid w:val="00E279F6"/>
    <w:rsid w:val="00E30F6D"/>
    <w:rsid w:val="00E32D61"/>
    <w:rsid w:val="00E33830"/>
    <w:rsid w:val="00E33AD7"/>
    <w:rsid w:val="00E351A5"/>
    <w:rsid w:val="00E3544A"/>
    <w:rsid w:val="00E364EF"/>
    <w:rsid w:val="00E36CB3"/>
    <w:rsid w:val="00E37002"/>
    <w:rsid w:val="00E3727C"/>
    <w:rsid w:val="00E400A9"/>
    <w:rsid w:val="00E405D1"/>
    <w:rsid w:val="00E40928"/>
    <w:rsid w:val="00E40B53"/>
    <w:rsid w:val="00E40E10"/>
    <w:rsid w:val="00E411F3"/>
    <w:rsid w:val="00E41C7D"/>
    <w:rsid w:val="00E4246B"/>
    <w:rsid w:val="00E426A4"/>
    <w:rsid w:val="00E426CE"/>
    <w:rsid w:val="00E42A0A"/>
    <w:rsid w:val="00E42D22"/>
    <w:rsid w:val="00E430F2"/>
    <w:rsid w:val="00E43ED6"/>
    <w:rsid w:val="00E449A8"/>
    <w:rsid w:val="00E451FF"/>
    <w:rsid w:val="00E45976"/>
    <w:rsid w:val="00E46BA6"/>
    <w:rsid w:val="00E46F55"/>
    <w:rsid w:val="00E4703E"/>
    <w:rsid w:val="00E47058"/>
    <w:rsid w:val="00E475C8"/>
    <w:rsid w:val="00E50082"/>
    <w:rsid w:val="00E5066D"/>
    <w:rsid w:val="00E50A17"/>
    <w:rsid w:val="00E50C88"/>
    <w:rsid w:val="00E50C8B"/>
    <w:rsid w:val="00E51C8B"/>
    <w:rsid w:val="00E523CF"/>
    <w:rsid w:val="00E53F38"/>
    <w:rsid w:val="00E5421B"/>
    <w:rsid w:val="00E544A4"/>
    <w:rsid w:val="00E55603"/>
    <w:rsid w:val="00E55B57"/>
    <w:rsid w:val="00E56A23"/>
    <w:rsid w:val="00E56EE3"/>
    <w:rsid w:val="00E60079"/>
    <w:rsid w:val="00E6024C"/>
    <w:rsid w:val="00E62459"/>
    <w:rsid w:val="00E62B80"/>
    <w:rsid w:val="00E62C7E"/>
    <w:rsid w:val="00E62E90"/>
    <w:rsid w:val="00E634E3"/>
    <w:rsid w:val="00E64CD1"/>
    <w:rsid w:val="00E659A6"/>
    <w:rsid w:val="00E6603E"/>
    <w:rsid w:val="00E66F0D"/>
    <w:rsid w:val="00E67EC0"/>
    <w:rsid w:val="00E70307"/>
    <w:rsid w:val="00E71FFE"/>
    <w:rsid w:val="00E73028"/>
    <w:rsid w:val="00E74736"/>
    <w:rsid w:val="00E74AC4"/>
    <w:rsid w:val="00E74BBC"/>
    <w:rsid w:val="00E75B01"/>
    <w:rsid w:val="00E760FE"/>
    <w:rsid w:val="00E76578"/>
    <w:rsid w:val="00E82D80"/>
    <w:rsid w:val="00E82E7A"/>
    <w:rsid w:val="00E848CB"/>
    <w:rsid w:val="00E84FBC"/>
    <w:rsid w:val="00E84FD9"/>
    <w:rsid w:val="00E860BE"/>
    <w:rsid w:val="00E87013"/>
    <w:rsid w:val="00E87055"/>
    <w:rsid w:val="00E90A66"/>
    <w:rsid w:val="00E90C0F"/>
    <w:rsid w:val="00E91E81"/>
    <w:rsid w:val="00E9214C"/>
    <w:rsid w:val="00E92EC2"/>
    <w:rsid w:val="00E938A6"/>
    <w:rsid w:val="00E93D44"/>
    <w:rsid w:val="00E95D68"/>
    <w:rsid w:val="00E9626E"/>
    <w:rsid w:val="00E966B4"/>
    <w:rsid w:val="00E96935"/>
    <w:rsid w:val="00E97DDF"/>
    <w:rsid w:val="00EA0177"/>
    <w:rsid w:val="00EA0F31"/>
    <w:rsid w:val="00EA1382"/>
    <w:rsid w:val="00EA2B42"/>
    <w:rsid w:val="00EA4AB7"/>
    <w:rsid w:val="00EA4E8D"/>
    <w:rsid w:val="00EA506F"/>
    <w:rsid w:val="00EA670C"/>
    <w:rsid w:val="00EA72DA"/>
    <w:rsid w:val="00EA74E9"/>
    <w:rsid w:val="00EA75C1"/>
    <w:rsid w:val="00EB0FAF"/>
    <w:rsid w:val="00EB13CB"/>
    <w:rsid w:val="00EB188D"/>
    <w:rsid w:val="00EB1D8B"/>
    <w:rsid w:val="00EB201B"/>
    <w:rsid w:val="00EB3FB1"/>
    <w:rsid w:val="00EB465A"/>
    <w:rsid w:val="00EB71B3"/>
    <w:rsid w:val="00EB7550"/>
    <w:rsid w:val="00EB7692"/>
    <w:rsid w:val="00EB79AB"/>
    <w:rsid w:val="00EC00B8"/>
    <w:rsid w:val="00EC0BAB"/>
    <w:rsid w:val="00EC0D64"/>
    <w:rsid w:val="00EC237D"/>
    <w:rsid w:val="00EC4490"/>
    <w:rsid w:val="00EC4649"/>
    <w:rsid w:val="00EC5619"/>
    <w:rsid w:val="00EC5D64"/>
    <w:rsid w:val="00EC70AB"/>
    <w:rsid w:val="00EC7B6E"/>
    <w:rsid w:val="00ED1207"/>
    <w:rsid w:val="00ED1AD3"/>
    <w:rsid w:val="00ED45AA"/>
    <w:rsid w:val="00ED48CC"/>
    <w:rsid w:val="00ED6188"/>
    <w:rsid w:val="00ED7877"/>
    <w:rsid w:val="00ED7A5A"/>
    <w:rsid w:val="00EE0B7B"/>
    <w:rsid w:val="00EE1A75"/>
    <w:rsid w:val="00EE2350"/>
    <w:rsid w:val="00EE261C"/>
    <w:rsid w:val="00EE284F"/>
    <w:rsid w:val="00EE32E7"/>
    <w:rsid w:val="00EE3783"/>
    <w:rsid w:val="00EE3D64"/>
    <w:rsid w:val="00EE4A1F"/>
    <w:rsid w:val="00EE510C"/>
    <w:rsid w:val="00EE51FA"/>
    <w:rsid w:val="00EE66CE"/>
    <w:rsid w:val="00EF0C12"/>
    <w:rsid w:val="00EF1B5A"/>
    <w:rsid w:val="00EF217E"/>
    <w:rsid w:val="00EF2365"/>
    <w:rsid w:val="00EF29AA"/>
    <w:rsid w:val="00EF2CCA"/>
    <w:rsid w:val="00EF2FC4"/>
    <w:rsid w:val="00EF3A09"/>
    <w:rsid w:val="00EF414F"/>
    <w:rsid w:val="00EF454C"/>
    <w:rsid w:val="00EF4681"/>
    <w:rsid w:val="00EF4DE3"/>
    <w:rsid w:val="00EF5BCF"/>
    <w:rsid w:val="00EF6A63"/>
    <w:rsid w:val="00EF72A2"/>
    <w:rsid w:val="00EF7628"/>
    <w:rsid w:val="00EF7C3F"/>
    <w:rsid w:val="00F00606"/>
    <w:rsid w:val="00F00B2C"/>
    <w:rsid w:val="00F01945"/>
    <w:rsid w:val="00F01BEE"/>
    <w:rsid w:val="00F0246D"/>
    <w:rsid w:val="00F024D3"/>
    <w:rsid w:val="00F03E1B"/>
    <w:rsid w:val="00F052CE"/>
    <w:rsid w:val="00F054E7"/>
    <w:rsid w:val="00F06208"/>
    <w:rsid w:val="00F06986"/>
    <w:rsid w:val="00F07C5C"/>
    <w:rsid w:val="00F1038B"/>
    <w:rsid w:val="00F1059C"/>
    <w:rsid w:val="00F106B9"/>
    <w:rsid w:val="00F107F4"/>
    <w:rsid w:val="00F10D86"/>
    <w:rsid w:val="00F1401C"/>
    <w:rsid w:val="00F1474D"/>
    <w:rsid w:val="00F14A4F"/>
    <w:rsid w:val="00F14C1B"/>
    <w:rsid w:val="00F1677D"/>
    <w:rsid w:val="00F16915"/>
    <w:rsid w:val="00F16E9E"/>
    <w:rsid w:val="00F16EBD"/>
    <w:rsid w:val="00F178A5"/>
    <w:rsid w:val="00F17F45"/>
    <w:rsid w:val="00F20EEE"/>
    <w:rsid w:val="00F2134A"/>
    <w:rsid w:val="00F2150A"/>
    <w:rsid w:val="00F225A5"/>
    <w:rsid w:val="00F22EC6"/>
    <w:rsid w:val="00F22FF2"/>
    <w:rsid w:val="00F235AA"/>
    <w:rsid w:val="00F237C1"/>
    <w:rsid w:val="00F23CB1"/>
    <w:rsid w:val="00F2400B"/>
    <w:rsid w:val="00F241AF"/>
    <w:rsid w:val="00F243D1"/>
    <w:rsid w:val="00F24AE9"/>
    <w:rsid w:val="00F24C92"/>
    <w:rsid w:val="00F25BFD"/>
    <w:rsid w:val="00F2608D"/>
    <w:rsid w:val="00F26641"/>
    <w:rsid w:val="00F270E4"/>
    <w:rsid w:val="00F2729D"/>
    <w:rsid w:val="00F27731"/>
    <w:rsid w:val="00F279E9"/>
    <w:rsid w:val="00F317A7"/>
    <w:rsid w:val="00F33F3F"/>
    <w:rsid w:val="00F34C8D"/>
    <w:rsid w:val="00F34EA3"/>
    <w:rsid w:val="00F36803"/>
    <w:rsid w:val="00F37DCE"/>
    <w:rsid w:val="00F401BC"/>
    <w:rsid w:val="00F41127"/>
    <w:rsid w:val="00F42873"/>
    <w:rsid w:val="00F42895"/>
    <w:rsid w:val="00F42C79"/>
    <w:rsid w:val="00F42FD1"/>
    <w:rsid w:val="00F4485E"/>
    <w:rsid w:val="00F450FC"/>
    <w:rsid w:val="00F45283"/>
    <w:rsid w:val="00F456EC"/>
    <w:rsid w:val="00F467C9"/>
    <w:rsid w:val="00F46AA1"/>
    <w:rsid w:val="00F4729D"/>
    <w:rsid w:val="00F4734F"/>
    <w:rsid w:val="00F47EBA"/>
    <w:rsid w:val="00F50D17"/>
    <w:rsid w:val="00F50DBA"/>
    <w:rsid w:val="00F515BD"/>
    <w:rsid w:val="00F51D52"/>
    <w:rsid w:val="00F5355A"/>
    <w:rsid w:val="00F53F91"/>
    <w:rsid w:val="00F54C37"/>
    <w:rsid w:val="00F561DC"/>
    <w:rsid w:val="00F56EBE"/>
    <w:rsid w:val="00F57321"/>
    <w:rsid w:val="00F60901"/>
    <w:rsid w:val="00F60C87"/>
    <w:rsid w:val="00F61A72"/>
    <w:rsid w:val="00F63342"/>
    <w:rsid w:val="00F6374A"/>
    <w:rsid w:val="00F63C5E"/>
    <w:rsid w:val="00F64E90"/>
    <w:rsid w:val="00F65150"/>
    <w:rsid w:val="00F6689B"/>
    <w:rsid w:val="00F66F13"/>
    <w:rsid w:val="00F705AF"/>
    <w:rsid w:val="00F707B0"/>
    <w:rsid w:val="00F712BF"/>
    <w:rsid w:val="00F71574"/>
    <w:rsid w:val="00F72C35"/>
    <w:rsid w:val="00F74073"/>
    <w:rsid w:val="00F74FA7"/>
    <w:rsid w:val="00F75277"/>
    <w:rsid w:val="00F75EA5"/>
    <w:rsid w:val="00F760AB"/>
    <w:rsid w:val="00F76D71"/>
    <w:rsid w:val="00F76DBF"/>
    <w:rsid w:val="00F7712C"/>
    <w:rsid w:val="00F77453"/>
    <w:rsid w:val="00F81440"/>
    <w:rsid w:val="00F81E13"/>
    <w:rsid w:val="00F83426"/>
    <w:rsid w:val="00F840E9"/>
    <w:rsid w:val="00F85496"/>
    <w:rsid w:val="00F85F7D"/>
    <w:rsid w:val="00F87233"/>
    <w:rsid w:val="00F878AD"/>
    <w:rsid w:val="00F90003"/>
    <w:rsid w:val="00F91947"/>
    <w:rsid w:val="00F91E3C"/>
    <w:rsid w:val="00F91FFC"/>
    <w:rsid w:val="00F9211E"/>
    <w:rsid w:val="00F922C4"/>
    <w:rsid w:val="00F93950"/>
    <w:rsid w:val="00F93A4B"/>
    <w:rsid w:val="00F93F38"/>
    <w:rsid w:val="00F9452E"/>
    <w:rsid w:val="00F949A4"/>
    <w:rsid w:val="00F94B57"/>
    <w:rsid w:val="00F95298"/>
    <w:rsid w:val="00F961C1"/>
    <w:rsid w:val="00F962CC"/>
    <w:rsid w:val="00F976E3"/>
    <w:rsid w:val="00FA0AE4"/>
    <w:rsid w:val="00FA11BE"/>
    <w:rsid w:val="00FA16B0"/>
    <w:rsid w:val="00FA16CF"/>
    <w:rsid w:val="00FA1759"/>
    <w:rsid w:val="00FA266C"/>
    <w:rsid w:val="00FA3010"/>
    <w:rsid w:val="00FA32BD"/>
    <w:rsid w:val="00FA3753"/>
    <w:rsid w:val="00FA3BAC"/>
    <w:rsid w:val="00FA3E4B"/>
    <w:rsid w:val="00FA5489"/>
    <w:rsid w:val="00FA57D7"/>
    <w:rsid w:val="00FA5FF7"/>
    <w:rsid w:val="00FA6982"/>
    <w:rsid w:val="00FA6DA5"/>
    <w:rsid w:val="00FA721B"/>
    <w:rsid w:val="00FB06ED"/>
    <w:rsid w:val="00FB0E42"/>
    <w:rsid w:val="00FB1DD5"/>
    <w:rsid w:val="00FB1F7F"/>
    <w:rsid w:val="00FB27FB"/>
    <w:rsid w:val="00FB2B28"/>
    <w:rsid w:val="00FB2B80"/>
    <w:rsid w:val="00FB4298"/>
    <w:rsid w:val="00FB63AC"/>
    <w:rsid w:val="00FB6A4E"/>
    <w:rsid w:val="00FB76DB"/>
    <w:rsid w:val="00FB7825"/>
    <w:rsid w:val="00FC0382"/>
    <w:rsid w:val="00FC10EA"/>
    <w:rsid w:val="00FC24EE"/>
    <w:rsid w:val="00FC2687"/>
    <w:rsid w:val="00FC28D9"/>
    <w:rsid w:val="00FC36AB"/>
    <w:rsid w:val="00FC3FEE"/>
    <w:rsid w:val="00FC4B61"/>
    <w:rsid w:val="00FC5842"/>
    <w:rsid w:val="00FC6165"/>
    <w:rsid w:val="00FC63C2"/>
    <w:rsid w:val="00FC67A6"/>
    <w:rsid w:val="00FC7747"/>
    <w:rsid w:val="00FC77CB"/>
    <w:rsid w:val="00FC79A8"/>
    <w:rsid w:val="00FD0417"/>
    <w:rsid w:val="00FD0FF3"/>
    <w:rsid w:val="00FD164E"/>
    <w:rsid w:val="00FD16F9"/>
    <w:rsid w:val="00FD1727"/>
    <w:rsid w:val="00FD2317"/>
    <w:rsid w:val="00FD2798"/>
    <w:rsid w:val="00FD3082"/>
    <w:rsid w:val="00FD49C6"/>
    <w:rsid w:val="00FD541A"/>
    <w:rsid w:val="00FD63E2"/>
    <w:rsid w:val="00FD665C"/>
    <w:rsid w:val="00FD691A"/>
    <w:rsid w:val="00FD6E2C"/>
    <w:rsid w:val="00FD7DC3"/>
    <w:rsid w:val="00FE09CC"/>
    <w:rsid w:val="00FE09E9"/>
    <w:rsid w:val="00FE0EE4"/>
    <w:rsid w:val="00FE1DF2"/>
    <w:rsid w:val="00FE4F08"/>
    <w:rsid w:val="00FE536D"/>
    <w:rsid w:val="00FE566C"/>
    <w:rsid w:val="00FE6FC8"/>
    <w:rsid w:val="00FF0299"/>
    <w:rsid w:val="00FF0BD2"/>
    <w:rsid w:val="00FF0C66"/>
    <w:rsid w:val="00FF0D35"/>
    <w:rsid w:val="00FF336A"/>
    <w:rsid w:val="00FF369D"/>
    <w:rsid w:val="00FF5966"/>
    <w:rsid w:val="00FF6840"/>
    <w:rsid w:val="00FF71EC"/>
    <w:rsid w:val="00FF732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o:shapedefaults>
    <o:shapelayout v:ext="edit">
      <o:idmap v:ext="edit" data="2"/>
    </o:shapelayout>
  </w:shapeDefaults>
  <w:decimalSymbol w:val=","/>
  <w:listSeparator w:val=";"/>
  <w14:docId w14:val="7EFB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link w:val="Kop1Char"/>
    <w:qFormat/>
    <w:rsid w:val="00775344"/>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5"/>
      </w:numPr>
      <w:spacing w:before="240" w:after="60"/>
      <w:outlineLvl w:val="4"/>
    </w:pPr>
    <w:rPr>
      <w:b/>
      <w:bCs/>
      <w:i/>
      <w:iCs/>
      <w:sz w:val="26"/>
      <w:szCs w:val="26"/>
    </w:rPr>
  </w:style>
  <w:style w:type="paragraph" w:styleId="Kop6">
    <w:name w:val="heading 6"/>
    <w:basedOn w:val="Standaard"/>
    <w:next w:val="Standaard"/>
    <w:qFormat/>
    <w:rsid w:val="008C67AF"/>
    <w:pPr>
      <w:numPr>
        <w:ilvl w:val="5"/>
        <w:numId w:val="6"/>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6"/>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6"/>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Geenafstand">
    <w:name w:val="No Spacing"/>
    <w:link w:val="GeenafstandChar"/>
    <w:uiPriority w:val="1"/>
    <w:qFormat/>
    <w:rsid w:val="00EA506F"/>
    <w:rPr>
      <w:rFonts w:ascii="Verdana" w:eastAsiaTheme="minorHAnsi" w:hAnsi="Verdana" w:cstheme="minorBidi"/>
      <w:sz w:val="18"/>
      <w:szCs w:val="22"/>
      <w:lang w:val="en-US" w:eastAsia="en-US"/>
    </w:rPr>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link w:val="KoptekstChar"/>
    <w:uiPriority w:val="99"/>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character" w:customStyle="1" w:styleId="GeenafstandChar">
    <w:name w:val="Geen afstand Char"/>
    <w:basedOn w:val="Standaardalinea-lettertype"/>
    <w:link w:val="Geenafstand"/>
    <w:uiPriority w:val="1"/>
    <w:locked/>
    <w:rsid w:val="00EA506F"/>
    <w:rPr>
      <w:rFonts w:ascii="Verdana" w:eastAsiaTheme="minorHAnsi" w:hAnsi="Verdana" w:cstheme="minorBidi"/>
      <w:sz w:val="18"/>
      <w:szCs w:val="22"/>
      <w:lang w:val="en-US" w:eastAsia="en-US"/>
    </w:rPr>
  </w:style>
  <w:style w:type="paragraph" w:styleId="Normaalweb">
    <w:name w:val="Normal (Web)"/>
    <w:basedOn w:val="Standaard"/>
    <w:rsid w:val="005C164B"/>
  </w:style>
  <w:style w:type="character" w:customStyle="1" w:styleId="VoetnoottekstChar">
    <w:name w:val="Voetnoottekst Char"/>
    <w:basedOn w:val="Standaardalinea-lettertype"/>
    <w:link w:val="Voetnoottekst"/>
    <w:uiPriority w:val="99"/>
    <w:rsid w:val="00EA506F"/>
    <w:rPr>
      <w:rFonts w:ascii="Verdana" w:hAnsi="Verdana"/>
      <w:sz w:val="13"/>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Standaard"/>
    <w:next w:val="Standaard"/>
    <w:semiHidden/>
    <w:rsid w:val="00B77D4C"/>
    <w:pPr>
      <w:tabs>
        <w:tab w:val="left" w:pos="0"/>
      </w:tabs>
      <w:ind w:left="-1160"/>
    </w:pPr>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customStyle="1" w:styleId="Tussenkopzondernummering">
    <w:name w:val="Tussenkop zonder nummering"/>
    <w:next w:val="Standaard"/>
    <w:rsid w:val="008677B8"/>
    <w:pPr>
      <w:spacing w:before="200" w:line="300" w:lineRule="atLeast"/>
    </w:pPr>
    <w:rPr>
      <w:rFonts w:ascii="Verdana" w:hAnsi="Verdana" w:cs="Arial"/>
      <w:b/>
      <w:iCs/>
      <w:kern w:val="32"/>
      <w:sz w:val="18"/>
      <w:szCs w:val="28"/>
    </w:rPr>
  </w:style>
  <w:style w:type="paragraph" w:customStyle="1" w:styleId="Huisstijl-Voetnootmarkering">
    <w:name w:val="Huisstijl-Voetnootmarkering"/>
    <w:basedOn w:val="Standaard"/>
    <w:link w:val="Huisstijl-VoetnootmarkeringChar"/>
    <w:rsid w:val="008677B8"/>
    <w:rPr>
      <w:vertAlign w:val="superscript"/>
    </w:rPr>
  </w:style>
  <w:style w:type="character" w:customStyle="1" w:styleId="Huisstijl-VoetnootmarkeringChar">
    <w:name w:val="Huisstijl-Voetnootmarkering Char"/>
    <w:basedOn w:val="Standaardalinea-lettertype"/>
    <w:link w:val="Huisstijl-Voetnootmarkering"/>
    <w:rsid w:val="008677B8"/>
    <w:rPr>
      <w:rFonts w:ascii="Verdana" w:hAnsi="Verdana"/>
      <w:sz w:val="18"/>
      <w:szCs w:val="24"/>
      <w:vertAlign w:val="superscript"/>
      <w:lang w:val="nl-NL" w:eastAsia="nl-NL" w:bidi="ar-SA"/>
    </w:rPr>
  </w:style>
  <w:style w:type="paragraph" w:customStyle="1" w:styleId="Huisstijl-Voetnoottekst">
    <w:name w:val="Huisstijl-Voetnoottekst"/>
    <w:basedOn w:val="Voetnoottekst"/>
    <w:link w:val="Huisstijl-VoetnoottekstChar"/>
    <w:rsid w:val="008677B8"/>
    <w:pPr>
      <w:tabs>
        <w:tab w:val="clear" w:pos="600"/>
        <w:tab w:val="left" w:pos="227"/>
      </w:tabs>
      <w:ind w:left="227" w:hanging="227"/>
    </w:pPr>
  </w:style>
  <w:style w:type="character" w:customStyle="1" w:styleId="Huisstijl-VoetnoottekstChar">
    <w:name w:val="Huisstijl-Voetnoottekst Char"/>
    <w:basedOn w:val="Standaardalinea-lettertype"/>
    <w:link w:val="Huisstijl-Voetnoottekst"/>
    <w:rsid w:val="008677B8"/>
    <w:rPr>
      <w:rFonts w:ascii="Verdana" w:hAnsi="Verdana"/>
      <w:sz w:val="13"/>
      <w:lang w:val="nl-NL" w:eastAsia="nl-NL" w:bidi="ar-SA"/>
    </w:rPr>
  </w:style>
  <w:style w:type="paragraph" w:styleId="Ballontekst">
    <w:name w:val="Balloon Text"/>
    <w:basedOn w:val="Standaard"/>
    <w:link w:val="BallontekstChar"/>
    <w:rsid w:val="0002423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24231"/>
    <w:rPr>
      <w:rFonts w:ascii="Tahoma" w:hAnsi="Tahoma" w:cs="Tahoma"/>
      <w:sz w:val="16"/>
      <w:szCs w:val="16"/>
    </w:rPr>
  </w:style>
  <w:style w:type="paragraph" w:styleId="Lijstalinea">
    <w:name w:val="List Paragraph"/>
    <w:basedOn w:val="Standaard"/>
    <w:uiPriority w:val="34"/>
    <w:qFormat/>
    <w:rsid w:val="00071091"/>
    <w:pPr>
      <w:ind w:left="720"/>
      <w:contextualSpacing/>
    </w:pPr>
  </w:style>
  <w:style w:type="table" w:customStyle="1" w:styleId="Lijsttabel3-Accent51">
    <w:name w:val="Lijsttabel 3 - Accent 51"/>
    <w:basedOn w:val="Standaardtabel"/>
    <w:uiPriority w:val="48"/>
    <w:rsid w:val="006E56AE"/>
    <w:rPr>
      <w:rFonts w:ascii="Verdana" w:eastAsiaTheme="minorHAnsi" w:hAnsi="Verdana" w:cstheme="minorBidi"/>
      <w:sz w:val="18"/>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Kopvaninhoudsopgave">
    <w:name w:val="TOC Heading"/>
    <w:basedOn w:val="Kop1"/>
    <w:next w:val="Standaard"/>
    <w:uiPriority w:val="39"/>
    <w:unhideWhenUsed/>
    <w:qFormat/>
    <w:rsid w:val="00B77D4C"/>
    <w:pPr>
      <w:keepNext/>
      <w:keepLines/>
      <w:pageBreakBefore w:val="0"/>
      <w:widowControl/>
      <w:numPr>
        <w:numId w:val="0"/>
      </w:numPr>
      <w:spacing w:before="240" w:after="0" w:line="259" w:lineRule="auto"/>
      <w:contextualSpacing w:val="0"/>
      <w:outlineLvl w:val="9"/>
    </w:pPr>
    <w:rPr>
      <w:rFonts w:asciiTheme="majorHAnsi" w:eastAsiaTheme="majorEastAsia" w:hAnsiTheme="majorHAnsi" w:cstheme="majorBidi"/>
      <w:bCs w:val="0"/>
      <w:color w:val="365F91" w:themeColor="accent1" w:themeShade="BF"/>
      <w:kern w:val="0"/>
      <w:sz w:val="32"/>
      <w:szCs w:val="32"/>
    </w:rPr>
  </w:style>
  <w:style w:type="paragraph" w:styleId="Inhopg1">
    <w:name w:val="toc 1"/>
    <w:basedOn w:val="Standaard"/>
    <w:next w:val="Standaard"/>
    <w:autoRedefine/>
    <w:uiPriority w:val="39"/>
    <w:unhideWhenUsed/>
    <w:rsid w:val="00FF5966"/>
    <w:pPr>
      <w:spacing w:after="100"/>
    </w:pPr>
  </w:style>
  <w:style w:type="paragraph" w:styleId="Inhopg2">
    <w:name w:val="toc 2"/>
    <w:basedOn w:val="Standaard"/>
    <w:next w:val="Standaard"/>
    <w:autoRedefine/>
    <w:uiPriority w:val="39"/>
    <w:unhideWhenUsed/>
    <w:rsid w:val="00FF5966"/>
    <w:pPr>
      <w:spacing w:after="100"/>
      <w:ind w:left="180"/>
    </w:pPr>
  </w:style>
  <w:style w:type="paragraph" w:styleId="Inhopg3">
    <w:name w:val="toc 3"/>
    <w:basedOn w:val="Standaard"/>
    <w:next w:val="Standaard"/>
    <w:autoRedefine/>
    <w:uiPriority w:val="39"/>
    <w:unhideWhenUsed/>
    <w:rsid w:val="00FF5966"/>
    <w:pPr>
      <w:spacing w:after="100"/>
      <w:ind w:left="360"/>
    </w:pPr>
  </w:style>
  <w:style w:type="character" w:styleId="Verwijzingopmerking">
    <w:name w:val="annotation reference"/>
    <w:basedOn w:val="Standaardalinea-lettertype"/>
    <w:uiPriority w:val="99"/>
    <w:semiHidden/>
    <w:unhideWhenUsed/>
    <w:rsid w:val="00276474"/>
    <w:rPr>
      <w:sz w:val="16"/>
      <w:szCs w:val="16"/>
    </w:rPr>
  </w:style>
  <w:style w:type="paragraph" w:styleId="Tekstopmerking">
    <w:name w:val="annotation text"/>
    <w:basedOn w:val="Standaard"/>
    <w:link w:val="TekstopmerkingChar"/>
    <w:uiPriority w:val="99"/>
    <w:unhideWhenUsed/>
    <w:rsid w:val="00276474"/>
    <w:pPr>
      <w:spacing w:line="240" w:lineRule="auto"/>
    </w:pPr>
    <w:rPr>
      <w:sz w:val="20"/>
      <w:szCs w:val="20"/>
    </w:rPr>
  </w:style>
  <w:style w:type="character" w:customStyle="1" w:styleId="TekstopmerkingChar">
    <w:name w:val="Tekst opmerking Char"/>
    <w:basedOn w:val="Standaardalinea-lettertype"/>
    <w:link w:val="Tekstopmerking"/>
    <w:uiPriority w:val="99"/>
    <w:rsid w:val="00276474"/>
    <w:rPr>
      <w:rFonts w:ascii="Verdana" w:hAnsi="Verdana"/>
    </w:rPr>
  </w:style>
  <w:style w:type="paragraph" w:styleId="Onderwerpvanopmerking">
    <w:name w:val="annotation subject"/>
    <w:basedOn w:val="Tekstopmerking"/>
    <w:next w:val="Tekstopmerking"/>
    <w:link w:val="OnderwerpvanopmerkingChar"/>
    <w:semiHidden/>
    <w:unhideWhenUsed/>
    <w:rsid w:val="00276474"/>
    <w:rPr>
      <w:b/>
      <w:bCs/>
    </w:rPr>
  </w:style>
  <w:style w:type="character" w:customStyle="1" w:styleId="OnderwerpvanopmerkingChar">
    <w:name w:val="Onderwerp van opmerking Char"/>
    <w:basedOn w:val="TekstopmerkingChar"/>
    <w:link w:val="Onderwerpvanopmerking"/>
    <w:semiHidden/>
    <w:rsid w:val="00276474"/>
    <w:rPr>
      <w:rFonts w:ascii="Verdana" w:hAnsi="Verdana"/>
      <w:b/>
      <w:bCs/>
    </w:rPr>
  </w:style>
  <w:style w:type="paragraph" w:customStyle="1" w:styleId="Default">
    <w:name w:val="Default"/>
    <w:rsid w:val="003774A3"/>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494B2B"/>
    <w:rPr>
      <w:rFonts w:ascii="Verdana" w:hAnsi="Verdana"/>
      <w:sz w:val="18"/>
      <w:szCs w:val="24"/>
    </w:rPr>
  </w:style>
  <w:style w:type="paragraph" w:styleId="Plattetekst">
    <w:name w:val="Body Text"/>
    <w:basedOn w:val="Standaard"/>
    <w:link w:val="PlattetekstChar"/>
    <w:uiPriority w:val="1"/>
    <w:qFormat/>
    <w:rsid w:val="00FC5842"/>
    <w:pPr>
      <w:widowControl w:val="0"/>
      <w:autoSpaceDE w:val="0"/>
      <w:autoSpaceDN w:val="0"/>
      <w:spacing w:line="240" w:lineRule="auto"/>
    </w:pPr>
    <w:rPr>
      <w:rFonts w:eastAsia="Verdana" w:cs="Verdana"/>
      <w:i/>
      <w:iCs/>
      <w:szCs w:val="18"/>
      <w:lang w:eastAsia="en-US"/>
    </w:rPr>
  </w:style>
  <w:style w:type="character" w:customStyle="1" w:styleId="PlattetekstChar">
    <w:name w:val="Platte tekst Char"/>
    <w:basedOn w:val="Standaardalinea-lettertype"/>
    <w:link w:val="Plattetekst"/>
    <w:uiPriority w:val="1"/>
    <w:rsid w:val="00FC5842"/>
    <w:rPr>
      <w:rFonts w:ascii="Verdana" w:eastAsia="Verdana" w:hAnsi="Verdana" w:cs="Verdana"/>
      <w:i/>
      <w:iCs/>
      <w:sz w:val="18"/>
      <w:szCs w:val="18"/>
      <w:lang w:eastAsia="en-US"/>
    </w:rPr>
  </w:style>
  <w:style w:type="character" w:styleId="GevolgdeHyperlink">
    <w:name w:val="FollowedHyperlink"/>
    <w:basedOn w:val="Standaardalinea-lettertype"/>
    <w:semiHidden/>
    <w:unhideWhenUsed/>
    <w:rsid w:val="00524183"/>
    <w:rPr>
      <w:color w:val="800080" w:themeColor="followedHyperlink"/>
      <w:u w:val="single"/>
    </w:rPr>
  </w:style>
  <w:style w:type="character" w:customStyle="1" w:styleId="KoptekstChar">
    <w:name w:val="Koptekst Char"/>
    <w:basedOn w:val="Standaardalinea-lettertype"/>
    <w:link w:val="Koptekst"/>
    <w:uiPriority w:val="99"/>
    <w:rsid w:val="00180DEA"/>
    <w:rPr>
      <w:rFonts w:ascii="Verdana" w:hAnsi="Verdana"/>
      <w:sz w:val="18"/>
      <w:szCs w:val="24"/>
    </w:rPr>
  </w:style>
  <w:style w:type="paragraph" w:customStyle="1" w:styleId="Stijl1">
    <w:name w:val="Stijl1"/>
    <w:basedOn w:val="Kop3"/>
    <w:link w:val="Stijl1Char"/>
    <w:qFormat/>
    <w:rsid w:val="004F2046"/>
    <w:rPr>
      <w:b/>
      <w:i w:val="0"/>
      <w:sz w:val="20"/>
    </w:rPr>
  </w:style>
  <w:style w:type="character" w:customStyle="1" w:styleId="Kop1Char">
    <w:name w:val="Kop 1 Char"/>
    <w:basedOn w:val="Standaardalinea-lettertype"/>
    <w:link w:val="Kop1"/>
    <w:rsid w:val="00E10C78"/>
    <w:rPr>
      <w:rFonts w:ascii="Verdana" w:hAnsi="Verdana" w:cs="Arial"/>
      <w:bCs/>
      <w:kern w:val="32"/>
      <w:sz w:val="24"/>
      <w:szCs w:val="18"/>
    </w:rPr>
  </w:style>
  <w:style w:type="character" w:customStyle="1" w:styleId="Kop4Char">
    <w:name w:val="Kop 4 Char"/>
    <w:basedOn w:val="Kop1Char"/>
    <w:link w:val="Kop4"/>
    <w:rsid w:val="00E10C78"/>
    <w:rPr>
      <w:rFonts w:ascii="Verdana" w:hAnsi="Verdana" w:cs="Arial"/>
      <w:bCs w:val="0"/>
      <w:kern w:val="32"/>
      <w:sz w:val="18"/>
      <w:szCs w:val="28"/>
    </w:rPr>
  </w:style>
  <w:style w:type="character" w:customStyle="1" w:styleId="Stijl1Char">
    <w:name w:val="Stijl1 Char"/>
    <w:basedOn w:val="Kop4Char"/>
    <w:link w:val="Stijl1"/>
    <w:rsid w:val="004F2046"/>
    <w:rPr>
      <w:rFonts w:ascii="Verdana" w:hAnsi="Verdana" w:cs="Arial"/>
      <w:b/>
      <w:bCs w:val="0"/>
      <w:kern w:val="32"/>
      <w:sz w:val="18"/>
      <w:szCs w:val="26"/>
    </w:rPr>
  </w:style>
  <w:style w:type="paragraph" w:customStyle="1" w:styleId="broodtekst">
    <w:name w:val="broodtekst"/>
    <w:basedOn w:val="Standaard"/>
    <w:qFormat/>
    <w:rsid w:val="00752376"/>
    <w:pPr>
      <w:autoSpaceDE w:val="0"/>
      <w:autoSpaceDN w:val="0"/>
      <w:adjustRightInd w:val="0"/>
    </w:pPr>
    <w:rPr>
      <w:szCs w:val="18"/>
    </w:rPr>
  </w:style>
  <w:style w:type="paragraph" w:customStyle="1" w:styleId="Standaardbrieftekst">
    <w:name w:val="Standaard brieftekst"/>
    <w:basedOn w:val="Standaard"/>
    <w:link w:val="StandaardbrieftekstChar"/>
    <w:qFormat/>
    <w:rsid w:val="00752376"/>
    <w:rPr>
      <w:rFonts w:eastAsia="Calibri"/>
      <w:szCs w:val="22"/>
      <w:lang w:eastAsia="en-US"/>
    </w:rPr>
  </w:style>
  <w:style w:type="character" w:customStyle="1" w:styleId="StandaardbrieftekstChar">
    <w:name w:val="Standaard brieftekst Char"/>
    <w:basedOn w:val="Standaardalinea-lettertype"/>
    <w:link w:val="Standaardbrieftekst"/>
    <w:rsid w:val="00752376"/>
    <w:rPr>
      <w:rFonts w:ascii="Verdana" w:eastAsia="Calibri" w:hAnsi="Verdana"/>
      <w:sz w:val="18"/>
      <w:szCs w:val="22"/>
      <w:lang w:eastAsia="en-US"/>
    </w:rPr>
  </w:style>
  <w:style w:type="character" w:customStyle="1" w:styleId="VoettekstChar">
    <w:name w:val="Voettekst Char"/>
    <w:basedOn w:val="Standaardalinea-lettertype"/>
    <w:link w:val="Voettekst"/>
    <w:uiPriority w:val="99"/>
    <w:rsid w:val="0075237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696">
      <w:bodyDiv w:val="1"/>
      <w:marLeft w:val="0"/>
      <w:marRight w:val="0"/>
      <w:marTop w:val="0"/>
      <w:marBottom w:val="0"/>
      <w:divBdr>
        <w:top w:val="none" w:sz="0" w:space="0" w:color="auto"/>
        <w:left w:val="none" w:sz="0" w:space="0" w:color="auto"/>
        <w:bottom w:val="none" w:sz="0" w:space="0" w:color="auto"/>
        <w:right w:val="none" w:sz="0" w:space="0" w:color="auto"/>
      </w:divBdr>
    </w:div>
    <w:div w:id="559288768">
      <w:bodyDiv w:val="1"/>
      <w:marLeft w:val="0"/>
      <w:marRight w:val="0"/>
      <w:marTop w:val="0"/>
      <w:marBottom w:val="0"/>
      <w:divBdr>
        <w:top w:val="none" w:sz="0" w:space="0" w:color="auto"/>
        <w:left w:val="none" w:sz="0" w:space="0" w:color="auto"/>
        <w:bottom w:val="none" w:sz="0" w:space="0" w:color="auto"/>
        <w:right w:val="none" w:sz="0" w:space="0" w:color="auto"/>
      </w:divBdr>
    </w:div>
    <w:div w:id="579484265">
      <w:bodyDiv w:val="1"/>
      <w:marLeft w:val="0"/>
      <w:marRight w:val="0"/>
      <w:marTop w:val="0"/>
      <w:marBottom w:val="0"/>
      <w:divBdr>
        <w:top w:val="none" w:sz="0" w:space="0" w:color="auto"/>
        <w:left w:val="none" w:sz="0" w:space="0" w:color="auto"/>
        <w:bottom w:val="none" w:sz="0" w:space="0" w:color="auto"/>
        <w:right w:val="none" w:sz="0" w:space="0" w:color="auto"/>
      </w:divBdr>
    </w:div>
    <w:div w:id="627587558">
      <w:bodyDiv w:val="1"/>
      <w:marLeft w:val="0"/>
      <w:marRight w:val="0"/>
      <w:marTop w:val="0"/>
      <w:marBottom w:val="0"/>
      <w:divBdr>
        <w:top w:val="none" w:sz="0" w:space="0" w:color="auto"/>
        <w:left w:val="none" w:sz="0" w:space="0" w:color="auto"/>
        <w:bottom w:val="none" w:sz="0" w:space="0" w:color="auto"/>
        <w:right w:val="none" w:sz="0" w:space="0" w:color="auto"/>
      </w:divBdr>
    </w:div>
    <w:div w:id="698311376">
      <w:bodyDiv w:val="1"/>
      <w:marLeft w:val="0"/>
      <w:marRight w:val="0"/>
      <w:marTop w:val="0"/>
      <w:marBottom w:val="0"/>
      <w:divBdr>
        <w:top w:val="none" w:sz="0" w:space="0" w:color="auto"/>
        <w:left w:val="none" w:sz="0" w:space="0" w:color="auto"/>
        <w:bottom w:val="none" w:sz="0" w:space="0" w:color="auto"/>
        <w:right w:val="none" w:sz="0" w:space="0" w:color="auto"/>
      </w:divBdr>
    </w:div>
    <w:div w:id="720906751">
      <w:bodyDiv w:val="1"/>
      <w:marLeft w:val="0"/>
      <w:marRight w:val="0"/>
      <w:marTop w:val="0"/>
      <w:marBottom w:val="0"/>
      <w:divBdr>
        <w:top w:val="none" w:sz="0" w:space="0" w:color="auto"/>
        <w:left w:val="none" w:sz="0" w:space="0" w:color="auto"/>
        <w:bottom w:val="none" w:sz="0" w:space="0" w:color="auto"/>
        <w:right w:val="none" w:sz="0" w:space="0" w:color="auto"/>
      </w:divBdr>
    </w:div>
    <w:div w:id="738139011">
      <w:bodyDiv w:val="1"/>
      <w:marLeft w:val="0"/>
      <w:marRight w:val="0"/>
      <w:marTop w:val="0"/>
      <w:marBottom w:val="0"/>
      <w:divBdr>
        <w:top w:val="none" w:sz="0" w:space="0" w:color="auto"/>
        <w:left w:val="none" w:sz="0" w:space="0" w:color="auto"/>
        <w:bottom w:val="none" w:sz="0" w:space="0" w:color="auto"/>
        <w:right w:val="none" w:sz="0" w:space="0" w:color="auto"/>
      </w:divBdr>
    </w:div>
    <w:div w:id="780688527">
      <w:bodyDiv w:val="1"/>
      <w:marLeft w:val="0"/>
      <w:marRight w:val="0"/>
      <w:marTop w:val="0"/>
      <w:marBottom w:val="0"/>
      <w:divBdr>
        <w:top w:val="none" w:sz="0" w:space="0" w:color="auto"/>
        <w:left w:val="none" w:sz="0" w:space="0" w:color="auto"/>
        <w:bottom w:val="none" w:sz="0" w:space="0" w:color="auto"/>
        <w:right w:val="none" w:sz="0" w:space="0" w:color="auto"/>
      </w:divBdr>
    </w:div>
    <w:div w:id="849414125">
      <w:bodyDiv w:val="1"/>
      <w:marLeft w:val="0"/>
      <w:marRight w:val="0"/>
      <w:marTop w:val="0"/>
      <w:marBottom w:val="0"/>
      <w:divBdr>
        <w:top w:val="none" w:sz="0" w:space="0" w:color="auto"/>
        <w:left w:val="none" w:sz="0" w:space="0" w:color="auto"/>
        <w:bottom w:val="none" w:sz="0" w:space="0" w:color="auto"/>
        <w:right w:val="none" w:sz="0" w:space="0" w:color="auto"/>
      </w:divBdr>
    </w:div>
    <w:div w:id="1033114428">
      <w:bodyDiv w:val="1"/>
      <w:marLeft w:val="0"/>
      <w:marRight w:val="0"/>
      <w:marTop w:val="0"/>
      <w:marBottom w:val="0"/>
      <w:divBdr>
        <w:top w:val="none" w:sz="0" w:space="0" w:color="auto"/>
        <w:left w:val="none" w:sz="0" w:space="0" w:color="auto"/>
        <w:bottom w:val="none" w:sz="0" w:space="0" w:color="auto"/>
        <w:right w:val="none" w:sz="0" w:space="0" w:color="auto"/>
      </w:divBdr>
    </w:div>
    <w:div w:id="1230653249">
      <w:bodyDiv w:val="1"/>
      <w:marLeft w:val="0"/>
      <w:marRight w:val="0"/>
      <w:marTop w:val="0"/>
      <w:marBottom w:val="0"/>
      <w:divBdr>
        <w:top w:val="none" w:sz="0" w:space="0" w:color="auto"/>
        <w:left w:val="none" w:sz="0" w:space="0" w:color="auto"/>
        <w:bottom w:val="none" w:sz="0" w:space="0" w:color="auto"/>
        <w:right w:val="none" w:sz="0" w:space="0" w:color="auto"/>
      </w:divBdr>
    </w:div>
    <w:div w:id="1243176901">
      <w:bodyDiv w:val="1"/>
      <w:marLeft w:val="0"/>
      <w:marRight w:val="0"/>
      <w:marTop w:val="0"/>
      <w:marBottom w:val="0"/>
      <w:divBdr>
        <w:top w:val="none" w:sz="0" w:space="0" w:color="auto"/>
        <w:left w:val="none" w:sz="0" w:space="0" w:color="auto"/>
        <w:bottom w:val="none" w:sz="0" w:space="0" w:color="auto"/>
        <w:right w:val="none" w:sz="0" w:space="0" w:color="auto"/>
      </w:divBdr>
    </w:div>
    <w:div w:id="1301764849">
      <w:bodyDiv w:val="1"/>
      <w:marLeft w:val="0"/>
      <w:marRight w:val="0"/>
      <w:marTop w:val="0"/>
      <w:marBottom w:val="0"/>
      <w:divBdr>
        <w:top w:val="none" w:sz="0" w:space="0" w:color="auto"/>
        <w:left w:val="none" w:sz="0" w:space="0" w:color="auto"/>
        <w:bottom w:val="none" w:sz="0" w:space="0" w:color="auto"/>
        <w:right w:val="none" w:sz="0" w:space="0" w:color="auto"/>
      </w:divBdr>
    </w:div>
    <w:div w:id="1311449096">
      <w:bodyDiv w:val="1"/>
      <w:marLeft w:val="0"/>
      <w:marRight w:val="0"/>
      <w:marTop w:val="0"/>
      <w:marBottom w:val="0"/>
      <w:divBdr>
        <w:top w:val="none" w:sz="0" w:space="0" w:color="auto"/>
        <w:left w:val="none" w:sz="0" w:space="0" w:color="auto"/>
        <w:bottom w:val="none" w:sz="0" w:space="0" w:color="auto"/>
        <w:right w:val="none" w:sz="0" w:space="0" w:color="auto"/>
      </w:divBdr>
    </w:div>
    <w:div w:id="1368290366">
      <w:bodyDiv w:val="1"/>
      <w:marLeft w:val="0"/>
      <w:marRight w:val="0"/>
      <w:marTop w:val="0"/>
      <w:marBottom w:val="0"/>
      <w:divBdr>
        <w:top w:val="none" w:sz="0" w:space="0" w:color="auto"/>
        <w:left w:val="none" w:sz="0" w:space="0" w:color="auto"/>
        <w:bottom w:val="none" w:sz="0" w:space="0" w:color="auto"/>
        <w:right w:val="none" w:sz="0" w:space="0" w:color="auto"/>
      </w:divBdr>
    </w:div>
    <w:div w:id="1468550457">
      <w:bodyDiv w:val="1"/>
      <w:marLeft w:val="0"/>
      <w:marRight w:val="0"/>
      <w:marTop w:val="0"/>
      <w:marBottom w:val="0"/>
      <w:divBdr>
        <w:top w:val="none" w:sz="0" w:space="0" w:color="auto"/>
        <w:left w:val="none" w:sz="0" w:space="0" w:color="auto"/>
        <w:bottom w:val="none" w:sz="0" w:space="0" w:color="auto"/>
        <w:right w:val="none" w:sz="0" w:space="0" w:color="auto"/>
      </w:divBdr>
    </w:div>
    <w:div w:id="1506289482">
      <w:bodyDiv w:val="1"/>
      <w:marLeft w:val="0"/>
      <w:marRight w:val="0"/>
      <w:marTop w:val="0"/>
      <w:marBottom w:val="0"/>
      <w:divBdr>
        <w:top w:val="none" w:sz="0" w:space="0" w:color="auto"/>
        <w:left w:val="none" w:sz="0" w:space="0" w:color="auto"/>
        <w:bottom w:val="none" w:sz="0" w:space="0" w:color="auto"/>
        <w:right w:val="none" w:sz="0" w:space="0" w:color="auto"/>
      </w:divBdr>
    </w:div>
    <w:div w:id="1508515183">
      <w:bodyDiv w:val="1"/>
      <w:marLeft w:val="0"/>
      <w:marRight w:val="0"/>
      <w:marTop w:val="0"/>
      <w:marBottom w:val="0"/>
      <w:divBdr>
        <w:top w:val="none" w:sz="0" w:space="0" w:color="auto"/>
        <w:left w:val="none" w:sz="0" w:space="0" w:color="auto"/>
        <w:bottom w:val="none" w:sz="0" w:space="0" w:color="auto"/>
        <w:right w:val="none" w:sz="0" w:space="0" w:color="auto"/>
      </w:divBdr>
    </w:div>
    <w:div w:id="1548494656">
      <w:bodyDiv w:val="1"/>
      <w:marLeft w:val="0"/>
      <w:marRight w:val="0"/>
      <w:marTop w:val="0"/>
      <w:marBottom w:val="0"/>
      <w:divBdr>
        <w:top w:val="none" w:sz="0" w:space="0" w:color="auto"/>
        <w:left w:val="none" w:sz="0" w:space="0" w:color="auto"/>
        <w:bottom w:val="none" w:sz="0" w:space="0" w:color="auto"/>
        <w:right w:val="none" w:sz="0" w:space="0" w:color="auto"/>
      </w:divBdr>
    </w:div>
    <w:div w:id="1739018233">
      <w:bodyDiv w:val="1"/>
      <w:marLeft w:val="0"/>
      <w:marRight w:val="0"/>
      <w:marTop w:val="0"/>
      <w:marBottom w:val="0"/>
      <w:divBdr>
        <w:top w:val="none" w:sz="0" w:space="0" w:color="auto"/>
        <w:left w:val="none" w:sz="0" w:space="0" w:color="auto"/>
        <w:bottom w:val="none" w:sz="0" w:space="0" w:color="auto"/>
        <w:right w:val="none" w:sz="0" w:space="0" w:color="auto"/>
      </w:divBdr>
    </w:div>
    <w:div w:id="1771197855">
      <w:bodyDiv w:val="1"/>
      <w:marLeft w:val="0"/>
      <w:marRight w:val="0"/>
      <w:marTop w:val="0"/>
      <w:marBottom w:val="0"/>
      <w:divBdr>
        <w:top w:val="none" w:sz="0" w:space="0" w:color="auto"/>
        <w:left w:val="none" w:sz="0" w:space="0" w:color="auto"/>
        <w:bottom w:val="none" w:sz="0" w:space="0" w:color="auto"/>
        <w:right w:val="none" w:sz="0" w:space="0" w:color="auto"/>
      </w:divBdr>
    </w:div>
    <w:div w:id="1775713302">
      <w:bodyDiv w:val="1"/>
      <w:marLeft w:val="0"/>
      <w:marRight w:val="0"/>
      <w:marTop w:val="0"/>
      <w:marBottom w:val="0"/>
      <w:divBdr>
        <w:top w:val="none" w:sz="0" w:space="0" w:color="auto"/>
        <w:left w:val="none" w:sz="0" w:space="0" w:color="auto"/>
        <w:bottom w:val="none" w:sz="0" w:space="0" w:color="auto"/>
        <w:right w:val="none" w:sz="0" w:space="0" w:color="auto"/>
      </w:divBdr>
    </w:div>
    <w:div w:id="1792241107">
      <w:bodyDiv w:val="1"/>
      <w:marLeft w:val="0"/>
      <w:marRight w:val="0"/>
      <w:marTop w:val="0"/>
      <w:marBottom w:val="0"/>
      <w:divBdr>
        <w:top w:val="none" w:sz="0" w:space="0" w:color="auto"/>
        <w:left w:val="none" w:sz="0" w:space="0" w:color="auto"/>
        <w:bottom w:val="none" w:sz="0" w:space="0" w:color="auto"/>
        <w:right w:val="none" w:sz="0" w:space="0" w:color="auto"/>
      </w:divBdr>
    </w:div>
    <w:div w:id="1796632764">
      <w:bodyDiv w:val="1"/>
      <w:marLeft w:val="0"/>
      <w:marRight w:val="0"/>
      <w:marTop w:val="0"/>
      <w:marBottom w:val="0"/>
      <w:divBdr>
        <w:top w:val="none" w:sz="0" w:space="0" w:color="auto"/>
        <w:left w:val="none" w:sz="0" w:space="0" w:color="auto"/>
        <w:bottom w:val="none" w:sz="0" w:space="0" w:color="auto"/>
        <w:right w:val="none" w:sz="0" w:space="0" w:color="auto"/>
      </w:divBdr>
    </w:div>
    <w:div w:id="1807501861">
      <w:bodyDiv w:val="1"/>
      <w:marLeft w:val="0"/>
      <w:marRight w:val="0"/>
      <w:marTop w:val="0"/>
      <w:marBottom w:val="0"/>
      <w:divBdr>
        <w:top w:val="none" w:sz="0" w:space="0" w:color="auto"/>
        <w:left w:val="none" w:sz="0" w:space="0" w:color="auto"/>
        <w:bottom w:val="none" w:sz="0" w:space="0" w:color="auto"/>
        <w:right w:val="none" w:sz="0" w:space="0" w:color="auto"/>
      </w:divBdr>
    </w:div>
    <w:div w:id="1816944988">
      <w:bodyDiv w:val="1"/>
      <w:marLeft w:val="0"/>
      <w:marRight w:val="0"/>
      <w:marTop w:val="0"/>
      <w:marBottom w:val="0"/>
      <w:divBdr>
        <w:top w:val="none" w:sz="0" w:space="0" w:color="auto"/>
        <w:left w:val="none" w:sz="0" w:space="0" w:color="auto"/>
        <w:bottom w:val="none" w:sz="0" w:space="0" w:color="auto"/>
        <w:right w:val="none" w:sz="0" w:space="0" w:color="auto"/>
      </w:divBdr>
    </w:div>
    <w:div w:id="1830095820">
      <w:bodyDiv w:val="1"/>
      <w:marLeft w:val="0"/>
      <w:marRight w:val="0"/>
      <w:marTop w:val="0"/>
      <w:marBottom w:val="0"/>
      <w:divBdr>
        <w:top w:val="none" w:sz="0" w:space="0" w:color="auto"/>
        <w:left w:val="none" w:sz="0" w:space="0" w:color="auto"/>
        <w:bottom w:val="none" w:sz="0" w:space="0" w:color="auto"/>
        <w:right w:val="none" w:sz="0" w:space="0" w:color="auto"/>
      </w:divBdr>
    </w:div>
    <w:div w:id="1894076616">
      <w:bodyDiv w:val="1"/>
      <w:marLeft w:val="0"/>
      <w:marRight w:val="0"/>
      <w:marTop w:val="0"/>
      <w:marBottom w:val="0"/>
      <w:divBdr>
        <w:top w:val="none" w:sz="0" w:space="0" w:color="auto"/>
        <w:left w:val="none" w:sz="0" w:space="0" w:color="auto"/>
        <w:bottom w:val="none" w:sz="0" w:space="0" w:color="auto"/>
        <w:right w:val="none" w:sz="0" w:space="0" w:color="auto"/>
      </w:divBdr>
    </w:div>
    <w:div w:id="1963264824">
      <w:bodyDiv w:val="1"/>
      <w:marLeft w:val="0"/>
      <w:marRight w:val="0"/>
      <w:marTop w:val="0"/>
      <w:marBottom w:val="0"/>
      <w:divBdr>
        <w:top w:val="none" w:sz="0" w:space="0" w:color="auto"/>
        <w:left w:val="none" w:sz="0" w:space="0" w:color="auto"/>
        <w:bottom w:val="none" w:sz="0" w:space="0" w:color="auto"/>
        <w:right w:val="none" w:sz="0" w:space="0" w:color="auto"/>
      </w:divBdr>
    </w:div>
    <w:div w:id="1984583775">
      <w:bodyDiv w:val="1"/>
      <w:marLeft w:val="0"/>
      <w:marRight w:val="0"/>
      <w:marTop w:val="0"/>
      <w:marBottom w:val="0"/>
      <w:divBdr>
        <w:top w:val="none" w:sz="0" w:space="0" w:color="auto"/>
        <w:left w:val="none" w:sz="0" w:space="0" w:color="auto"/>
        <w:bottom w:val="none" w:sz="0" w:space="0" w:color="auto"/>
        <w:right w:val="none" w:sz="0" w:space="0" w:color="auto"/>
      </w:divBdr>
    </w:div>
    <w:div w:id="2051685409">
      <w:bodyDiv w:val="1"/>
      <w:marLeft w:val="0"/>
      <w:marRight w:val="0"/>
      <w:marTop w:val="0"/>
      <w:marBottom w:val="0"/>
      <w:divBdr>
        <w:top w:val="none" w:sz="0" w:space="0" w:color="auto"/>
        <w:left w:val="none" w:sz="0" w:space="0" w:color="auto"/>
        <w:bottom w:val="none" w:sz="0" w:space="0" w:color="auto"/>
        <w:right w:val="none" w:sz="0" w:space="0" w:color="auto"/>
      </w:divBdr>
    </w:div>
    <w:div w:id="2068675492">
      <w:bodyDiv w:val="1"/>
      <w:marLeft w:val="0"/>
      <w:marRight w:val="0"/>
      <w:marTop w:val="0"/>
      <w:marBottom w:val="0"/>
      <w:divBdr>
        <w:top w:val="none" w:sz="0" w:space="0" w:color="auto"/>
        <w:left w:val="none" w:sz="0" w:space="0" w:color="auto"/>
        <w:bottom w:val="none" w:sz="0" w:space="0" w:color="auto"/>
        <w:right w:val="none" w:sz="0" w:space="0" w:color="auto"/>
      </w:divBdr>
    </w:div>
    <w:div w:id="20721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chart" Target="charts/chart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emf"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00303/onderzoek_doorlooptijden_ind/f=/vl6pn2ovsjyw.pdf" TargetMode="External"/><Relationship Id="rId2" Type="http://schemas.openxmlformats.org/officeDocument/2006/relationships/hyperlink" Target="https://www.eerstekamer.nl/overig/20200409/brief_van_de_staatssecretaris_van_2/document" TargetMode="External"/><Relationship Id="rId1" Type="http://schemas.openxmlformats.org/officeDocument/2006/relationships/hyperlink" Target="https://cmr.jur.ru.nl/cmr/docs/Rapport.CieVanZwol.2019.pdf" TargetMode="External"/><Relationship Id="rId4" Type="http://schemas.openxmlformats.org/officeDocument/2006/relationships/hyperlink" Target="https://zoek.officielebekendmakingen.nl/kst-35749-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H:\Mijn%20documenten\0000%20Mijn%20doc\01%20Ad%20hoc%20rapp\2026\202605\Totaalquery%20EL%202018-2025%20jaarstanden%20asiel%20en%20nareis%20-%20vraag%20voor%20het%20Tripartite%20overleg%20-%20in%20blau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nl-NL" sz="1800" b="1"/>
              <a:t>Aanvragen en beslissingen Spoor 4 </a:t>
            </a:r>
          </a:p>
        </c:rich>
      </c:tx>
      <c:overlay val="1"/>
      <c:spPr>
        <a:noFill/>
        <a:ln>
          <a:noFill/>
        </a:ln>
        <a:effectLst/>
      </c:spPr>
    </c:title>
    <c:autoTitleDeleted val="0"/>
    <c:plotArea>
      <c:layout>
        <c:manualLayout>
          <c:layoutTarget val="inner"/>
          <c:xMode val="edge"/>
          <c:yMode val="edge"/>
          <c:x val="0.13907093861733699"/>
          <c:y val="0.11283582354767478"/>
          <c:w val="0.84591931525473696"/>
          <c:h val="0.79089142768577803"/>
        </c:manualLayout>
      </c:layout>
      <c:barChart>
        <c:barDir val="col"/>
        <c:grouping val="clustered"/>
        <c:varyColors val="1"/>
        <c:ser>
          <c:idx val="0"/>
          <c:order val="0"/>
          <c:tx>
            <c:strRef>
              <c:f>'Instroom vs Beslissingen'!$B$1</c:f>
              <c:strCache>
                <c:ptCount val="1"/>
                <c:pt idx="0">
                  <c:v>Aanvragen</c:v>
                </c:pt>
              </c:strCache>
            </c:strRef>
          </c:tx>
          <c:spPr>
            <a:solidFill>
              <a:srgbClr val="AABAD7"/>
            </a:solidFill>
            <a:ln>
              <a:noFill/>
            </a:ln>
            <a:effectLst/>
          </c:spPr>
          <c:invertIfNegative val="1"/>
          <c:cat>
            <c:strRef>
              <c:f>'Instroom vs Beslissingen'!$A$2:$A$6</c:f>
              <c:strCache>
                <c:ptCount val="5"/>
                <c:pt idx="0">
                  <c:v>2021</c:v>
                </c:pt>
                <c:pt idx="1">
                  <c:v>2022</c:v>
                </c:pt>
                <c:pt idx="2">
                  <c:v>2023</c:v>
                </c:pt>
                <c:pt idx="3">
                  <c:v>2024</c:v>
                </c:pt>
                <c:pt idx="4">
                  <c:v>2025</c:v>
                </c:pt>
              </c:strCache>
            </c:strRef>
          </c:cat>
          <c:val>
            <c:numRef>
              <c:f>'Instroom vs Beslissingen'!$B$2:$B$6</c:f>
              <c:numCache>
                <c:formatCode>#,##0</c:formatCode>
                <c:ptCount val="5"/>
                <c:pt idx="0">
                  <c:v>26363</c:v>
                </c:pt>
                <c:pt idx="1">
                  <c:v>36335</c:v>
                </c:pt>
                <c:pt idx="2">
                  <c:v>40919</c:v>
                </c:pt>
                <c:pt idx="3">
                  <c:v>36827</c:v>
                </c:pt>
                <c:pt idx="4">
                  <c:v>26877</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FBF0-4A60-B0D4-E4C43B5A269F}"/>
            </c:ext>
          </c:extLst>
        </c:ser>
        <c:ser>
          <c:idx val="1"/>
          <c:order val="1"/>
          <c:tx>
            <c:strRef>
              <c:f>'Instroom vs Beslissingen'!$C$1</c:f>
              <c:strCache>
                <c:ptCount val="1"/>
                <c:pt idx="0">
                  <c:v>Beslissingen</c:v>
                </c:pt>
              </c:strCache>
            </c:strRef>
          </c:tx>
          <c:spPr>
            <a:solidFill>
              <a:srgbClr val="4F81BD"/>
            </a:solidFill>
            <a:ln>
              <a:noFill/>
            </a:ln>
            <a:effectLst/>
          </c:spPr>
          <c:invertIfNegative val="1"/>
          <c:cat>
            <c:strRef>
              <c:f>'Instroom vs Beslissingen'!$A$2:$A$6</c:f>
              <c:strCache>
                <c:ptCount val="5"/>
                <c:pt idx="0">
                  <c:v>2021</c:v>
                </c:pt>
                <c:pt idx="1">
                  <c:v>2022</c:v>
                </c:pt>
                <c:pt idx="2">
                  <c:v>2023</c:v>
                </c:pt>
                <c:pt idx="3">
                  <c:v>2024</c:v>
                </c:pt>
                <c:pt idx="4">
                  <c:v>2025</c:v>
                </c:pt>
              </c:strCache>
            </c:strRef>
          </c:cat>
          <c:val>
            <c:numRef>
              <c:f>'Instroom vs Beslissingen'!$C$2:$C$6</c:f>
              <c:numCache>
                <c:formatCode>#,##0</c:formatCode>
                <c:ptCount val="5"/>
                <c:pt idx="0">
                  <c:v>22139</c:v>
                </c:pt>
                <c:pt idx="1">
                  <c:v>23886</c:v>
                </c:pt>
                <c:pt idx="2">
                  <c:v>27665</c:v>
                </c:pt>
                <c:pt idx="3">
                  <c:v>33158</c:v>
                </c:pt>
                <c:pt idx="4">
                  <c:v>26154</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FBF0-4A60-B0D4-E4C43B5A269F}"/>
            </c:ext>
          </c:extLst>
        </c:ser>
        <c:dLbls>
          <c:showLegendKey val="0"/>
          <c:showVal val="0"/>
          <c:showCatName val="0"/>
          <c:showSerName val="0"/>
          <c:showPercent val="0"/>
          <c:showBubbleSize val="0"/>
        </c:dLbls>
        <c:gapWidth val="150"/>
        <c:axId val="10"/>
        <c:axId val="100"/>
      </c:barChart>
      <c:lineChart>
        <c:grouping val="standard"/>
        <c:varyColors val="1"/>
        <c:ser>
          <c:idx val="2"/>
          <c:order val="2"/>
          <c:tx>
            <c:strRef>
              <c:f>'Instroom vs Beslissingen'!$D$1</c:f>
              <c:strCache>
                <c:ptCount val="1"/>
                <c:pt idx="0">
                  <c:v>Gap</c:v>
                </c:pt>
              </c:strCache>
            </c:strRef>
          </c:tx>
          <c:spPr>
            <a:ln w="19050" cap="rnd" cmpd="sng" algn="ctr">
              <a:solidFill>
                <a:schemeClr val="accent1">
                  <a:shade val="65000"/>
                  <a:shade val="95000"/>
                  <a:satMod val="105000"/>
                </a:schemeClr>
              </a:solidFill>
              <a:prstDash val="solid"/>
              <a:round/>
            </a:ln>
            <a:effectLst/>
          </c:spPr>
          <c:marker>
            <c:symbol val="none"/>
          </c:marker>
          <c:dPt>
            <c:idx val="2"/>
            <c:bubble3D val="0"/>
            <c:extLst>
              <c:ext xmlns:c16="http://schemas.microsoft.com/office/drawing/2014/chart" uri="{C3380CC4-5D6E-409C-BE32-E72D297353CC}">
                <c16:uniqueId val="{00000002-FBF0-4A60-B0D4-E4C43B5A269F}"/>
              </c:ext>
            </c:extLst>
          </c:dPt>
          <c:val>
            <c:numRef>
              <c:f>'Instroom vs Beslissingen'!$D$2:$D$6</c:f>
              <c:numCache>
                <c:formatCode>#,##0</c:formatCode>
                <c:ptCount val="5"/>
                <c:pt idx="0">
                  <c:v>4224</c:v>
                </c:pt>
                <c:pt idx="1">
                  <c:v>16673</c:v>
                </c:pt>
                <c:pt idx="2">
                  <c:v>29927</c:v>
                </c:pt>
                <c:pt idx="3">
                  <c:v>33596</c:v>
                </c:pt>
                <c:pt idx="4">
                  <c:v>34319</c:v>
                </c:pt>
              </c:numCache>
            </c:numRef>
          </c:val>
          <c:smooth val="1"/>
          <c:extLst>
            <c:ext xmlns:c16="http://schemas.microsoft.com/office/drawing/2014/chart" uri="{C3380CC4-5D6E-409C-BE32-E72D297353CC}">
              <c16:uniqueId val="{00000003-FBF0-4A60-B0D4-E4C43B5A269F}"/>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Jaar</a:t>
                </a:r>
              </a:p>
            </c:rich>
          </c:tx>
          <c:layout>
            <c:manualLayout>
              <c:xMode val="edge"/>
              <c:yMode val="edge"/>
              <c:x val="0.54684684665325634"/>
              <c:y val="0.94802214004047813"/>
            </c:manualLayout>
          </c:layout>
          <c:overlay val="1"/>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00"/>
        <c:crosses val="autoZero"/>
        <c:auto val="1"/>
        <c:lblAlgn val="ctr"/>
        <c:lblOffset val="100"/>
        <c:noMultiLvlLbl val="1"/>
      </c:catAx>
      <c:valAx>
        <c:axId val="10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a:t>
                </a:r>
              </a:p>
            </c:rich>
          </c:tx>
          <c:layout>
            <c:manualLayout>
              <c:xMode val="edge"/>
              <c:yMode val="edge"/>
              <c:x val="2.2917099571239139E-2"/>
              <c:y val="0.48293008539029464"/>
            </c:manualLayout>
          </c:layout>
          <c:overlay val="1"/>
          <c:spPr>
            <a:noFill/>
            <a:ln>
              <a:noFill/>
            </a:ln>
            <a:effectLst/>
          </c:spPr>
        </c:title>
        <c:numFmt formatCode="#,##0" sourceLinked="1"/>
        <c:majorTickMark val="none"/>
        <c:minorTickMark val="none"/>
        <c:tickLblPos val="nextTo"/>
        <c:spPr>
          <a:noFill/>
          <a:ln w="6350" cap="rnd"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0"/>
        <c:crosses val="autoZero"/>
        <c:crossBetween val="between"/>
      </c:valAx>
      <c:spPr>
        <a:noFill/>
        <a:ln>
          <a:noFill/>
        </a:ln>
        <a:effectLst/>
      </c:spPr>
    </c:plotArea>
    <c:legend>
      <c:legendPos val="b"/>
      <c:layout>
        <c:manualLayout>
          <c:xMode val="edge"/>
          <c:yMode val="edge"/>
          <c:x val="0.30886547177185247"/>
          <c:y val="0.11846988173627646"/>
          <c:w val="0.37408713990308246"/>
          <c:h val="3.52614416561626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1"/>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4182</ap:Words>
  <ap:Characters>23552</ap:Characters>
  <ap:DocSecurity>0</ap:DocSecurity>
  <ap:Lines>196</ap:Lines>
  <ap:Paragraphs>55</ap:Paragraphs>
  <ap:ScaleCrop>false</ap:ScaleCrop>
  <ap:LinksUpToDate>false</ap:LinksUpToDate>
  <ap:CharactersWithSpaces>27679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2026-06-05T12:23:00.0000000Z</dcterms:created>
  <dcterms:modified xsi:type="dcterms:W3CDTF">2026-06-05T12:23:00.0000000Z</dcterms:modified>
  <dc:description>------------------------</dc:description>
  <dc:subject/>
  <keywords/>
  <version/>
  <category/>
</coreProperties>
</file>