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43D7" w:rsidR="005443D7" w:rsidP="005443D7" w:rsidRDefault="00586A70" w14:paraId="3F9F8645" w14:textId="22F417FF">
      <w:r>
        <w:t>Geachte Voorzitter,</w:t>
      </w:r>
      <w:r>
        <w:br/>
      </w:r>
    </w:p>
    <w:p w:rsidRPr="00CC0D6C" w:rsidR="005443D7" w:rsidP="005443D7" w:rsidRDefault="005443D7" w14:paraId="65EED5C3" w14:textId="77777777">
      <w:pPr>
        <w:rPr>
          <w:color w:val="000000" w:themeColor="text1"/>
        </w:rPr>
      </w:pPr>
      <w:r w:rsidRPr="00CC0D6C">
        <w:rPr>
          <w:color w:val="000000" w:themeColor="text1"/>
        </w:rPr>
        <w:t>Graag informeer ik uw Kamer over de laatste stand van zaken met betrekking tot de Eco-regeling en de uitkomsten van de Gecombineerde opgave 2026.</w:t>
      </w:r>
    </w:p>
    <w:p w:rsidRPr="00CC0D6C" w:rsidR="005443D7" w:rsidP="005443D7" w:rsidRDefault="005443D7" w14:paraId="168B8BBC" w14:textId="77777777">
      <w:pPr>
        <w:rPr>
          <w:color w:val="000000" w:themeColor="text1"/>
        </w:rPr>
      </w:pPr>
    </w:p>
    <w:p w:rsidRPr="00CC0D6C" w:rsidR="005443D7" w:rsidP="005443D7" w:rsidRDefault="005443D7" w14:paraId="027C6260" w14:textId="77777777">
      <w:pPr>
        <w:rPr>
          <w:b/>
          <w:bCs/>
          <w:color w:val="000000" w:themeColor="text1"/>
        </w:rPr>
      </w:pPr>
      <w:r w:rsidRPr="00CC0D6C">
        <w:rPr>
          <w:b/>
          <w:bCs/>
          <w:color w:val="000000" w:themeColor="text1"/>
        </w:rPr>
        <w:t>Beschikkingen en betalingen 2025</w:t>
      </w:r>
    </w:p>
    <w:p w:rsidR="004C1FED" w:rsidP="005443D7" w:rsidRDefault="005443D7" w14:paraId="6BD0400E" w14:textId="353AF603">
      <w:pPr>
        <w:rPr>
          <w:color w:val="000000" w:themeColor="text1"/>
        </w:rPr>
      </w:pPr>
      <w:r w:rsidRPr="00CC0D6C">
        <w:rPr>
          <w:color w:val="000000" w:themeColor="text1"/>
        </w:rPr>
        <w:t xml:space="preserve">Samen met de Rijksdienst voor Ondernemend Nederland (RVO) werk ik hard aan een betrouwbare en voorspelbare uitvoering van de Eco-regeling. Het is belangrijk dat boeren vertrouwen houden in de Eco-regeling en met behulp van dat instrument stappen blijven zetten in de verduurzaming van hun bedrijfsvoering. Tegelijk moeten de betalingen voldoen aan de Europese eisen die op het </w:t>
      </w:r>
      <w:r w:rsidR="00FE41A2">
        <w:rPr>
          <w:color w:val="000000" w:themeColor="text1"/>
        </w:rPr>
        <w:t>Gemeenschappelijk Landbouwbeleid (GLB)</w:t>
      </w:r>
      <w:r w:rsidRPr="00CC0D6C">
        <w:rPr>
          <w:color w:val="000000" w:themeColor="text1"/>
        </w:rPr>
        <w:t xml:space="preserve"> van toepassing zijn en de daaruit voortvloeiende voorwaarden in de subsidieregeling. </w:t>
      </w:r>
    </w:p>
    <w:p w:rsidR="004C1FED" w:rsidP="005443D7" w:rsidRDefault="004C1FED" w14:paraId="766DA08F" w14:textId="77777777">
      <w:pPr>
        <w:rPr>
          <w:color w:val="000000" w:themeColor="text1"/>
        </w:rPr>
      </w:pPr>
    </w:p>
    <w:p w:rsidR="005443D7" w:rsidP="005443D7" w:rsidRDefault="005443D7" w14:paraId="78D69D64" w14:textId="095E0189">
      <w:pPr>
        <w:rPr>
          <w:color w:val="000000" w:themeColor="text1"/>
        </w:rPr>
      </w:pPr>
      <w:r w:rsidRPr="00CC0D6C">
        <w:rPr>
          <w:color w:val="000000" w:themeColor="text1"/>
        </w:rPr>
        <w:t xml:space="preserve">Op 1 juni 2026 heeft RVO 98% van de aanvragen uit 2025 beschikt en in totaal voor € 160 miljoen aan subsidie uitgekeerd, op een budget dat oorspronkelijk was gepland op € 152 miljoen. Daarmee is ook in 2025 een groot deel van de uitvoering succesvol verlopen. </w:t>
      </w:r>
    </w:p>
    <w:p w:rsidRPr="00CC0D6C" w:rsidR="004C1FED" w:rsidP="005443D7" w:rsidRDefault="004C1FED" w14:paraId="41077AB8" w14:textId="341BFA4D">
      <w:pPr>
        <w:rPr>
          <w:color w:val="000000" w:themeColor="text1"/>
        </w:rPr>
      </w:pPr>
      <w:r w:rsidRPr="004C1FED">
        <w:rPr>
          <w:color w:val="000000" w:themeColor="text1"/>
        </w:rPr>
        <w:t xml:space="preserve">Om de afgesproken vergoedingen binnen de Eco-regeling volledig te kunnen uitbetalen, </w:t>
      </w:r>
      <w:r>
        <w:rPr>
          <w:color w:val="000000" w:themeColor="text1"/>
        </w:rPr>
        <w:t>is destijds</w:t>
      </w:r>
      <w:r w:rsidRPr="004C1FED">
        <w:rPr>
          <w:color w:val="000000" w:themeColor="text1"/>
        </w:rPr>
        <w:t xml:space="preserve"> ervoor gekozen om binnen het beschikbare GLB-budget middelen te verschuiven van de basisinkomenssteun naar de Eco-regeling. Hierdoor kon €160 miljoen aan </w:t>
      </w:r>
      <w:r w:rsidR="00BE264A">
        <w:rPr>
          <w:color w:val="000000" w:themeColor="text1"/>
        </w:rPr>
        <w:t>E</w:t>
      </w:r>
      <w:r w:rsidRPr="004C1FED">
        <w:rPr>
          <w:color w:val="000000" w:themeColor="text1"/>
        </w:rPr>
        <w:t>co-premies worden uitgekeerd. Deze verschuiving was mogelijk doordat de uitgaven aan de basispremie lager uitvielen dan oorspronkelijk voorzien in het Nationaal Strategisch Plan. Uw Kamer is hierover op 26 februari 2025 geïnformeerd (Kamerstuk 28625-373).</w:t>
      </w:r>
    </w:p>
    <w:p w:rsidR="004C1FED" w:rsidP="005443D7" w:rsidRDefault="004C1FED" w14:paraId="1529172A" w14:textId="77777777">
      <w:pPr>
        <w:rPr>
          <w:color w:val="000000" w:themeColor="text1"/>
        </w:rPr>
      </w:pPr>
    </w:p>
    <w:p w:rsidR="005443D7" w:rsidP="005443D7" w:rsidRDefault="002A6CC2" w14:paraId="1026E635" w14:textId="602C0E2F">
      <w:pPr>
        <w:rPr>
          <w:color w:val="000000" w:themeColor="text1"/>
        </w:rPr>
      </w:pPr>
      <w:r w:rsidRPr="00CC0D6C">
        <w:rPr>
          <w:color w:val="000000" w:themeColor="text1"/>
        </w:rPr>
        <w:t>Voor 2026 is in totaal is voor 195,3 miljoen euro subsidie aangevraagd, op een beschikbaar budget van 197,3 miljoen euro. Het aangevraagde bedrag is nog altijd fors hoger dan de 152 miljoen die oorspronkelijk voor de Eco-regeling was gepland. Dankzij de budgetverhoging die vorig jaar is doorgevoerd, passen de aanvragen binnen het budget en zullen de afgesproken tarieven in het NSP dit jaar uitbetaald kunnen worden. Dat betekent een basispremie van 171 euro per hectare en in de Eco-regeling 60 euro per hectare voor brons, 100 euro voor zilver en 200 euro voor goud.</w:t>
      </w:r>
    </w:p>
    <w:p w:rsidRPr="00CC0D6C" w:rsidR="002A6CC2" w:rsidP="005443D7" w:rsidRDefault="002A6CC2" w14:paraId="4FFF0BAB" w14:textId="77777777">
      <w:pPr>
        <w:rPr>
          <w:color w:val="000000" w:themeColor="text1"/>
        </w:rPr>
      </w:pPr>
    </w:p>
    <w:p w:rsidRPr="00CC0D6C" w:rsidR="005443D7" w:rsidP="005443D7" w:rsidRDefault="005443D7" w14:paraId="3F5A325B" w14:textId="77777777">
      <w:pPr>
        <w:rPr>
          <w:b/>
          <w:bCs/>
          <w:color w:val="000000" w:themeColor="text1"/>
        </w:rPr>
      </w:pPr>
      <w:r w:rsidRPr="00CC0D6C">
        <w:rPr>
          <w:b/>
          <w:bCs/>
          <w:color w:val="000000" w:themeColor="text1"/>
        </w:rPr>
        <w:t>Herbeoordelingen 2025</w:t>
      </w:r>
    </w:p>
    <w:p w:rsidRPr="00CC0D6C" w:rsidR="005443D7" w:rsidP="005443D7" w:rsidRDefault="005443D7" w14:paraId="024AA242" w14:textId="1F57F804">
      <w:pPr>
        <w:rPr>
          <w:color w:val="000000" w:themeColor="text1"/>
        </w:rPr>
      </w:pPr>
      <w:r w:rsidRPr="00CC0D6C">
        <w:rPr>
          <w:color w:val="000000" w:themeColor="text1"/>
        </w:rPr>
        <w:lastRenderedPageBreak/>
        <w:t>Tegelijkertijd heeft een deel van de</w:t>
      </w:r>
      <w:r w:rsidR="00FE41A2">
        <w:rPr>
          <w:color w:val="000000" w:themeColor="text1"/>
        </w:rPr>
        <w:t xml:space="preserve"> </w:t>
      </w:r>
      <w:r w:rsidRPr="00CC0D6C">
        <w:rPr>
          <w:color w:val="000000" w:themeColor="text1"/>
        </w:rPr>
        <w:t xml:space="preserve">aanvragers een lagere </w:t>
      </w:r>
      <w:r w:rsidR="00BE264A">
        <w:rPr>
          <w:color w:val="000000" w:themeColor="text1"/>
        </w:rPr>
        <w:t>E</w:t>
      </w:r>
      <w:r w:rsidRPr="00CC0D6C">
        <w:rPr>
          <w:color w:val="000000" w:themeColor="text1"/>
        </w:rPr>
        <w:t xml:space="preserve">co-premie ontvangen dan aangevraagd, of zelfs helemaal geen </w:t>
      </w:r>
      <w:r w:rsidR="00BE264A">
        <w:rPr>
          <w:color w:val="000000" w:themeColor="text1"/>
        </w:rPr>
        <w:t>E</w:t>
      </w:r>
      <w:r w:rsidRPr="00CC0D6C">
        <w:rPr>
          <w:color w:val="000000" w:themeColor="text1"/>
        </w:rPr>
        <w:t xml:space="preserve">co-premie. In 1345 gevallen was dit </w:t>
      </w:r>
      <w:r w:rsidR="004C1FED">
        <w:rPr>
          <w:color w:val="000000" w:themeColor="text1"/>
        </w:rPr>
        <w:t xml:space="preserve">mede </w:t>
      </w:r>
      <w:r w:rsidRPr="00CC0D6C">
        <w:rPr>
          <w:color w:val="000000" w:themeColor="text1"/>
        </w:rPr>
        <w:t xml:space="preserve">het gevolg van het afkeuren van de </w:t>
      </w:r>
      <w:r w:rsidR="00BE264A">
        <w:rPr>
          <w:color w:val="000000" w:themeColor="text1"/>
        </w:rPr>
        <w:t>E</w:t>
      </w:r>
      <w:r w:rsidRPr="00CC0D6C">
        <w:rPr>
          <w:color w:val="000000" w:themeColor="text1"/>
        </w:rPr>
        <w:t xml:space="preserve">co-activiteit Groenbedekking zonder voorafgaande menselijke beoordeling, veelal omdat er niet kon worden vastgesteld dat gedurende de vereiste periode werd voldaan aan de minimale bedekkingsgraad van 80%. Ik realiseer mij dat een afwijzing of verlaging van de </w:t>
      </w:r>
      <w:r w:rsidR="00BE264A">
        <w:rPr>
          <w:color w:val="000000" w:themeColor="text1"/>
        </w:rPr>
        <w:t>E</w:t>
      </w:r>
      <w:r w:rsidRPr="00CC0D6C">
        <w:rPr>
          <w:color w:val="000000" w:themeColor="text1"/>
        </w:rPr>
        <w:t xml:space="preserve">co-premie voor betrokken ondernemers een teleurstelling en in voorkomende gevallen ook een financiële tegenvaller kan zijn. Binnen de regelgeving is echter geen ruimte om een rechtmatige betaling te doen voor </w:t>
      </w:r>
      <w:r w:rsidR="00BE264A">
        <w:rPr>
          <w:color w:val="000000" w:themeColor="text1"/>
        </w:rPr>
        <w:t>E</w:t>
      </w:r>
      <w:r w:rsidRPr="00CC0D6C">
        <w:rPr>
          <w:color w:val="000000" w:themeColor="text1"/>
        </w:rPr>
        <w:t xml:space="preserve">co-activiteiten die niet aantoonbaar zijn. </w:t>
      </w:r>
    </w:p>
    <w:p w:rsidR="004C1FED" w:rsidP="005443D7" w:rsidRDefault="004C1FED" w14:paraId="32E833A1" w14:textId="77777777">
      <w:pPr>
        <w:rPr>
          <w:color w:val="000000" w:themeColor="text1"/>
        </w:rPr>
      </w:pPr>
    </w:p>
    <w:p w:rsidRPr="00CC0D6C" w:rsidR="005443D7" w:rsidP="005443D7" w:rsidRDefault="005443D7" w14:paraId="043F5F40" w14:textId="00A1972D">
      <w:pPr>
        <w:rPr>
          <w:color w:val="000000" w:themeColor="text1"/>
        </w:rPr>
      </w:pPr>
      <w:r w:rsidRPr="00CC0D6C">
        <w:rPr>
          <w:color w:val="000000" w:themeColor="text1"/>
        </w:rPr>
        <w:t xml:space="preserve">Deze gevallen worden op dit moment opnieuw door RVO beoordeeld met menselijke beoordeling. Daarbij wordt nadrukkelijk rekening gehouden met situaties waarin sprake kan zijn geweest van een doodgevroren gewas. Begin juni is van de totale groep van ca. 3700 percelen, 60% van de herbeoordelingen afgerond. Nadat de inhoudelijke beoordeling is afgerond, moeten de uitkomsten nog administratief worden verwerkt in het bredere dossier van de aanvrager. Daardoor kan enige tijd zitten tussen het afronden van de herbeoordeling en het verzenden van een eventuele herbeschikking aan de betreffende ondernemer. </w:t>
      </w:r>
      <w:r w:rsidR="004C1FED">
        <w:rPr>
          <w:color w:val="000000" w:themeColor="text1"/>
        </w:rPr>
        <w:t>De herbeoordeling van de percelen is dus nog niet afgerond, maar momenteel</w:t>
      </w:r>
      <w:r w:rsidRPr="00CC0D6C">
        <w:rPr>
          <w:color w:val="000000" w:themeColor="text1"/>
        </w:rPr>
        <w:t xml:space="preserve"> is in ca. 2% van de gevallen de </w:t>
      </w:r>
      <w:r w:rsidR="00BE264A">
        <w:rPr>
          <w:color w:val="000000" w:themeColor="text1"/>
        </w:rPr>
        <w:t>E</w:t>
      </w:r>
      <w:r w:rsidRPr="00CC0D6C">
        <w:rPr>
          <w:color w:val="000000" w:themeColor="text1"/>
        </w:rPr>
        <w:t>co-activiteit alsnog goedgekeurd op basis van de aanvullende menselijke beoordeling. De overige beoordelingen blijven gelijk aan het oorspronkelijke besluit.</w:t>
      </w:r>
      <w:r w:rsidR="00FE41A2">
        <w:rPr>
          <w:color w:val="000000" w:themeColor="text1"/>
        </w:rPr>
        <w:t xml:space="preserve"> </w:t>
      </w:r>
    </w:p>
    <w:p w:rsidR="004C1FED" w:rsidP="005443D7" w:rsidRDefault="004C1FED" w14:paraId="499A5B86" w14:textId="77777777">
      <w:pPr>
        <w:rPr>
          <w:color w:val="000000" w:themeColor="text1"/>
        </w:rPr>
      </w:pPr>
    </w:p>
    <w:p w:rsidRPr="00CC0D6C" w:rsidR="005443D7" w:rsidP="005443D7" w:rsidRDefault="005443D7" w14:paraId="0E35C03F" w14:textId="452578DC">
      <w:pPr>
        <w:rPr>
          <w:color w:val="000000" w:themeColor="text1"/>
        </w:rPr>
      </w:pPr>
      <w:r w:rsidRPr="00CC0D6C">
        <w:rPr>
          <w:color w:val="000000" w:themeColor="text1"/>
        </w:rPr>
        <w:t xml:space="preserve">De voorlopige conclusie is dat uit de herbeoordelingen geen aanwijzingen naar voren komen voor structureel onjuiste beoordelingen door het Areaal Monitoring Systeem (AMS). Wel blijkt dat menselijke beoordeling in specifieke situaties, zoals bij mogelijke gewasschade door weersomstandigheden, van meerwaarde blijft. </w:t>
      </w:r>
    </w:p>
    <w:p w:rsidRPr="00CC0D6C" w:rsidR="005443D7" w:rsidP="005443D7" w:rsidRDefault="005443D7" w14:paraId="3F1CD884" w14:textId="77777777">
      <w:pPr>
        <w:rPr>
          <w:color w:val="000000" w:themeColor="text1"/>
        </w:rPr>
      </w:pPr>
    </w:p>
    <w:p w:rsidRPr="00CC0D6C" w:rsidR="005443D7" w:rsidP="005443D7" w:rsidRDefault="005443D7" w14:paraId="50AB0DEA" w14:textId="77777777">
      <w:pPr>
        <w:rPr>
          <w:b/>
          <w:bCs/>
          <w:color w:val="000000" w:themeColor="text1"/>
        </w:rPr>
      </w:pPr>
      <w:r w:rsidRPr="00CC0D6C">
        <w:rPr>
          <w:b/>
          <w:bCs/>
          <w:color w:val="000000" w:themeColor="text1"/>
        </w:rPr>
        <w:t>Deelname Eco-regeling 2026 en communicatie</w:t>
      </w:r>
    </w:p>
    <w:p w:rsidRPr="00CC0D6C" w:rsidR="005443D7" w:rsidP="005443D7" w:rsidRDefault="005443D7" w14:paraId="4D41B6F4" w14:textId="77777777">
      <w:pPr>
        <w:rPr>
          <w:color w:val="000000" w:themeColor="text1"/>
        </w:rPr>
      </w:pPr>
      <w:r w:rsidRPr="00CC0D6C">
        <w:rPr>
          <w:color w:val="000000" w:themeColor="text1"/>
        </w:rPr>
        <w:t xml:space="preserve">Tot en met 18 mei 2026 hadden boeren weer de mogelijkheid een aanvraag in te dienen voor de rechtstreekse betalingen van het GLB 2026. In totaal hebben 43.276 boeren dat gedaan. Dat is 1% minder dan in 2025. Dit past in een langjarige dalende trend die verband houdt met de daling van het aantal landbouwbedrijven in Nederland. </w:t>
      </w:r>
    </w:p>
    <w:p w:rsidRPr="00CC0D6C" w:rsidR="005443D7" w:rsidP="005443D7" w:rsidRDefault="005443D7" w14:paraId="6D148C86" w14:textId="77777777">
      <w:pPr>
        <w:rPr>
          <w:color w:val="000000" w:themeColor="text1"/>
        </w:rPr>
      </w:pPr>
      <w:r w:rsidRPr="00CC0D6C">
        <w:rPr>
          <w:color w:val="000000" w:themeColor="text1"/>
        </w:rPr>
        <w:t xml:space="preserve">Van de 43.276 GLB-deelnemers hebben 32.052 boeren gekozen voor deelname aan de Eco-regeling. Dat is 6% minder dan vorig jaar. Die daling is significant en heeft mogelijk te maken met het niet voldoen van aanvragers aan de subsidievoorwaarden in 2025. </w:t>
      </w:r>
    </w:p>
    <w:p w:rsidR="004C1FED" w:rsidP="005443D7" w:rsidRDefault="004C1FED" w14:paraId="7DEAB1D2" w14:textId="77777777">
      <w:pPr>
        <w:rPr>
          <w:color w:val="000000" w:themeColor="text1"/>
        </w:rPr>
      </w:pPr>
    </w:p>
    <w:p w:rsidR="009D69FA" w:rsidP="005443D7" w:rsidRDefault="005443D7" w14:paraId="3638C25E" w14:textId="49D59B62">
      <w:pPr>
        <w:rPr>
          <w:color w:val="000000" w:themeColor="text1"/>
        </w:rPr>
      </w:pPr>
      <w:r w:rsidRPr="00CC0D6C">
        <w:rPr>
          <w:color w:val="000000" w:themeColor="text1"/>
        </w:rPr>
        <w:t>Uit gesprekken met boeren, adviseurs en hun vertegenwoordigers komt naar voren dat deze daling mede samenhangt</w:t>
      </w:r>
      <w:r w:rsidR="00FE41A2">
        <w:rPr>
          <w:color w:val="000000" w:themeColor="text1"/>
        </w:rPr>
        <w:t xml:space="preserve"> </w:t>
      </w:r>
      <w:r w:rsidRPr="00CC0D6C">
        <w:rPr>
          <w:color w:val="000000" w:themeColor="text1"/>
        </w:rPr>
        <w:t xml:space="preserve">met de wijze van uitvoering en handhaving van de regeling, waaronder de inzet van satellietmonitoring en de beoordeling van resultaatverplichtingen. </w:t>
      </w:r>
      <w:r w:rsidRPr="009D69FA" w:rsidR="009D69FA">
        <w:rPr>
          <w:color w:val="000000" w:themeColor="text1"/>
        </w:rPr>
        <w:t>Deelnemers geven aan dat het toekennen van subsidie op basis van behaalde resultaten, en niet uitsluitend op basis van de geleverde inspanning, kan leiden tot onzekerheid over de uiteindelijke subsidie. Dat geldt met name wanneer weersomstandigheden of andere externe factoren van invloed zijn op het behalen van de vereiste resultaten. Deze onzekerheid kan voor sommige aanvragers aanleiding zijn om deelname aan de regeling opnieuw af te wegen.</w:t>
      </w:r>
    </w:p>
    <w:p w:rsidRPr="009D69FA" w:rsidR="009D69FA" w:rsidP="009D69FA" w:rsidRDefault="009D69FA" w14:paraId="0E23CA13" w14:textId="62EEB865">
      <w:pPr>
        <w:rPr>
          <w:color w:val="000000" w:themeColor="text1"/>
        </w:rPr>
      </w:pPr>
      <w:r w:rsidRPr="009D69FA">
        <w:rPr>
          <w:color w:val="000000" w:themeColor="text1"/>
        </w:rPr>
        <w:t xml:space="preserve">Zoals ik eerder heb aangegeven, hecht ik aan de resultaten zoals die zijn afgesproken in het Nationaal Strategisch Plan en die onderdeel vormen van de ambitie van de Eco-regeling. </w:t>
      </w:r>
      <w:r w:rsidRPr="001C2913" w:rsidR="001C2913">
        <w:rPr>
          <w:color w:val="000000" w:themeColor="text1"/>
        </w:rPr>
        <w:t>Een resultaatsgerichte aanpak sluit aan bij de eisen die binnen het GLB worden gesteld aan de besteding van Europese middelen en de verantwoording daarover. Dit is nodig om te borgen dat de middelen daadwerkelijk bijdragen aan de afgesproken milieu- en klimaatdoelen binnen het GLB.</w:t>
      </w:r>
    </w:p>
    <w:p w:rsidRPr="009D69FA" w:rsidR="009D69FA" w:rsidP="009D69FA" w:rsidRDefault="009D69FA" w14:paraId="0E0BF5F3" w14:textId="77777777">
      <w:pPr>
        <w:rPr>
          <w:color w:val="000000" w:themeColor="text1"/>
        </w:rPr>
      </w:pPr>
    </w:p>
    <w:p w:rsidR="005443D7" w:rsidP="009D69FA" w:rsidRDefault="009D69FA" w14:paraId="2155DA8C" w14:textId="6A94969C">
      <w:pPr>
        <w:rPr>
          <w:color w:val="000000" w:themeColor="text1"/>
        </w:rPr>
      </w:pPr>
      <w:r w:rsidRPr="009D69FA">
        <w:rPr>
          <w:color w:val="000000" w:themeColor="text1"/>
        </w:rPr>
        <w:t>Tegelijkertijd zie ik dat de toepassing van deze systematiek in de praktijk bij sommige deelnemers tot onzekerheid leidt.</w:t>
      </w:r>
      <w:r>
        <w:rPr>
          <w:color w:val="000000" w:themeColor="text1"/>
        </w:rPr>
        <w:t xml:space="preserve"> </w:t>
      </w:r>
      <w:r w:rsidRPr="00CC0D6C" w:rsidR="005443D7">
        <w:rPr>
          <w:color w:val="000000" w:themeColor="text1"/>
        </w:rPr>
        <w:t xml:space="preserve">Daarom wordt er samen met RVO gewerkt aan uitbreiding en verbetering van de communicatie over monitoring en subsidievoorwaarden binnen de Eco-regeling. Uitgebreidere informatie is beschikbaar gemaakt op de webpagina’s van RVO over controles met AMS, de resultaatverplichting binnen de Eco-regeling, de wijze van beoordeling van </w:t>
      </w:r>
      <w:r w:rsidR="00BE264A">
        <w:rPr>
          <w:color w:val="000000" w:themeColor="text1"/>
        </w:rPr>
        <w:t>E</w:t>
      </w:r>
      <w:r w:rsidRPr="00CC0D6C" w:rsidR="005443D7">
        <w:rPr>
          <w:color w:val="000000" w:themeColor="text1"/>
        </w:rPr>
        <w:t>co-activiteiten en het belang van het tijdig aanpassen of intrekken van activiteiten wanneer niet aan de voorwaarden kan worden voldaan. Naast webpagina’s, nieuwsbrieven en gerichte segmentmailingen, zet RVO ook in op video’s en infographics om deelnemers beter te informeren over de werking van de regeling en de beoordelingssystematiek. Hiermee wil ik boeren vooraf meer duidelijkheid geven over wat van he</w:t>
      </w:r>
      <w:r w:rsidR="000756E7">
        <w:rPr>
          <w:color w:val="000000" w:themeColor="text1"/>
        </w:rPr>
        <w:t>n</w:t>
      </w:r>
      <w:r w:rsidRPr="00CC0D6C" w:rsidR="005443D7">
        <w:rPr>
          <w:color w:val="000000" w:themeColor="text1"/>
        </w:rPr>
        <w:t xml:space="preserve"> wordt verwacht en hoe beoordelingen tot stand komen. </w:t>
      </w:r>
    </w:p>
    <w:p w:rsidRPr="00CC0D6C" w:rsidR="002A6CC2" w:rsidP="005443D7" w:rsidRDefault="002A6CC2" w14:paraId="296426D2" w14:textId="77777777">
      <w:pPr>
        <w:rPr>
          <w:color w:val="000000" w:themeColor="text1"/>
        </w:rPr>
      </w:pPr>
    </w:p>
    <w:p w:rsidRPr="00CC0D6C" w:rsidR="005443D7" w:rsidP="005443D7" w:rsidRDefault="005443D7" w14:paraId="75ADE8F3" w14:textId="77777777">
      <w:pPr>
        <w:rPr>
          <w:b/>
          <w:bCs/>
          <w:color w:val="000000" w:themeColor="text1"/>
        </w:rPr>
      </w:pPr>
      <w:r w:rsidRPr="00CC0D6C">
        <w:rPr>
          <w:b/>
          <w:bCs/>
          <w:color w:val="000000" w:themeColor="text1"/>
        </w:rPr>
        <w:t>Wijziging Eco-regeling 2027 en overleg met de sector</w:t>
      </w:r>
    </w:p>
    <w:p w:rsidR="005443D7" w:rsidP="005443D7" w:rsidRDefault="005443D7" w14:paraId="2BCEA60B" w14:textId="779B3370">
      <w:pPr>
        <w:rPr>
          <w:color w:val="000000" w:themeColor="text1"/>
        </w:rPr>
      </w:pPr>
      <w:r w:rsidRPr="00CC0D6C">
        <w:rPr>
          <w:color w:val="000000" w:themeColor="text1"/>
        </w:rPr>
        <w:t xml:space="preserve">De daling van de deelname aan de </w:t>
      </w:r>
      <w:r w:rsidR="00BE264A">
        <w:rPr>
          <w:color w:val="000000" w:themeColor="text1"/>
        </w:rPr>
        <w:t>E</w:t>
      </w:r>
      <w:r w:rsidRPr="00CC0D6C">
        <w:rPr>
          <w:color w:val="000000" w:themeColor="text1"/>
        </w:rPr>
        <w:t>co-regeling heeft ook te maken met de werking van de Eco-regeling. Door de huidige punten-instapeis en medaillesystematiek kan afkeuring van een enkele activiteit grote financiële consequenties hebben. Dat voelt voor veel deelnemers als onrechtvaardig. Daarom werk ik op dit moment aan een aanpassing van de regeling, zoals ik uw Kamer eerder heb geschreven (Kamerstuk 28625-383). De noodzakelijke wijziging van het Nationaal Strategisch Plan en van de Uitvoeringsregeling GLB worden op dit moment voorbereid. Het streven is om deze zomer duidelijkheid te geven aan boeren voor het volgende aanvraagjaar. Dit wordt in goed overleg met sectorpartijen en uitvoerders RVO en NVWA vormgegeven.</w:t>
      </w:r>
    </w:p>
    <w:p w:rsidRPr="00CC0D6C" w:rsidR="002A6CC2" w:rsidP="005443D7" w:rsidRDefault="002A6CC2" w14:paraId="56E18C13" w14:textId="77777777">
      <w:pPr>
        <w:rPr>
          <w:color w:val="000000" w:themeColor="text1"/>
        </w:rPr>
      </w:pPr>
    </w:p>
    <w:p w:rsidRPr="00CC0D6C" w:rsidR="005443D7" w:rsidP="005443D7" w:rsidRDefault="005443D7" w14:paraId="31C4BFE6" w14:textId="77777777">
      <w:pPr>
        <w:rPr>
          <w:b/>
          <w:bCs/>
          <w:color w:val="000000" w:themeColor="text1"/>
        </w:rPr>
      </w:pPr>
      <w:r w:rsidRPr="00CC0D6C">
        <w:rPr>
          <w:b/>
          <w:bCs/>
          <w:color w:val="000000" w:themeColor="text1"/>
        </w:rPr>
        <w:t>Motie-Koorevaar c.s.</w:t>
      </w:r>
    </w:p>
    <w:p w:rsidRPr="00CC0D6C" w:rsidR="005443D7" w:rsidP="005443D7" w:rsidRDefault="005443D7" w14:paraId="6402B477" w14:textId="7F0DFB3A">
      <w:pPr>
        <w:rPr>
          <w:color w:val="000000" w:themeColor="text1"/>
        </w:rPr>
      </w:pPr>
      <w:r w:rsidRPr="00CC0D6C">
        <w:rPr>
          <w:color w:val="000000" w:themeColor="text1"/>
        </w:rPr>
        <w:t>Met al deze inzet geef ik invulling aan de motie van het lid Koorevaar c.s. (21501-32, nr. 1789)</w:t>
      </w:r>
      <w:r w:rsidR="000756E7">
        <w:rPr>
          <w:color w:val="000000" w:themeColor="text1"/>
        </w:rPr>
        <w:t xml:space="preserve"> </w:t>
      </w:r>
      <w:r w:rsidRPr="00CC0D6C">
        <w:rPr>
          <w:color w:val="000000" w:themeColor="text1"/>
        </w:rPr>
        <w:t xml:space="preserve">waarin de regering wordt verzocht te bezien in hoeverre beschikkingen die hebben geleid tot substantiële verlagingen of afkeuringen binnen de </w:t>
      </w:r>
      <w:r w:rsidR="00BE264A">
        <w:rPr>
          <w:color w:val="000000" w:themeColor="text1"/>
        </w:rPr>
        <w:t>E</w:t>
      </w:r>
      <w:r w:rsidRPr="00CC0D6C">
        <w:rPr>
          <w:color w:val="000000" w:themeColor="text1"/>
        </w:rPr>
        <w:t xml:space="preserve">co-regeling met prioriteit opnieuw kunnen worden beoordeeld, waarbij menselijke beoordeling een zwaardere rol krijgt, en om maatregelen in kaart te brengen om het vertrouwen in de uitvoering van de </w:t>
      </w:r>
      <w:r w:rsidR="00BE264A">
        <w:rPr>
          <w:color w:val="000000" w:themeColor="text1"/>
        </w:rPr>
        <w:t>E</w:t>
      </w:r>
      <w:r w:rsidRPr="00CC0D6C">
        <w:rPr>
          <w:color w:val="000000" w:themeColor="text1"/>
        </w:rPr>
        <w:t>co-regeling te herstellen en deelname in 2026 te bevorderen.</w:t>
      </w:r>
    </w:p>
    <w:p w:rsidRPr="00CC0D6C" w:rsidR="005443D7" w:rsidP="005443D7" w:rsidRDefault="005443D7" w14:paraId="56D2383C" w14:textId="490A4E90">
      <w:pPr>
        <w:rPr>
          <w:color w:val="000000" w:themeColor="text1"/>
        </w:rPr>
      </w:pPr>
      <w:r w:rsidRPr="00CC0D6C">
        <w:rPr>
          <w:color w:val="000000" w:themeColor="text1"/>
        </w:rPr>
        <w:t>Ik beschouw de motie als afgedaan, maar blijf uiteraard</w:t>
      </w:r>
      <w:r w:rsidR="000756E7">
        <w:rPr>
          <w:color w:val="000000" w:themeColor="text1"/>
        </w:rPr>
        <w:t xml:space="preserve"> </w:t>
      </w:r>
      <w:r w:rsidRPr="00CC0D6C">
        <w:rPr>
          <w:color w:val="000000" w:themeColor="text1"/>
        </w:rPr>
        <w:t xml:space="preserve">in gesprek met de sector </w:t>
      </w:r>
      <w:r w:rsidR="000756E7">
        <w:rPr>
          <w:color w:val="000000" w:themeColor="text1"/>
        </w:rPr>
        <w:t xml:space="preserve">en alle betrokken partijen om </w:t>
      </w:r>
      <w:r w:rsidRPr="00CC0D6C">
        <w:rPr>
          <w:color w:val="000000" w:themeColor="text1"/>
        </w:rPr>
        <w:t xml:space="preserve">de situatie nauwgezet </w:t>
      </w:r>
      <w:r w:rsidR="000756E7">
        <w:rPr>
          <w:color w:val="000000" w:themeColor="text1"/>
        </w:rPr>
        <w:t xml:space="preserve">te </w:t>
      </w:r>
      <w:r w:rsidRPr="00CC0D6C">
        <w:rPr>
          <w:color w:val="000000" w:themeColor="text1"/>
        </w:rPr>
        <w:t xml:space="preserve">volgen. </w:t>
      </w:r>
    </w:p>
    <w:p w:rsidRPr="00CC0D6C" w:rsidR="005443D7" w:rsidP="005443D7" w:rsidRDefault="005443D7" w14:paraId="59C42B10" w14:textId="77777777">
      <w:pPr>
        <w:rPr>
          <w:color w:val="000000" w:themeColor="text1"/>
        </w:rPr>
      </w:pPr>
    </w:p>
    <w:p w:rsidR="000752D6" w:rsidP="000752D6" w:rsidRDefault="000752D6" w14:paraId="49BEE18A" w14:textId="77777777"/>
    <w:p w:rsidR="0041573A" w:rsidP="000752D6" w:rsidRDefault="0041573A" w14:paraId="7BEEAD08" w14:textId="77777777"/>
    <w:p w:rsidRPr="000752D6" w:rsidR="0041573A" w:rsidP="000752D6" w:rsidRDefault="0041573A" w14:paraId="5D2447E1" w14:textId="77777777"/>
    <w:p w:rsidRPr="000752D6" w:rsidR="000752D6" w:rsidP="000752D6" w:rsidRDefault="00586A70" w14:paraId="3ADF3C48" w14:textId="77777777">
      <w:r w:rsidRPr="00640234">
        <w:t>Jaimi van Essen</w:t>
      </w:r>
    </w:p>
    <w:p w:rsidRPr="00006C01" w:rsidR="00481085" w:rsidP="00524FB4" w:rsidRDefault="00586A70" w14:paraId="21186522" w14:textId="77777777">
      <w:r w:rsidRPr="000752D6">
        <w:t>Minister van Landbouw, Visserij, Voedselzekerheid en Natuur</w:t>
      </w:r>
    </w:p>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5C97" w14:textId="77777777" w:rsidR="00D3666D" w:rsidRDefault="00D3666D">
      <w:r>
        <w:separator/>
      </w:r>
    </w:p>
    <w:p w14:paraId="7670E365" w14:textId="77777777" w:rsidR="00D3666D" w:rsidRDefault="00D3666D"/>
  </w:endnote>
  <w:endnote w:type="continuationSeparator" w:id="0">
    <w:p w14:paraId="537EE597" w14:textId="77777777" w:rsidR="00D3666D" w:rsidRDefault="00D3666D">
      <w:r>
        <w:continuationSeparator/>
      </w:r>
    </w:p>
    <w:p w14:paraId="463AC3E5" w14:textId="77777777" w:rsidR="00D3666D" w:rsidRDefault="00D36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C1B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34094" w14:paraId="7B16CE0D" w14:textId="77777777" w:rsidTr="00CA6A25">
      <w:trPr>
        <w:trHeight w:hRule="exact" w:val="240"/>
      </w:trPr>
      <w:tc>
        <w:tcPr>
          <w:tcW w:w="7601" w:type="dxa"/>
        </w:tcPr>
        <w:p w14:paraId="65AFEDB6" w14:textId="77777777" w:rsidR="00527BD4" w:rsidRDefault="00527BD4" w:rsidP="003F1F6B">
          <w:pPr>
            <w:pStyle w:val="Huisstijl-Rubricering"/>
          </w:pPr>
        </w:p>
      </w:tc>
      <w:tc>
        <w:tcPr>
          <w:tcW w:w="2156" w:type="dxa"/>
        </w:tcPr>
        <w:p w14:paraId="293F43BF" w14:textId="2FE02278" w:rsidR="00527BD4" w:rsidRPr="00645414" w:rsidRDefault="00586A7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4D50D6">
              <w:t>3</w:t>
            </w:r>
          </w:fldSimple>
        </w:p>
      </w:tc>
    </w:tr>
  </w:tbl>
  <w:p w14:paraId="34EBB67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34094" w14:paraId="34D88AA0" w14:textId="77777777" w:rsidTr="00CA6A25">
      <w:trPr>
        <w:trHeight w:hRule="exact" w:val="240"/>
      </w:trPr>
      <w:tc>
        <w:tcPr>
          <w:tcW w:w="7601" w:type="dxa"/>
        </w:tcPr>
        <w:p w14:paraId="2996A407" w14:textId="77777777" w:rsidR="00527BD4" w:rsidRDefault="00527BD4" w:rsidP="008C356D">
          <w:pPr>
            <w:pStyle w:val="Huisstijl-Rubricering"/>
          </w:pPr>
        </w:p>
      </w:tc>
      <w:tc>
        <w:tcPr>
          <w:tcW w:w="2170" w:type="dxa"/>
        </w:tcPr>
        <w:p w14:paraId="131F5A51" w14:textId="66C02D31" w:rsidR="00527BD4" w:rsidRPr="00ED539E" w:rsidRDefault="00586A7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D3666D">
              <w:t>1</w:t>
            </w:r>
          </w:fldSimple>
        </w:p>
      </w:tc>
    </w:tr>
  </w:tbl>
  <w:p w14:paraId="724AF49D" w14:textId="77777777" w:rsidR="00527BD4" w:rsidRPr="00BC3B53" w:rsidRDefault="00527BD4" w:rsidP="008C356D">
    <w:pPr>
      <w:pStyle w:val="Voettekst"/>
      <w:spacing w:line="240" w:lineRule="auto"/>
      <w:rPr>
        <w:sz w:val="2"/>
        <w:szCs w:val="2"/>
      </w:rPr>
    </w:pPr>
  </w:p>
  <w:p w14:paraId="409718B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0AF0" w14:textId="77777777" w:rsidR="00D3666D" w:rsidRDefault="00D3666D">
      <w:r>
        <w:separator/>
      </w:r>
    </w:p>
    <w:p w14:paraId="48736AEF" w14:textId="77777777" w:rsidR="00D3666D" w:rsidRDefault="00D3666D"/>
  </w:footnote>
  <w:footnote w:type="continuationSeparator" w:id="0">
    <w:p w14:paraId="63EA5C2D" w14:textId="77777777" w:rsidR="00D3666D" w:rsidRDefault="00D3666D">
      <w:r>
        <w:continuationSeparator/>
      </w:r>
    </w:p>
    <w:p w14:paraId="30DF1CD7" w14:textId="77777777" w:rsidR="00D3666D" w:rsidRDefault="00D36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34094" w14:paraId="67A3B967" w14:textId="77777777" w:rsidTr="00A50CF6">
      <w:tc>
        <w:tcPr>
          <w:tcW w:w="2156" w:type="dxa"/>
        </w:tcPr>
        <w:p w14:paraId="2D31B970" w14:textId="77777777" w:rsidR="00527BD4" w:rsidRPr="005819CE" w:rsidRDefault="00586A70" w:rsidP="00A50CF6">
          <w:pPr>
            <w:pStyle w:val="Huisstijl-Adres"/>
            <w:rPr>
              <w:b/>
            </w:rPr>
          </w:pPr>
          <w:r>
            <w:rPr>
              <w:b/>
            </w:rPr>
            <w:t>Directoraat-generaal Agro</w:t>
          </w:r>
          <w:r w:rsidRPr="005819CE">
            <w:rPr>
              <w:b/>
            </w:rPr>
            <w:br/>
          </w:r>
          <w:r>
            <w:t xml:space="preserve">Directie Europees, Internationaal en Agro economisch beleid </w:t>
          </w:r>
        </w:p>
      </w:tc>
    </w:tr>
    <w:tr w:rsidR="00134094" w14:paraId="71BE28D2" w14:textId="77777777" w:rsidTr="00A50CF6">
      <w:trPr>
        <w:trHeight w:hRule="exact" w:val="200"/>
      </w:trPr>
      <w:tc>
        <w:tcPr>
          <w:tcW w:w="2156" w:type="dxa"/>
        </w:tcPr>
        <w:p w14:paraId="0F0C9BB5" w14:textId="77777777" w:rsidR="00527BD4" w:rsidRPr="005819CE" w:rsidRDefault="00527BD4" w:rsidP="00A50CF6"/>
      </w:tc>
    </w:tr>
    <w:tr w:rsidR="00134094" w14:paraId="36845057" w14:textId="77777777" w:rsidTr="00502512">
      <w:trPr>
        <w:trHeight w:hRule="exact" w:val="774"/>
      </w:trPr>
      <w:tc>
        <w:tcPr>
          <w:tcW w:w="2156" w:type="dxa"/>
        </w:tcPr>
        <w:p w14:paraId="2730F7BA" w14:textId="77777777" w:rsidR="00527BD4" w:rsidRDefault="00586A70" w:rsidP="003A5290">
          <w:pPr>
            <w:pStyle w:val="Huisstijl-Kopje"/>
          </w:pPr>
          <w:r>
            <w:t>Ons kenmerk</w:t>
          </w:r>
        </w:p>
        <w:p w14:paraId="1C9C62BB" w14:textId="09549677" w:rsidR="00527BD4" w:rsidRPr="005819CE" w:rsidRDefault="00586A70" w:rsidP="001E6117">
          <w:pPr>
            <w:pStyle w:val="Huisstijl-Kopje"/>
          </w:pPr>
          <w:r>
            <w:rPr>
              <w:b w:val="0"/>
            </w:rPr>
            <w:t>DGA-EIA</w:t>
          </w:r>
          <w:r w:rsidRPr="00502512">
            <w:rPr>
              <w:b w:val="0"/>
            </w:rPr>
            <w:t xml:space="preserve"> /</w:t>
          </w:r>
          <w:r w:rsidR="00FE41A2">
            <w:rPr>
              <w:b w:val="0"/>
            </w:rPr>
            <w:t xml:space="preserve"> </w:t>
          </w:r>
          <w:r w:rsidR="00FE41A2" w:rsidRPr="00FE41A2">
            <w:rPr>
              <w:rFonts w:cs="Helvetica"/>
              <w:b w:val="0"/>
              <w:bCs/>
              <w:color w:val="000000"/>
              <w:szCs w:val="13"/>
              <w:bdr w:val="none" w:sz="0" w:space="0" w:color="auto" w:frame="1"/>
            </w:rPr>
            <w:t>106693885</w:t>
          </w:r>
        </w:p>
      </w:tc>
    </w:tr>
  </w:tbl>
  <w:p w14:paraId="0D0ADA1F" w14:textId="77777777" w:rsidR="00527BD4" w:rsidRDefault="00527BD4" w:rsidP="008C356D"/>
  <w:p w14:paraId="745E99CC" w14:textId="77777777" w:rsidR="00527BD4" w:rsidRPr="00740712" w:rsidRDefault="00527BD4" w:rsidP="008C356D"/>
  <w:p w14:paraId="6C3F0C56" w14:textId="77777777" w:rsidR="00527BD4" w:rsidRPr="00217880" w:rsidRDefault="00527BD4" w:rsidP="008C356D">
    <w:pPr>
      <w:spacing w:line="0" w:lineRule="atLeast"/>
      <w:rPr>
        <w:sz w:val="2"/>
        <w:szCs w:val="2"/>
      </w:rPr>
    </w:pPr>
  </w:p>
  <w:p w14:paraId="49C9285E" w14:textId="77777777" w:rsidR="00527BD4" w:rsidRDefault="00527BD4" w:rsidP="004F44C2">
    <w:pPr>
      <w:pStyle w:val="Koptekst"/>
      <w:rPr>
        <w:rFonts w:cs="Verdana-Bold"/>
        <w:b/>
        <w:bCs/>
        <w:smallCaps/>
        <w:szCs w:val="18"/>
      </w:rPr>
    </w:pPr>
  </w:p>
  <w:p w14:paraId="451E71FE" w14:textId="77777777" w:rsidR="00527BD4" w:rsidRDefault="00527BD4" w:rsidP="004F44C2"/>
  <w:p w14:paraId="3C0800EE" w14:textId="77777777" w:rsidR="00527BD4" w:rsidRPr="00740712" w:rsidRDefault="00527BD4" w:rsidP="004F44C2"/>
  <w:p w14:paraId="1A18744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34094" w14:paraId="35A590CD" w14:textId="77777777" w:rsidTr="00751A6A">
      <w:trPr>
        <w:trHeight w:val="2636"/>
      </w:trPr>
      <w:tc>
        <w:tcPr>
          <w:tcW w:w="737" w:type="dxa"/>
        </w:tcPr>
        <w:p w14:paraId="087866BA" w14:textId="77777777" w:rsidR="00527BD4" w:rsidRDefault="00527BD4" w:rsidP="00D0609E">
          <w:pPr>
            <w:framePr w:w="6340" w:h="2750" w:hRule="exact" w:hSpace="180" w:wrap="around" w:vAnchor="page" w:hAnchor="text" w:x="3873" w:y="-140"/>
            <w:spacing w:line="240" w:lineRule="auto"/>
          </w:pPr>
        </w:p>
      </w:tc>
      <w:tc>
        <w:tcPr>
          <w:tcW w:w="5156" w:type="dxa"/>
        </w:tcPr>
        <w:p w14:paraId="0E09A83E" w14:textId="77777777" w:rsidR="00527BD4" w:rsidRDefault="00586A70"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038E59DD" wp14:editId="071A1A1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3880E9E" w14:textId="77777777" w:rsidR="003E0C4D" w:rsidRDefault="003E0C4D" w:rsidP="00D0609E">
          <w:pPr>
            <w:framePr w:w="6340" w:h="2750" w:hRule="exact" w:hSpace="180" w:wrap="around" w:vAnchor="page" w:hAnchor="text" w:x="3873" w:y="-140"/>
            <w:spacing w:line="240" w:lineRule="auto"/>
          </w:pPr>
        </w:p>
      </w:tc>
    </w:tr>
  </w:tbl>
  <w:p w14:paraId="2BB0D44D" w14:textId="77777777" w:rsidR="00527BD4" w:rsidRDefault="00527BD4" w:rsidP="00D0609E">
    <w:pPr>
      <w:framePr w:w="6340" w:h="2750" w:hRule="exact" w:hSpace="180" w:wrap="around" w:vAnchor="page" w:hAnchor="text" w:x="3873" w:y="-140"/>
    </w:pPr>
  </w:p>
  <w:p w14:paraId="39CD60E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34094" w14:paraId="7A4ACC9D" w14:textId="77777777" w:rsidTr="00A50CF6">
      <w:tc>
        <w:tcPr>
          <w:tcW w:w="2160" w:type="dxa"/>
        </w:tcPr>
        <w:p w14:paraId="170BF423" w14:textId="77777777" w:rsidR="00527BD4" w:rsidRPr="005819CE" w:rsidRDefault="00586A70" w:rsidP="00A50CF6">
          <w:pPr>
            <w:pStyle w:val="Huisstijl-Adres"/>
            <w:rPr>
              <w:b/>
            </w:rPr>
          </w:pPr>
          <w:r>
            <w:rPr>
              <w:b/>
            </w:rPr>
            <w:t>Directoraat-generaal Agro</w:t>
          </w:r>
          <w:r w:rsidRPr="005819CE">
            <w:rPr>
              <w:b/>
            </w:rPr>
            <w:br/>
          </w:r>
          <w:r>
            <w:t xml:space="preserve">Directie Europees, Internationaal en Agro economisch beleid </w:t>
          </w:r>
        </w:p>
        <w:p w14:paraId="40A1913F" w14:textId="77777777" w:rsidR="00527BD4" w:rsidRPr="00BE5ED9" w:rsidRDefault="00586A70" w:rsidP="00A50CF6">
          <w:pPr>
            <w:pStyle w:val="Huisstijl-Adres"/>
          </w:pPr>
          <w:r>
            <w:rPr>
              <w:b/>
            </w:rPr>
            <w:t>Bezoekadres</w:t>
          </w:r>
          <w:r>
            <w:rPr>
              <w:b/>
            </w:rPr>
            <w:br/>
          </w:r>
          <w:r>
            <w:t>Bezuidenhoutseweg 73</w:t>
          </w:r>
          <w:r w:rsidRPr="005819CE">
            <w:br/>
          </w:r>
          <w:r>
            <w:t>2594 AC Den Haag</w:t>
          </w:r>
        </w:p>
        <w:p w14:paraId="114DF003" w14:textId="77777777" w:rsidR="00EF495B" w:rsidRDefault="00586A70" w:rsidP="0098788A">
          <w:pPr>
            <w:pStyle w:val="Huisstijl-Adres"/>
          </w:pPr>
          <w:r>
            <w:rPr>
              <w:b/>
            </w:rPr>
            <w:t>Postadres</w:t>
          </w:r>
          <w:r>
            <w:rPr>
              <w:b/>
            </w:rPr>
            <w:br/>
          </w:r>
          <w:r>
            <w:t>Postbus 20401</w:t>
          </w:r>
          <w:r w:rsidRPr="005819CE">
            <w:br/>
            <w:t>2500 E</w:t>
          </w:r>
          <w:r>
            <w:t>K</w:t>
          </w:r>
          <w:r w:rsidRPr="005819CE">
            <w:t xml:space="preserve"> Den Haag</w:t>
          </w:r>
        </w:p>
        <w:p w14:paraId="75FD598F" w14:textId="77777777" w:rsidR="00556BEE" w:rsidRPr="005B3814" w:rsidRDefault="00586A70" w:rsidP="0098788A">
          <w:pPr>
            <w:pStyle w:val="Huisstijl-Adres"/>
          </w:pPr>
          <w:r>
            <w:rPr>
              <w:b/>
            </w:rPr>
            <w:t>Overheidsidentificatienr</w:t>
          </w:r>
          <w:r>
            <w:rPr>
              <w:b/>
            </w:rPr>
            <w:br/>
          </w:r>
          <w:r w:rsidR="00BA129E">
            <w:rPr>
              <w:rFonts w:cs="Agrofont"/>
              <w:iCs/>
            </w:rPr>
            <w:t>00000001858272854000</w:t>
          </w:r>
        </w:p>
        <w:p w14:paraId="39367C49" w14:textId="02613F58" w:rsidR="00527BD4" w:rsidRPr="00FE41A2" w:rsidRDefault="00586A7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34094" w14:paraId="55BB0152" w14:textId="77777777" w:rsidTr="00FE41A2">
      <w:trPr>
        <w:trHeight w:hRule="exact" w:val="80"/>
      </w:trPr>
      <w:tc>
        <w:tcPr>
          <w:tcW w:w="2160" w:type="dxa"/>
        </w:tcPr>
        <w:p w14:paraId="2298A9E8" w14:textId="77777777" w:rsidR="00527BD4" w:rsidRPr="005819CE" w:rsidRDefault="00527BD4" w:rsidP="00A50CF6"/>
      </w:tc>
    </w:tr>
    <w:tr w:rsidR="00134094" w14:paraId="09C9F80C" w14:textId="77777777" w:rsidTr="00A50CF6">
      <w:tc>
        <w:tcPr>
          <w:tcW w:w="2160" w:type="dxa"/>
        </w:tcPr>
        <w:p w14:paraId="022E910B" w14:textId="77777777" w:rsidR="000C0163" w:rsidRPr="005819CE" w:rsidRDefault="00586A70" w:rsidP="000C0163">
          <w:pPr>
            <w:pStyle w:val="Huisstijl-Kopje"/>
          </w:pPr>
          <w:r>
            <w:t>Ons kenmerk</w:t>
          </w:r>
          <w:r w:rsidRPr="005819CE">
            <w:t xml:space="preserve"> </w:t>
          </w:r>
        </w:p>
        <w:p w14:paraId="21197AD4" w14:textId="588AC563" w:rsidR="00FE41A2" w:rsidRPr="00FE41A2" w:rsidRDefault="00586A70" w:rsidP="00FE41A2">
          <w:pPr>
            <w:shd w:val="clear" w:color="auto" w:fill="FFFFFF"/>
            <w:spacing w:line="240" w:lineRule="auto"/>
            <w:textAlignment w:val="baseline"/>
            <w:rPr>
              <w:rFonts w:cs="Helvetica"/>
              <w:color w:val="000000"/>
              <w:sz w:val="13"/>
              <w:szCs w:val="13"/>
            </w:rPr>
          </w:pPr>
          <w:r w:rsidRPr="00FE41A2">
            <w:rPr>
              <w:sz w:val="13"/>
              <w:szCs w:val="13"/>
            </w:rPr>
            <w:t>DGA-EIA /</w:t>
          </w:r>
          <w:r w:rsidR="00CC7BA8" w:rsidRPr="00FE41A2">
            <w:rPr>
              <w:sz w:val="13"/>
              <w:szCs w:val="13"/>
            </w:rPr>
            <w:t xml:space="preserve"> </w:t>
          </w:r>
          <w:r w:rsidR="00FE41A2" w:rsidRPr="00FE41A2">
            <w:rPr>
              <w:rFonts w:cs="Helvetica"/>
              <w:color w:val="000000"/>
              <w:sz w:val="13"/>
              <w:szCs w:val="13"/>
              <w:bdr w:val="none" w:sz="0" w:space="0" w:color="auto" w:frame="1"/>
            </w:rPr>
            <w:t>106693885</w:t>
          </w:r>
        </w:p>
        <w:p w14:paraId="4F7EF5D6" w14:textId="6989DEA5" w:rsidR="000C0163" w:rsidRPr="005819CE" w:rsidRDefault="000C0163" w:rsidP="000C0163">
          <w:pPr>
            <w:pStyle w:val="Huisstijl-Gegeven"/>
          </w:pPr>
        </w:p>
        <w:p w14:paraId="05397F01" w14:textId="77777777" w:rsidR="00527BD4" w:rsidRPr="005819CE" w:rsidRDefault="00527BD4" w:rsidP="00FE41A2">
          <w:pPr>
            <w:pStyle w:val="Huisstijl-Kopje"/>
          </w:pPr>
        </w:p>
      </w:tc>
    </w:tr>
  </w:tbl>
  <w:p w14:paraId="243D9E0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34094" w14:paraId="7AC816D2" w14:textId="77777777" w:rsidTr="009E2051">
      <w:trPr>
        <w:trHeight w:val="400"/>
      </w:trPr>
      <w:tc>
        <w:tcPr>
          <w:tcW w:w="7520" w:type="dxa"/>
          <w:gridSpan w:val="2"/>
        </w:tcPr>
        <w:p w14:paraId="6AE553AD" w14:textId="77777777" w:rsidR="00527BD4" w:rsidRPr="00BC3B53" w:rsidRDefault="00586A70" w:rsidP="00A50CF6">
          <w:pPr>
            <w:pStyle w:val="Huisstijl-Retouradres"/>
          </w:pPr>
          <w:r>
            <w:t>&gt; Retouradres Postbus 20401 2500 EK Den Haag</w:t>
          </w:r>
        </w:p>
      </w:tc>
    </w:tr>
    <w:tr w:rsidR="00134094" w14:paraId="1A9A321D" w14:textId="77777777" w:rsidTr="009E2051">
      <w:tc>
        <w:tcPr>
          <w:tcW w:w="7520" w:type="dxa"/>
          <w:gridSpan w:val="2"/>
        </w:tcPr>
        <w:p w14:paraId="6920639B" w14:textId="77777777" w:rsidR="00527BD4" w:rsidRPr="00983E8F" w:rsidRDefault="00527BD4" w:rsidP="00A50CF6">
          <w:pPr>
            <w:pStyle w:val="Huisstijl-Rubricering"/>
          </w:pPr>
        </w:p>
      </w:tc>
    </w:tr>
    <w:tr w:rsidR="00134094" w14:paraId="67B421FF" w14:textId="77777777" w:rsidTr="009E2051">
      <w:trPr>
        <w:trHeight w:hRule="exact" w:val="2440"/>
      </w:trPr>
      <w:tc>
        <w:tcPr>
          <w:tcW w:w="7520" w:type="dxa"/>
          <w:gridSpan w:val="2"/>
        </w:tcPr>
        <w:p w14:paraId="28813F3B" w14:textId="77777777" w:rsidR="00527BD4" w:rsidRDefault="00586A70" w:rsidP="00A50CF6">
          <w:pPr>
            <w:pStyle w:val="Huisstijl-NAW"/>
          </w:pPr>
          <w:r>
            <w:t xml:space="preserve">De Voorzitter van de Tweede Kamer </w:t>
          </w:r>
        </w:p>
        <w:p w14:paraId="016372DC" w14:textId="77777777" w:rsidR="00D87195" w:rsidRDefault="00586A70" w:rsidP="00D87195">
          <w:pPr>
            <w:pStyle w:val="Huisstijl-NAW"/>
          </w:pPr>
          <w:r>
            <w:t>der Staten-Generaal</w:t>
          </w:r>
        </w:p>
        <w:p w14:paraId="5F3A0CC7" w14:textId="77777777" w:rsidR="005C769E" w:rsidRDefault="00586A70" w:rsidP="005C769E">
          <w:pPr>
            <w:rPr>
              <w:szCs w:val="18"/>
            </w:rPr>
          </w:pPr>
          <w:r>
            <w:rPr>
              <w:szCs w:val="18"/>
            </w:rPr>
            <w:t>Prinses Irenestraat 6</w:t>
          </w:r>
        </w:p>
        <w:p w14:paraId="51092A99" w14:textId="77777777" w:rsidR="005C769E" w:rsidRDefault="00586A70" w:rsidP="005C769E">
          <w:pPr>
            <w:pStyle w:val="Huisstijl-NAW"/>
          </w:pPr>
          <w:r>
            <w:t>2595 BD  DEN HAAG</w:t>
          </w:r>
        </w:p>
      </w:tc>
    </w:tr>
    <w:tr w:rsidR="00134094" w14:paraId="1AF05AD0" w14:textId="77777777" w:rsidTr="009E2051">
      <w:trPr>
        <w:trHeight w:hRule="exact" w:val="400"/>
      </w:trPr>
      <w:tc>
        <w:tcPr>
          <w:tcW w:w="7520" w:type="dxa"/>
          <w:gridSpan w:val="2"/>
        </w:tcPr>
        <w:p w14:paraId="04891B7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34094" w14:paraId="2C61B74E" w14:textId="77777777" w:rsidTr="009E2051">
      <w:trPr>
        <w:trHeight w:val="240"/>
      </w:trPr>
      <w:tc>
        <w:tcPr>
          <w:tcW w:w="900" w:type="dxa"/>
        </w:tcPr>
        <w:p w14:paraId="11D88D38" w14:textId="77777777" w:rsidR="00527BD4" w:rsidRPr="007709EF" w:rsidRDefault="00586A70" w:rsidP="00A50CF6">
          <w:pPr>
            <w:rPr>
              <w:szCs w:val="18"/>
            </w:rPr>
          </w:pPr>
          <w:r>
            <w:rPr>
              <w:szCs w:val="18"/>
            </w:rPr>
            <w:t>Datum</w:t>
          </w:r>
        </w:p>
      </w:tc>
      <w:tc>
        <w:tcPr>
          <w:tcW w:w="6620" w:type="dxa"/>
        </w:tcPr>
        <w:p w14:paraId="3BAE64E7" w14:textId="2093CDDD" w:rsidR="00527BD4" w:rsidRPr="007709EF" w:rsidRDefault="00877388" w:rsidP="00A50CF6">
          <w:r>
            <w:t>5 juni 2026</w:t>
          </w:r>
        </w:p>
      </w:tc>
    </w:tr>
    <w:tr w:rsidR="00134094" w14:paraId="1FCA3F09" w14:textId="77777777" w:rsidTr="009E2051">
      <w:trPr>
        <w:trHeight w:val="240"/>
      </w:trPr>
      <w:tc>
        <w:tcPr>
          <w:tcW w:w="900" w:type="dxa"/>
        </w:tcPr>
        <w:p w14:paraId="3BC1E674" w14:textId="77777777" w:rsidR="00527BD4" w:rsidRPr="007709EF" w:rsidRDefault="00586A70" w:rsidP="00A50CF6">
          <w:pPr>
            <w:rPr>
              <w:szCs w:val="18"/>
            </w:rPr>
          </w:pPr>
          <w:r>
            <w:rPr>
              <w:szCs w:val="18"/>
            </w:rPr>
            <w:t>Betreft</w:t>
          </w:r>
        </w:p>
      </w:tc>
      <w:tc>
        <w:tcPr>
          <w:tcW w:w="6620" w:type="dxa"/>
        </w:tcPr>
        <w:p w14:paraId="18B2D60C" w14:textId="77777777" w:rsidR="00527BD4" w:rsidRPr="007709EF" w:rsidRDefault="00586A70" w:rsidP="00A50CF6">
          <w:r>
            <w:t>Kamerbrief Eco-regeling en gecombineerde opgave 2026</w:t>
          </w:r>
        </w:p>
      </w:tc>
    </w:tr>
  </w:tbl>
  <w:p w14:paraId="2CE10A5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9E4EA94">
      <w:start w:val="1"/>
      <w:numFmt w:val="bullet"/>
      <w:pStyle w:val="Lijstopsomteken"/>
      <w:lvlText w:val="•"/>
      <w:lvlJc w:val="left"/>
      <w:pPr>
        <w:tabs>
          <w:tab w:val="num" w:pos="227"/>
        </w:tabs>
        <w:ind w:left="227" w:hanging="227"/>
      </w:pPr>
      <w:rPr>
        <w:rFonts w:ascii="Verdana" w:hAnsi="Verdana" w:hint="default"/>
        <w:sz w:val="18"/>
        <w:szCs w:val="18"/>
      </w:rPr>
    </w:lvl>
    <w:lvl w:ilvl="1" w:tplc="CCEAA16C" w:tentative="1">
      <w:start w:val="1"/>
      <w:numFmt w:val="bullet"/>
      <w:lvlText w:val="o"/>
      <w:lvlJc w:val="left"/>
      <w:pPr>
        <w:tabs>
          <w:tab w:val="num" w:pos="1440"/>
        </w:tabs>
        <w:ind w:left="1440" w:hanging="360"/>
      </w:pPr>
      <w:rPr>
        <w:rFonts w:ascii="Courier New" w:hAnsi="Courier New" w:cs="Courier New" w:hint="default"/>
      </w:rPr>
    </w:lvl>
    <w:lvl w:ilvl="2" w:tplc="2BDC139E" w:tentative="1">
      <w:start w:val="1"/>
      <w:numFmt w:val="bullet"/>
      <w:lvlText w:val=""/>
      <w:lvlJc w:val="left"/>
      <w:pPr>
        <w:tabs>
          <w:tab w:val="num" w:pos="2160"/>
        </w:tabs>
        <w:ind w:left="2160" w:hanging="360"/>
      </w:pPr>
      <w:rPr>
        <w:rFonts w:ascii="Wingdings" w:hAnsi="Wingdings" w:hint="default"/>
      </w:rPr>
    </w:lvl>
    <w:lvl w:ilvl="3" w:tplc="087A8330" w:tentative="1">
      <w:start w:val="1"/>
      <w:numFmt w:val="bullet"/>
      <w:lvlText w:val=""/>
      <w:lvlJc w:val="left"/>
      <w:pPr>
        <w:tabs>
          <w:tab w:val="num" w:pos="2880"/>
        </w:tabs>
        <w:ind w:left="2880" w:hanging="360"/>
      </w:pPr>
      <w:rPr>
        <w:rFonts w:ascii="Symbol" w:hAnsi="Symbol" w:hint="default"/>
      </w:rPr>
    </w:lvl>
    <w:lvl w:ilvl="4" w:tplc="266C616E" w:tentative="1">
      <w:start w:val="1"/>
      <w:numFmt w:val="bullet"/>
      <w:lvlText w:val="o"/>
      <w:lvlJc w:val="left"/>
      <w:pPr>
        <w:tabs>
          <w:tab w:val="num" w:pos="3600"/>
        </w:tabs>
        <w:ind w:left="3600" w:hanging="360"/>
      </w:pPr>
      <w:rPr>
        <w:rFonts w:ascii="Courier New" w:hAnsi="Courier New" w:cs="Courier New" w:hint="default"/>
      </w:rPr>
    </w:lvl>
    <w:lvl w:ilvl="5" w:tplc="3B6269B0" w:tentative="1">
      <w:start w:val="1"/>
      <w:numFmt w:val="bullet"/>
      <w:lvlText w:val=""/>
      <w:lvlJc w:val="left"/>
      <w:pPr>
        <w:tabs>
          <w:tab w:val="num" w:pos="4320"/>
        </w:tabs>
        <w:ind w:left="4320" w:hanging="360"/>
      </w:pPr>
      <w:rPr>
        <w:rFonts w:ascii="Wingdings" w:hAnsi="Wingdings" w:hint="default"/>
      </w:rPr>
    </w:lvl>
    <w:lvl w:ilvl="6" w:tplc="1C4624BC" w:tentative="1">
      <w:start w:val="1"/>
      <w:numFmt w:val="bullet"/>
      <w:lvlText w:val=""/>
      <w:lvlJc w:val="left"/>
      <w:pPr>
        <w:tabs>
          <w:tab w:val="num" w:pos="5040"/>
        </w:tabs>
        <w:ind w:left="5040" w:hanging="360"/>
      </w:pPr>
      <w:rPr>
        <w:rFonts w:ascii="Symbol" w:hAnsi="Symbol" w:hint="default"/>
      </w:rPr>
    </w:lvl>
    <w:lvl w:ilvl="7" w:tplc="98686256" w:tentative="1">
      <w:start w:val="1"/>
      <w:numFmt w:val="bullet"/>
      <w:lvlText w:val="o"/>
      <w:lvlJc w:val="left"/>
      <w:pPr>
        <w:tabs>
          <w:tab w:val="num" w:pos="5760"/>
        </w:tabs>
        <w:ind w:left="5760" w:hanging="360"/>
      </w:pPr>
      <w:rPr>
        <w:rFonts w:ascii="Courier New" w:hAnsi="Courier New" w:cs="Courier New" w:hint="default"/>
      </w:rPr>
    </w:lvl>
    <w:lvl w:ilvl="8" w:tplc="0826F0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2DC04D4">
      <w:start w:val="1"/>
      <w:numFmt w:val="bullet"/>
      <w:pStyle w:val="Lijstopsomteken2"/>
      <w:lvlText w:val="–"/>
      <w:lvlJc w:val="left"/>
      <w:pPr>
        <w:tabs>
          <w:tab w:val="num" w:pos="227"/>
        </w:tabs>
        <w:ind w:left="227" w:firstLine="0"/>
      </w:pPr>
      <w:rPr>
        <w:rFonts w:ascii="Verdana" w:hAnsi="Verdana" w:hint="default"/>
      </w:rPr>
    </w:lvl>
    <w:lvl w:ilvl="1" w:tplc="B04ABA8C" w:tentative="1">
      <w:start w:val="1"/>
      <w:numFmt w:val="bullet"/>
      <w:lvlText w:val="o"/>
      <w:lvlJc w:val="left"/>
      <w:pPr>
        <w:tabs>
          <w:tab w:val="num" w:pos="1440"/>
        </w:tabs>
        <w:ind w:left="1440" w:hanging="360"/>
      </w:pPr>
      <w:rPr>
        <w:rFonts w:ascii="Courier New" w:hAnsi="Courier New" w:cs="Courier New" w:hint="default"/>
      </w:rPr>
    </w:lvl>
    <w:lvl w:ilvl="2" w:tplc="08CCD194" w:tentative="1">
      <w:start w:val="1"/>
      <w:numFmt w:val="bullet"/>
      <w:lvlText w:val=""/>
      <w:lvlJc w:val="left"/>
      <w:pPr>
        <w:tabs>
          <w:tab w:val="num" w:pos="2160"/>
        </w:tabs>
        <w:ind w:left="2160" w:hanging="360"/>
      </w:pPr>
      <w:rPr>
        <w:rFonts w:ascii="Wingdings" w:hAnsi="Wingdings" w:hint="default"/>
      </w:rPr>
    </w:lvl>
    <w:lvl w:ilvl="3" w:tplc="98FC62B4" w:tentative="1">
      <w:start w:val="1"/>
      <w:numFmt w:val="bullet"/>
      <w:lvlText w:val=""/>
      <w:lvlJc w:val="left"/>
      <w:pPr>
        <w:tabs>
          <w:tab w:val="num" w:pos="2880"/>
        </w:tabs>
        <w:ind w:left="2880" w:hanging="360"/>
      </w:pPr>
      <w:rPr>
        <w:rFonts w:ascii="Symbol" w:hAnsi="Symbol" w:hint="default"/>
      </w:rPr>
    </w:lvl>
    <w:lvl w:ilvl="4" w:tplc="30CA2FBA" w:tentative="1">
      <w:start w:val="1"/>
      <w:numFmt w:val="bullet"/>
      <w:lvlText w:val="o"/>
      <w:lvlJc w:val="left"/>
      <w:pPr>
        <w:tabs>
          <w:tab w:val="num" w:pos="3600"/>
        </w:tabs>
        <w:ind w:left="3600" w:hanging="360"/>
      </w:pPr>
      <w:rPr>
        <w:rFonts w:ascii="Courier New" w:hAnsi="Courier New" w:cs="Courier New" w:hint="default"/>
      </w:rPr>
    </w:lvl>
    <w:lvl w:ilvl="5" w:tplc="395E2AEC" w:tentative="1">
      <w:start w:val="1"/>
      <w:numFmt w:val="bullet"/>
      <w:lvlText w:val=""/>
      <w:lvlJc w:val="left"/>
      <w:pPr>
        <w:tabs>
          <w:tab w:val="num" w:pos="4320"/>
        </w:tabs>
        <w:ind w:left="4320" w:hanging="360"/>
      </w:pPr>
      <w:rPr>
        <w:rFonts w:ascii="Wingdings" w:hAnsi="Wingdings" w:hint="default"/>
      </w:rPr>
    </w:lvl>
    <w:lvl w:ilvl="6" w:tplc="E6F85916" w:tentative="1">
      <w:start w:val="1"/>
      <w:numFmt w:val="bullet"/>
      <w:lvlText w:val=""/>
      <w:lvlJc w:val="left"/>
      <w:pPr>
        <w:tabs>
          <w:tab w:val="num" w:pos="5040"/>
        </w:tabs>
        <w:ind w:left="5040" w:hanging="360"/>
      </w:pPr>
      <w:rPr>
        <w:rFonts w:ascii="Symbol" w:hAnsi="Symbol" w:hint="default"/>
      </w:rPr>
    </w:lvl>
    <w:lvl w:ilvl="7" w:tplc="185840C0" w:tentative="1">
      <w:start w:val="1"/>
      <w:numFmt w:val="bullet"/>
      <w:lvlText w:val="o"/>
      <w:lvlJc w:val="left"/>
      <w:pPr>
        <w:tabs>
          <w:tab w:val="num" w:pos="5760"/>
        </w:tabs>
        <w:ind w:left="5760" w:hanging="360"/>
      </w:pPr>
      <w:rPr>
        <w:rFonts w:ascii="Courier New" w:hAnsi="Courier New" w:cs="Courier New" w:hint="default"/>
      </w:rPr>
    </w:lvl>
    <w:lvl w:ilvl="8" w:tplc="7ABE31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74232953">
    <w:abstractNumId w:val="10"/>
  </w:num>
  <w:num w:numId="2" w16cid:durableId="1116363524">
    <w:abstractNumId w:val="7"/>
  </w:num>
  <w:num w:numId="3" w16cid:durableId="984043009">
    <w:abstractNumId w:val="6"/>
  </w:num>
  <w:num w:numId="4" w16cid:durableId="435832824">
    <w:abstractNumId w:val="5"/>
  </w:num>
  <w:num w:numId="5" w16cid:durableId="513151789">
    <w:abstractNumId w:val="4"/>
  </w:num>
  <w:num w:numId="6" w16cid:durableId="1247107180">
    <w:abstractNumId w:val="8"/>
  </w:num>
  <w:num w:numId="7" w16cid:durableId="211578224">
    <w:abstractNumId w:val="3"/>
  </w:num>
  <w:num w:numId="8" w16cid:durableId="1966422293">
    <w:abstractNumId w:val="2"/>
  </w:num>
  <w:num w:numId="9" w16cid:durableId="1273780881">
    <w:abstractNumId w:val="1"/>
  </w:num>
  <w:num w:numId="10" w16cid:durableId="1377463261">
    <w:abstractNumId w:val="0"/>
  </w:num>
  <w:num w:numId="11" w16cid:durableId="1109737594">
    <w:abstractNumId w:val="9"/>
  </w:num>
  <w:num w:numId="12" w16cid:durableId="796416650">
    <w:abstractNumId w:val="11"/>
  </w:num>
  <w:num w:numId="13" w16cid:durableId="672730984">
    <w:abstractNumId w:val="13"/>
  </w:num>
  <w:num w:numId="14" w16cid:durableId="69345688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0FAD"/>
    <w:rsid w:val="00064021"/>
    <w:rsid w:val="00071F28"/>
    <w:rsid w:val="00074079"/>
    <w:rsid w:val="000752D6"/>
    <w:rsid w:val="000756E7"/>
    <w:rsid w:val="00092799"/>
    <w:rsid w:val="00092C5F"/>
    <w:rsid w:val="00096680"/>
    <w:rsid w:val="000A0F36"/>
    <w:rsid w:val="000A174A"/>
    <w:rsid w:val="000A3E0A"/>
    <w:rsid w:val="000A65AC"/>
    <w:rsid w:val="000B7281"/>
    <w:rsid w:val="000B7FAB"/>
    <w:rsid w:val="000C0163"/>
    <w:rsid w:val="000C07A9"/>
    <w:rsid w:val="000C11F9"/>
    <w:rsid w:val="000C1BA1"/>
    <w:rsid w:val="000C3EA9"/>
    <w:rsid w:val="000D0225"/>
    <w:rsid w:val="000D73D7"/>
    <w:rsid w:val="000E7895"/>
    <w:rsid w:val="000F161D"/>
    <w:rsid w:val="00121BF0"/>
    <w:rsid w:val="00123704"/>
    <w:rsid w:val="001270C7"/>
    <w:rsid w:val="00132540"/>
    <w:rsid w:val="00134094"/>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291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A6CC2"/>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1573A"/>
    <w:rsid w:val="00423A19"/>
    <w:rsid w:val="0043618C"/>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C1FED"/>
    <w:rsid w:val="004D505E"/>
    <w:rsid w:val="004D50D6"/>
    <w:rsid w:val="004D72CA"/>
    <w:rsid w:val="004E2242"/>
    <w:rsid w:val="004F42FF"/>
    <w:rsid w:val="004F44C2"/>
    <w:rsid w:val="00502512"/>
    <w:rsid w:val="00505262"/>
    <w:rsid w:val="0051132F"/>
    <w:rsid w:val="00516022"/>
    <w:rsid w:val="00521CEE"/>
    <w:rsid w:val="00524FB4"/>
    <w:rsid w:val="00527BD4"/>
    <w:rsid w:val="005403C8"/>
    <w:rsid w:val="005429DC"/>
    <w:rsid w:val="00543D29"/>
    <w:rsid w:val="005443D7"/>
    <w:rsid w:val="00553454"/>
    <w:rsid w:val="005565F9"/>
    <w:rsid w:val="00556BEE"/>
    <w:rsid w:val="005654C3"/>
    <w:rsid w:val="00573041"/>
    <w:rsid w:val="00575B80"/>
    <w:rsid w:val="0057620F"/>
    <w:rsid w:val="005819CE"/>
    <w:rsid w:val="0058298D"/>
    <w:rsid w:val="00584BAC"/>
    <w:rsid w:val="00586A70"/>
    <w:rsid w:val="00593C2B"/>
    <w:rsid w:val="00595231"/>
    <w:rsid w:val="00596166"/>
    <w:rsid w:val="00597F64"/>
    <w:rsid w:val="005A207F"/>
    <w:rsid w:val="005A2F35"/>
    <w:rsid w:val="005B3814"/>
    <w:rsid w:val="005B463E"/>
    <w:rsid w:val="005C34E1"/>
    <w:rsid w:val="005C3FE0"/>
    <w:rsid w:val="005C740C"/>
    <w:rsid w:val="005C769E"/>
    <w:rsid w:val="005D625B"/>
    <w:rsid w:val="005F04AF"/>
    <w:rsid w:val="005F62D3"/>
    <w:rsid w:val="005F6D11"/>
    <w:rsid w:val="005F7986"/>
    <w:rsid w:val="00600CF0"/>
    <w:rsid w:val="006048F4"/>
    <w:rsid w:val="0060660A"/>
    <w:rsid w:val="0061231B"/>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09F5"/>
    <w:rsid w:val="00783559"/>
    <w:rsid w:val="00793441"/>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34C43"/>
    <w:rsid w:val="00842CD8"/>
    <w:rsid w:val="008431FA"/>
    <w:rsid w:val="008443B9"/>
    <w:rsid w:val="00847444"/>
    <w:rsid w:val="008547BA"/>
    <w:rsid w:val="008553C7"/>
    <w:rsid w:val="00857FEB"/>
    <w:rsid w:val="008601AF"/>
    <w:rsid w:val="00872271"/>
    <w:rsid w:val="00874100"/>
    <w:rsid w:val="00877388"/>
    <w:rsid w:val="00883137"/>
    <w:rsid w:val="008A1F5D"/>
    <w:rsid w:val="008A28F5"/>
    <w:rsid w:val="008B1198"/>
    <w:rsid w:val="008B3471"/>
    <w:rsid w:val="008B3929"/>
    <w:rsid w:val="008B4125"/>
    <w:rsid w:val="008B4CB3"/>
    <w:rsid w:val="008B567B"/>
    <w:rsid w:val="008B642A"/>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2D97"/>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69FA"/>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264A"/>
    <w:rsid w:val="00BE3F88"/>
    <w:rsid w:val="00BE4756"/>
    <w:rsid w:val="00BE5ED9"/>
    <w:rsid w:val="00BE7B41"/>
    <w:rsid w:val="00C02E2F"/>
    <w:rsid w:val="00C15A91"/>
    <w:rsid w:val="00C206F1"/>
    <w:rsid w:val="00C217E1"/>
    <w:rsid w:val="00C219B1"/>
    <w:rsid w:val="00C25A1D"/>
    <w:rsid w:val="00C306E6"/>
    <w:rsid w:val="00C34EFB"/>
    <w:rsid w:val="00C4015B"/>
    <w:rsid w:val="00C40C60"/>
    <w:rsid w:val="00C5258E"/>
    <w:rsid w:val="00C530C9"/>
    <w:rsid w:val="00C619A7"/>
    <w:rsid w:val="00C73D5F"/>
    <w:rsid w:val="00C93174"/>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3666D"/>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56731"/>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45F0"/>
    <w:rsid w:val="00F172BB"/>
    <w:rsid w:val="00F17B10"/>
    <w:rsid w:val="00F21BEF"/>
    <w:rsid w:val="00F2315B"/>
    <w:rsid w:val="00F36CFF"/>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1A2"/>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C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1262</ap:Words>
  <ap:Characters>6944</ap:Characters>
  <ap:DocSecurity>0</ap:DocSecurity>
  <ap:Lines>57</ap:Lines>
  <ap:Paragraphs>16</ap:Paragraphs>
  <ap:ScaleCrop>false</ap:ScaleCrop>
  <ap:LinksUpToDate>false</ap:LinksUpToDate>
  <ap:CharactersWithSpaces>8190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2026-06-05T12:26:00.0000000Z</dcterms:created>
  <dcterms:modified xsi:type="dcterms:W3CDTF">2026-06-05T12:26:00.0000000Z</dcterms:modified>
  <dc:description>------------------------</dc:description>
  <dc:subject/>
  <keywords/>
  <version/>
  <category/>
</coreProperties>
</file>