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5F3B" w:rsidR="00415F3B" w:rsidRDefault="00327764" w14:paraId="5BF3ADE7" w14:textId="4D92BA7C">
      <w:pPr>
        <w:rPr>
          <w:rFonts w:ascii="Calibri" w:hAnsi="Calibri" w:cs="Calibri"/>
        </w:rPr>
      </w:pPr>
      <w:r w:rsidRPr="00415F3B">
        <w:rPr>
          <w:rFonts w:ascii="Calibri" w:hAnsi="Calibri" w:cs="Calibri"/>
        </w:rPr>
        <w:t>26</w:t>
      </w:r>
      <w:r w:rsidRPr="00415F3B" w:rsidR="00415F3B">
        <w:rPr>
          <w:rFonts w:ascii="Calibri" w:hAnsi="Calibri" w:cs="Calibri"/>
        </w:rPr>
        <w:t xml:space="preserve"> </w:t>
      </w:r>
      <w:r w:rsidRPr="00415F3B">
        <w:rPr>
          <w:rFonts w:ascii="Calibri" w:hAnsi="Calibri" w:cs="Calibri"/>
        </w:rPr>
        <w:t>643</w:t>
      </w:r>
      <w:r w:rsidRPr="00415F3B" w:rsidR="00415F3B">
        <w:rPr>
          <w:rFonts w:ascii="Calibri" w:hAnsi="Calibri" w:cs="Calibri"/>
        </w:rPr>
        <w:tab/>
      </w:r>
      <w:r w:rsidRPr="00415F3B" w:rsidR="00415F3B">
        <w:rPr>
          <w:rFonts w:ascii="Calibri" w:hAnsi="Calibri" w:cs="Calibri"/>
        </w:rPr>
        <w:tab/>
        <w:t>Informatie- en communicatietechnologie (ICT)</w:t>
      </w:r>
    </w:p>
    <w:p w:rsidRPr="00415F3B" w:rsidR="00415F3B" w:rsidP="00415F3B" w:rsidRDefault="00415F3B" w14:paraId="39C695B9" w14:textId="0DE2B6FD">
      <w:pPr>
        <w:rPr>
          <w:rFonts w:ascii="Calibri" w:hAnsi="Calibri" w:cs="Calibri"/>
        </w:rPr>
      </w:pPr>
      <w:r w:rsidRPr="00415F3B">
        <w:rPr>
          <w:rFonts w:ascii="Calibri" w:hAnsi="Calibri" w:cs="Calibri"/>
        </w:rPr>
        <w:t>32</w:t>
      </w:r>
      <w:r w:rsidRPr="00415F3B">
        <w:rPr>
          <w:rFonts w:ascii="Calibri" w:hAnsi="Calibri" w:cs="Calibri"/>
        </w:rPr>
        <w:t xml:space="preserve"> </w:t>
      </w:r>
      <w:r w:rsidRPr="00415F3B">
        <w:rPr>
          <w:rFonts w:ascii="Calibri" w:hAnsi="Calibri" w:cs="Calibri"/>
        </w:rPr>
        <w:t>761</w:t>
      </w:r>
      <w:r w:rsidRPr="00415F3B">
        <w:rPr>
          <w:rFonts w:ascii="Calibri" w:hAnsi="Calibri" w:cs="Calibri"/>
        </w:rPr>
        <w:tab/>
      </w:r>
      <w:r w:rsidRPr="00415F3B">
        <w:rPr>
          <w:rFonts w:ascii="Calibri" w:hAnsi="Calibri" w:cs="Calibri"/>
        </w:rPr>
        <w:tab/>
        <w:t xml:space="preserve">Verwerking en bescherming persoonsgegevens </w:t>
      </w:r>
    </w:p>
    <w:p w:rsidRPr="00415F3B" w:rsidR="00415F3B" w:rsidP="00415F3B" w:rsidRDefault="00415F3B" w14:paraId="27043F42" w14:textId="77777777">
      <w:pPr>
        <w:ind w:left="1410" w:hanging="1410"/>
        <w:rPr>
          <w:rFonts w:ascii="Calibri" w:hAnsi="Calibri" w:cs="Calibri"/>
        </w:rPr>
      </w:pPr>
      <w:r w:rsidRPr="00415F3B">
        <w:rPr>
          <w:rFonts w:ascii="Calibri" w:hAnsi="Calibri" w:cs="Calibri"/>
        </w:rPr>
        <w:t xml:space="preserve">Nr. </w:t>
      </w:r>
      <w:r w:rsidRPr="00415F3B" w:rsidR="00327764">
        <w:rPr>
          <w:rFonts w:ascii="Calibri" w:hAnsi="Calibri" w:cs="Calibri"/>
        </w:rPr>
        <w:t>1517</w:t>
      </w:r>
      <w:r w:rsidRPr="00415F3B">
        <w:rPr>
          <w:rFonts w:ascii="Calibri" w:hAnsi="Calibri" w:cs="Calibri"/>
        </w:rPr>
        <w:tab/>
        <w:t>Brief van de staatssecretaris van Binnenlandse Zaken en Koninkrijksrelaties</w:t>
      </w:r>
    </w:p>
    <w:p w:rsidRPr="00415F3B" w:rsidR="00415F3B" w:rsidP="00327764" w:rsidRDefault="00415F3B" w14:paraId="0F97B3CB" w14:textId="77777777">
      <w:pPr>
        <w:rPr>
          <w:rFonts w:ascii="Calibri" w:hAnsi="Calibri" w:cs="Calibri"/>
        </w:rPr>
      </w:pPr>
      <w:r w:rsidRPr="00415F3B">
        <w:rPr>
          <w:rFonts w:ascii="Calibri" w:hAnsi="Calibri" w:cs="Calibri"/>
        </w:rPr>
        <w:t>Aan de Voorzitter van de Tweede Kamer der Staten-Generaal</w:t>
      </w:r>
    </w:p>
    <w:p w:rsidRPr="00415F3B" w:rsidR="00415F3B" w:rsidP="00327764" w:rsidRDefault="00415F3B" w14:paraId="3619D47F" w14:textId="77777777">
      <w:pPr>
        <w:rPr>
          <w:rFonts w:ascii="Calibri" w:hAnsi="Calibri" w:cs="Calibri"/>
        </w:rPr>
      </w:pPr>
      <w:r w:rsidRPr="00415F3B">
        <w:rPr>
          <w:rFonts w:ascii="Calibri" w:hAnsi="Calibri" w:cs="Calibri"/>
        </w:rPr>
        <w:t>Den Haag, 4 juni 2026</w:t>
      </w:r>
    </w:p>
    <w:p w:rsidRPr="00415F3B" w:rsidR="00327764" w:rsidP="00327764" w:rsidRDefault="00327764" w14:paraId="6B5AD6C9" w14:textId="77777777">
      <w:pPr>
        <w:rPr>
          <w:rFonts w:ascii="Calibri" w:hAnsi="Calibri" w:cs="Calibri"/>
        </w:rPr>
      </w:pPr>
    </w:p>
    <w:p w:rsidRPr="00415F3B" w:rsidR="00327764" w:rsidP="00327764" w:rsidRDefault="00327764" w14:paraId="19FDE117" w14:textId="0C03081C">
      <w:pPr>
        <w:rPr>
          <w:rFonts w:ascii="Calibri" w:hAnsi="Calibri" w:cs="Calibri"/>
        </w:rPr>
      </w:pPr>
      <w:r w:rsidRPr="00415F3B">
        <w:rPr>
          <w:rFonts w:ascii="Calibri" w:hAnsi="Calibri" w:cs="Calibri"/>
        </w:rPr>
        <w:t>Met deze brief informeer ik uw Kamer zoals toegezegd in de beantwoording van Kamervragen van het lid Kathmann (GL-PvdA) c.s.</w:t>
      </w:r>
      <w:r w:rsidRPr="00415F3B">
        <w:rPr>
          <w:rStyle w:val="Voetnootmarkering"/>
          <w:rFonts w:ascii="Calibri" w:hAnsi="Calibri" w:cs="Calibri"/>
        </w:rPr>
        <w:footnoteReference w:id="1"/>
      </w:r>
      <w:r w:rsidRPr="00415F3B">
        <w:rPr>
          <w:rFonts w:ascii="Calibri" w:hAnsi="Calibri" w:cs="Calibri"/>
        </w:rPr>
        <w:t xml:space="preserve"> over de stand van zaken rondom de specifieke technische maatregelen en de voorbereiding van de contractopvolging voor het infrastructuur-platform van het agentschap Logius van het Ministerie van Binnenlandse Zaken en Koninkrijksrelaties. </w:t>
      </w:r>
    </w:p>
    <w:p w:rsidRPr="00415F3B" w:rsidR="00327764" w:rsidP="00327764" w:rsidRDefault="00327764" w14:paraId="3BB0FA82" w14:textId="77777777">
      <w:pPr>
        <w:rPr>
          <w:rFonts w:ascii="Calibri" w:hAnsi="Calibri" w:cs="Calibri"/>
        </w:rPr>
      </w:pPr>
    </w:p>
    <w:p w:rsidRPr="00415F3B" w:rsidR="00327764" w:rsidP="00327764" w:rsidRDefault="00327764" w14:paraId="0F872E30" w14:textId="77777777">
      <w:pPr>
        <w:rPr>
          <w:rFonts w:ascii="Calibri" w:hAnsi="Calibri" w:cs="Calibri"/>
          <w:b/>
          <w:bCs/>
        </w:rPr>
      </w:pPr>
      <w:r w:rsidRPr="00415F3B">
        <w:rPr>
          <w:rFonts w:ascii="Calibri" w:hAnsi="Calibri" w:cs="Calibri"/>
        </w:rPr>
        <w:t>Op 26 mei 2026 heeft het kabinet de overname van Solvinity door Kyndryl verboden. Hierover zult u separaat geïnformeerd worden middels vertrouwelijke technische briefing. Onafhankelijk van deze keuze acht ik het noodzakelijk om te onderzoeken of aanvullende maatregelen nodig zijn ten aanzien van de keuze in de te volgen aanbestedingsprocedure voor Logius. Daarnaast heb ik onderzocht welke aanvullende technische maatregelen kunnen worden genomen om de continuïteit en veiligheid van dienstverlening nu en in de toekomst te blijven borgen.</w:t>
      </w:r>
    </w:p>
    <w:p w:rsidRPr="00415F3B" w:rsidR="00327764" w:rsidP="00327764" w:rsidRDefault="00327764" w14:paraId="50039C90" w14:textId="77777777">
      <w:pPr>
        <w:rPr>
          <w:rFonts w:ascii="Calibri" w:hAnsi="Calibri" w:cs="Calibri"/>
        </w:rPr>
      </w:pPr>
    </w:p>
    <w:p w:rsidRPr="00415F3B" w:rsidR="00327764" w:rsidP="00327764" w:rsidRDefault="00327764" w14:paraId="359A11D6" w14:textId="77777777">
      <w:pPr>
        <w:rPr>
          <w:rFonts w:ascii="Calibri" w:hAnsi="Calibri" w:cs="Calibri"/>
        </w:rPr>
      </w:pPr>
      <w:r w:rsidRPr="00415F3B">
        <w:rPr>
          <w:rFonts w:ascii="Calibri" w:hAnsi="Calibri" w:cs="Calibri"/>
        </w:rPr>
        <w:t>De voorgenomen overname van Solvinity door Kyndryl was aanleiding voor de CISO Logius om eind 2025 een kwetsbaarhedensscan uit te voeren. Deze analyse is in april 2026 in vertrouwelijkheid gedeeld met de Tweede Kamer. De kwetsbaarhedenscan omvat een breed pakket aan mogelijke maatregelen op het gebied van versleuteling, monitoring, netwerkbeveiliging en beheer. Hieruit zijn vier maatregelen geprioriteerd die het meeste effect hebben op het gebied van versleuteling, monitoring, netwerkbeveiliging en beheer.</w:t>
      </w:r>
    </w:p>
    <w:p w:rsidRPr="00415F3B" w:rsidR="00327764" w:rsidP="00327764" w:rsidRDefault="00327764" w14:paraId="72AB0A31" w14:textId="77777777">
      <w:pPr>
        <w:rPr>
          <w:rFonts w:ascii="Calibri" w:hAnsi="Calibri" w:cs="Calibri"/>
        </w:rPr>
      </w:pPr>
    </w:p>
    <w:p w:rsidRPr="00415F3B" w:rsidR="00327764" w:rsidP="00327764" w:rsidRDefault="00327764" w14:paraId="26B2F6A2" w14:textId="77777777">
      <w:pPr>
        <w:pStyle w:val="Lijstalinea"/>
        <w:numPr>
          <w:ilvl w:val="0"/>
          <w:numId w:val="1"/>
        </w:numPr>
        <w:rPr>
          <w:rFonts w:ascii="Calibri" w:hAnsi="Calibri" w:cs="Calibri"/>
        </w:rPr>
      </w:pPr>
      <w:r w:rsidRPr="00415F3B">
        <w:rPr>
          <w:rFonts w:ascii="Calibri" w:hAnsi="Calibri" w:cs="Calibri"/>
        </w:rPr>
        <w:t xml:space="preserve">Aanvullende versleuteling van persoonsgegevens in databases van applicatie; </w:t>
      </w:r>
    </w:p>
    <w:p w:rsidRPr="00415F3B" w:rsidR="00327764" w:rsidP="00327764" w:rsidRDefault="00327764" w14:paraId="3AAC7001" w14:textId="77777777">
      <w:pPr>
        <w:pStyle w:val="Lijstalinea"/>
        <w:numPr>
          <w:ilvl w:val="0"/>
          <w:numId w:val="1"/>
        </w:numPr>
        <w:rPr>
          <w:rFonts w:ascii="Calibri" w:hAnsi="Calibri" w:cs="Calibri"/>
        </w:rPr>
      </w:pPr>
      <w:r w:rsidRPr="00415F3B">
        <w:rPr>
          <w:rFonts w:ascii="Calibri" w:hAnsi="Calibri" w:cs="Calibri"/>
        </w:rPr>
        <w:t xml:space="preserve">Aanvullende versleuteling van persoonsgegevens in logging; </w:t>
      </w:r>
    </w:p>
    <w:p w:rsidRPr="00415F3B" w:rsidR="00327764" w:rsidP="00327764" w:rsidRDefault="00327764" w14:paraId="0451B753" w14:textId="77777777">
      <w:pPr>
        <w:pStyle w:val="Lijstalinea"/>
        <w:numPr>
          <w:ilvl w:val="0"/>
          <w:numId w:val="1"/>
        </w:numPr>
        <w:rPr>
          <w:rFonts w:ascii="Calibri" w:hAnsi="Calibri" w:cs="Calibri"/>
        </w:rPr>
      </w:pPr>
      <w:r w:rsidRPr="00415F3B">
        <w:rPr>
          <w:rFonts w:ascii="Calibri" w:hAnsi="Calibri" w:cs="Calibri"/>
        </w:rPr>
        <w:lastRenderedPageBreak/>
        <w:t xml:space="preserve">Aanvullende versleuteling van persoonsgegevens vóór opslag op de storage van de leverancier; </w:t>
      </w:r>
    </w:p>
    <w:p w:rsidRPr="00415F3B" w:rsidR="00327764" w:rsidP="00327764" w:rsidRDefault="00327764" w14:paraId="4DF2A047" w14:textId="77777777">
      <w:pPr>
        <w:pStyle w:val="Lijstalinea"/>
        <w:numPr>
          <w:ilvl w:val="0"/>
          <w:numId w:val="1"/>
        </w:numPr>
        <w:rPr>
          <w:rFonts w:ascii="Calibri" w:hAnsi="Calibri" w:cs="Calibri"/>
        </w:rPr>
      </w:pPr>
      <w:r w:rsidRPr="00415F3B">
        <w:rPr>
          <w:rFonts w:ascii="Calibri" w:hAnsi="Calibri" w:cs="Calibri"/>
        </w:rPr>
        <w:t xml:space="preserve">(Aanvullende) Back-ups bij een ander overheidsdatacenter als vangnet voor continuïteit en herstelbaarheid. </w:t>
      </w:r>
    </w:p>
    <w:p w:rsidRPr="00415F3B" w:rsidR="00327764" w:rsidP="00327764" w:rsidRDefault="00327764" w14:paraId="6FFB9550" w14:textId="77777777">
      <w:pPr>
        <w:rPr>
          <w:rFonts w:ascii="Calibri" w:hAnsi="Calibri" w:eastAsia="Arial" w:cs="Calibri"/>
        </w:rPr>
      </w:pPr>
      <w:r w:rsidRPr="00415F3B">
        <w:rPr>
          <w:rFonts w:ascii="Calibri" w:hAnsi="Calibri" w:cs="Calibri"/>
        </w:rPr>
        <w:t xml:space="preserve">Logius heeft in de afgelopen maanden per voorziening getoetst waar de kwetsbaarheden zitten en welke specifieke technische maatregelen getroffen kunnen worden. Het gaat om risico-verminderende maatregelen om geïdentificeerde risico’s te minimaliseren. Risico’s kunnen nooit volledig worden weggenomen en er zal altijd een restrisico blijven bestaan, zoals in elke complexe IT-keten. Deze maatregelen zijn afwogen tegen de gevolgen voor continuïteit, mogelijke vertragingen van werkzaamheden en de financiële gevolgen.  </w:t>
      </w:r>
    </w:p>
    <w:p w:rsidRPr="00415F3B" w:rsidR="00327764" w:rsidP="00327764" w:rsidRDefault="00327764" w14:paraId="219C0FE1" w14:textId="77777777">
      <w:pPr>
        <w:rPr>
          <w:rFonts w:ascii="Calibri" w:hAnsi="Calibri" w:cs="Calibri"/>
        </w:rPr>
      </w:pPr>
    </w:p>
    <w:p w:rsidRPr="00415F3B" w:rsidR="00327764" w:rsidP="00327764" w:rsidRDefault="00327764" w14:paraId="7B1A0147" w14:textId="77777777">
      <w:pPr>
        <w:rPr>
          <w:rFonts w:ascii="Calibri" w:hAnsi="Calibri" w:cs="Calibri"/>
        </w:rPr>
      </w:pPr>
      <w:r w:rsidRPr="00415F3B">
        <w:rPr>
          <w:rFonts w:ascii="Calibri" w:hAnsi="Calibri" w:cs="Calibri"/>
        </w:rPr>
        <w:t>Dit heeft erin geresulteerd dat in ieder geval de volgende werkzaamheden worden doorgevoerd:</w:t>
      </w:r>
    </w:p>
    <w:p w:rsidRPr="00415F3B" w:rsidR="00327764" w:rsidP="00327764" w:rsidRDefault="00327764" w14:paraId="2FAFF921" w14:textId="77777777">
      <w:pPr>
        <w:rPr>
          <w:rFonts w:ascii="Calibri" w:hAnsi="Calibri" w:cs="Calibri"/>
        </w:rPr>
      </w:pPr>
    </w:p>
    <w:p w:rsidRPr="00415F3B" w:rsidR="00327764" w:rsidP="00327764" w:rsidRDefault="00327764" w14:paraId="0CF5360B" w14:textId="77777777">
      <w:pPr>
        <w:pStyle w:val="Lijstalinea"/>
        <w:numPr>
          <w:ilvl w:val="0"/>
          <w:numId w:val="3"/>
        </w:numPr>
        <w:rPr>
          <w:rFonts w:ascii="Calibri" w:hAnsi="Calibri" w:cs="Calibri"/>
        </w:rPr>
      </w:pPr>
      <w:bookmarkStart w:name="_Hlk231475532" w:id="0"/>
      <w:r w:rsidRPr="00415F3B">
        <w:rPr>
          <w:rFonts w:ascii="Calibri" w:hAnsi="Calibri" w:cs="Calibri"/>
          <w:i/>
          <w:iCs/>
        </w:rPr>
        <w:t>DigiD</w:t>
      </w:r>
      <w:r w:rsidRPr="00415F3B">
        <w:rPr>
          <w:rFonts w:ascii="Calibri" w:hAnsi="Calibri" w:cs="Calibri"/>
        </w:rPr>
        <w:t xml:space="preserve">: werkzaamheden ten aanzien van het doorvoeren van extra versleuteling van de database worden nu voorbereid en ingepland. DigiD heeft de overige drie voorgestelde maatregelen al eerder doorgevoerd. </w:t>
      </w:r>
    </w:p>
    <w:p w:rsidRPr="00415F3B" w:rsidR="00327764" w:rsidP="00327764" w:rsidRDefault="00327764" w14:paraId="3626E950" w14:textId="77777777">
      <w:pPr>
        <w:pStyle w:val="Lijstalinea"/>
        <w:numPr>
          <w:ilvl w:val="0"/>
          <w:numId w:val="2"/>
        </w:numPr>
        <w:rPr>
          <w:rFonts w:ascii="Calibri" w:hAnsi="Calibri" w:cs="Calibri"/>
        </w:rPr>
      </w:pPr>
      <w:r w:rsidRPr="00415F3B">
        <w:rPr>
          <w:rFonts w:ascii="Calibri" w:hAnsi="Calibri" w:cs="Calibri"/>
          <w:i/>
          <w:iCs/>
        </w:rPr>
        <w:t>MijnOverheid</w:t>
      </w:r>
      <w:r w:rsidRPr="00415F3B">
        <w:rPr>
          <w:rFonts w:ascii="Calibri" w:hAnsi="Calibri" w:cs="Calibri"/>
        </w:rPr>
        <w:t>: de voorgestelde maatregelen zullen worden uitgevoerd. Logius zal nadere afspraken maken met het kerndepartement over de planning van uitvoering van de werkzaamheden.</w:t>
      </w:r>
    </w:p>
    <w:p w:rsidRPr="00415F3B" w:rsidR="00327764" w:rsidP="00327764" w:rsidRDefault="00327764" w14:paraId="0DD16713" w14:textId="77777777">
      <w:pPr>
        <w:rPr>
          <w:rFonts w:ascii="Calibri" w:hAnsi="Calibri" w:cs="Calibri"/>
        </w:rPr>
      </w:pPr>
      <w:bookmarkStart w:name="_Hlk231475592" w:id="1"/>
      <w:bookmarkEnd w:id="0"/>
      <w:r w:rsidRPr="00415F3B">
        <w:rPr>
          <w:rFonts w:ascii="Calibri" w:hAnsi="Calibri" w:cs="Calibri"/>
        </w:rPr>
        <w:t xml:space="preserve">Voor de overige voorzieningen geldt dat het doorvoeren van de voorgestelde maatregelen op dit moment niet opportuun is. De maatregelen worden uiteraard wel meegenomen in het reguliere proces van doorontwikkeling en vernieuwing van voorzieningen. </w:t>
      </w:r>
    </w:p>
    <w:p w:rsidRPr="00415F3B" w:rsidR="00327764" w:rsidP="00327764" w:rsidRDefault="00327764" w14:paraId="356C028B" w14:textId="77777777">
      <w:pPr>
        <w:rPr>
          <w:rFonts w:ascii="Calibri" w:hAnsi="Calibri" w:cs="Calibri"/>
        </w:rPr>
      </w:pPr>
    </w:p>
    <w:p w:rsidRPr="00415F3B" w:rsidR="00327764" w:rsidP="00327764" w:rsidRDefault="00327764" w14:paraId="0BAA62A5" w14:textId="77777777">
      <w:pPr>
        <w:rPr>
          <w:rFonts w:ascii="Calibri" w:hAnsi="Calibri" w:eastAsia="Arial" w:cs="Calibri"/>
        </w:rPr>
      </w:pPr>
      <w:r w:rsidRPr="00415F3B">
        <w:rPr>
          <w:rFonts w:ascii="Calibri" w:hAnsi="Calibri" w:cs="Calibri"/>
        </w:rPr>
        <w:t>Naast de implementatie van bovenstaande maatregelen wordt ook de monitoring van het platform van Solvinity verder versterkt. Dit door het aantal detectieregels verder uit te bereiden en de monitoring daarvan onder te brengen bij het L</w:t>
      </w:r>
      <w:r w:rsidRPr="00415F3B">
        <w:rPr>
          <w:rFonts w:ascii="Calibri" w:hAnsi="Calibri" w:eastAsia="Arial" w:cs="Calibri"/>
        </w:rPr>
        <w:t xml:space="preserve">ogius Security Operations Center (SOC). De werkzaamheden hiervoor zullen in de komende maanden uitgevoerd gaan worden. </w:t>
      </w:r>
    </w:p>
    <w:bookmarkEnd w:id="1"/>
    <w:p w:rsidRPr="00415F3B" w:rsidR="00327764" w:rsidP="00327764" w:rsidRDefault="00327764" w14:paraId="229706BF" w14:textId="77777777">
      <w:pPr>
        <w:rPr>
          <w:rFonts w:ascii="Calibri" w:hAnsi="Calibri" w:eastAsia="Arial" w:cs="Calibri"/>
        </w:rPr>
      </w:pPr>
    </w:p>
    <w:p w:rsidRPr="00415F3B" w:rsidR="00327764" w:rsidP="00327764" w:rsidRDefault="00327764" w14:paraId="16EA86B6" w14:textId="77777777">
      <w:pPr>
        <w:rPr>
          <w:rFonts w:ascii="Calibri" w:hAnsi="Calibri" w:cs="Calibri"/>
          <w:b/>
          <w:bCs/>
        </w:rPr>
      </w:pPr>
      <w:r w:rsidRPr="00415F3B">
        <w:rPr>
          <w:rFonts w:ascii="Calibri" w:hAnsi="Calibri" w:cs="Calibri"/>
          <w:b/>
          <w:bCs/>
        </w:rPr>
        <w:t>Aankomende aanbesteding platformbeheer Logius</w:t>
      </w:r>
    </w:p>
    <w:p w:rsidRPr="00415F3B" w:rsidR="00327764" w:rsidP="00327764" w:rsidRDefault="00327764" w14:paraId="3E3EA5DF" w14:textId="77777777">
      <w:pPr>
        <w:rPr>
          <w:rFonts w:ascii="Calibri" w:hAnsi="Calibri" w:cs="Calibri"/>
        </w:rPr>
      </w:pPr>
      <w:r w:rsidRPr="00415F3B">
        <w:rPr>
          <w:rFonts w:ascii="Calibri" w:hAnsi="Calibri" w:cs="Calibri"/>
        </w:rPr>
        <w:t xml:space="preserve">De huidige overeenkomst met Solvinity is op 6 mei 2026 verlengd en loopt uiterlijk af in augustus 2028. De inmiddels verboden overname van Solvinity door Kyndryl </w:t>
      </w:r>
      <w:r w:rsidRPr="00415F3B">
        <w:rPr>
          <w:rFonts w:ascii="Calibri" w:hAnsi="Calibri" w:cs="Calibri"/>
        </w:rPr>
        <w:lastRenderedPageBreak/>
        <w:t>heeft ervoor gezorgd dat Logius samen met het kerndepartement kritisch heeft gekeken hoe het toekomstige aanbestedingsproces kan worden ingericht. Hiervoor is advies ingewonnen bij de Landsadvcoaat. Dit heeft geresulteerd in de keuze om een procedure op basis van de Aanbestedingswet Defensie en Veiligheid (ADV) op te starten en verder uit te werken. De reden hiervoor is dat de ADV meer mogelijkheden biedt dan een reguliere Europese Aanbesteding om risico’s voor de nationale veiligheid te beperken, zoals het uitzonderen van partijen afkomstig uit landen met lokale wetgeving die het mogelijk maakt data van Nederlandse burgers op te vragen. Op dit moment treft Logius de voorbereidingen voor het uitvoeren van de aanbesteding en zal pas bij gunning weer de openbaarheid zoeken.</w:t>
      </w:r>
      <w:bookmarkStart w:name="_Hlk231475619" w:id="2"/>
      <w:bookmarkStart w:name="_Hlk231475659" w:id="3"/>
      <w:bookmarkEnd w:id="2"/>
    </w:p>
    <w:bookmarkEnd w:id="3"/>
    <w:p w:rsidRPr="00415F3B" w:rsidR="00327764" w:rsidP="00415F3B" w:rsidRDefault="00327764" w14:paraId="10D5D7BC" w14:textId="77777777">
      <w:pPr>
        <w:pStyle w:val="Geenafstand"/>
        <w:rPr>
          <w:rFonts w:ascii="Calibri" w:hAnsi="Calibri" w:cs="Calibri"/>
        </w:rPr>
      </w:pPr>
    </w:p>
    <w:p w:rsidRPr="00415F3B" w:rsidR="00327764" w:rsidP="00415F3B" w:rsidRDefault="00327764" w14:paraId="76C20CE7" w14:textId="77777777">
      <w:pPr>
        <w:pStyle w:val="Geenafstand"/>
        <w:rPr>
          <w:rFonts w:ascii="Calibri" w:hAnsi="Calibri" w:cs="Calibri"/>
        </w:rPr>
      </w:pPr>
      <w:r w:rsidRPr="00415F3B">
        <w:rPr>
          <w:rFonts w:ascii="Calibri" w:hAnsi="Calibri" w:cs="Calibri"/>
        </w:rPr>
        <w:t>De staatssecretaris van Binnenlandse Zaken en Koninkrijksrelaties</w:t>
      </w:r>
      <w:r w:rsidRPr="00415F3B">
        <w:rPr>
          <w:rFonts w:ascii="Calibri" w:hAnsi="Calibri" w:cs="Calibri"/>
          <w:i/>
        </w:rPr>
        <w:t>,</w:t>
      </w:r>
    </w:p>
    <w:p w:rsidRPr="00415F3B" w:rsidR="00327764" w:rsidP="00415F3B" w:rsidRDefault="00327764" w14:paraId="4CB8D72C" w14:textId="6EE4337A">
      <w:pPr>
        <w:pStyle w:val="Geenafstand"/>
        <w:rPr>
          <w:rFonts w:ascii="Calibri" w:hAnsi="Calibri" w:cs="Calibri"/>
        </w:rPr>
      </w:pPr>
      <w:r w:rsidRPr="00415F3B">
        <w:rPr>
          <w:rFonts w:ascii="Calibri" w:hAnsi="Calibri" w:cs="Calibri"/>
        </w:rPr>
        <w:t>E</w:t>
      </w:r>
      <w:r w:rsidRPr="00415F3B" w:rsidR="00415F3B">
        <w:rPr>
          <w:rFonts w:ascii="Calibri" w:hAnsi="Calibri" w:cs="Calibri"/>
        </w:rPr>
        <w:t>.</w:t>
      </w:r>
      <w:r w:rsidRPr="00415F3B">
        <w:rPr>
          <w:rFonts w:ascii="Calibri" w:hAnsi="Calibri" w:cs="Calibri"/>
        </w:rPr>
        <w:t xml:space="preserve"> van der Burg</w:t>
      </w:r>
    </w:p>
    <w:p w:rsidRPr="00415F3B" w:rsidR="00FE0FA3" w:rsidP="00415F3B" w:rsidRDefault="00FE0FA3" w14:paraId="72E3B50B" w14:textId="77777777">
      <w:pPr>
        <w:pStyle w:val="Geenafstand"/>
        <w:rPr>
          <w:rFonts w:ascii="Calibri" w:hAnsi="Calibri" w:cs="Calibri"/>
        </w:rPr>
      </w:pPr>
    </w:p>
    <w:sectPr w:rsidRPr="00415F3B" w:rsidR="00FE0FA3" w:rsidSect="00EB2DA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DB26" w14:textId="77777777" w:rsidR="00BB2752" w:rsidRDefault="00BB2752" w:rsidP="00327764">
      <w:pPr>
        <w:spacing w:after="0" w:line="240" w:lineRule="auto"/>
      </w:pPr>
      <w:r>
        <w:separator/>
      </w:r>
    </w:p>
  </w:endnote>
  <w:endnote w:type="continuationSeparator" w:id="0">
    <w:p w14:paraId="23113DE0" w14:textId="77777777" w:rsidR="00BB2752" w:rsidRDefault="00BB2752" w:rsidP="0032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52F3" w14:textId="77777777" w:rsidR="00120272" w:rsidRPr="00327764" w:rsidRDefault="00120272" w:rsidP="003277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3BE" w14:textId="77777777" w:rsidR="00120272" w:rsidRPr="00327764" w:rsidRDefault="00120272" w:rsidP="003277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7007" w14:textId="77777777" w:rsidR="00120272" w:rsidRPr="00327764" w:rsidRDefault="00120272" w:rsidP="00327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F488" w14:textId="77777777" w:rsidR="00BB2752" w:rsidRDefault="00BB2752" w:rsidP="00327764">
      <w:pPr>
        <w:spacing w:after="0" w:line="240" w:lineRule="auto"/>
      </w:pPr>
      <w:r>
        <w:separator/>
      </w:r>
    </w:p>
  </w:footnote>
  <w:footnote w:type="continuationSeparator" w:id="0">
    <w:p w14:paraId="446D12C0" w14:textId="77777777" w:rsidR="00BB2752" w:rsidRDefault="00BB2752" w:rsidP="00327764">
      <w:pPr>
        <w:spacing w:after="0" w:line="240" w:lineRule="auto"/>
      </w:pPr>
      <w:r>
        <w:continuationSeparator/>
      </w:r>
    </w:p>
  </w:footnote>
  <w:footnote w:id="1">
    <w:p w14:paraId="4D225EFE" w14:textId="77777777" w:rsidR="00327764" w:rsidRPr="00415F3B" w:rsidRDefault="00327764" w:rsidP="00327764">
      <w:pPr>
        <w:pStyle w:val="Voetnoottekst"/>
        <w:rPr>
          <w:rFonts w:ascii="Calibri" w:hAnsi="Calibri" w:cs="Calibri"/>
        </w:rPr>
      </w:pPr>
      <w:r w:rsidRPr="00415F3B">
        <w:rPr>
          <w:rStyle w:val="Voetnootmarkering"/>
          <w:rFonts w:ascii="Calibri" w:hAnsi="Calibri" w:cs="Calibri"/>
        </w:rPr>
        <w:footnoteRef/>
      </w:r>
      <w:r w:rsidRPr="00415F3B">
        <w:rPr>
          <w:rFonts w:ascii="Calibri" w:hAnsi="Calibri" w:cs="Calibri"/>
        </w:rPr>
        <w:t xml:space="preserve"> </w:t>
      </w:r>
      <w:hyperlink r:id="rId1" w:history="1">
        <w:r w:rsidRPr="00415F3B">
          <w:rPr>
            <w:rStyle w:val="Hyperlink"/>
            <w:rFonts w:ascii="Calibri" w:hAnsi="Calibri" w:cs="Calibri"/>
          </w:rPr>
          <w:t>Tweede Kamer Vergaderjaar 2025-2026 – 1819 (5 mei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FFE0" w14:textId="77777777" w:rsidR="00120272" w:rsidRPr="00327764" w:rsidRDefault="00120272" w:rsidP="003277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883D" w14:textId="77777777" w:rsidR="00120272" w:rsidRPr="00327764" w:rsidRDefault="00120272" w:rsidP="003277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248" w14:textId="77777777" w:rsidR="00120272" w:rsidRPr="00327764" w:rsidRDefault="00120272" w:rsidP="003277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85D"/>
    <w:multiLevelType w:val="hybridMultilevel"/>
    <w:tmpl w:val="E84C3042"/>
    <w:lvl w:ilvl="0" w:tplc="B5E48C80">
      <w:start w:val="1"/>
      <w:numFmt w:val="bullet"/>
      <w:lvlText w:val=""/>
      <w:lvlJc w:val="left"/>
      <w:pPr>
        <w:ind w:left="720" w:hanging="360"/>
      </w:pPr>
      <w:rPr>
        <w:rFonts w:ascii="Symbol" w:hAnsi="Symbol" w:hint="default"/>
      </w:rPr>
    </w:lvl>
    <w:lvl w:ilvl="1" w:tplc="9C468F5C" w:tentative="1">
      <w:start w:val="1"/>
      <w:numFmt w:val="bullet"/>
      <w:lvlText w:val="o"/>
      <w:lvlJc w:val="left"/>
      <w:pPr>
        <w:ind w:left="1440" w:hanging="360"/>
      </w:pPr>
      <w:rPr>
        <w:rFonts w:ascii="Courier New" w:hAnsi="Courier New" w:cs="Courier New" w:hint="default"/>
      </w:rPr>
    </w:lvl>
    <w:lvl w:ilvl="2" w:tplc="4F2E22FA" w:tentative="1">
      <w:start w:val="1"/>
      <w:numFmt w:val="bullet"/>
      <w:lvlText w:val=""/>
      <w:lvlJc w:val="left"/>
      <w:pPr>
        <w:ind w:left="2160" w:hanging="360"/>
      </w:pPr>
      <w:rPr>
        <w:rFonts w:ascii="Wingdings" w:hAnsi="Wingdings" w:hint="default"/>
      </w:rPr>
    </w:lvl>
    <w:lvl w:ilvl="3" w:tplc="383809C4" w:tentative="1">
      <w:start w:val="1"/>
      <w:numFmt w:val="bullet"/>
      <w:lvlText w:val=""/>
      <w:lvlJc w:val="left"/>
      <w:pPr>
        <w:ind w:left="2880" w:hanging="360"/>
      </w:pPr>
      <w:rPr>
        <w:rFonts w:ascii="Symbol" w:hAnsi="Symbol" w:hint="default"/>
      </w:rPr>
    </w:lvl>
    <w:lvl w:ilvl="4" w:tplc="DEBC5858" w:tentative="1">
      <w:start w:val="1"/>
      <w:numFmt w:val="bullet"/>
      <w:lvlText w:val="o"/>
      <w:lvlJc w:val="left"/>
      <w:pPr>
        <w:ind w:left="3600" w:hanging="360"/>
      </w:pPr>
      <w:rPr>
        <w:rFonts w:ascii="Courier New" w:hAnsi="Courier New" w:cs="Courier New" w:hint="default"/>
      </w:rPr>
    </w:lvl>
    <w:lvl w:ilvl="5" w:tplc="A508BC4E" w:tentative="1">
      <w:start w:val="1"/>
      <w:numFmt w:val="bullet"/>
      <w:lvlText w:val=""/>
      <w:lvlJc w:val="left"/>
      <w:pPr>
        <w:ind w:left="4320" w:hanging="360"/>
      </w:pPr>
      <w:rPr>
        <w:rFonts w:ascii="Wingdings" w:hAnsi="Wingdings" w:hint="default"/>
      </w:rPr>
    </w:lvl>
    <w:lvl w:ilvl="6" w:tplc="B3C89DB6" w:tentative="1">
      <w:start w:val="1"/>
      <w:numFmt w:val="bullet"/>
      <w:lvlText w:val=""/>
      <w:lvlJc w:val="left"/>
      <w:pPr>
        <w:ind w:left="5040" w:hanging="360"/>
      </w:pPr>
      <w:rPr>
        <w:rFonts w:ascii="Symbol" w:hAnsi="Symbol" w:hint="default"/>
      </w:rPr>
    </w:lvl>
    <w:lvl w:ilvl="7" w:tplc="CDC6E232" w:tentative="1">
      <w:start w:val="1"/>
      <w:numFmt w:val="bullet"/>
      <w:lvlText w:val="o"/>
      <w:lvlJc w:val="left"/>
      <w:pPr>
        <w:ind w:left="5760" w:hanging="360"/>
      </w:pPr>
      <w:rPr>
        <w:rFonts w:ascii="Courier New" w:hAnsi="Courier New" w:cs="Courier New" w:hint="default"/>
      </w:rPr>
    </w:lvl>
    <w:lvl w:ilvl="8" w:tplc="2E7231CA" w:tentative="1">
      <w:start w:val="1"/>
      <w:numFmt w:val="bullet"/>
      <w:lvlText w:val=""/>
      <w:lvlJc w:val="left"/>
      <w:pPr>
        <w:ind w:left="6480" w:hanging="360"/>
      </w:pPr>
      <w:rPr>
        <w:rFonts w:ascii="Wingdings" w:hAnsi="Wingdings" w:hint="default"/>
      </w:rPr>
    </w:lvl>
  </w:abstractNum>
  <w:abstractNum w:abstractNumId="1" w15:restartNumberingAfterBreak="0">
    <w:nsid w:val="2D112FC9"/>
    <w:multiLevelType w:val="hybridMultilevel"/>
    <w:tmpl w:val="F7728E5E"/>
    <w:lvl w:ilvl="0" w:tplc="F9EEB828">
      <w:start w:val="1"/>
      <w:numFmt w:val="bullet"/>
      <w:lvlText w:val=""/>
      <w:lvlJc w:val="left"/>
      <w:pPr>
        <w:ind w:left="720" w:hanging="360"/>
      </w:pPr>
      <w:rPr>
        <w:rFonts w:ascii="Symbol" w:hAnsi="Symbol" w:hint="default"/>
      </w:rPr>
    </w:lvl>
    <w:lvl w:ilvl="1" w:tplc="8B84B298" w:tentative="1">
      <w:start w:val="1"/>
      <w:numFmt w:val="bullet"/>
      <w:lvlText w:val="o"/>
      <w:lvlJc w:val="left"/>
      <w:pPr>
        <w:ind w:left="1440" w:hanging="360"/>
      </w:pPr>
      <w:rPr>
        <w:rFonts w:ascii="Courier New" w:hAnsi="Courier New" w:cs="Courier New" w:hint="default"/>
      </w:rPr>
    </w:lvl>
    <w:lvl w:ilvl="2" w:tplc="F572D192" w:tentative="1">
      <w:start w:val="1"/>
      <w:numFmt w:val="bullet"/>
      <w:lvlText w:val=""/>
      <w:lvlJc w:val="left"/>
      <w:pPr>
        <w:ind w:left="2160" w:hanging="360"/>
      </w:pPr>
      <w:rPr>
        <w:rFonts w:ascii="Wingdings" w:hAnsi="Wingdings" w:hint="default"/>
      </w:rPr>
    </w:lvl>
    <w:lvl w:ilvl="3" w:tplc="4A749F0E" w:tentative="1">
      <w:start w:val="1"/>
      <w:numFmt w:val="bullet"/>
      <w:lvlText w:val=""/>
      <w:lvlJc w:val="left"/>
      <w:pPr>
        <w:ind w:left="2880" w:hanging="360"/>
      </w:pPr>
      <w:rPr>
        <w:rFonts w:ascii="Symbol" w:hAnsi="Symbol" w:hint="default"/>
      </w:rPr>
    </w:lvl>
    <w:lvl w:ilvl="4" w:tplc="519E9726" w:tentative="1">
      <w:start w:val="1"/>
      <w:numFmt w:val="bullet"/>
      <w:lvlText w:val="o"/>
      <w:lvlJc w:val="left"/>
      <w:pPr>
        <w:ind w:left="3600" w:hanging="360"/>
      </w:pPr>
      <w:rPr>
        <w:rFonts w:ascii="Courier New" w:hAnsi="Courier New" w:cs="Courier New" w:hint="default"/>
      </w:rPr>
    </w:lvl>
    <w:lvl w:ilvl="5" w:tplc="2FA89232" w:tentative="1">
      <w:start w:val="1"/>
      <w:numFmt w:val="bullet"/>
      <w:lvlText w:val=""/>
      <w:lvlJc w:val="left"/>
      <w:pPr>
        <w:ind w:left="4320" w:hanging="360"/>
      </w:pPr>
      <w:rPr>
        <w:rFonts w:ascii="Wingdings" w:hAnsi="Wingdings" w:hint="default"/>
      </w:rPr>
    </w:lvl>
    <w:lvl w:ilvl="6" w:tplc="EE561FAA" w:tentative="1">
      <w:start w:val="1"/>
      <w:numFmt w:val="bullet"/>
      <w:lvlText w:val=""/>
      <w:lvlJc w:val="left"/>
      <w:pPr>
        <w:ind w:left="5040" w:hanging="360"/>
      </w:pPr>
      <w:rPr>
        <w:rFonts w:ascii="Symbol" w:hAnsi="Symbol" w:hint="default"/>
      </w:rPr>
    </w:lvl>
    <w:lvl w:ilvl="7" w:tplc="1E5E4168" w:tentative="1">
      <w:start w:val="1"/>
      <w:numFmt w:val="bullet"/>
      <w:lvlText w:val="o"/>
      <w:lvlJc w:val="left"/>
      <w:pPr>
        <w:ind w:left="5760" w:hanging="360"/>
      </w:pPr>
      <w:rPr>
        <w:rFonts w:ascii="Courier New" w:hAnsi="Courier New" w:cs="Courier New" w:hint="default"/>
      </w:rPr>
    </w:lvl>
    <w:lvl w:ilvl="8" w:tplc="C53C4992" w:tentative="1">
      <w:start w:val="1"/>
      <w:numFmt w:val="bullet"/>
      <w:lvlText w:val=""/>
      <w:lvlJc w:val="left"/>
      <w:pPr>
        <w:ind w:left="6480" w:hanging="360"/>
      </w:pPr>
      <w:rPr>
        <w:rFonts w:ascii="Wingdings" w:hAnsi="Wingdings" w:hint="default"/>
      </w:rPr>
    </w:lvl>
  </w:abstractNum>
  <w:abstractNum w:abstractNumId="2" w15:restartNumberingAfterBreak="0">
    <w:nsid w:val="3F9F72CE"/>
    <w:multiLevelType w:val="hybridMultilevel"/>
    <w:tmpl w:val="288A96C6"/>
    <w:lvl w:ilvl="0" w:tplc="DE4EFAB4">
      <w:start w:val="1"/>
      <w:numFmt w:val="bullet"/>
      <w:lvlText w:val=""/>
      <w:lvlJc w:val="left"/>
      <w:pPr>
        <w:ind w:left="720" w:hanging="360"/>
      </w:pPr>
      <w:rPr>
        <w:rFonts w:ascii="Symbol" w:hAnsi="Symbol" w:hint="default"/>
      </w:rPr>
    </w:lvl>
    <w:lvl w:ilvl="1" w:tplc="7714B50C" w:tentative="1">
      <w:start w:val="1"/>
      <w:numFmt w:val="bullet"/>
      <w:lvlText w:val="o"/>
      <w:lvlJc w:val="left"/>
      <w:pPr>
        <w:ind w:left="1440" w:hanging="360"/>
      </w:pPr>
      <w:rPr>
        <w:rFonts w:ascii="Courier New" w:hAnsi="Courier New" w:cs="Courier New" w:hint="default"/>
      </w:rPr>
    </w:lvl>
    <w:lvl w:ilvl="2" w:tplc="3F2CDF80" w:tentative="1">
      <w:start w:val="1"/>
      <w:numFmt w:val="bullet"/>
      <w:lvlText w:val=""/>
      <w:lvlJc w:val="left"/>
      <w:pPr>
        <w:ind w:left="2160" w:hanging="360"/>
      </w:pPr>
      <w:rPr>
        <w:rFonts w:ascii="Wingdings" w:hAnsi="Wingdings" w:hint="default"/>
      </w:rPr>
    </w:lvl>
    <w:lvl w:ilvl="3" w:tplc="B8C03F30" w:tentative="1">
      <w:start w:val="1"/>
      <w:numFmt w:val="bullet"/>
      <w:lvlText w:val=""/>
      <w:lvlJc w:val="left"/>
      <w:pPr>
        <w:ind w:left="2880" w:hanging="360"/>
      </w:pPr>
      <w:rPr>
        <w:rFonts w:ascii="Symbol" w:hAnsi="Symbol" w:hint="default"/>
      </w:rPr>
    </w:lvl>
    <w:lvl w:ilvl="4" w:tplc="7D2A1296" w:tentative="1">
      <w:start w:val="1"/>
      <w:numFmt w:val="bullet"/>
      <w:lvlText w:val="o"/>
      <w:lvlJc w:val="left"/>
      <w:pPr>
        <w:ind w:left="3600" w:hanging="360"/>
      </w:pPr>
      <w:rPr>
        <w:rFonts w:ascii="Courier New" w:hAnsi="Courier New" w:cs="Courier New" w:hint="default"/>
      </w:rPr>
    </w:lvl>
    <w:lvl w:ilvl="5" w:tplc="57FE320C" w:tentative="1">
      <w:start w:val="1"/>
      <w:numFmt w:val="bullet"/>
      <w:lvlText w:val=""/>
      <w:lvlJc w:val="left"/>
      <w:pPr>
        <w:ind w:left="4320" w:hanging="360"/>
      </w:pPr>
      <w:rPr>
        <w:rFonts w:ascii="Wingdings" w:hAnsi="Wingdings" w:hint="default"/>
      </w:rPr>
    </w:lvl>
    <w:lvl w:ilvl="6" w:tplc="663443A2" w:tentative="1">
      <w:start w:val="1"/>
      <w:numFmt w:val="bullet"/>
      <w:lvlText w:val=""/>
      <w:lvlJc w:val="left"/>
      <w:pPr>
        <w:ind w:left="5040" w:hanging="360"/>
      </w:pPr>
      <w:rPr>
        <w:rFonts w:ascii="Symbol" w:hAnsi="Symbol" w:hint="default"/>
      </w:rPr>
    </w:lvl>
    <w:lvl w:ilvl="7" w:tplc="31B8BC12" w:tentative="1">
      <w:start w:val="1"/>
      <w:numFmt w:val="bullet"/>
      <w:lvlText w:val="o"/>
      <w:lvlJc w:val="left"/>
      <w:pPr>
        <w:ind w:left="5760" w:hanging="360"/>
      </w:pPr>
      <w:rPr>
        <w:rFonts w:ascii="Courier New" w:hAnsi="Courier New" w:cs="Courier New" w:hint="default"/>
      </w:rPr>
    </w:lvl>
    <w:lvl w:ilvl="8" w:tplc="B9B02BE8" w:tentative="1">
      <w:start w:val="1"/>
      <w:numFmt w:val="bullet"/>
      <w:lvlText w:val=""/>
      <w:lvlJc w:val="left"/>
      <w:pPr>
        <w:ind w:left="6480" w:hanging="360"/>
      </w:pPr>
      <w:rPr>
        <w:rFonts w:ascii="Wingdings" w:hAnsi="Wingdings" w:hint="default"/>
      </w:rPr>
    </w:lvl>
  </w:abstractNum>
  <w:num w:numId="1" w16cid:durableId="851993513">
    <w:abstractNumId w:val="0"/>
  </w:num>
  <w:num w:numId="2" w16cid:durableId="285042202">
    <w:abstractNumId w:val="2"/>
  </w:num>
  <w:num w:numId="3" w16cid:durableId="1138062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64"/>
    <w:rsid w:val="00120272"/>
    <w:rsid w:val="002E3E61"/>
    <w:rsid w:val="00327764"/>
    <w:rsid w:val="00415F3B"/>
    <w:rsid w:val="00480333"/>
    <w:rsid w:val="009722E4"/>
    <w:rsid w:val="009768E5"/>
    <w:rsid w:val="00BB2752"/>
    <w:rsid w:val="00D8500A"/>
    <w:rsid w:val="00DE2A3D"/>
    <w:rsid w:val="00EB2DAD"/>
    <w:rsid w:val="00ED1197"/>
    <w:rsid w:val="00F15B5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5876"/>
  <w15:chartTrackingRefBased/>
  <w15:docId w15:val="{6E8022EE-4AA9-4253-9314-8E94BAF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7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77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77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77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77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7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7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7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7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77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77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77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77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77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7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7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764"/>
    <w:rPr>
      <w:rFonts w:eastAsiaTheme="majorEastAsia" w:cstheme="majorBidi"/>
      <w:color w:val="272727" w:themeColor="text1" w:themeTint="D8"/>
    </w:rPr>
  </w:style>
  <w:style w:type="paragraph" w:styleId="Titel">
    <w:name w:val="Title"/>
    <w:basedOn w:val="Standaard"/>
    <w:next w:val="Standaard"/>
    <w:link w:val="TitelChar"/>
    <w:uiPriority w:val="10"/>
    <w:qFormat/>
    <w:rsid w:val="00327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7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7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7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7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764"/>
    <w:rPr>
      <w:i/>
      <w:iCs/>
      <w:color w:val="404040" w:themeColor="text1" w:themeTint="BF"/>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327764"/>
    <w:pPr>
      <w:ind w:left="720"/>
      <w:contextualSpacing/>
    </w:pPr>
  </w:style>
  <w:style w:type="character" w:styleId="Intensievebenadrukking">
    <w:name w:val="Intense Emphasis"/>
    <w:basedOn w:val="Standaardalinea-lettertype"/>
    <w:uiPriority w:val="21"/>
    <w:qFormat/>
    <w:rsid w:val="00327764"/>
    <w:rPr>
      <w:i/>
      <w:iCs/>
      <w:color w:val="0F4761" w:themeColor="accent1" w:themeShade="BF"/>
    </w:rPr>
  </w:style>
  <w:style w:type="paragraph" w:styleId="Duidelijkcitaat">
    <w:name w:val="Intense Quote"/>
    <w:basedOn w:val="Standaard"/>
    <w:next w:val="Standaard"/>
    <w:link w:val="DuidelijkcitaatChar"/>
    <w:uiPriority w:val="30"/>
    <w:qFormat/>
    <w:rsid w:val="00327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7764"/>
    <w:rPr>
      <w:i/>
      <w:iCs/>
      <w:color w:val="0F4761" w:themeColor="accent1" w:themeShade="BF"/>
    </w:rPr>
  </w:style>
  <w:style w:type="character" w:styleId="Intensieveverwijzing">
    <w:name w:val="Intense Reference"/>
    <w:basedOn w:val="Standaardalinea-lettertype"/>
    <w:uiPriority w:val="32"/>
    <w:qFormat/>
    <w:rsid w:val="00327764"/>
    <w:rPr>
      <w:b/>
      <w:bCs/>
      <w:smallCaps/>
      <w:color w:val="0F4761" w:themeColor="accent1" w:themeShade="BF"/>
      <w:spacing w:val="5"/>
    </w:rPr>
  </w:style>
  <w:style w:type="character" w:styleId="Hyperlink">
    <w:name w:val="Hyperlink"/>
    <w:basedOn w:val="Standaardalinea-lettertype"/>
    <w:uiPriority w:val="99"/>
    <w:unhideWhenUsed/>
    <w:rsid w:val="00327764"/>
    <w:rPr>
      <w:color w:val="467886" w:themeColor="hyperlink"/>
      <w:u w:val="single"/>
    </w:rPr>
  </w:style>
  <w:style w:type="paragraph" w:customStyle="1" w:styleId="Referentiegegevens">
    <w:name w:val="Referentiegegevens"/>
    <w:basedOn w:val="Standaard"/>
    <w:next w:val="Standaard"/>
    <w:rsid w:val="0032776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2776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277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277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277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277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277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277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27764"/>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327764"/>
  </w:style>
  <w:style w:type="paragraph" w:styleId="Voetnoottekst">
    <w:name w:val="footnote text"/>
    <w:basedOn w:val="Standaard"/>
    <w:link w:val="VoetnoottekstChar"/>
    <w:uiPriority w:val="99"/>
    <w:semiHidden/>
    <w:unhideWhenUsed/>
    <w:rsid w:val="00327764"/>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327764"/>
    <w:rPr>
      <w:rFonts w:ascii="Verdana" w:hAnsi="Verdana"/>
      <w:sz w:val="20"/>
      <w:szCs w:val="20"/>
    </w:rPr>
  </w:style>
  <w:style w:type="character" w:styleId="Voetnootmarkering">
    <w:name w:val="footnote reference"/>
    <w:basedOn w:val="Standaardalinea-lettertype"/>
    <w:uiPriority w:val="99"/>
    <w:semiHidden/>
    <w:unhideWhenUsed/>
    <w:rsid w:val="00327764"/>
    <w:rPr>
      <w:vertAlign w:val="superscript"/>
    </w:rPr>
  </w:style>
  <w:style w:type="character" w:styleId="GevolgdeHyperlink">
    <w:name w:val="FollowedHyperlink"/>
    <w:basedOn w:val="Standaardalinea-lettertype"/>
    <w:uiPriority w:val="99"/>
    <w:semiHidden/>
    <w:unhideWhenUsed/>
    <w:rsid w:val="00327764"/>
    <w:rPr>
      <w:color w:val="96607D" w:themeColor="followedHyperlink"/>
      <w:u w:val="single"/>
    </w:rPr>
  </w:style>
  <w:style w:type="paragraph" w:styleId="Geenafstand">
    <w:name w:val="No Spacing"/>
    <w:uiPriority w:val="1"/>
    <w:qFormat/>
    <w:rsid w:val="00415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6Z09127&amp;did=2026D208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724</ap:Words>
  <ap:Characters>3986</ap:Characters>
  <ap:DocSecurity>0</ap:DocSecurity>
  <ap:Lines>33</ap:Lines>
  <ap:Paragraphs>9</ap:Paragraphs>
  <ap:ScaleCrop>false</ap:ScaleCrop>
  <ap:LinksUpToDate>false</ap:LinksUpToDate>
  <ap:CharactersWithSpaces>4701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2026-06-08T14:04:00.0000000Z</dcterms:created>
  <dcterms:modified xsi:type="dcterms:W3CDTF">2026-06-08T14:04:00.0000000Z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