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3DD6" w:rsidR="0037527D" w:rsidP="0037527D" w:rsidRDefault="0037527D" w14:paraId="2D54B46B" w14:textId="77777777">
      <w:pPr>
        <w:rPr>
          <w:b/>
          <w:bCs/>
        </w:rPr>
      </w:pPr>
      <w:r w:rsidRPr="00953DD6">
        <w:rPr>
          <w:b/>
          <w:bCs/>
        </w:rPr>
        <w:t xml:space="preserve">Lijst van nieuwe EU-voorstellen </w:t>
      </w:r>
    </w:p>
    <w:p w:rsidRPr="00953DD6" w:rsidR="0037527D" w:rsidP="0037527D" w:rsidRDefault="0037527D" w14:paraId="259A37BA" w14:textId="77777777">
      <w:pPr>
        <w:rPr>
          <w:b/>
          <w:bCs/>
        </w:rPr>
      </w:pPr>
    </w:p>
    <w:p w:rsidRPr="00953DD6" w:rsidR="0037527D" w:rsidP="0037527D" w:rsidRDefault="0037527D" w14:paraId="28589FA8" w14:textId="489D6EE9">
      <w:r w:rsidRPr="00953DD6">
        <w:t>De</w:t>
      </w:r>
      <w:r w:rsidRPr="00953DD6">
        <w:rPr>
          <w:b/>
          <w:bCs/>
        </w:rPr>
        <w:t> </w:t>
      </w:r>
      <w:r w:rsidRPr="00953DD6">
        <w:t>Europese Commissie heeft in de periode tussen</w:t>
      </w:r>
      <w:r w:rsidRPr="00953DD6">
        <w:rPr>
          <w:b/>
          <w:bCs/>
        </w:rPr>
        <w:t xml:space="preserve"> 21 mei en 4 juni 2026 </w:t>
      </w:r>
      <w:r w:rsidRPr="00953DD6">
        <w:t>de volgende voor deze vaste commissie</w:t>
      </w:r>
      <w:r w:rsidRPr="00953DD6">
        <w:rPr>
          <w:b/>
          <w:bCs/>
        </w:rPr>
        <w:t> </w:t>
      </w:r>
      <w:r w:rsidRPr="00953DD6">
        <w:t>relevante voorstellen voor Europese wetgeving, besluiten en andere beleidsvormende documenten aan de Tweede Kamer gestuurd:  </w:t>
      </w:r>
    </w:p>
    <w:p w:rsidRPr="00953DD6" w:rsidR="0037527D" w:rsidP="0037527D" w:rsidRDefault="0037527D" w14:paraId="6AF1B5A3" w14:textId="77777777">
      <w:pPr>
        <w:rPr>
          <w:b/>
          <w:bCs/>
        </w:rPr>
      </w:pPr>
    </w:p>
    <w:p w:rsidRPr="00953DD6" w:rsidR="0037527D" w:rsidP="0037527D" w:rsidRDefault="0037527D" w14:paraId="79D3017B" w14:textId="1D1943F1">
      <w:pPr>
        <w:numPr>
          <w:ilvl w:val="0"/>
          <w:numId w:val="1"/>
        </w:numPr>
        <w:rPr>
          <w:b/>
          <w:bCs/>
        </w:rPr>
      </w:pPr>
      <w:r w:rsidRPr="00953DD6">
        <w:rPr>
          <w:b/>
          <w:bCs/>
        </w:rPr>
        <w:t>Nieuw voorgestelde EU-wetgeving</w:t>
      </w:r>
      <w:r w:rsidRPr="00953DD6">
        <w:br/>
        <w:t>(Verordeningen, richtlijnen en wetgevende besluiten)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C95854" w:rsidR="0037527D" w:rsidTr="00EB6823" w14:paraId="695E01BA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3DD6" w:rsidR="0037527D" w:rsidP="00EB6823" w:rsidRDefault="0037527D" w14:paraId="44E48EC1" w14:textId="77777777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53DD6" w:rsidR="0037527D" w:rsidP="00EB6823" w:rsidRDefault="0037527D" w14:paraId="0F4554EA" w14:textId="77777777">
            <w:r w:rsidRPr="00953DD6"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53DD6" w:rsidR="00953DD6" w:rsidP="00953DD6" w:rsidRDefault="00953DD6" w14:paraId="17332B8B" w14:textId="77777777">
            <w:pPr>
              <w:shd w:val="clear" w:color="auto" w:fill="FFFFFF"/>
              <w:spacing w:after="75"/>
              <w:rPr>
                <w:color w:val="000000"/>
                <w:lang w:val="en-US" w:eastAsia="nl-NL"/>
                <w14:ligatures w14:val="none"/>
              </w:rPr>
            </w:pPr>
            <w:r w:rsidRPr="00953DD6">
              <w:rPr>
                <w:color w:val="000000"/>
                <w:lang w:val="en-US" w:eastAsia="nl-NL"/>
                <w14:ligatures w14:val="none"/>
              </w:rPr>
              <w:t xml:space="preserve">Proposal for a REGULATION OF THE EUROPEAN PARLIAMENT AND OF THE COUNCIL </w:t>
            </w:r>
          </w:p>
          <w:p w:rsidRPr="00953DD6" w:rsidR="00953DD6" w:rsidP="00953DD6" w:rsidRDefault="00953DD6" w14:paraId="4B3F4AF6" w14:textId="5463E41E">
            <w:pPr>
              <w:shd w:val="clear" w:color="auto" w:fill="FFFFFF"/>
              <w:spacing w:after="75"/>
              <w:rPr>
                <w:lang w:val="en-US" w:eastAsia="nl-NL"/>
                <w14:ligatures w14:val="none"/>
              </w:rPr>
            </w:pPr>
            <w:r w:rsidRPr="00953DD6">
              <w:rPr>
                <w:color w:val="000000"/>
                <w:lang w:val="en-US" w:eastAsia="nl-NL"/>
                <w14:ligatures w14:val="none"/>
              </w:rPr>
              <w:t xml:space="preserve">on the procedure for </w:t>
            </w:r>
            <w:proofErr w:type="spellStart"/>
            <w:r w:rsidRPr="00953DD6">
              <w:rPr>
                <w:color w:val="000000"/>
                <w:lang w:val="en-US" w:eastAsia="nl-NL"/>
                <w14:ligatures w14:val="none"/>
              </w:rPr>
              <w:t>authorisation</w:t>
            </w:r>
            <w:proofErr w:type="spellEnd"/>
            <w:r w:rsidRPr="00953DD6">
              <w:rPr>
                <w:color w:val="000000"/>
                <w:lang w:val="en-US" w:eastAsia="nl-NL"/>
                <w14:ligatures w14:val="none"/>
              </w:rPr>
              <w:t xml:space="preserve"> of systems providing mobile satellite services using the </w:t>
            </w:r>
            <w:proofErr w:type="spellStart"/>
            <w:r w:rsidRPr="00953DD6">
              <w:rPr>
                <w:color w:val="000000"/>
                <w:lang w:val="en-US" w:eastAsia="nl-NL"/>
                <w14:ligatures w14:val="none"/>
              </w:rPr>
              <w:t>harmonised</w:t>
            </w:r>
            <w:proofErr w:type="spellEnd"/>
            <w:r w:rsidRPr="00953DD6">
              <w:rPr>
                <w:color w:val="000000"/>
                <w:lang w:val="en-US" w:eastAsia="nl-NL"/>
                <w14:ligatures w14:val="none"/>
              </w:rPr>
              <w:t xml:space="preserve"> 2 GHz frequency band and repealing Decision No 626/2008/EC</w:t>
            </w:r>
            <w:r w:rsidRPr="00953DD6">
              <w:rPr>
                <w:b/>
                <w:bCs/>
                <w:color w:val="000000"/>
                <w:lang w:val="en-US" w:eastAsia="nl-NL"/>
                <w14:ligatures w14:val="none"/>
              </w:rPr>
              <w:t xml:space="preserve"> </w:t>
            </w:r>
            <w:hyperlink w:history="1" r:id="rId5">
              <w:r w:rsidRPr="00953DD6">
                <w:rPr>
                  <w:rStyle w:val="Hyperlink"/>
                  <w:lang w:val="en-US" w:eastAsia="nl-NL"/>
                  <w14:ligatures w14:val="none"/>
                </w:rPr>
                <w:t>COM(2026)311</w:t>
              </w:r>
            </w:hyperlink>
          </w:p>
          <w:p w:rsidRPr="00953DD6" w:rsidR="0037527D" w:rsidP="00EB6823" w:rsidRDefault="0037527D" w14:paraId="71D73D77" w14:textId="77777777">
            <w:pPr>
              <w:shd w:val="clear" w:color="auto" w:fill="FFFFFF"/>
              <w:spacing w:after="75"/>
              <w:rPr>
                <w:lang w:val="en-US"/>
              </w:rPr>
            </w:pPr>
          </w:p>
        </w:tc>
      </w:tr>
      <w:tr w:rsidRPr="00953DD6" w:rsidR="0037527D" w:rsidTr="00EB6823" w14:paraId="685D5AC9" w14:textId="77777777">
        <w:trPr>
          <w:trHeight w:val="2231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953DD6" w:rsidR="0037527D" w:rsidP="00EB6823" w:rsidRDefault="0037527D" w14:paraId="56753461" w14:textId="77777777">
            <w:pPr>
              <w:rPr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3DD6" w:rsidR="0037527D" w:rsidP="00EB6823" w:rsidRDefault="0037527D" w14:paraId="69675815" w14:textId="019A530A">
            <w:r w:rsidRPr="00953DD6">
              <w:t>Voorstel</w:t>
            </w:r>
          </w:p>
          <w:p w:rsidR="00B40D85" w:rsidP="00EB6823" w:rsidRDefault="00B40D85" w14:paraId="33A28AF7" w14:textId="77777777">
            <w:pPr>
              <w:rPr>
                <w:lang w:val="en-GB"/>
              </w:rPr>
            </w:pPr>
          </w:p>
          <w:p w:rsidRPr="00953DD6" w:rsidR="0037527D" w:rsidP="00EB6823" w:rsidRDefault="0037527D" w14:paraId="3CAB1E95" w14:textId="47556F7B">
            <w:r w:rsidRPr="00953DD6">
              <w:rPr>
                <w:lang w:val="en-GB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3DD6" w:rsidR="0037527D" w:rsidP="00EB6823" w:rsidRDefault="00953DD6" w14:paraId="0BC104C3" w14:textId="62463890">
            <w:r w:rsidRPr="00953DD6">
              <w:t>BNC-fiche na ontvangst agenderen voor eerstvolgend debat</w:t>
            </w:r>
            <w:r w:rsidR="004A2105">
              <w:t xml:space="preserve"> over de</w:t>
            </w:r>
            <w:r w:rsidRPr="00953DD6">
              <w:t xml:space="preserve"> Raad voor Concurrentievermogen.</w:t>
            </w:r>
          </w:p>
          <w:p w:rsidRPr="00953DD6" w:rsidR="0037527D" w:rsidP="00EB6823" w:rsidRDefault="00B40D85" w14:paraId="06E05D06" w14:textId="67A0A336">
            <w:r>
              <w:t xml:space="preserve">Het besluit </w:t>
            </w:r>
            <w:r w:rsidR="004A2105">
              <w:t xml:space="preserve">uit 2008 </w:t>
            </w:r>
            <w:proofErr w:type="gramStart"/>
            <w:r>
              <w:t>inzak</w:t>
            </w:r>
            <w:r w:rsidR="004A2105">
              <w:t>e</w:t>
            </w:r>
            <w:proofErr w:type="gramEnd"/>
            <w:r>
              <w:t xml:space="preserve"> de selectie en machtiging van systemen die mobiele satellietdiensten (MSS) leveren heeft </w:t>
            </w:r>
            <w:r w:rsidR="004A2105">
              <w:t>als doelstelling</w:t>
            </w:r>
            <w:r>
              <w:t xml:space="preserve"> de ontwikkeling van een op concurrentie gebaseerde interne markt voor mobile satellietdiensten in de EU te vereenvoudigen en dekking in alle lidstaten te bereiken. D</w:t>
            </w:r>
            <w:r w:rsidR="004A2105">
              <w:t xml:space="preserve">e rechten vervallen in mei 2027 en de EU moet een besluit nemen over het toekomstige gebruik.  </w:t>
            </w:r>
          </w:p>
        </w:tc>
      </w:tr>
    </w:tbl>
    <w:p w:rsidRPr="00953DD6" w:rsidR="0037527D" w:rsidP="0037527D" w:rsidRDefault="0037527D" w14:paraId="31BD43F3" w14:textId="77777777">
      <w:pPr>
        <w:rPr>
          <w:b/>
          <w:bCs/>
        </w:rPr>
      </w:pPr>
    </w:p>
    <w:p w:rsidRPr="00953DD6" w:rsidR="0037527D" w:rsidP="0037527D" w:rsidRDefault="0037527D" w14:paraId="2EECCE36" w14:textId="77777777">
      <w:pPr>
        <w:numPr>
          <w:ilvl w:val="0"/>
          <w:numId w:val="1"/>
        </w:numPr>
        <w:rPr>
          <w:b/>
          <w:bCs/>
        </w:rPr>
      </w:pPr>
      <w:r w:rsidRPr="00953DD6">
        <w:rPr>
          <w:b/>
          <w:bCs/>
        </w:rPr>
        <w:t xml:space="preserve">Nieuwe EU-documenten van niet-wetgevende aard </w:t>
      </w:r>
      <w:r w:rsidRPr="00953DD6">
        <w:br/>
        <w:t>(Mededelingen, aanbevelingen, actieplannen, consultaties, etc.)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953DD6" w:rsidR="0037527D" w:rsidTr="00EB6823" w14:paraId="3D3D32FF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3DD6" w:rsidR="0037527D" w:rsidP="00EB6823" w:rsidRDefault="0037527D" w14:paraId="4DAFB147" w14:textId="77777777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53DD6" w:rsidR="0037527D" w:rsidP="00EB6823" w:rsidRDefault="0037527D" w14:paraId="6830CB74" w14:textId="77777777">
            <w:r w:rsidRPr="00953DD6"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53DD6" w:rsidR="0037527D" w:rsidP="00EB6823" w:rsidRDefault="0037527D" w14:paraId="3FA1CCDE" w14:textId="4DF3D274">
            <w:pPr>
              <w:shd w:val="clear" w:color="auto" w:fill="FFFFFF"/>
              <w:spacing w:after="75"/>
              <w:rPr>
                <w:rFonts w:cs="Calibri"/>
                <w:lang w:eastAsia="nl-NL"/>
                <w14:ligatures w14:val="none"/>
              </w:rPr>
            </w:pPr>
            <w:r w:rsidRPr="00953DD6">
              <w:rPr>
                <w:rFonts w:cs="Calibri"/>
                <w:lang w:eastAsia="nl-NL"/>
                <w14:ligatures w14:val="none"/>
              </w:rPr>
              <w:t xml:space="preserve">Eengemaakte markt – aanpak van ongerechtvaardigde territoriale leveringsbeperkingen </w:t>
            </w:r>
            <w:hyperlink w:history="1" r:id="rId6">
              <w:r w:rsidRPr="00953DD6">
                <w:rPr>
                  <w:rStyle w:val="Hyperlink"/>
                  <w:rFonts w:cs="Calibri"/>
                  <w:lang w:eastAsia="nl-NL"/>
                  <w14:ligatures w14:val="none"/>
                </w:rPr>
                <w:t>Raadpleging</w:t>
              </w:r>
            </w:hyperlink>
          </w:p>
        </w:tc>
      </w:tr>
      <w:tr w:rsidRPr="00953DD6" w:rsidR="0037527D" w:rsidTr="00EB6823" w14:paraId="3D06B797" w14:textId="77777777">
        <w:trPr>
          <w:trHeight w:val="2231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953DD6" w:rsidR="0037527D" w:rsidP="00EB6823" w:rsidRDefault="0037527D" w14:paraId="6FDA2C03" w14:textId="77777777"/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3DD6" w:rsidR="0037527D" w:rsidP="00EB6823" w:rsidRDefault="0037527D" w14:paraId="1FD764F4" w14:textId="77777777">
            <w:r w:rsidRPr="00953DD6">
              <w:t>Voorstel</w:t>
            </w:r>
          </w:p>
          <w:p w:rsidRPr="00953DD6" w:rsidR="0037527D" w:rsidP="00EB6823" w:rsidRDefault="0037527D" w14:paraId="2548B3D7" w14:textId="77777777">
            <w:r w:rsidRPr="00953DD6">
              <w:rPr>
                <w:lang w:val="en-GB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3DD6" w:rsidR="0037527D" w:rsidP="0037527D" w:rsidRDefault="0037527D" w14:paraId="2C8AA5F2" w14:textId="77777777">
            <w:r w:rsidRPr="00953DD6">
              <w:t xml:space="preserve">Ter informatie. </w:t>
            </w:r>
          </w:p>
          <w:p w:rsidRPr="00953DD6" w:rsidR="0037527D" w:rsidP="0037527D" w:rsidRDefault="0037527D" w14:paraId="450FDA57" w14:textId="671DB98E">
            <w:r w:rsidRPr="00953DD6">
              <w:t xml:space="preserve">Territoriale leveringsbeperkingen worden opgelegd door bepaalde grote fabrikanten. Ze maken het voor detailhandelaren moeilijk of onmogelijk om producten </w:t>
            </w:r>
            <w:r w:rsidRPr="00953DD6" w:rsidR="00953DD6">
              <w:t>uit de</w:t>
            </w:r>
            <w:r w:rsidRPr="00953DD6">
              <w:t xml:space="preserve"> </w:t>
            </w:r>
            <w:r w:rsidRPr="00953DD6" w:rsidR="00953DD6">
              <w:t>ene lidstaat door te verkopen in een andere lidstaat.</w:t>
            </w:r>
            <w:r w:rsidRPr="00953DD6">
              <w:t xml:space="preserve"> </w:t>
            </w:r>
            <w:r w:rsidRPr="00953DD6" w:rsidR="00953DD6">
              <w:t xml:space="preserve">Dit leidt tot versnippering van de interne markt, de </w:t>
            </w:r>
            <w:r w:rsidRPr="00953DD6">
              <w:t>beperk</w:t>
            </w:r>
            <w:r w:rsidRPr="00953DD6" w:rsidR="00953DD6">
              <w:t>ing van</w:t>
            </w:r>
            <w:r w:rsidRPr="00953DD6">
              <w:t xml:space="preserve"> keuze</w:t>
            </w:r>
            <w:r w:rsidRPr="00953DD6" w:rsidR="00953DD6">
              <w:t>vrijheid</w:t>
            </w:r>
            <w:r w:rsidRPr="00953DD6">
              <w:t xml:space="preserve"> voor de consument en aanzienlijke prijsverschillen voor consumptiegoederen in de EU.</w:t>
            </w:r>
          </w:p>
          <w:p w:rsidRPr="00953DD6" w:rsidR="0037527D" w:rsidP="0037527D" w:rsidRDefault="0037527D" w14:paraId="0C38020B" w14:textId="7E0AC56C">
            <w:r w:rsidRPr="00953DD6">
              <w:t>In mei 2025 werd</w:t>
            </w:r>
            <w:r w:rsidRPr="00953DD6" w:rsidR="00953DD6">
              <w:t>en</w:t>
            </w:r>
            <w:r w:rsidRPr="00953DD6">
              <w:t xml:space="preserve"> </w:t>
            </w:r>
            <w:r w:rsidRPr="00953DD6" w:rsidR="00953DD6">
              <w:t xml:space="preserve">instrumenten aangekondigd in </w:t>
            </w:r>
            <w:r w:rsidRPr="00953DD6">
              <w:t xml:space="preserve">de strategie voor de </w:t>
            </w:r>
            <w:r w:rsidRPr="00953DD6" w:rsidR="00953DD6">
              <w:t>interne</w:t>
            </w:r>
            <w:r w:rsidRPr="00953DD6">
              <w:t xml:space="preserve"> markt om </w:t>
            </w:r>
            <w:r w:rsidRPr="00953DD6" w:rsidR="00953DD6">
              <w:t xml:space="preserve">deze beperkingen </w:t>
            </w:r>
            <w:r w:rsidRPr="00953DD6">
              <w:t>aan te pakken die verder gaan dan het mededingingsrecht.</w:t>
            </w:r>
          </w:p>
          <w:p w:rsidRPr="00953DD6" w:rsidR="0037527D" w:rsidP="0037527D" w:rsidRDefault="0037527D" w14:paraId="54758F49" w14:textId="65ACDC4D"/>
        </w:tc>
      </w:tr>
    </w:tbl>
    <w:p w:rsidRPr="00953DD6" w:rsidR="0037527D" w:rsidP="0037527D" w:rsidRDefault="0037527D" w14:paraId="05B2A15D" w14:textId="77777777"/>
    <w:p w:rsidRPr="00F547BC" w:rsidR="0037527D" w:rsidP="0037527D" w:rsidRDefault="0037527D" w14:paraId="74D12BA7" w14:textId="77777777">
      <w:pPr>
        <w:rPr>
          <w:rFonts w:ascii="Verdana" w:hAnsi="Verdana"/>
          <w:sz w:val="18"/>
          <w:szCs w:val="18"/>
        </w:rPr>
      </w:pPr>
    </w:p>
    <w:p w:rsidRPr="00747A47" w:rsidR="0037527D" w:rsidP="0037527D" w:rsidRDefault="0037527D" w14:paraId="1784AA72" w14:textId="77777777"/>
    <w:p w:rsidRPr="00747A47" w:rsidR="0037527D" w:rsidP="0037527D" w:rsidRDefault="0037527D" w14:paraId="578B85CB" w14:textId="77777777"/>
    <w:p w:rsidR="0037527D" w:rsidP="0037527D" w:rsidRDefault="0037527D" w14:paraId="1E98A74C" w14:textId="77777777"/>
    <w:p w:rsidR="005357BC" w:rsidRDefault="005357BC" w14:paraId="2D3CD570" w14:textId="77777777"/>
    <w:sectPr w:rsidR="005357BC" w:rsidSect="0037527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9B801AEA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007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2022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7D"/>
    <w:rsid w:val="003508B2"/>
    <w:rsid w:val="0037527D"/>
    <w:rsid w:val="00432C9C"/>
    <w:rsid w:val="004A2105"/>
    <w:rsid w:val="005357BC"/>
    <w:rsid w:val="00953DD6"/>
    <w:rsid w:val="009C6278"/>
    <w:rsid w:val="00B40D85"/>
    <w:rsid w:val="00C9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6C21"/>
  <w15:chartTrackingRefBased/>
  <w15:docId w15:val="{44344F65-E294-4CEB-962D-E8AD9F07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527D"/>
  </w:style>
  <w:style w:type="paragraph" w:styleId="Kop1">
    <w:name w:val="heading 1"/>
    <w:basedOn w:val="Standaard"/>
    <w:next w:val="Standaard"/>
    <w:link w:val="Kop1Char"/>
    <w:uiPriority w:val="9"/>
    <w:qFormat/>
    <w:rsid w:val="00375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5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5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5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5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5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5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5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5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5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5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5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52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52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52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52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52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52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5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5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5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5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5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52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52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52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5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52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52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7527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5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6.safelinks.protection.outlook.com/?url=https%3A%2F%2Fec.europa.eu%2Finfo%2Flaw%2Fbetter-regulation%2Fhave-your-say%2Finitiatives%2F15252-Eengemaakte-markt-aanpak-van-ongerechtvaardigde-territoriale-leveringsbeperkingen_nl&amp;data=05%7C02%7Ca.hartman%40tweedekamer.nl%7Cb1a55a5299414f39018608dec20d71f4%7C238cb5073f714afeaaab8382731a4345%7C0%7C0%7C639161560173941212%7CUnknown%7CTWFpbGZsb3d8eyJFbXB0eU1hcGkiOnRydWUsIlYiOiIwLjAuMDAwMCIsIlAiOiJXaW4zMiIsIkFOIjoiTWFpbCIsIldUIjoyfQ%3D%3D%7C0%7C%7C%7C&amp;sdata=tFtlRlajwTHYmXEeBZ0QmrNuqhbuRK7Ep8%2BGWOJjJJs%3D&amp;reserved=0" TargetMode="External"/><Relationship Id="rId5" Type="http://schemas.openxmlformats.org/officeDocument/2006/relationships/hyperlink" Target="https://eur06.safelinks.protection.outlook.com/?url=https%3A%2F%2Feur-lex.europa.eu%2Flegal-content%2FNL%2FTXT%2F%3Furi%3DCELEX%253A52026PC0311%26qid%3D1780385876736&amp;data=05%7C02%7Ca.hartman%40tweedekamer.nl%7C367fdf371e3d4c78179208dec2288709%7C238cb5073f714afeaaab8382731a4345%7C0%7C0%7C639161676470590943%7CUnknown%7CTWFpbGZsb3d8eyJFbXB0eU1hcGkiOnRydWUsIlYiOiIwLjAuMDAwMCIsIlAiOiJXaW4zMiIsIkFOIjoiTWFpbCIsIldUIjoyfQ%3D%3D%7C0%7C%7C%7C&amp;sdata=usVQqyQUVFpzMZqgBhKbLNzBLz%2BNdde3qiqkHI1sbOc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465</ap:Words>
  <ap:Characters>2558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2026-06-04T12:50:00.0000000Z</dcterms:created>
  <dcterms:modified xsi:type="dcterms:W3CDTF">2026-06-04T12:50:00.0000000Z</dcterms:modified>
  <version/>
  <category/>
</coreProperties>
</file>